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2B0" w:rsidRPr="004012B0" w:rsidRDefault="004012B0">
      <w:pPr>
        <w:pStyle w:val="Frslagsrubrik"/>
      </w:pPr>
      <w:r w:rsidRPr="004012B0">
        <w:t>Förslag till riksdagsbeslut</w:t>
      </w:r>
    </w:p>
    <w:p w:rsidR="004012B0" w:rsidRPr="004012B0" w:rsidRDefault="004012B0">
      <w:pPr>
        <w:pStyle w:val="Hemstlatt"/>
        <w:numPr>
          <w:ilvl w:val="0"/>
          <w:numId w:val="1"/>
        </w:numPr>
      </w:pPr>
      <w:r w:rsidRPr="004012B0">
        <w:t xml:space="preserve">Riksdagen tillkännager för regeringen som sin mening vad som anförs i motionen om att de analyser och strategier som ligger till grund för Sveriges internationella utvecklingssamarbete </w:t>
      </w:r>
      <w:r w:rsidRPr="004012B0">
        <w:rPr>
          <w:szCs w:val="24"/>
        </w:rPr>
        <w:t>ska lyfta fram kvinnors och mäns tillgång till sexuell och reproduktiv häls</w:t>
      </w:r>
      <w:r w:rsidRPr="004012B0">
        <w:rPr>
          <w:szCs w:val="24"/>
        </w:rPr>
        <w:t>o</w:t>
      </w:r>
      <w:r w:rsidRPr="004012B0">
        <w:rPr>
          <w:szCs w:val="24"/>
        </w:rPr>
        <w:t>service, inklusive tillgång till preventivmedel, kondomer och annan m</w:t>
      </w:r>
      <w:r w:rsidRPr="004012B0">
        <w:rPr>
          <w:szCs w:val="24"/>
        </w:rPr>
        <w:t>a</w:t>
      </w:r>
      <w:r w:rsidRPr="004012B0">
        <w:rPr>
          <w:szCs w:val="24"/>
        </w:rPr>
        <w:t>teriel som används vid förlossningar och utförandet av säkra abo</w:t>
      </w:r>
      <w:r w:rsidRPr="004012B0">
        <w:rPr>
          <w:szCs w:val="24"/>
        </w:rPr>
        <w:t>r</w:t>
      </w:r>
      <w:r w:rsidRPr="004012B0">
        <w:rPr>
          <w:szCs w:val="24"/>
        </w:rPr>
        <w:t>ter.</w:t>
      </w:r>
    </w:p>
    <w:p w:rsidR="004012B0" w:rsidRPr="004012B0" w:rsidRDefault="004012B0">
      <w:pPr>
        <w:pStyle w:val="Hemstlatt"/>
        <w:numPr>
          <w:ilvl w:val="0"/>
          <w:numId w:val="1"/>
        </w:numPr>
      </w:pPr>
      <w:r w:rsidRPr="004012B0">
        <w:t>Riksdagen tillkännager för regeringen som sin mening vad som anförs i motionen om att Sverige genom hälsosystemsutveckling och hälsosektorsstöd stöder samarbetsländer i arbetet med att själva by</w:t>
      </w:r>
      <w:r w:rsidRPr="004012B0">
        <w:t>g</w:t>
      </w:r>
      <w:r w:rsidRPr="004012B0">
        <w:t>ga upp ett fungerande system av import eller produktion, kvalitetsko</w:t>
      </w:r>
      <w:r w:rsidRPr="004012B0">
        <w:t>n</w:t>
      </w:r>
      <w:r w:rsidRPr="004012B0">
        <w:t>troll och distribution av SRHR-materiel.</w:t>
      </w:r>
    </w:p>
    <w:p w:rsidR="004012B0" w:rsidRPr="004012B0" w:rsidRDefault="004012B0">
      <w:pPr>
        <w:pStyle w:val="Hemstlatt"/>
        <w:numPr>
          <w:ilvl w:val="0"/>
          <w:numId w:val="1"/>
        </w:numPr>
      </w:pPr>
      <w:r w:rsidRPr="004012B0">
        <w:t xml:space="preserve">Riksdagen tillkännager för regeringen som sin mening vad som anförs i motionen om ett ökat multilateralt stöd till organisationer som </w:t>
      </w:r>
      <w:r w:rsidRPr="004012B0">
        <w:rPr>
          <w:szCs w:val="24"/>
        </w:rPr>
        <w:t>arbetar för att säkerställa tillgången på preventivmedel och annan SRHR-materiel i världen</w:t>
      </w:r>
      <w:r w:rsidRPr="004012B0">
        <w:t>.</w:t>
      </w:r>
    </w:p>
    <w:p w:rsidR="004012B0" w:rsidRPr="004012B0" w:rsidRDefault="004012B0">
      <w:pPr>
        <w:pStyle w:val="Hemstlatt"/>
        <w:numPr>
          <w:ilvl w:val="0"/>
          <w:numId w:val="1"/>
        </w:numPr>
      </w:pPr>
      <w:r w:rsidRPr="004012B0">
        <w:t>Riksdagen tillkännager för regeringen som sin mening vad som anförs i motionen om att Sverige bör verka för att alla länder som tar emot bilateralt bistånd utvecklar nationella handlingsprogram för arbetet med SRHR, som inkluderar komponenter kring säkerställandet av til</w:t>
      </w:r>
      <w:r w:rsidRPr="004012B0">
        <w:t>l</w:t>
      </w:r>
      <w:r w:rsidRPr="004012B0">
        <w:t>gången på SRHR-materiel.</w:t>
      </w:r>
    </w:p>
    <w:p w:rsidR="004012B0" w:rsidRPr="004012B0" w:rsidRDefault="004012B0">
      <w:pPr>
        <w:pStyle w:val="Hemstlatt"/>
        <w:numPr>
          <w:ilvl w:val="0"/>
          <w:numId w:val="1"/>
        </w:numPr>
      </w:pPr>
      <w:r w:rsidRPr="004012B0">
        <w:t>Riksdagen tillkännager för regeringen som sin mening vad som anförs i motionen om att Sverige bör utarbeta riktlinjer kring hur SRHR i stort, inklusive olika typer av SRHR-materiel, kan säkerställas inom ramen för svenska humanitära insatser. Sverige bör även verka för att andra givarländer arbetar fram liknande riktlinjer samt för att dessa används för att koordinera och samordna insatser med stöd från flera ol</w:t>
      </w:r>
      <w:r w:rsidRPr="004012B0">
        <w:t>i</w:t>
      </w:r>
      <w:r w:rsidRPr="004012B0">
        <w:t>ka länder.</w:t>
      </w:r>
    </w:p>
    <w:p w:rsidR="004012B0" w:rsidRPr="004012B0" w:rsidRDefault="004012B0">
      <w:pPr>
        <w:pStyle w:val="Rubrik1"/>
        <w:pageBreakBefore/>
        <w:spacing w:before="0"/>
      </w:pPr>
      <w:r w:rsidRPr="004012B0">
        <w:lastRenderedPageBreak/>
        <w:t>Motivering</w:t>
      </w:r>
    </w:p>
    <w:p w:rsidR="004012B0" w:rsidRPr="004012B0" w:rsidRDefault="00401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4012B0">
        <w:rPr>
          <w:szCs w:val="24"/>
        </w:rPr>
        <w:t>De senaste årtiondena har det världen över gjorts stora insatser kring sexuell och reproduktiv hälsa. I många länder råder dock stor brist på exempelvis kondomer, p-piller, spiraler och andra preventivmedel, samt på materiel som behövs vid förlossningar, mödravård och säkra aborter, samt hiv-tester. Det föreligger stor risk att denna brist kommer att leda till fler oönskade gravidit</w:t>
      </w:r>
      <w:r w:rsidRPr="004012B0">
        <w:rPr>
          <w:szCs w:val="24"/>
        </w:rPr>
        <w:t>e</w:t>
      </w:r>
      <w:r w:rsidRPr="004012B0">
        <w:rPr>
          <w:szCs w:val="24"/>
        </w:rPr>
        <w:t>ter, osäkra aborter och ökad mödradödlighet. Denna brist är också ett allva</w:t>
      </w:r>
      <w:r w:rsidRPr="004012B0">
        <w:rPr>
          <w:szCs w:val="24"/>
        </w:rPr>
        <w:t>r</w:t>
      </w:r>
      <w:r w:rsidRPr="004012B0">
        <w:rPr>
          <w:szCs w:val="24"/>
        </w:rPr>
        <w:t>ligt hot för det hiv-preventiva arbetet.</w:t>
      </w:r>
    </w:p>
    <w:p w:rsidR="004012B0" w:rsidRPr="004012B0" w:rsidRDefault="004012B0">
      <w:pPr>
        <w:pStyle w:val="Normaltindrag"/>
        <w:rPr>
          <w:lang w:bidi="sv-SE"/>
        </w:rPr>
      </w:pPr>
      <w:r w:rsidRPr="004012B0">
        <w:t>Det finns flera orsaker till bristen på preventivmedel och det materiel som används i SRHR-arbetet. Enligt FN:s befolkningsfond, UNFPA (United N</w:t>
      </w:r>
      <w:r w:rsidRPr="004012B0">
        <w:t>a</w:t>
      </w:r>
      <w:r w:rsidRPr="004012B0">
        <w:t>tions Population Fund), har det intensiva förespråkandet av sexuella och r</w:t>
      </w:r>
      <w:r w:rsidRPr="004012B0">
        <w:t>e</w:t>
      </w:r>
      <w:r w:rsidRPr="004012B0">
        <w:t>produktiva rättigheter lett till att alltfler människor börjat efterfråga preve</w:t>
      </w:r>
      <w:r w:rsidRPr="004012B0">
        <w:t>n</w:t>
      </w:r>
      <w:r w:rsidRPr="004012B0">
        <w:t>tivmedel och annan sexuell och reproduktiv service. Användandet av preve</w:t>
      </w:r>
      <w:r w:rsidRPr="004012B0">
        <w:t>n</w:t>
      </w:r>
      <w:r w:rsidRPr="004012B0">
        <w:t>tivmedel uppskattas bl.a. öka med upp till 40 % fram till år 2015. Samtidigt ökar antalet människor i sexuellt aktiv ålder år för år. Andelen 15–25-åringar av världens totala befolkning har aldrig tidigare varit så stor som den är nu. Detta leder till ytterligare efterfrågan.</w:t>
      </w:r>
    </w:p>
    <w:p w:rsidR="004012B0" w:rsidRPr="004012B0" w:rsidRDefault="004012B0">
      <w:pPr>
        <w:pStyle w:val="Normaltindrag"/>
      </w:pPr>
      <w:r w:rsidRPr="004012B0">
        <w:t>Tyvärr</w:t>
      </w:r>
      <w:r w:rsidRPr="004012B0">
        <w:t xml:space="preserve"> har den ökade efterfrågan och användningen av preventivmedel och sexuell och reproduktiv service inte renderat i ökade biståndsanslag. Det samlade biståndet till materiel som används i arbetet för sexuell och repr</w:t>
      </w:r>
      <w:r w:rsidRPr="004012B0">
        <w:t>o</w:t>
      </w:r>
      <w:r w:rsidRPr="004012B0">
        <w:t>duktiv hälsa och rättigheter har sedan 1996 legat still eller t.o.m. sjunkit. De</w:t>
      </w:r>
      <w:r w:rsidRPr="004012B0">
        <w:t>t</w:t>
      </w:r>
      <w:r w:rsidRPr="004012B0">
        <w:t>ta står i stark kontrast till handlingsprogrammet från FN:s konferens om b</w:t>
      </w:r>
      <w:r w:rsidRPr="004012B0">
        <w:t>e</w:t>
      </w:r>
      <w:r w:rsidRPr="004012B0">
        <w:t>folkning och utveckling 1994 och är också ett hot mot flera av millenniem</w:t>
      </w:r>
      <w:r w:rsidRPr="004012B0">
        <w:t>å</w:t>
      </w:r>
      <w:r w:rsidRPr="004012B0">
        <w:t>len.</w:t>
      </w:r>
    </w:p>
    <w:p w:rsidR="004012B0" w:rsidRPr="004012B0" w:rsidRDefault="004012B0">
      <w:pPr>
        <w:pStyle w:val="Normaltindrag"/>
      </w:pPr>
      <w:r w:rsidRPr="004012B0">
        <w:t>Sveriges politik för global utveckling utgår från den enskilda</w:t>
      </w:r>
      <w:r w:rsidRPr="004012B0">
        <w:t xml:space="preserve"> individens behov. SRHR, hiv-prevention och jämställdhet har prioriterats högt i det svenska biståndet. För att satsningar på SRHR, hiv/aids-prevention och jä</w:t>
      </w:r>
      <w:r w:rsidRPr="004012B0">
        <w:t>m</w:t>
      </w:r>
      <w:r w:rsidRPr="004012B0">
        <w:t>ställdhet ska bli meningsfulla måste det följaktligen finnas preventivmedel och annat SRHR-materiel att tillgå i de aktuella länderna.</w:t>
      </w:r>
    </w:p>
    <w:p w:rsidR="004012B0" w:rsidRPr="004012B0" w:rsidRDefault="004012B0">
      <w:pPr>
        <w:pStyle w:val="Normaltindrag"/>
      </w:pPr>
      <w:r w:rsidRPr="004012B0">
        <w:t>FNs befolkningsfond UNFPA samt den globala icke-statliga organisati</w:t>
      </w:r>
      <w:r w:rsidRPr="004012B0">
        <w:t>o</w:t>
      </w:r>
      <w:r w:rsidRPr="004012B0">
        <w:t>nen International Planned Parenthood Federation är exempel på två organis</w:t>
      </w:r>
      <w:r w:rsidRPr="004012B0">
        <w:t>a</w:t>
      </w:r>
      <w:r w:rsidRPr="004012B0">
        <w:t>tioner som arbetar för att säkerställa tillgången på preventivmedel och annan SRHR-materiel i världen. Sverige bör därför, av flera skäl, öka sitt bidrag till de organisationer som arbetar inom detta område.</w:t>
      </w:r>
    </w:p>
    <w:p w:rsidR="004012B0" w:rsidRPr="004012B0" w:rsidRDefault="004012B0">
      <w:pPr>
        <w:pStyle w:val="Normaltindrag"/>
      </w:pPr>
      <w:r w:rsidRPr="004012B0">
        <w:t>Sveriges bilaterala bistånd utgörs i dag bl.a. av stora sektorsstöd. Viktiga instrument för detta är Sidas landanalyser och landstrategier. I landanalyserna reflekteras det ofta över hiv-epidemin och dess konsekvenser. Ofta inneh</w:t>
      </w:r>
      <w:r w:rsidRPr="004012B0">
        <w:t>åller rapporterna statistik över mödradödligheten. Problemet är att det sällan anal</w:t>
      </w:r>
      <w:r w:rsidRPr="004012B0">
        <w:t>y</w:t>
      </w:r>
      <w:r w:rsidRPr="004012B0">
        <w:t>seras djupare än så – inga analyser om varför mödradödligheten är stor, hur förlossningsvården ser ut, kring oönskade graviditeter eller osäkra aborter och inget om preventivmedelstillgång eller tillgång på annan sexuell och repr</w:t>
      </w:r>
      <w:r w:rsidRPr="004012B0">
        <w:t>o</w:t>
      </w:r>
      <w:r w:rsidRPr="004012B0">
        <w:t>duktiv service.</w:t>
      </w:r>
    </w:p>
    <w:p w:rsidR="004012B0" w:rsidRPr="004012B0" w:rsidRDefault="004012B0">
      <w:pPr>
        <w:pStyle w:val="Normaltindrag"/>
      </w:pPr>
      <w:r w:rsidRPr="004012B0">
        <w:t>Om ordentliga analyser kring sexuell och reproduktiv hälsa och rättigheter inte finns med i de strategier och analysdokument som inför nya stöd och insatser ligger till grund för dia</w:t>
      </w:r>
      <w:r w:rsidRPr="004012B0">
        <w:t>logen med samarbetsländer är risken stor att de faller bort i utformningen av Sidas stora landprogram eller sektorsstöd.</w:t>
      </w:r>
    </w:p>
    <w:p w:rsidR="004012B0" w:rsidRPr="004012B0" w:rsidRDefault="004012B0">
      <w:pPr>
        <w:pStyle w:val="Normaltindrag"/>
      </w:pPr>
      <w:r w:rsidRPr="004012B0">
        <w:t>Vår mening är att Sverige borde agera mer kraftfullt när det gäller til</w:t>
      </w:r>
      <w:r w:rsidRPr="004012B0">
        <w:t>l</w:t>
      </w:r>
      <w:r w:rsidRPr="004012B0">
        <w:t>gången till SRHR-materiel i världen. Sverige bör verka för att alla länder som mottar bilateralt bistånd utvecklar nationella handlingsprogram för arbetet med SRHR, som inkluderar komponenter kring säkerställandet av tillgången på SRHR-materiel.</w:t>
      </w:r>
    </w:p>
    <w:p w:rsidR="004012B0" w:rsidRPr="004012B0" w:rsidRDefault="004012B0">
      <w:pPr>
        <w:pStyle w:val="Normaltindrag"/>
      </w:pPr>
      <w:r w:rsidRPr="004012B0">
        <w:t>Sverige bör även inom ramen för hälsosektorsstöd och hälsosystemsu</w:t>
      </w:r>
      <w:r w:rsidRPr="004012B0">
        <w:t>t</w:t>
      </w:r>
      <w:r w:rsidRPr="004012B0">
        <w:t>veckling stödja samarbetsländer att själva bygga upp ett fungerande system av import eller produktion, kvalitetskontroll och distribution av SRHR-materiel.</w:t>
      </w:r>
    </w:p>
    <w:p w:rsidR="004012B0" w:rsidRPr="004012B0" w:rsidRDefault="004012B0">
      <w:pPr>
        <w:pStyle w:val="Normaltindrag"/>
      </w:pPr>
      <w:r w:rsidRPr="004012B0">
        <w:t>Ytterligare en del av svenskt bistånd är de humanitära insatser som geno</w:t>
      </w:r>
      <w:r w:rsidRPr="004012B0">
        <w:t>m</w:t>
      </w:r>
      <w:r w:rsidRPr="004012B0">
        <w:t>förs i länder där människor har nödställts av väpnade konflikter, naturkat</w:t>
      </w:r>
      <w:r w:rsidRPr="004012B0">
        <w:t>a</w:t>
      </w:r>
      <w:r w:rsidRPr="004012B0">
        <w:t>strofer och andra katastrofliknande förhållanden. Människor i eller på flykt undan konflikter eller andra katastrofer behöver också adekvat vård och se</w:t>
      </w:r>
      <w:r w:rsidRPr="004012B0">
        <w:t>r</w:t>
      </w:r>
      <w:r w:rsidRPr="004012B0">
        <w:t>vice kopplat till reproduktion och sexualitet, exempelvis preventivmedel, mödra- och förlossningsvård, hiv-preventiva åtgärder samt prevention och behandling av könsbaserat våld. Dessutom måste de som ingår i behandling av hiv (bromsmedicinering) få möjlighet att fortsätta detta. Men</w:t>
      </w:r>
      <w:r w:rsidRPr="004012B0">
        <w:t xml:space="preserve"> trots att det är uppenbart att SRHR behöver vara en integrerad del är detta ofta ett nedpr</w:t>
      </w:r>
      <w:r w:rsidRPr="004012B0">
        <w:t>i</w:t>
      </w:r>
      <w:r w:rsidRPr="004012B0">
        <w:t>oriterat område i humanitära insatser.</w:t>
      </w:r>
    </w:p>
    <w:p w:rsidR="004012B0" w:rsidRPr="004012B0" w:rsidRDefault="004012B0">
      <w:pPr>
        <w:pStyle w:val="Normaltindrag"/>
      </w:pPr>
      <w:r w:rsidRPr="004012B0">
        <w:t>Sverige bör därför utarbeta riktlinjer kring hur SRHR i stort, inklusive til</w:t>
      </w:r>
      <w:r w:rsidRPr="004012B0">
        <w:t>l</w:t>
      </w:r>
      <w:r w:rsidRPr="004012B0">
        <w:t>gång till olika typer av SRHR-materiel, kan säkerställas inom ramen för svenska humanitära insatser. Sverige bör även verka för att andra givarländer arbetar fram liknande riktlinjer samt att dessa används för att koordinera och samordna insatser med stöd från flera olika länder.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2B0">
        <w:trPr>
          <w:cantSplit/>
        </w:trPr>
        <w:tc>
          <w:tcPr>
            <w:tcW w:w="3046" w:type="dxa"/>
          </w:tcPr>
          <w:p w:rsidR="004012B0" w:rsidRPr="004012B0" w:rsidRDefault="004012B0">
            <w:pPr>
              <w:pStyle w:val="UnderskriftDatum"/>
              <w:spacing w:before="240"/>
            </w:pPr>
            <w:r w:rsidRPr="004012B0">
              <w:t>Stockholm den 6 oktober 2009</w:t>
            </w:r>
          </w:p>
        </w:tc>
        <w:tc>
          <w:tcPr>
            <w:tcW w:w="3047" w:type="dxa"/>
          </w:tcPr>
          <w:p w:rsidR="004012B0" w:rsidRPr="004012B0" w:rsidRDefault="004012B0">
            <w:pPr>
              <w:pStyle w:val="Underskrifter"/>
              <w:spacing w:before="240"/>
            </w:pPr>
          </w:p>
        </w:tc>
      </w:tr>
      <w:tr w:rsidR="00000000" w:rsidRPr="004012B0">
        <w:trPr>
          <w:cantSplit/>
        </w:trPr>
        <w:tc>
          <w:tcPr>
            <w:tcW w:w="3046" w:type="dxa"/>
          </w:tcPr>
          <w:p w:rsidR="004012B0" w:rsidRPr="004012B0" w:rsidRDefault="004012B0">
            <w:pPr>
              <w:pStyle w:val="Underskrifter"/>
            </w:pPr>
            <w:r w:rsidRPr="004012B0">
              <w:t>Annika Qarlsson (c)</w:t>
            </w:r>
          </w:p>
        </w:tc>
        <w:tc>
          <w:tcPr>
            <w:tcW w:w="3046" w:type="dxa"/>
          </w:tcPr>
          <w:p w:rsidR="004012B0" w:rsidRPr="004012B0" w:rsidRDefault="004012B0">
            <w:pPr>
              <w:pStyle w:val="Underskrifter"/>
            </w:pPr>
          </w:p>
        </w:tc>
      </w:tr>
      <w:tr w:rsidR="00000000" w:rsidRPr="004012B0">
        <w:trPr>
          <w:cantSplit/>
        </w:trPr>
        <w:tc>
          <w:tcPr>
            <w:tcW w:w="3046" w:type="dxa"/>
          </w:tcPr>
          <w:p w:rsidR="004012B0" w:rsidRPr="004012B0" w:rsidRDefault="004012B0">
            <w:pPr>
              <w:pStyle w:val="Underskrifter"/>
            </w:pPr>
            <w:r w:rsidRPr="004012B0">
              <w:t>Hans Linde (v)</w:t>
            </w:r>
          </w:p>
        </w:tc>
        <w:tc>
          <w:tcPr>
            <w:tcW w:w="3046" w:type="dxa"/>
          </w:tcPr>
          <w:p w:rsidR="004012B0" w:rsidRPr="004012B0" w:rsidRDefault="004012B0">
            <w:pPr>
              <w:pStyle w:val="Underskrifter"/>
            </w:pPr>
            <w:r w:rsidRPr="004012B0">
              <w:t>Sofia Arkelsten (m)</w:t>
            </w:r>
          </w:p>
        </w:tc>
      </w:tr>
      <w:tr w:rsidR="00000000" w:rsidRPr="004012B0">
        <w:trPr>
          <w:cantSplit/>
        </w:trPr>
        <w:tc>
          <w:tcPr>
            <w:tcW w:w="3046" w:type="dxa"/>
          </w:tcPr>
          <w:p w:rsidR="004012B0" w:rsidRPr="004012B0" w:rsidRDefault="004012B0">
            <w:pPr>
              <w:pStyle w:val="Underskrifter"/>
            </w:pPr>
            <w:r w:rsidRPr="004012B0">
              <w:t>Cecilia Wigström i Göteborg (fp)</w:t>
            </w:r>
          </w:p>
        </w:tc>
        <w:tc>
          <w:tcPr>
            <w:tcW w:w="3046" w:type="dxa"/>
          </w:tcPr>
          <w:p w:rsidR="004012B0" w:rsidRPr="004012B0" w:rsidRDefault="004012B0">
            <w:pPr>
              <w:pStyle w:val="Underskrifter"/>
            </w:pPr>
          </w:p>
        </w:tc>
      </w:tr>
    </w:tbl>
    <w:p w:rsidR="004012B0" w:rsidRPr="004012B0" w:rsidRDefault="004012B0">
      <w:pPr>
        <w:pStyle w:val="Normaltindrag"/>
      </w:pPr>
    </w:p>
    <w:sectPr w:rsidR="00000000" w:rsidRPr="004012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2B0" w:rsidRPr="004012B0" w:rsidRDefault="004012B0">
      <w:r w:rsidRPr="004012B0">
        <w:separator/>
      </w:r>
    </w:p>
  </w:endnote>
  <w:endnote w:type="continuationSeparator" w:id="0">
    <w:p w:rsidR="004012B0" w:rsidRPr="004012B0" w:rsidRDefault="004012B0">
      <w:r w:rsidRPr="00401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fot"/>
    </w:pPr>
    <w:r w:rsidRPr="004012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2803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2B0" w:rsidRDefault="004012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fot"/>
    </w:pPr>
    <w:r w:rsidRPr="004012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384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2B0" w:rsidRDefault="004012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fot"/>
    </w:pPr>
    <w:r w:rsidRPr="004012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8128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2B0" w:rsidRDefault="004012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2B0" w:rsidRPr="004012B0" w:rsidRDefault="004012B0">
      <w:r w:rsidRPr="004012B0">
        <w:separator/>
      </w:r>
    </w:p>
  </w:footnote>
  <w:footnote w:type="continuationSeparator" w:id="0">
    <w:p w:rsidR="004012B0" w:rsidRPr="004012B0" w:rsidRDefault="004012B0">
      <w:r w:rsidRPr="00401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huvud"/>
    </w:pPr>
    <w:r w:rsidRPr="004012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540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2B0" w:rsidRDefault="004012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Sidhuvud"/>
    </w:pPr>
    <w:r w:rsidRPr="004012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874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B0" w:rsidRDefault="004012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2B0" w:rsidRDefault="004012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B0" w:rsidRPr="004012B0" w:rsidRDefault="004012B0">
    <w:pPr>
      <w:pStyle w:val="FSHNormal"/>
      <w:tabs>
        <w:tab w:val="right" w:pos="5840"/>
      </w:tabs>
    </w:pPr>
    <w:r w:rsidRPr="004012B0">
      <w:br/>
    </w:r>
    <w:r w:rsidRPr="004012B0">
      <w:fldChar w:fldCharType="begin" w:fldLock="1"/>
    </w:r>
    <w:r w:rsidRPr="004012B0">
      <w:instrText xml:space="preserve"> DOCPROPERTY</w:instrText>
    </w:r>
    <w:r w:rsidRPr="004012B0">
      <w:rPr>
        <w:sz w:val="18"/>
      </w:rPr>
      <w:instrText xml:space="preserve"> "YearUser" *\charformat </w:instrText>
    </w:r>
    <w:r w:rsidRPr="004012B0">
      <w:fldChar w:fldCharType="separate"/>
    </w:r>
    <w:r w:rsidRPr="004012B0">
      <w:t>2009/10</w:t>
    </w:r>
    <w:r w:rsidRPr="004012B0">
      <w:fldChar w:fldCharType="end"/>
    </w:r>
    <w:r w:rsidRPr="004012B0">
      <w:t xml:space="preserve"> </w:t>
    </w:r>
    <w:r w:rsidRPr="004012B0">
      <w:tab/>
      <w:t xml:space="preserve">mnr: </w:t>
    </w:r>
    <w:r w:rsidRPr="004012B0">
      <w:fldChar w:fldCharType="begin" w:fldLock="1"/>
    </w:r>
    <w:r w:rsidRPr="004012B0">
      <w:instrText xml:space="preserve"> DOCPROPERTY</w:instrText>
    </w:r>
    <w:r w:rsidRPr="004012B0">
      <w:rPr>
        <w:sz w:val="18"/>
      </w:rPr>
      <w:instrText xml:space="preserve"> "Motionsnummer" *\charformat </w:instrText>
    </w:r>
    <w:r w:rsidRPr="004012B0">
      <w:fldChar w:fldCharType="separate"/>
    </w:r>
    <w:r w:rsidRPr="004012B0">
      <w:t>U308</w:t>
    </w:r>
    <w:r w:rsidRPr="004012B0">
      <w:fldChar w:fldCharType="end"/>
    </w:r>
    <w:r w:rsidRPr="004012B0">
      <w:br/>
    </w:r>
    <w:r w:rsidRPr="004012B0">
      <w:fldChar w:fldCharType="begin" w:fldLock="1"/>
    </w:r>
    <w:r w:rsidRPr="004012B0">
      <w:instrText xml:space="preserve"> DOCPROPERTY</w:instrText>
    </w:r>
    <w:r w:rsidRPr="004012B0">
      <w:rPr>
        <w:sz w:val="18"/>
      </w:rPr>
      <w:instrText xml:space="preserve"> "Samling" *\charformat </w:instrText>
    </w:r>
    <w:r w:rsidRPr="004012B0">
      <w:fldChar w:fldCharType="end"/>
    </w:r>
    <w:r w:rsidRPr="004012B0">
      <w:tab/>
      <w:t xml:space="preserve">pnr: </w:t>
    </w:r>
    <w:r w:rsidRPr="004012B0">
      <w:fldChar w:fldCharType="begin" w:fldLock="1"/>
    </w:r>
    <w:r w:rsidRPr="004012B0">
      <w:instrText xml:space="preserve"> DOCPROPERTY</w:instrText>
    </w:r>
    <w:r w:rsidRPr="004012B0">
      <w:rPr>
        <w:sz w:val="18"/>
      </w:rPr>
      <w:instrText xml:space="preserve"> "Partinummer" *\charformat </w:instrText>
    </w:r>
    <w:r w:rsidRPr="004012B0">
      <w:fldChar w:fldCharType="separate"/>
    </w:r>
    <w:r w:rsidRPr="004012B0">
      <w:t>-c417</w:t>
    </w:r>
    <w:r w:rsidRPr="004012B0">
      <w:fldChar w:fldCharType="end"/>
    </w:r>
  </w:p>
  <w:p w:rsidR="004012B0" w:rsidRPr="004012B0" w:rsidRDefault="004012B0">
    <w:pPr>
      <w:pStyle w:val="FSHRub1"/>
    </w:pPr>
    <w:r w:rsidRPr="004012B0">
      <w:t>Motion till riksdagen</w:t>
    </w:r>
    <w:r w:rsidRPr="004012B0">
      <w:br/>
    </w:r>
    <w:r w:rsidRPr="004012B0">
      <w:fldChar w:fldCharType="begin" w:fldLock="1"/>
    </w:r>
    <w:r w:rsidRPr="004012B0">
      <w:instrText xml:space="preserve"> DOCPROPERTY "YearUser" *\charformat </w:instrText>
    </w:r>
    <w:r w:rsidRPr="004012B0">
      <w:fldChar w:fldCharType="separate"/>
    </w:r>
    <w:r w:rsidRPr="004012B0">
      <w:t>2009/10</w:t>
    </w:r>
    <w:r w:rsidRPr="004012B0">
      <w:fldChar w:fldCharType="end"/>
    </w:r>
    <w:r w:rsidRPr="004012B0">
      <w:t>:</w:t>
    </w:r>
    <w:r w:rsidRPr="004012B0">
      <w:fldChar w:fldCharType="begin" w:fldLock="1"/>
    </w:r>
    <w:r w:rsidRPr="004012B0">
      <w:instrText xml:space="preserve"> DOCPROPERTY "Motionsnummer" *\charformat </w:instrText>
    </w:r>
    <w:r w:rsidRPr="004012B0">
      <w:fldChar w:fldCharType="separate"/>
    </w:r>
    <w:r w:rsidRPr="004012B0">
      <w:t>U308</w:t>
    </w:r>
    <w:r w:rsidRPr="004012B0">
      <w:fldChar w:fldCharType="end"/>
    </w:r>
  </w:p>
  <w:p w:rsidR="004012B0" w:rsidRPr="004012B0" w:rsidRDefault="004012B0">
    <w:pPr>
      <w:pStyle w:val="FSHNormalS5"/>
    </w:pPr>
    <w:r w:rsidRPr="004012B0">
      <w:fldChar w:fldCharType="begin" w:fldLock="1"/>
    </w:r>
    <w:r w:rsidRPr="004012B0">
      <w:instrText xml:space="preserve"> DOCPROPERTY "MotionarText" *\charformat </w:instrText>
    </w:r>
    <w:r w:rsidRPr="004012B0">
      <w:fldChar w:fldCharType="separate"/>
    </w:r>
    <w:r w:rsidRPr="004012B0">
      <w:t>av Annika Qarlsson m.fl. (c, v, m, fp)</w:t>
    </w:r>
    <w:r w:rsidRPr="004012B0">
      <w:fldChar w:fldCharType="end"/>
    </w:r>
    <w:r w:rsidRPr="004012B0">
      <w:br/>
    </w:r>
    <w:r w:rsidRPr="004012B0">
      <w:fldChar w:fldCharType="begin" w:fldLock="1"/>
    </w:r>
    <w:r w:rsidRPr="004012B0">
      <w:instrText xml:space="preserve"> DOCPROPERTY "SvarFrasKort" *\charformat </w:instrText>
    </w:r>
    <w:r w:rsidRPr="004012B0">
      <w:fldChar w:fldCharType="end"/>
    </w:r>
  </w:p>
  <w:p w:rsidR="004012B0" w:rsidRPr="004012B0" w:rsidRDefault="004012B0">
    <w:pPr>
      <w:pStyle w:val="FSHTitel"/>
    </w:pPr>
    <w:r w:rsidRPr="004012B0">
      <w:fldChar w:fldCharType="begin" w:fldLock="1"/>
    </w:r>
    <w:r w:rsidRPr="004012B0">
      <w:instrText xml:space="preserve"> DOCPROPERTY</w:instrText>
    </w:r>
    <w:r w:rsidRPr="004012B0">
      <w:rPr>
        <w:sz w:val="18"/>
      </w:rPr>
      <w:instrText xml:space="preserve"> "RubrikSvar" *\charformat </w:instrText>
    </w:r>
    <w:r w:rsidRPr="004012B0">
      <w:fldChar w:fldCharType="separate"/>
    </w:r>
    <w:r w:rsidRPr="004012B0">
      <w:t>Tillgången på SRHR-materiel</w:t>
    </w:r>
    <w:r w:rsidRPr="004012B0">
      <w:fldChar w:fldCharType="end"/>
    </w:r>
  </w:p>
  <w:p w:rsidR="004012B0" w:rsidRPr="004012B0" w:rsidRDefault="004012B0">
    <w:pPr>
      <w:pStyle w:val="Normal00"/>
    </w:pPr>
  </w:p>
  <w:p w:rsidR="004012B0" w:rsidRPr="004012B0" w:rsidRDefault="004012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A522689"/>
    <w:multiLevelType w:val="hybridMultilevel"/>
    <w:tmpl w:val="45706260"/>
    <w:lvl w:ilvl="0" w:tplc="340894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BB647CE"/>
    <w:multiLevelType w:val="hybridMultilevel"/>
    <w:tmpl w:val="31ECACD2"/>
    <w:lvl w:ilvl="0" w:tplc="D7709F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6D919F8"/>
    <w:multiLevelType w:val="hybridMultilevel"/>
    <w:tmpl w:val="0C30CD2A"/>
    <w:lvl w:ilvl="0" w:tplc="19B475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099676">
    <w:abstractNumId w:val="8"/>
  </w:num>
  <w:num w:numId="2" w16cid:durableId="1226838092">
    <w:abstractNumId w:val="9"/>
  </w:num>
  <w:num w:numId="3" w16cid:durableId="1615477925">
    <w:abstractNumId w:val="8"/>
  </w:num>
  <w:num w:numId="4" w16cid:durableId="1453984024">
    <w:abstractNumId w:val="9"/>
  </w:num>
  <w:num w:numId="5" w16cid:durableId="438454791">
    <w:abstractNumId w:val="16"/>
  </w:num>
  <w:num w:numId="6" w16cid:durableId="716975460">
    <w:abstractNumId w:val="10"/>
  </w:num>
  <w:num w:numId="7" w16cid:durableId="395590262">
    <w:abstractNumId w:val="11"/>
  </w:num>
  <w:num w:numId="8" w16cid:durableId="267279386">
    <w:abstractNumId w:val="13"/>
  </w:num>
  <w:num w:numId="9" w16cid:durableId="482936953">
    <w:abstractNumId w:val="8"/>
  </w:num>
  <w:num w:numId="10" w16cid:durableId="1223174687">
    <w:abstractNumId w:val="3"/>
  </w:num>
  <w:num w:numId="11" w16cid:durableId="377123895">
    <w:abstractNumId w:val="2"/>
  </w:num>
  <w:num w:numId="12" w16cid:durableId="788233758">
    <w:abstractNumId w:val="1"/>
  </w:num>
  <w:num w:numId="13" w16cid:durableId="408970004">
    <w:abstractNumId w:val="0"/>
  </w:num>
  <w:num w:numId="14" w16cid:durableId="1065688186">
    <w:abstractNumId w:val="9"/>
  </w:num>
  <w:num w:numId="15" w16cid:durableId="580139873">
    <w:abstractNumId w:val="7"/>
  </w:num>
  <w:num w:numId="16" w16cid:durableId="750808186">
    <w:abstractNumId w:val="6"/>
  </w:num>
  <w:num w:numId="17" w16cid:durableId="1488401366">
    <w:abstractNumId w:val="5"/>
  </w:num>
  <w:num w:numId="18" w16cid:durableId="1527447743">
    <w:abstractNumId w:val="4"/>
  </w:num>
  <w:num w:numId="19" w16cid:durableId="1460345119">
    <w:abstractNumId w:val="15"/>
  </w:num>
  <w:num w:numId="20" w16cid:durableId="1609119849">
    <w:abstractNumId w:val="12"/>
  </w:num>
  <w:num w:numId="21" w16cid:durableId="1654603310">
    <w:abstractNumId w:val="11"/>
  </w:num>
  <w:num w:numId="22" w16cid:durableId="568656665">
    <w:abstractNumId w:val="10"/>
  </w:num>
  <w:num w:numId="23" w16cid:durableId="285546689">
    <w:abstractNumId w:val="13"/>
  </w:num>
  <w:num w:numId="24" w16cid:durableId="1254897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C5770185-CDC2-4F16-B45E-29D56F4146F6},{88576935-7337-4AFA-923F-6E59D33EEBED},{001B2B5B-236A-4E67-AD0B-C2996AE11A3D},{64B8069F-60B7-431A-93CD-836288189FB9}"/>
  </w:docVars>
  <w:rsids>
    <w:rsidRoot w:val="00673047"/>
    <w:rsid w:val="004012B0"/>
    <w:rsid w:val="006730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E3EE43B-74D6-44B4-8193-96CFF58C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5712</Characters>
  <Application>Microsoft Office Word</Application>
  <DocSecurity>4</DocSecurity>
  <Lines>105</Lines>
  <Paragraphs>26</Paragraphs>
  <ScaleCrop>false</ScaleCrop>
  <HeadingPairs>
    <vt:vector size="2" baseType="variant">
      <vt:variant>
        <vt:lpstr>Rubrik</vt:lpstr>
      </vt:variant>
      <vt:variant>
        <vt:i4>1</vt:i4>
      </vt:variant>
    </vt:vector>
  </HeadingPairs>
  <TitlesOfParts>
    <vt:vector size="1" baseType="lpstr">
      <vt:lpstr>-c417</vt:lpstr>
    </vt:vector>
  </TitlesOfParts>
  <Company>Riksdagen</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-c417</dc:title>
  <dc:subject>-c417</dc:subject>
  <dc:creator>Riksdagen</dc:creator>
  <cp:keywords>Riksdagen</cp:keywords>
  <dc:description>Nya formatmallshantering för förslag+urix bakåtkomp+könamn</dc:description>
  <cp:lastModifiedBy>Lars Brink</cp:lastModifiedBy>
  <cp:revision>2</cp:revision>
  <cp:lastPrinted>2010-02-02T06:27:00Z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Tillgången på SRHR-materiel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Tillgången på SRHR-materiel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-c417</vt:lpwstr>
  </property>
  <property fmtid="{D5CDD505-2E9C-101B-9397-08002B2CF9AE}" pid="18" name="ArbRubr">
    <vt:lpwstr/>
  </property>
  <property fmtid="{D5CDD505-2E9C-101B-9397-08002B2CF9AE}" pid="19" name="Partilogo">
    <vt:lpwstr>ingen</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Annika Qarlsson m.fl. (c, v, m, fp)</vt:lpwstr>
  </property>
  <property fmtid="{D5CDD505-2E9C-101B-9397-08002B2CF9AE}" pid="26" name="MotionarLista">
    <vt:lpwstr>Qarlsson, Annika (c)\Linde, Hans (v)\Arkelsten, Sofia (m)\Wigström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Hans Linde (v), Sofia Arkelsten (m), 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20092010000000000099000004170070</vt:lpwstr>
  </property>
  <property fmtid="{D5CDD505-2E9C-101B-9397-08002B2CF9AE}" pid="47" name="datum">
    <vt:lpwstr>091006</vt:lpwstr>
  </property>
  <property fmtid="{D5CDD505-2E9C-101B-9397-08002B2CF9AE}" pid="48" name="avsändar-e-post">
    <vt:lpwstr>elisabeth.borelius@riksdagen.se</vt:lpwstr>
  </property>
  <property fmtid="{D5CDD505-2E9C-101B-9397-08002B2CF9AE}" pid="49" name="id">
    <vt:lpwstr>20092010000000000099000004170070</vt:lpwstr>
  </property>
  <property fmtid="{D5CDD505-2E9C-101B-9397-08002B2CF9AE}" pid="50" name="nummer">
    <vt:lpwstr>308</vt:lpwstr>
  </property>
  <property fmtid="{D5CDD505-2E9C-101B-9397-08002B2CF9AE}" pid="51" name="utskottsbeteckning">
    <vt:lpwstr>U</vt:lpwstr>
  </property>
  <property fmtid="{D5CDD505-2E9C-101B-9397-08002B2CF9AE}" pid="52" name="GlobalUID">
    <vt:lpwstr>{E79A9888-B2C7-430E-8181-8C7165C7067C}</vt:lpwstr>
  </property>
  <property fmtid="{D5CDD505-2E9C-101B-9397-08002B2CF9AE}" pid="53" name="Överföringar">
    <vt:i4>2</vt:i4>
  </property>
  <property fmtid="{D5CDD505-2E9C-101B-9397-08002B2CF9AE}" pid="54" name="Checksum">
    <vt:lpwstr>*0014146574356*</vt:lpwstr>
  </property>
  <property fmtid="{D5CDD505-2E9C-101B-9397-08002B2CF9AE}" pid="55" name="skuggnummer">
    <vt:lpwstr>3024</vt:lpwstr>
  </property>
  <property fmtid="{D5CDD505-2E9C-101B-9397-08002B2CF9AE}" pid="56" name="urixVersion">
    <vt:lpwstr>4.1.1.6</vt:lpwstr>
  </property>
  <property fmtid="{D5CDD505-2E9C-101B-9397-08002B2CF9AE}" pid="57" name="urixOrigin">
    <vt:lpwstr>100202 07:27:45.936</vt:lpwstr>
  </property>
  <property fmtid="{D5CDD505-2E9C-101B-9397-08002B2CF9AE}" pid="58" name="urixGuid">
    <vt:lpwstr>{AA3C4A33-B9B4-4C2C-A48C-C71210D8DBDA}</vt:lpwstr>
  </property>
</Properties>
</file>