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163AEA" w14:paraId="337DDA91" w14:textId="77777777">
        <w:tblPrEx>
          <w:tblCellMar>
            <w:top w:w="0" w:type="dxa"/>
            <w:bottom w:w="0" w:type="dxa"/>
          </w:tblCellMar>
        </w:tblPrEx>
        <w:tc>
          <w:tcPr>
            <w:tcW w:w="2268" w:type="dxa"/>
          </w:tcPr>
          <w:p w14:paraId="0EADD347" w14:textId="77777777" w:rsidR="00246155" w:rsidRPr="00163AEA" w:rsidRDefault="00246155">
            <w:pPr>
              <w:framePr w:w="4400" w:h="1644" w:wrap="notBeside" w:vAnchor="page" w:hAnchor="page" w:x="6573" w:y="721"/>
              <w:rPr>
                <w:rFonts w:ascii="TradeGothic" w:hAnsi="TradeGothic"/>
                <w:i/>
                <w:sz w:val="18"/>
              </w:rPr>
            </w:pPr>
            <w:r w:rsidRPr="00163AEA">
              <w:rPr>
                <w:rFonts w:ascii="TradeGothic" w:hAnsi="TradeGothic"/>
                <w:i/>
                <w:sz w:val="18"/>
              </w:rPr>
              <w:t>Slutlig</w:t>
            </w:r>
          </w:p>
        </w:tc>
        <w:tc>
          <w:tcPr>
            <w:tcW w:w="2347" w:type="dxa"/>
            <w:gridSpan w:val="2"/>
          </w:tcPr>
          <w:p w14:paraId="3D8F09F5" w14:textId="77777777" w:rsidR="00246155" w:rsidRPr="00163AEA" w:rsidRDefault="00246155">
            <w:pPr>
              <w:framePr w:w="4400" w:h="1644" w:wrap="notBeside" w:vAnchor="page" w:hAnchor="page" w:x="6573" w:y="721"/>
              <w:rPr>
                <w:rFonts w:ascii="TradeGothic" w:hAnsi="TradeGothic"/>
                <w:i/>
                <w:sz w:val="18"/>
              </w:rPr>
            </w:pPr>
          </w:p>
        </w:tc>
      </w:tr>
      <w:tr w:rsidR="00000000" w:rsidRPr="00163AEA" w14:paraId="5782E598" w14:textId="77777777">
        <w:tblPrEx>
          <w:tblCellMar>
            <w:top w:w="0" w:type="dxa"/>
            <w:bottom w:w="0" w:type="dxa"/>
          </w:tblCellMar>
        </w:tblPrEx>
        <w:tc>
          <w:tcPr>
            <w:tcW w:w="2268" w:type="dxa"/>
          </w:tcPr>
          <w:p w14:paraId="7E36A8FD" w14:textId="77777777" w:rsidR="00246155" w:rsidRPr="00163AEA" w:rsidRDefault="00246155">
            <w:pPr>
              <w:framePr w:w="4400" w:h="1644" w:wrap="notBeside" w:vAnchor="page" w:hAnchor="page" w:x="6573" w:y="721"/>
              <w:rPr>
                <w:rFonts w:ascii="TradeGothic" w:hAnsi="TradeGothic"/>
                <w:b/>
                <w:sz w:val="22"/>
              </w:rPr>
            </w:pPr>
            <w:r w:rsidRPr="00163AEA">
              <w:rPr>
                <w:rFonts w:ascii="TradeGothic" w:hAnsi="TradeGothic"/>
                <w:b/>
                <w:sz w:val="22"/>
              </w:rPr>
              <w:t xml:space="preserve">Kommenterad dagordning </w:t>
            </w:r>
          </w:p>
        </w:tc>
        <w:tc>
          <w:tcPr>
            <w:tcW w:w="2347" w:type="dxa"/>
            <w:gridSpan w:val="2"/>
          </w:tcPr>
          <w:p w14:paraId="11FDFA95" w14:textId="77777777" w:rsidR="00246155" w:rsidRPr="00163AEA" w:rsidRDefault="00246155">
            <w:pPr>
              <w:framePr w:w="4400" w:h="1644" w:wrap="notBeside" w:vAnchor="page" w:hAnchor="page" w:x="6573" w:y="721"/>
              <w:rPr>
                <w:rFonts w:ascii="TradeGothic" w:hAnsi="TradeGothic"/>
                <w:b/>
                <w:sz w:val="22"/>
              </w:rPr>
            </w:pPr>
          </w:p>
        </w:tc>
      </w:tr>
      <w:tr w:rsidR="00000000" w:rsidRPr="00163AEA" w14:paraId="7B910E9A" w14:textId="77777777">
        <w:tblPrEx>
          <w:tblCellMar>
            <w:top w:w="0" w:type="dxa"/>
            <w:bottom w:w="0" w:type="dxa"/>
          </w:tblCellMar>
        </w:tblPrEx>
        <w:tc>
          <w:tcPr>
            <w:tcW w:w="3402" w:type="dxa"/>
            <w:gridSpan w:val="2"/>
          </w:tcPr>
          <w:p w14:paraId="53AECC4A" w14:textId="77777777" w:rsidR="00246155" w:rsidRPr="00163AEA" w:rsidRDefault="00246155">
            <w:pPr>
              <w:framePr w:w="4400" w:h="1644" w:wrap="notBeside" w:vAnchor="page" w:hAnchor="page" w:x="6573" w:y="721"/>
            </w:pPr>
          </w:p>
          <w:p w14:paraId="73E00514" w14:textId="77777777" w:rsidR="00246155" w:rsidRPr="00163AEA" w:rsidRDefault="00246155">
            <w:pPr>
              <w:framePr w:w="4400" w:h="1644" w:wrap="notBeside" w:vAnchor="page" w:hAnchor="page" w:x="6573" w:y="721"/>
            </w:pPr>
            <w:r w:rsidRPr="00163AEA">
              <w:t>2006-11-13</w:t>
            </w:r>
          </w:p>
          <w:p w14:paraId="742FB411" w14:textId="77777777" w:rsidR="00246155" w:rsidRPr="00163AEA" w:rsidRDefault="00246155">
            <w:pPr>
              <w:framePr w:w="4400" w:h="1644" w:wrap="notBeside" w:vAnchor="page" w:hAnchor="page" w:x="6573" w:y="721"/>
            </w:pPr>
          </w:p>
        </w:tc>
        <w:tc>
          <w:tcPr>
            <w:tcW w:w="1213" w:type="dxa"/>
          </w:tcPr>
          <w:p w14:paraId="651BEE47" w14:textId="77777777" w:rsidR="00246155" w:rsidRPr="00163AEA" w:rsidRDefault="00246155">
            <w:pPr>
              <w:framePr w:w="4400" w:h="1644" w:wrap="notBeside" w:vAnchor="page" w:hAnchor="page" w:x="6573" w:y="721"/>
            </w:pPr>
          </w:p>
        </w:tc>
      </w:tr>
      <w:tr w:rsidR="00000000" w:rsidRPr="00163AEA" w14:paraId="08351681" w14:textId="77777777">
        <w:tblPrEx>
          <w:tblCellMar>
            <w:top w:w="0" w:type="dxa"/>
            <w:bottom w:w="0" w:type="dxa"/>
          </w:tblCellMar>
        </w:tblPrEx>
        <w:tc>
          <w:tcPr>
            <w:tcW w:w="2268" w:type="dxa"/>
          </w:tcPr>
          <w:p w14:paraId="06EA30F8" w14:textId="77777777" w:rsidR="00246155" w:rsidRPr="00163AEA" w:rsidRDefault="00246155">
            <w:pPr>
              <w:framePr w:w="4400" w:h="1644" w:wrap="notBeside" w:vAnchor="page" w:hAnchor="page" w:x="6573" w:y="721"/>
            </w:pPr>
          </w:p>
        </w:tc>
        <w:tc>
          <w:tcPr>
            <w:tcW w:w="2347" w:type="dxa"/>
            <w:gridSpan w:val="2"/>
          </w:tcPr>
          <w:p w14:paraId="616559DB" w14:textId="77777777" w:rsidR="00246155" w:rsidRPr="00163AEA" w:rsidRDefault="00246155">
            <w:pPr>
              <w:framePr w:w="4400" w:h="1644" w:wrap="notBeside" w:vAnchor="page" w:hAnchor="page" w:x="6573" w:y="721"/>
            </w:pPr>
          </w:p>
        </w:tc>
      </w:tr>
      <w:tr w:rsidR="00000000" w:rsidRPr="00163AEA" w14:paraId="50885968" w14:textId="77777777">
        <w:tblPrEx>
          <w:tblCellMar>
            <w:top w:w="0" w:type="dxa"/>
            <w:bottom w:w="0" w:type="dxa"/>
          </w:tblCellMar>
        </w:tblPrEx>
        <w:tc>
          <w:tcPr>
            <w:tcW w:w="2268" w:type="dxa"/>
          </w:tcPr>
          <w:p w14:paraId="77AD1493" w14:textId="77777777" w:rsidR="00246155" w:rsidRPr="00163AEA" w:rsidRDefault="00246155">
            <w:pPr>
              <w:framePr w:w="4400" w:h="1644" w:wrap="notBeside" w:vAnchor="page" w:hAnchor="page" w:x="6573" w:y="721"/>
            </w:pPr>
          </w:p>
        </w:tc>
        <w:tc>
          <w:tcPr>
            <w:tcW w:w="2347" w:type="dxa"/>
            <w:gridSpan w:val="2"/>
          </w:tcPr>
          <w:p w14:paraId="45FB30B5" w14:textId="77777777" w:rsidR="00246155" w:rsidRPr="00163AEA" w:rsidRDefault="0024615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163AEA" w14:paraId="7BE354D5" w14:textId="77777777">
        <w:tblPrEx>
          <w:tblCellMar>
            <w:top w:w="0" w:type="dxa"/>
            <w:bottom w:w="0" w:type="dxa"/>
          </w:tblCellMar>
        </w:tblPrEx>
        <w:trPr>
          <w:trHeight w:val="284"/>
        </w:trPr>
        <w:tc>
          <w:tcPr>
            <w:tcW w:w="4911" w:type="dxa"/>
          </w:tcPr>
          <w:p w14:paraId="19DAD9D4" w14:textId="77777777" w:rsidR="00246155" w:rsidRPr="00163AEA" w:rsidRDefault="00246155">
            <w:pPr>
              <w:pStyle w:val="Avsndare"/>
              <w:framePr w:h="2483" w:wrap="notBeside" w:x="1504"/>
              <w:rPr>
                <w:b/>
                <w:i w:val="0"/>
                <w:sz w:val="22"/>
              </w:rPr>
            </w:pPr>
            <w:r w:rsidRPr="00163AEA">
              <w:rPr>
                <w:b/>
                <w:i w:val="0"/>
                <w:sz w:val="22"/>
              </w:rPr>
              <w:t>Jordbruksdepartementet</w:t>
            </w:r>
          </w:p>
        </w:tc>
      </w:tr>
      <w:tr w:rsidR="00000000" w:rsidRPr="00163AEA" w14:paraId="6978F416" w14:textId="77777777">
        <w:tblPrEx>
          <w:tblCellMar>
            <w:top w:w="0" w:type="dxa"/>
            <w:bottom w:w="0" w:type="dxa"/>
          </w:tblCellMar>
        </w:tblPrEx>
        <w:trPr>
          <w:trHeight w:val="284"/>
        </w:trPr>
        <w:tc>
          <w:tcPr>
            <w:tcW w:w="4911" w:type="dxa"/>
          </w:tcPr>
          <w:p w14:paraId="5B3A5FC5" w14:textId="77777777" w:rsidR="00246155" w:rsidRPr="00163AEA" w:rsidRDefault="00246155">
            <w:pPr>
              <w:pStyle w:val="Avsndare"/>
              <w:framePr w:h="2483" w:wrap="notBeside" w:x="1504"/>
              <w:rPr>
                <w:bCs/>
                <w:iCs/>
              </w:rPr>
            </w:pPr>
          </w:p>
        </w:tc>
      </w:tr>
      <w:tr w:rsidR="00000000" w:rsidRPr="00163AEA" w14:paraId="0166B6BB" w14:textId="77777777">
        <w:tblPrEx>
          <w:tblCellMar>
            <w:top w:w="0" w:type="dxa"/>
            <w:bottom w:w="0" w:type="dxa"/>
          </w:tblCellMar>
        </w:tblPrEx>
        <w:trPr>
          <w:trHeight w:val="284"/>
        </w:trPr>
        <w:tc>
          <w:tcPr>
            <w:tcW w:w="4911" w:type="dxa"/>
          </w:tcPr>
          <w:p w14:paraId="6038E2EE" w14:textId="77777777" w:rsidR="00246155" w:rsidRPr="00163AEA" w:rsidRDefault="00246155">
            <w:pPr>
              <w:pStyle w:val="Avsndare"/>
              <w:framePr w:h="2483" w:wrap="notBeside" w:x="1504"/>
              <w:rPr>
                <w:bCs/>
                <w:iCs/>
              </w:rPr>
            </w:pPr>
          </w:p>
        </w:tc>
      </w:tr>
    </w:tbl>
    <w:p w14:paraId="5C7CD77C" w14:textId="77777777" w:rsidR="00246155" w:rsidRPr="00163AEA" w:rsidRDefault="00246155">
      <w:pPr>
        <w:framePr w:w="4400" w:h="2523" w:wrap="notBeside" w:vAnchor="page" w:hAnchor="page" w:x="6453" w:y="2445"/>
      </w:pPr>
    </w:p>
    <w:p w14:paraId="3C6388B0" w14:textId="77777777" w:rsidR="00246155" w:rsidRPr="00163AEA" w:rsidRDefault="00246155">
      <w:pPr>
        <w:framePr w:w="4400" w:h="2523" w:wrap="notBeside" w:vAnchor="page" w:hAnchor="page" w:x="6453" w:y="2445"/>
      </w:pPr>
      <w:r w:rsidRPr="00163AEA">
        <w:t>EU-nämnden</w:t>
      </w:r>
    </w:p>
    <w:p w14:paraId="517FA8AB" w14:textId="77777777" w:rsidR="00246155" w:rsidRPr="00163AEA" w:rsidRDefault="00246155">
      <w:pPr>
        <w:framePr w:w="4400" w:h="2523" w:wrap="notBeside" w:vAnchor="page" w:hAnchor="page" w:x="6453" w:y="2445"/>
      </w:pPr>
      <w:r w:rsidRPr="00163AEA">
        <w:t>Miljö- och jordbruksutskottet</w:t>
      </w:r>
    </w:p>
    <w:p w14:paraId="29769512" w14:textId="77777777" w:rsidR="00246155" w:rsidRPr="00163AEA" w:rsidRDefault="00246155">
      <w:pPr>
        <w:framePr w:w="4400" w:h="2523" w:wrap="notBeside" w:vAnchor="page" w:hAnchor="page" w:x="6453" w:y="2445"/>
      </w:pPr>
      <w:r w:rsidRPr="00163AEA">
        <w:t>Kopia:</w:t>
      </w:r>
      <w:r w:rsidRPr="00163AEA">
        <w:tab/>
        <w:t>SB EU-kansliet</w:t>
      </w:r>
    </w:p>
    <w:p w14:paraId="45418B10" w14:textId="77777777" w:rsidR="00246155" w:rsidRPr="00163AEA" w:rsidRDefault="00246155">
      <w:pPr>
        <w:framePr w:w="4400" w:h="2523" w:wrap="notBeside" w:vAnchor="page" w:hAnchor="page" w:x="6453" w:y="2445"/>
        <w:ind w:firstLine="720"/>
      </w:pPr>
      <w:r w:rsidRPr="00163AEA">
        <w:t>Riksdagens Kammarkansli</w:t>
      </w:r>
    </w:p>
    <w:p w14:paraId="7E80AF23" w14:textId="77777777" w:rsidR="00246155" w:rsidRPr="00163AEA" w:rsidRDefault="00246155">
      <w:pPr>
        <w:framePr w:w="4400" w:h="2523" w:wrap="notBeside" w:vAnchor="page" w:hAnchor="page" w:x="6453" w:y="2445"/>
        <w:ind w:left="142"/>
      </w:pPr>
    </w:p>
    <w:p w14:paraId="29CBD91D" w14:textId="77777777" w:rsidR="00246155" w:rsidRPr="00163AEA" w:rsidRDefault="00246155">
      <w:pPr>
        <w:pStyle w:val="RKrubrik"/>
        <w:pBdr>
          <w:bottom w:val="single" w:sz="4" w:space="1" w:color="000000"/>
        </w:pBdr>
        <w:spacing w:before="0" w:after="0"/>
      </w:pPr>
      <w:r w:rsidRPr="00163AEA">
        <w:t>Kommenterad dagordning inför Jordbruks- och fiskerådet den 20-21 november 2006</w:t>
      </w:r>
    </w:p>
    <w:p w14:paraId="0C54E9B5" w14:textId="77777777" w:rsidR="00246155" w:rsidRPr="00163AEA" w:rsidRDefault="00246155">
      <w:pPr>
        <w:pStyle w:val="RKnormal"/>
      </w:pPr>
    </w:p>
    <w:p w14:paraId="309672C3" w14:textId="77777777" w:rsidR="00246155" w:rsidRPr="00163AEA" w:rsidRDefault="00246155">
      <w:pPr>
        <w:pStyle w:val="RKrubrik"/>
      </w:pPr>
      <w:r w:rsidRPr="00163AEA">
        <w:t>1. Godkännande av dagordningen</w:t>
      </w:r>
    </w:p>
    <w:p w14:paraId="16BD6A8D" w14:textId="77777777" w:rsidR="00246155" w:rsidRPr="00163AEA" w:rsidRDefault="00246155">
      <w:pPr>
        <w:pStyle w:val="RKnormal"/>
        <w:rPr>
          <w:rFonts w:ascii="TradeGothic" w:hAnsi="TradeGothic"/>
        </w:rPr>
      </w:pPr>
    </w:p>
    <w:p w14:paraId="7BAD502D" w14:textId="77777777" w:rsidR="00246155" w:rsidRPr="00163AEA" w:rsidRDefault="00246155">
      <w:pPr>
        <w:pStyle w:val="RKrubrik"/>
      </w:pPr>
      <w:r w:rsidRPr="00163AEA">
        <w:t>2. Godkännande av A-punktslistan</w:t>
      </w:r>
    </w:p>
    <w:p w14:paraId="42E9CDF3" w14:textId="77777777" w:rsidR="00246155" w:rsidRPr="00163AEA" w:rsidRDefault="00246155">
      <w:pPr>
        <w:pStyle w:val="RKnormal"/>
      </w:pPr>
    </w:p>
    <w:p w14:paraId="1E8ECA02" w14:textId="77777777" w:rsidR="00246155" w:rsidRPr="00163AEA" w:rsidRDefault="00246155">
      <w:pPr>
        <w:pStyle w:val="RKrubrik"/>
      </w:pPr>
      <w:r w:rsidRPr="00163AEA">
        <w:t>3. Förslag till rådets förordning om fastställande av fiskemöjligheterna för gemenskapens fiskefartyg för vissa djuphavsbestånd för 2007 och 2008</w:t>
      </w:r>
    </w:p>
    <w:p w14:paraId="66E86353" w14:textId="77777777" w:rsidR="00246155" w:rsidRPr="00163AEA" w:rsidRDefault="00246155">
      <w:pPr>
        <w:pStyle w:val="RKnormal"/>
        <w:rPr>
          <w:b/>
          <w:bCs/>
          <w:i/>
          <w:iCs/>
        </w:rPr>
      </w:pPr>
      <w:r w:rsidRPr="00163AEA">
        <w:rPr>
          <w:b/>
          <w:bCs/>
          <w:i/>
          <w:iCs/>
        </w:rPr>
        <w:t>-  Politisk överenskommelse</w:t>
      </w:r>
    </w:p>
    <w:p w14:paraId="7C37549F" w14:textId="77777777" w:rsidR="00246155" w:rsidRPr="00163AEA" w:rsidRDefault="00246155">
      <w:pPr>
        <w:pStyle w:val="RKnormal"/>
      </w:pPr>
    </w:p>
    <w:p w14:paraId="71B6400F" w14:textId="77777777" w:rsidR="00246155" w:rsidRPr="00163AEA" w:rsidRDefault="00246155">
      <w:pPr>
        <w:pStyle w:val="RKnormal"/>
        <w:rPr>
          <w:i/>
          <w:iCs/>
        </w:rPr>
      </w:pPr>
      <w:r w:rsidRPr="00163AEA">
        <w:rPr>
          <w:i/>
          <w:iCs/>
        </w:rPr>
        <w:t>Dokumentbeteckning</w:t>
      </w:r>
    </w:p>
    <w:p w14:paraId="77C479A7" w14:textId="77777777" w:rsidR="00246155" w:rsidRPr="00163AEA" w:rsidRDefault="00246155">
      <w:pPr>
        <w:pStyle w:val="RKnormal"/>
      </w:pPr>
      <w:r w:rsidRPr="00163AEA">
        <w:t>13421/06 PECHE 282</w:t>
      </w:r>
    </w:p>
    <w:p w14:paraId="477C05C3" w14:textId="77777777" w:rsidR="00246155" w:rsidRPr="00163AEA" w:rsidRDefault="00246155">
      <w:pPr>
        <w:pStyle w:val="RKnormal"/>
        <w:jc w:val="both"/>
        <w:rPr>
          <w:i/>
          <w:iCs/>
        </w:rPr>
      </w:pPr>
    </w:p>
    <w:p w14:paraId="7BF5DAAF" w14:textId="77777777" w:rsidR="00246155" w:rsidRPr="00163AEA" w:rsidRDefault="00246155">
      <w:pPr>
        <w:pStyle w:val="RKnormal"/>
        <w:jc w:val="both"/>
        <w:rPr>
          <w:i/>
          <w:iCs/>
        </w:rPr>
      </w:pPr>
      <w:r w:rsidRPr="00163AEA">
        <w:rPr>
          <w:i/>
          <w:iCs/>
        </w:rPr>
        <w:t xml:space="preserve">Rättslig grund </w:t>
      </w:r>
    </w:p>
    <w:p w14:paraId="21D36B67" w14:textId="77777777" w:rsidR="00246155" w:rsidRPr="00163AEA" w:rsidRDefault="00246155">
      <w:pPr>
        <w:rPr>
          <w:rFonts w:ascii="Times New Roman" w:hAnsi="Times New Roman"/>
        </w:rPr>
      </w:pPr>
      <w:r w:rsidRPr="00163AEA">
        <w:t>Rådets förordning (EG) nr 2371/2002 av den 20 december 2002 om bevarande och hållbart utnyttjande av fiskeresurser inom ramen för den gemensamma fiskeripolitiken, särskilt artikel 20. Beslut fattas av rådet med kvalificerad majoritet på förslag av kommissionen.</w:t>
      </w:r>
    </w:p>
    <w:p w14:paraId="46CC23C3" w14:textId="77777777" w:rsidR="00246155" w:rsidRPr="00163AEA" w:rsidRDefault="00246155">
      <w:pPr>
        <w:pStyle w:val="RKnormal"/>
        <w:rPr>
          <w:i/>
          <w:iCs/>
        </w:rPr>
      </w:pPr>
    </w:p>
    <w:p w14:paraId="2084C569" w14:textId="77777777" w:rsidR="00246155" w:rsidRPr="00163AEA" w:rsidRDefault="00246155">
      <w:pPr>
        <w:pStyle w:val="RKnormal"/>
        <w:rPr>
          <w:i/>
          <w:iCs/>
        </w:rPr>
      </w:pPr>
      <w:r w:rsidRPr="00163AEA">
        <w:rPr>
          <w:i/>
          <w:iCs/>
        </w:rPr>
        <w:t>Bakgrund</w:t>
      </w:r>
    </w:p>
    <w:p w14:paraId="20961142" w14:textId="77777777" w:rsidR="00246155" w:rsidRPr="00163AEA" w:rsidRDefault="00246155">
      <w:pPr>
        <w:pStyle w:val="RKnormal"/>
      </w:pPr>
      <w:r w:rsidRPr="00163AEA">
        <w:t xml:space="preserve">Fiskemöjligheterna för gemenskapens länder på djupvattenlevande fisk bestäms vartannat år. Senast TAC:er (totala tillåtna fångstmängden) bestämdes för dessa bestånd var hösten 2004 för att gälla under åren 2005 och 2006. </w:t>
      </w:r>
    </w:p>
    <w:p w14:paraId="3820C8B9" w14:textId="77777777" w:rsidR="00246155" w:rsidRPr="00163AEA" w:rsidRDefault="00246155">
      <w:pPr>
        <w:pStyle w:val="RKnormal"/>
      </w:pPr>
    </w:p>
    <w:p w14:paraId="5CC14071" w14:textId="77777777" w:rsidR="00246155" w:rsidRPr="00163AEA" w:rsidRDefault="00246155">
      <w:pPr>
        <w:pStyle w:val="RKnormal"/>
      </w:pPr>
      <w:r w:rsidRPr="00163AEA">
        <w:t xml:space="preserve">Djuphavsarterna är en mycket känslig resurs och efter tio års oreglerat fiske och ökade fiskeansträngningar finns flera arter som är allvarligt hotade. Mot bakgrund av detta har kommissionen föreslagit kraftiga reduktioner i detta fiske. </w:t>
      </w:r>
    </w:p>
    <w:p w14:paraId="7CD203B7" w14:textId="77777777" w:rsidR="00246155" w:rsidRPr="00163AEA" w:rsidRDefault="00246155">
      <w:pPr>
        <w:pStyle w:val="RKnormal"/>
      </w:pPr>
    </w:p>
    <w:p w14:paraId="1FE58D6D" w14:textId="77777777" w:rsidR="00246155" w:rsidRPr="00163AEA" w:rsidRDefault="00246155">
      <w:pPr>
        <w:pStyle w:val="RKnormal"/>
      </w:pPr>
      <w:r w:rsidRPr="00163AEA">
        <w:t xml:space="preserve">Havsforskningsrådet (ICES) har uppdaterat de vetenskapliga råden vad gäller fisket på ett tiotal djupvattenlevande arter (däribland atlantisk soldatfisk, </w:t>
      </w:r>
      <w:r w:rsidRPr="00163AEA">
        <w:lastRenderedPageBreak/>
        <w:t>skoläst, birkelånga och långa) samt sina samlingsråd för en grupp av djupvattensfisk. Djupvattenlevande fisk är särskilt känsliga för hårt fisketryck eftersom de är långlivade, har låg reproduktion och blir könsmogna vid tämligen hög ålder. ICES rekommenderar att fiske inte bedrivs förrän man kan påvisa att bestånden är tillräckligt stora för att kunna nyttjas för fiske. ICES råd baseras på data från fiskeansträngning, landningsstatistik och utkast. Således finns det brister i beståndsuppskattningen; djupha</w:t>
      </w:r>
      <w:r w:rsidRPr="00163AEA">
        <w:t>vsfisk är av förklarliga skäl svåra att inventera.</w:t>
      </w:r>
    </w:p>
    <w:p w14:paraId="446F5182" w14:textId="77777777" w:rsidR="00246155" w:rsidRPr="00163AEA" w:rsidRDefault="00246155">
      <w:pPr>
        <w:pStyle w:val="RKnormal"/>
      </w:pPr>
    </w:p>
    <w:p w14:paraId="7D96C9EE" w14:textId="77777777" w:rsidR="00246155" w:rsidRPr="00163AEA" w:rsidRDefault="00246155">
      <w:pPr>
        <w:pStyle w:val="RKnormal"/>
      </w:pPr>
      <w:r w:rsidRPr="00163AEA">
        <w:t>Kommissionen baserar sitt förslag på principen om en balans mellan biologisk hänsyn och socioekonomisk hänsyn. För gemenskapens bestånd brukar denna balans reflekteras i 15%-principen, d.v.s. en maximal årlig förändring av TAC:n med 15%. Men i fallet med djuphavsarterna menar kommissionen att en reduktion på 15% inte är tillräcklig. De föreslår därför en kraftigare reduktion för många arter. I de fall ICES rekommenderar en nollkvot (t. ex. atlantisk soldatfisk och birkelånga) så vill kommissionen fasa ut fi</w:t>
      </w:r>
      <w:r w:rsidRPr="00163AEA">
        <w:t xml:space="preserve">sket under en treårsperiod med en årlig minskning av kvoten med 1/3. Det ska dock noteras att TAC:erna för många bestånd inte helt fångas, bl.a. på grund av höga bränslepriser. </w:t>
      </w:r>
    </w:p>
    <w:p w14:paraId="1CCDAA45" w14:textId="77777777" w:rsidR="00246155" w:rsidRPr="00163AEA" w:rsidRDefault="00246155">
      <w:pPr>
        <w:pStyle w:val="RKnormal"/>
      </w:pPr>
    </w:p>
    <w:p w14:paraId="1909E7D2" w14:textId="77777777" w:rsidR="00246155" w:rsidRPr="00163AEA" w:rsidRDefault="00246155">
      <w:pPr>
        <w:pStyle w:val="RKnormal"/>
        <w:rPr>
          <w:i/>
          <w:iCs/>
        </w:rPr>
      </w:pPr>
      <w:r w:rsidRPr="00163AEA">
        <w:t>Kommissionens förslag på TAC:er för djuphavsarterna innebär alltså kraftiga reduceringar, 33% årligen för de mest utsatta bestånden. Vissa berörda medlemsstater menar att reduktionerna är för kraftiga, medan andra, däribland Sverige, ger stöd till kommissionen. ICES-områdena 6 och 7 kommer fortsätta att vara stängda för fiske av atlantisk soldatfisk.</w:t>
      </w:r>
    </w:p>
    <w:p w14:paraId="2C0F1318" w14:textId="77777777" w:rsidR="00246155" w:rsidRPr="00163AEA" w:rsidRDefault="00246155">
      <w:pPr>
        <w:pStyle w:val="RKnormal"/>
        <w:rPr>
          <w:i/>
          <w:iCs/>
        </w:rPr>
      </w:pPr>
    </w:p>
    <w:p w14:paraId="595C5536" w14:textId="77777777" w:rsidR="00246155" w:rsidRPr="00163AEA" w:rsidRDefault="00246155">
      <w:pPr>
        <w:pStyle w:val="RKnormal"/>
        <w:rPr>
          <w:i/>
          <w:iCs/>
        </w:rPr>
      </w:pPr>
      <w:r w:rsidRPr="00163AEA">
        <w:rPr>
          <w:i/>
          <w:iCs/>
        </w:rPr>
        <w:t>Förslag till svensk ståndpunkt</w:t>
      </w:r>
    </w:p>
    <w:p w14:paraId="463DDC1F" w14:textId="77777777" w:rsidR="00246155" w:rsidRPr="00163AEA" w:rsidRDefault="00246155">
      <w:pPr>
        <w:pStyle w:val="RKnormal"/>
      </w:pPr>
      <w:r w:rsidRPr="00163AEA">
        <w:t xml:space="preserve">Sverige bedriver inte något fiske riktat mot djupvattenlevande arter och i de fall Sverige tilldelas kvoter är dessa bifångstkvoter (bl. a av guldlax, långa). </w:t>
      </w:r>
    </w:p>
    <w:p w14:paraId="4E32737E" w14:textId="77777777" w:rsidR="00246155" w:rsidRPr="00163AEA" w:rsidRDefault="00246155">
      <w:pPr>
        <w:pStyle w:val="RKnormal"/>
      </w:pPr>
    </w:p>
    <w:p w14:paraId="008587A3" w14:textId="77777777" w:rsidR="00246155" w:rsidRPr="00163AEA" w:rsidRDefault="00246155">
      <w:pPr>
        <w:pStyle w:val="RKnormal"/>
        <w:rPr>
          <w:i/>
          <w:iCs/>
        </w:rPr>
      </w:pPr>
      <w:r w:rsidRPr="00163AEA">
        <w:t>Sverige delar kommissionens bedömning. Detta p.g.a. djuphavsfiskarnas sårbara biologi samt den stora osäkerhet som råder i beståndsuppskattningarna. Ett alltför omfattande fiske kan snabbt leda till att bestånd kollapsar. De föreslagna bifångstkvoterna för vissa arter är oundvikliga men de kan samtidigt genom bifångstrapportering bidra till viktig information om beståndsstatusen.</w:t>
      </w:r>
    </w:p>
    <w:p w14:paraId="1DB12A0B" w14:textId="77777777" w:rsidR="00246155" w:rsidRPr="00163AEA" w:rsidRDefault="00246155">
      <w:pPr>
        <w:pStyle w:val="RKnormal"/>
        <w:rPr>
          <w:i/>
          <w:iCs/>
        </w:rPr>
      </w:pPr>
    </w:p>
    <w:p w14:paraId="30A6B9D2" w14:textId="77777777" w:rsidR="00246155" w:rsidRPr="00163AEA" w:rsidRDefault="00246155">
      <w:pPr>
        <w:pStyle w:val="RKnormal"/>
        <w:rPr>
          <w:i/>
          <w:iCs/>
        </w:rPr>
      </w:pPr>
      <w:r w:rsidRPr="00163AEA">
        <w:rPr>
          <w:i/>
          <w:iCs/>
        </w:rPr>
        <w:t>EU-nämnden</w:t>
      </w:r>
    </w:p>
    <w:p w14:paraId="073379C2" w14:textId="77777777" w:rsidR="00246155" w:rsidRPr="00163AEA" w:rsidRDefault="00246155">
      <w:pPr>
        <w:pStyle w:val="RKnormal"/>
      </w:pPr>
      <w:r w:rsidRPr="00163AEA">
        <w:t>Frågan har inte tidigare varit föremål för samråd med EU-nämnden.</w:t>
      </w:r>
    </w:p>
    <w:p w14:paraId="5CD2B5BE" w14:textId="77777777" w:rsidR="00246155" w:rsidRPr="00163AEA" w:rsidRDefault="00246155">
      <w:pPr>
        <w:pStyle w:val="Par-number1"/>
        <w:numPr>
          <w:ilvl w:val="0"/>
          <w:numId w:val="0"/>
        </w:numPr>
        <w:rPr>
          <w:rFonts w:ascii="OrigGarmnd BT" w:hAnsi="OrigGarmnd BT"/>
          <w:b w:val="0"/>
          <w:lang w:val="sv-SE" w:eastAsia="en-US"/>
        </w:rPr>
      </w:pPr>
    </w:p>
    <w:p w14:paraId="1A932D4E" w14:textId="77777777" w:rsidR="00246155" w:rsidRPr="00163AEA" w:rsidRDefault="00246155">
      <w:pPr>
        <w:pStyle w:val="RKrubrik"/>
      </w:pPr>
      <w:r w:rsidRPr="00163AEA">
        <w:t>4. Förslag till rådets förordning om förvaltningsåtgärder för hållbart utnyttjande av fiskeresurserna i Medelhavet och om ändring av förordningarna (EG) nr 2847/03 och (EG) nr 973/2001</w:t>
      </w:r>
    </w:p>
    <w:p w14:paraId="1B3DBB17" w14:textId="77777777" w:rsidR="00246155" w:rsidRPr="00163AEA" w:rsidRDefault="00246155">
      <w:pPr>
        <w:pStyle w:val="RKnormal"/>
        <w:rPr>
          <w:b/>
          <w:bCs/>
          <w:i/>
          <w:iCs/>
        </w:rPr>
      </w:pPr>
      <w:r w:rsidRPr="00163AEA">
        <w:rPr>
          <w:b/>
          <w:bCs/>
          <w:i/>
          <w:iCs/>
        </w:rPr>
        <w:t>- Politisk överenskommelse</w:t>
      </w:r>
    </w:p>
    <w:p w14:paraId="2A3F2C36" w14:textId="77777777" w:rsidR="00246155" w:rsidRPr="00163AEA" w:rsidRDefault="00246155">
      <w:pPr>
        <w:pStyle w:val="RKnormal"/>
        <w:rPr>
          <w:i/>
          <w:iCs/>
        </w:rPr>
      </w:pPr>
    </w:p>
    <w:p w14:paraId="548FD8B3" w14:textId="77777777" w:rsidR="00246155" w:rsidRPr="00163AEA" w:rsidRDefault="00246155">
      <w:pPr>
        <w:pStyle w:val="RKnormal"/>
        <w:rPr>
          <w:i/>
          <w:iCs/>
        </w:rPr>
      </w:pPr>
      <w:r w:rsidRPr="00163AEA">
        <w:rPr>
          <w:i/>
          <w:iCs/>
        </w:rPr>
        <w:t>Dokumentbeteckning</w:t>
      </w:r>
    </w:p>
    <w:p w14:paraId="2D793700" w14:textId="77777777" w:rsidR="00246155" w:rsidRPr="00163AEA" w:rsidRDefault="00246155">
      <w:pPr>
        <w:pStyle w:val="RKnormal"/>
      </w:pPr>
      <w:r w:rsidRPr="00163AEA">
        <w:t>13406/03 PECHE 353</w:t>
      </w:r>
    </w:p>
    <w:p w14:paraId="1E3FCB07" w14:textId="77777777" w:rsidR="00246155" w:rsidRPr="00163AEA" w:rsidRDefault="00246155">
      <w:pPr>
        <w:pStyle w:val="RKnormal"/>
        <w:rPr>
          <w:i/>
          <w:iCs/>
        </w:rPr>
      </w:pPr>
    </w:p>
    <w:p w14:paraId="105C7EB9" w14:textId="77777777" w:rsidR="00246155" w:rsidRPr="00163AEA" w:rsidRDefault="00246155">
      <w:pPr>
        <w:pStyle w:val="RKnormal"/>
        <w:rPr>
          <w:i/>
          <w:iCs/>
        </w:rPr>
      </w:pPr>
      <w:r w:rsidRPr="00163AEA">
        <w:rPr>
          <w:i/>
          <w:iCs/>
        </w:rPr>
        <w:t>Rättslig grund</w:t>
      </w:r>
    </w:p>
    <w:p w14:paraId="47763501" w14:textId="77777777" w:rsidR="00246155" w:rsidRPr="00163AEA" w:rsidRDefault="00246155">
      <w:pPr>
        <w:pStyle w:val="RKnormal"/>
      </w:pPr>
      <w:r w:rsidRPr="00163AEA">
        <w:t>Artikel 37 i EG-fördraget. Beslut fattas av rådet med kvalificerad majoritet efter att ha inhämtat Europaparlamentets yttrande.</w:t>
      </w:r>
    </w:p>
    <w:p w14:paraId="1CDC513D" w14:textId="77777777" w:rsidR="00246155" w:rsidRPr="00163AEA" w:rsidRDefault="00246155">
      <w:pPr>
        <w:pStyle w:val="RKnormal"/>
        <w:rPr>
          <w:i/>
          <w:iCs/>
        </w:rPr>
      </w:pPr>
    </w:p>
    <w:p w14:paraId="4B255DE3" w14:textId="77777777" w:rsidR="00246155" w:rsidRPr="00163AEA" w:rsidRDefault="00246155">
      <w:pPr>
        <w:pStyle w:val="RKnormal"/>
        <w:rPr>
          <w:i/>
          <w:iCs/>
        </w:rPr>
      </w:pPr>
      <w:r w:rsidRPr="00163AEA">
        <w:rPr>
          <w:i/>
          <w:iCs/>
        </w:rPr>
        <w:t>Bakgrund</w:t>
      </w:r>
    </w:p>
    <w:p w14:paraId="738FA74D" w14:textId="77777777" w:rsidR="00246155" w:rsidRPr="00163AEA" w:rsidRDefault="00246155">
      <w:pPr>
        <w:pStyle w:val="RKnormal"/>
      </w:pPr>
      <w:r w:rsidRPr="00163AEA">
        <w:t xml:space="preserve"> </w:t>
      </w:r>
      <w:r w:rsidRPr="00163AEA">
        <w:t xml:space="preserve">Bakgrunden till förslaget om en ny förordning för förvaltningsåtgärder i Medelhavet är utarmningen av många bestånd och den höga förekomsten av utkast och bifångster. Dessutom motiveras förslaget av att förvaltningen av fisket i Medelhavet skiljer sig från övriga områden inom EU. </w:t>
      </w:r>
    </w:p>
    <w:p w14:paraId="69122D01" w14:textId="77777777" w:rsidR="00246155" w:rsidRPr="00163AEA" w:rsidRDefault="00246155">
      <w:pPr>
        <w:pStyle w:val="RKnormal"/>
      </w:pPr>
    </w:p>
    <w:p w14:paraId="79557F43" w14:textId="77777777" w:rsidR="00246155" w:rsidRPr="00163AEA" w:rsidRDefault="00246155">
      <w:pPr>
        <w:pStyle w:val="RKnormal"/>
        <w:rPr>
          <w:i/>
          <w:iCs/>
        </w:rPr>
      </w:pPr>
      <w:r w:rsidRPr="00163AEA">
        <w:t xml:space="preserve">Kommissionen lade fram ett förslag till en förordning 2003 men p.g.a. starka invändningar från flera Medelhavsstater behandlades frågan först vid rådet i september 2005. Trots att frågan har behandlats under lång tid, och att ytterligare kompromissförslag har lagts fram, så har man ännu inte lyckats fatta ett beslut i frågan. Medlemsstater har fördröjt behandlingen av frågan med bl.a. motiveringen att förordningen skulle leda till stor arbetslöshet i fiskerinäringen. Med det nya förslaget som nu föreligger </w:t>
      </w:r>
      <w:r w:rsidRPr="00163AEA">
        <w:t>hoppas kommissionen att man når fram till en kompromiss.</w:t>
      </w:r>
    </w:p>
    <w:p w14:paraId="60002FDD" w14:textId="77777777" w:rsidR="00246155" w:rsidRPr="00163AEA" w:rsidRDefault="00246155">
      <w:pPr>
        <w:pStyle w:val="RKnormal"/>
        <w:rPr>
          <w:i/>
          <w:iCs/>
        </w:rPr>
      </w:pPr>
    </w:p>
    <w:p w14:paraId="02391B50" w14:textId="77777777" w:rsidR="00246155" w:rsidRPr="00163AEA" w:rsidRDefault="00246155">
      <w:pPr>
        <w:pStyle w:val="RKnormal"/>
        <w:rPr>
          <w:i/>
          <w:iCs/>
        </w:rPr>
      </w:pPr>
      <w:r w:rsidRPr="00163AEA">
        <w:rPr>
          <w:i/>
          <w:iCs/>
        </w:rPr>
        <w:t>Förslag till svensk ståndpunkt</w:t>
      </w:r>
    </w:p>
    <w:p w14:paraId="63D9805C" w14:textId="77777777" w:rsidR="00246155" w:rsidRPr="00163AEA" w:rsidRDefault="00246155">
      <w:pPr>
        <w:pStyle w:val="RKnormal"/>
        <w:rPr>
          <w:i/>
          <w:iCs/>
        </w:rPr>
      </w:pPr>
      <w:r w:rsidRPr="00163AEA">
        <w:t>Sverige kunde i september 2005 godta det dåvarande förslaget även om det inte helt motsvarade ställda förväntningar. Sverige bör även fortsättningsvis stödja ansträngningarna att skärpa förvaltningen i Medelhavet i enlighet med den gemensamma fiskeripolitikens målsättning. Det är angeläget att nuvarande förslag inte urvattnats ytterligare och att förslaget är i linje med övriga förvaltnings- och återhämtningsplaner inom gemenskapen.</w:t>
      </w:r>
    </w:p>
    <w:p w14:paraId="2A1E4163" w14:textId="77777777" w:rsidR="00246155" w:rsidRPr="00163AEA" w:rsidRDefault="00246155">
      <w:pPr>
        <w:pStyle w:val="RKnormal"/>
        <w:rPr>
          <w:i/>
          <w:iCs/>
        </w:rPr>
      </w:pPr>
    </w:p>
    <w:p w14:paraId="65BF3606" w14:textId="77777777" w:rsidR="00246155" w:rsidRPr="00163AEA" w:rsidRDefault="00246155">
      <w:pPr>
        <w:pStyle w:val="RKnormal"/>
        <w:rPr>
          <w:i/>
          <w:iCs/>
        </w:rPr>
      </w:pPr>
      <w:r w:rsidRPr="00163AEA">
        <w:rPr>
          <w:i/>
          <w:iCs/>
        </w:rPr>
        <w:t xml:space="preserve">EU-nämnden </w:t>
      </w:r>
    </w:p>
    <w:p w14:paraId="738873D2" w14:textId="77777777" w:rsidR="00246155" w:rsidRPr="00163AEA" w:rsidRDefault="00246155">
      <w:pPr>
        <w:pStyle w:val="RKnormal"/>
      </w:pPr>
      <w:r w:rsidRPr="00163AEA">
        <w:t>Frågan har senast varit föremål för samråd med EU-nämnden inför jordbruks- och fiskerådet den 19-20 september 2005.</w:t>
      </w:r>
    </w:p>
    <w:p w14:paraId="54D031DA" w14:textId="77777777" w:rsidR="00246155" w:rsidRPr="00163AEA" w:rsidRDefault="00246155"/>
    <w:p w14:paraId="52156E0F" w14:textId="77777777" w:rsidR="00246155" w:rsidRPr="00163AEA" w:rsidRDefault="00246155">
      <w:pPr>
        <w:pStyle w:val="RKrubrik"/>
      </w:pPr>
      <w:r w:rsidRPr="00163AEA">
        <w:t>5. Förslag till rådets förordning om elektronisk registrering och rapportering av fiskeverksamheter och om metoder för fjärranalys</w:t>
      </w:r>
    </w:p>
    <w:p w14:paraId="1B2C0493" w14:textId="77777777" w:rsidR="00246155" w:rsidRPr="00163AEA" w:rsidRDefault="00246155">
      <w:pPr>
        <w:pStyle w:val="RKnormal"/>
        <w:rPr>
          <w:b/>
          <w:bCs/>
          <w:i/>
          <w:iCs/>
        </w:rPr>
      </w:pPr>
      <w:r w:rsidRPr="00163AEA">
        <w:rPr>
          <w:b/>
          <w:bCs/>
          <w:i/>
          <w:iCs/>
        </w:rPr>
        <w:t>- Politisk överenskommelse</w:t>
      </w:r>
    </w:p>
    <w:p w14:paraId="02B84E0D" w14:textId="77777777" w:rsidR="00246155" w:rsidRPr="00163AEA" w:rsidRDefault="00246155">
      <w:pPr>
        <w:pStyle w:val="RKnormal"/>
        <w:rPr>
          <w:i/>
          <w:iCs/>
        </w:rPr>
      </w:pPr>
    </w:p>
    <w:p w14:paraId="7397099C" w14:textId="77777777" w:rsidR="00246155" w:rsidRPr="00163AEA" w:rsidRDefault="00246155">
      <w:pPr>
        <w:pStyle w:val="RKnormal"/>
        <w:rPr>
          <w:i/>
          <w:iCs/>
        </w:rPr>
      </w:pPr>
      <w:r w:rsidRPr="00163AEA">
        <w:rPr>
          <w:i/>
          <w:iCs/>
        </w:rPr>
        <w:t>Dokumentbeteckning</w:t>
      </w:r>
    </w:p>
    <w:p w14:paraId="04588B0E" w14:textId="77777777" w:rsidR="00246155" w:rsidRPr="00163AEA" w:rsidRDefault="00246155">
      <w:pPr>
        <w:pStyle w:val="RKnormal"/>
      </w:pPr>
      <w:r w:rsidRPr="00163AEA">
        <w:t>14181/04 PECHE 222</w:t>
      </w:r>
    </w:p>
    <w:p w14:paraId="53DB5959" w14:textId="77777777" w:rsidR="00246155" w:rsidRPr="00163AEA" w:rsidRDefault="00246155">
      <w:pPr>
        <w:pStyle w:val="RKnormal"/>
        <w:rPr>
          <w:i/>
          <w:iCs/>
        </w:rPr>
      </w:pPr>
    </w:p>
    <w:p w14:paraId="20FF8D31" w14:textId="77777777" w:rsidR="00246155" w:rsidRPr="00163AEA" w:rsidRDefault="00246155">
      <w:pPr>
        <w:pStyle w:val="RKnormal"/>
        <w:rPr>
          <w:i/>
          <w:iCs/>
        </w:rPr>
      </w:pPr>
      <w:r w:rsidRPr="00163AEA">
        <w:rPr>
          <w:i/>
          <w:iCs/>
        </w:rPr>
        <w:t>Rättslig grund</w:t>
      </w:r>
    </w:p>
    <w:p w14:paraId="06D84CD2" w14:textId="77777777" w:rsidR="00246155" w:rsidRPr="00163AEA" w:rsidRDefault="00246155">
      <w:pPr>
        <w:pStyle w:val="RKnormal"/>
        <w:rPr>
          <w:i/>
          <w:iCs/>
        </w:rPr>
      </w:pPr>
      <w:r w:rsidRPr="00163AEA">
        <w:t>Artikel 37 i EG-fördraget. Beslut fattas av rådet med kvalificerad majoritet efter att ha inhämtat Europaparlamentets yttrande.</w:t>
      </w:r>
    </w:p>
    <w:p w14:paraId="3307DAB9" w14:textId="77777777" w:rsidR="00246155" w:rsidRPr="00163AEA" w:rsidRDefault="00246155">
      <w:pPr>
        <w:pStyle w:val="RKnormal"/>
        <w:rPr>
          <w:i/>
          <w:iCs/>
        </w:rPr>
      </w:pPr>
    </w:p>
    <w:p w14:paraId="4F5EBB28" w14:textId="77777777" w:rsidR="00246155" w:rsidRPr="00163AEA" w:rsidRDefault="00246155">
      <w:pPr>
        <w:pStyle w:val="RKnormal"/>
        <w:rPr>
          <w:b/>
          <w:bCs/>
          <w:i/>
          <w:iCs/>
        </w:rPr>
      </w:pPr>
      <w:r w:rsidRPr="00163AEA">
        <w:rPr>
          <w:i/>
          <w:iCs/>
        </w:rPr>
        <w:t>Bakgrund</w:t>
      </w:r>
    </w:p>
    <w:p w14:paraId="003EC01B" w14:textId="77777777" w:rsidR="00246155" w:rsidRPr="00163AEA" w:rsidRDefault="00246155">
      <w:pPr>
        <w:pStyle w:val="RKnormal"/>
      </w:pPr>
      <w:r w:rsidRPr="00163AEA">
        <w:t>Sedan 1992 har gemenskapen verkat för att det satellitbaserade kontrollsystemet (Vessel Monitoring System, VMS) skall införas som ett redskap för att effektivt kontrollera fiskeflottan oavsett var den är verksam. Efter en rad pilotprojekt har det blivit obligatoriskt för vissa fartygskategorier att ha ett instrument ombord som möjliggör elektronisk registrering.</w:t>
      </w:r>
    </w:p>
    <w:p w14:paraId="025C85BB" w14:textId="77777777" w:rsidR="00246155" w:rsidRPr="00163AEA" w:rsidRDefault="00246155">
      <w:pPr>
        <w:pStyle w:val="RKnormal"/>
      </w:pPr>
    </w:p>
    <w:p w14:paraId="32831A12" w14:textId="77777777" w:rsidR="00246155" w:rsidRPr="00163AEA" w:rsidRDefault="00246155">
      <w:pPr>
        <w:pStyle w:val="RKnormal"/>
        <w:rPr>
          <w:i/>
          <w:iCs/>
        </w:rPr>
      </w:pPr>
      <w:r w:rsidRPr="00163AEA">
        <w:t>Förslaget, som innebär elektronisk rapportering av fiskefångster, är ytterligare ett steg i riktning mot användningen av modern teknik. Ett rationellt utnyttjande av fiskresurserna förutsätter en korrekt rapportering i tid om t. ex. fångstkvantiteter ombord, arter, tidsperiod för fiskeverksamheten, områden där fiskfångsten gjordes samt använda fångstredskap. Uppgifterna sammanställs i dagsläget manuellt av fiskefartygens befälhavare och förs in i en loggbok. Samma metod används vid omlastning, landning, tra</w:t>
      </w:r>
      <w:r w:rsidRPr="00163AEA">
        <w:t>nsportering eller försäljning av fiskfångster. Ansvariga kontrollmyndigheter överför därefter uppgifterna i digital form. Processen är tidsödande, kostsam och medför risk för uppkomna felaktigheter som kan äventyra tillförlitligheten.</w:t>
      </w:r>
    </w:p>
    <w:p w14:paraId="6A8C0329" w14:textId="77777777" w:rsidR="00246155" w:rsidRPr="00163AEA" w:rsidRDefault="00246155">
      <w:pPr>
        <w:rPr>
          <w:i/>
          <w:iCs/>
        </w:rPr>
      </w:pPr>
    </w:p>
    <w:p w14:paraId="186225A9" w14:textId="77777777" w:rsidR="00246155" w:rsidRPr="00163AEA" w:rsidRDefault="00246155">
      <w:r w:rsidRPr="00163AEA">
        <w:rPr>
          <w:i/>
          <w:iCs/>
        </w:rPr>
        <w:t>Förslag till svensk ståndpunkt</w:t>
      </w:r>
    </w:p>
    <w:p w14:paraId="084B7374" w14:textId="77777777" w:rsidR="00246155" w:rsidRPr="00163AEA" w:rsidRDefault="00246155">
      <w:pPr>
        <w:pStyle w:val="RKnormal"/>
        <w:rPr>
          <w:i/>
          <w:iCs/>
        </w:rPr>
      </w:pPr>
      <w:r w:rsidRPr="00163AEA">
        <w:t>Sverige välkomnar förslaget som kommer att förenkla och effektivisera myndigheternas och näringens arbete. Detta är även ett viktigt steg för att förbättra fiskerikontrollen.</w:t>
      </w:r>
    </w:p>
    <w:p w14:paraId="5198DF50" w14:textId="77777777" w:rsidR="00246155" w:rsidRPr="00163AEA" w:rsidRDefault="00246155">
      <w:pPr>
        <w:pStyle w:val="RKnormal"/>
        <w:rPr>
          <w:i/>
          <w:iCs/>
        </w:rPr>
      </w:pPr>
    </w:p>
    <w:p w14:paraId="70BBE669" w14:textId="77777777" w:rsidR="00246155" w:rsidRPr="00163AEA" w:rsidRDefault="00246155">
      <w:pPr>
        <w:pStyle w:val="RKnormal"/>
        <w:rPr>
          <w:i/>
          <w:iCs/>
        </w:rPr>
      </w:pPr>
      <w:r w:rsidRPr="00163AEA">
        <w:rPr>
          <w:i/>
          <w:iCs/>
        </w:rPr>
        <w:t xml:space="preserve">EU-nämnden </w:t>
      </w:r>
    </w:p>
    <w:p w14:paraId="73834EFD" w14:textId="77777777" w:rsidR="00246155" w:rsidRPr="00163AEA" w:rsidRDefault="00246155">
      <w:pPr>
        <w:pStyle w:val="RKnormal"/>
      </w:pPr>
      <w:r w:rsidRPr="00163AEA">
        <w:t>Frågan har inte tidigare varit föremål för samråd med EU-nämnden.</w:t>
      </w:r>
    </w:p>
    <w:p w14:paraId="0F7A4210" w14:textId="77777777" w:rsidR="00246155" w:rsidRPr="00163AEA" w:rsidRDefault="00246155"/>
    <w:p w14:paraId="604526EB" w14:textId="77777777" w:rsidR="00246155" w:rsidRPr="00163AEA" w:rsidRDefault="00246155">
      <w:pPr>
        <w:pStyle w:val="RKrubrik"/>
      </w:pPr>
      <w:r w:rsidRPr="00163AEA">
        <w:t>6. Meddelande från kommissionen till rådet och Europaparlamentet: Att genomföra hållbarhet inom EU:s fiske genom maximal hållbar avkastning</w:t>
      </w:r>
    </w:p>
    <w:p w14:paraId="57F2EDAC" w14:textId="77777777" w:rsidR="00246155" w:rsidRPr="00163AEA" w:rsidRDefault="00246155">
      <w:pPr>
        <w:pStyle w:val="RKnormal"/>
        <w:rPr>
          <w:b/>
          <w:bCs/>
          <w:i/>
          <w:iCs/>
        </w:rPr>
      </w:pPr>
      <w:r w:rsidRPr="00163AEA">
        <w:rPr>
          <w:b/>
          <w:bCs/>
          <w:i/>
          <w:iCs/>
        </w:rPr>
        <w:t>-Diskussion</w:t>
      </w:r>
    </w:p>
    <w:p w14:paraId="1D94B355" w14:textId="77777777" w:rsidR="00246155" w:rsidRPr="00163AEA" w:rsidRDefault="00246155">
      <w:pPr>
        <w:pStyle w:val="RKnormal"/>
        <w:rPr>
          <w:i/>
          <w:iCs/>
        </w:rPr>
      </w:pPr>
    </w:p>
    <w:p w14:paraId="6CB0812B" w14:textId="77777777" w:rsidR="00246155" w:rsidRPr="00163AEA" w:rsidRDefault="00246155">
      <w:pPr>
        <w:pStyle w:val="RKnormal"/>
        <w:rPr>
          <w:i/>
          <w:iCs/>
        </w:rPr>
      </w:pPr>
      <w:r w:rsidRPr="00163AEA">
        <w:rPr>
          <w:i/>
          <w:iCs/>
        </w:rPr>
        <w:t>Dokumentbeteckning</w:t>
      </w:r>
    </w:p>
    <w:p w14:paraId="4A583ECA" w14:textId="77777777" w:rsidR="00246155" w:rsidRPr="00163AEA" w:rsidRDefault="00246155">
      <w:pPr>
        <w:pStyle w:val="RKnormal"/>
        <w:rPr>
          <w:szCs w:val="24"/>
        </w:rPr>
      </w:pPr>
      <w:r w:rsidRPr="00163AEA">
        <w:rPr>
          <w:szCs w:val="24"/>
        </w:rPr>
        <w:t>11373/06</w:t>
      </w:r>
    </w:p>
    <w:p w14:paraId="366DA213" w14:textId="77777777" w:rsidR="00246155" w:rsidRPr="00163AEA" w:rsidRDefault="00246155">
      <w:pPr>
        <w:pStyle w:val="RKnormal"/>
      </w:pPr>
    </w:p>
    <w:p w14:paraId="26EF92D0" w14:textId="77777777" w:rsidR="00246155" w:rsidRPr="00163AEA" w:rsidRDefault="00246155">
      <w:pPr>
        <w:pStyle w:val="RKnormal"/>
        <w:rPr>
          <w:i/>
          <w:iCs/>
        </w:rPr>
      </w:pPr>
      <w:r w:rsidRPr="00163AEA">
        <w:rPr>
          <w:i/>
          <w:iCs/>
        </w:rPr>
        <w:t>Rättslig grund</w:t>
      </w:r>
    </w:p>
    <w:p w14:paraId="4FDFFC38" w14:textId="77777777" w:rsidR="00246155" w:rsidRPr="00163AEA" w:rsidRDefault="00246155">
      <w:pPr>
        <w:pStyle w:val="RKnormal"/>
      </w:pPr>
      <w:r w:rsidRPr="00163AEA">
        <w:t>-</w:t>
      </w:r>
    </w:p>
    <w:p w14:paraId="5EDBD532" w14:textId="77777777" w:rsidR="00246155" w:rsidRPr="00163AEA" w:rsidRDefault="00246155">
      <w:pPr>
        <w:pStyle w:val="RKnormal"/>
      </w:pPr>
    </w:p>
    <w:p w14:paraId="328ECBBC" w14:textId="77777777" w:rsidR="00246155" w:rsidRPr="00163AEA" w:rsidRDefault="00246155">
      <w:pPr>
        <w:pStyle w:val="RKnormal"/>
        <w:rPr>
          <w:i/>
          <w:iCs/>
        </w:rPr>
      </w:pPr>
      <w:r w:rsidRPr="00163AEA">
        <w:rPr>
          <w:i/>
          <w:iCs/>
        </w:rPr>
        <w:t>Bakgrund</w:t>
      </w:r>
    </w:p>
    <w:p w14:paraId="2B2ACCB5" w14:textId="77777777" w:rsidR="00246155" w:rsidRPr="00163AEA" w:rsidRDefault="00246155">
      <w:pPr>
        <w:pStyle w:val="RKnormal"/>
      </w:pPr>
      <w:r w:rsidRPr="00163AEA">
        <w:t>Kommissionen lade den 6 juli 2006 fram ett meddelande om hur hållbarhet i EU:s fiskeripolitik skall kunna genomföras genom maximal hållbar avkastning (MSY: maximum sustainable yield) för gemenskapens fiskbestånd. Avsikten är att ta fram en metod och initiera en debatt om hur åtaganden från världstoppmötet om hållbar utveckling i Johannesburg år 2002 skall uppfyllas. Åtagandet innebär bl.a. att bevara världens fiskbestånd på nivåer som kan ge maximal hållbar avkastning, om möjligt inte senare än år 2015.</w:t>
      </w:r>
    </w:p>
    <w:p w14:paraId="23FBF454" w14:textId="77777777" w:rsidR="00246155" w:rsidRPr="00163AEA" w:rsidRDefault="00246155">
      <w:pPr>
        <w:pStyle w:val="RKnormal"/>
      </w:pPr>
    </w:p>
    <w:p w14:paraId="13D8F350" w14:textId="77777777" w:rsidR="00246155" w:rsidRPr="00163AEA" w:rsidRDefault="00246155">
      <w:pPr>
        <w:pStyle w:val="RKnormal"/>
      </w:pPr>
      <w:r w:rsidRPr="00163AEA">
        <w:t xml:space="preserve">Begreppet maximalt hållbar avkastning (MSY) innebär att fångsten från varje fiskbestånd ska vara den högsta möjliga som kan uppnås för all framtid. Detta har hittills i ringa utsträckning använts i den gemensamma fiskeripolitiken som istället vilar på försiktighetsprincipen och ekosystemansatsen. </w:t>
      </w:r>
    </w:p>
    <w:p w14:paraId="04FB11C4" w14:textId="77777777" w:rsidR="00246155" w:rsidRPr="00163AEA" w:rsidRDefault="00246155">
      <w:pPr>
        <w:pStyle w:val="RKnormal"/>
      </w:pPr>
    </w:p>
    <w:p w14:paraId="2EE54D8B" w14:textId="77777777" w:rsidR="00246155" w:rsidRPr="00163AEA" w:rsidRDefault="00246155">
      <w:pPr>
        <w:pStyle w:val="RKnormal"/>
      </w:pPr>
      <w:r w:rsidRPr="00163AEA">
        <w:t xml:space="preserve">Ordförande har föreslagit ett antal frågor som skall ge vägledning till det fortsatta arbetet. Ordförandeskapet planerar att ordförandeskapsslutsatser skall antas om meddelandet på jordbruks- och fiskerådet den 20-21 november. </w:t>
      </w:r>
    </w:p>
    <w:p w14:paraId="2DDC8FF5" w14:textId="77777777" w:rsidR="00246155" w:rsidRPr="00163AEA" w:rsidRDefault="00246155">
      <w:pPr>
        <w:pStyle w:val="RKnormal"/>
      </w:pPr>
    </w:p>
    <w:p w14:paraId="018B8845" w14:textId="77777777" w:rsidR="00246155" w:rsidRPr="00163AEA" w:rsidRDefault="00246155">
      <w:pPr>
        <w:pStyle w:val="RKnormal"/>
        <w:rPr>
          <w:i/>
          <w:iCs/>
        </w:rPr>
      </w:pPr>
      <w:r w:rsidRPr="00163AEA">
        <w:rPr>
          <w:i/>
          <w:iCs/>
        </w:rPr>
        <w:t>Förslag till svensk ståndpunkt</w:t>
      </w:r>
    </w:p>
    <w:p w14:paraId="60F75F82" w14:textId="77777777" w:rsidR="00246155" w:rsidRPr="00163AEA" w:rsidRDefault="00246155">
      <w:pPr>
        <w:pStyle w:val="RKnormal"/>
      </w:pPr>
      <w:r w:rsidRPr="00163AEA">
        <w:t xml:space="preserve">Det är viktigt att ministrarna får möjlighet att diskutera ett sådant principiellt begrepp som ”MSY” innan det införlivas i den gemensamma fiskeripolitiken. </w:t>
      </w:r>
    </w:p>
    <w:p w14:paraId="0D17F105" w14:textId="77777777" w:rsidR="00246155" w:rsidRPr="00163AEA" w:rsidRDefault="00246155">
      <w:pPr>
        <w:pStyle w:val="RKnormal"/>
      </w:pPr>
    </w:p>
    <w:p w14:paraId="6A86163E" w14:textId="77777777" w:rsidR="00246155" w:rsidRPr="00163AEA" w:rsidRDefault="00246155">
      <w:pPr>
        <w:pStyle w:val="RKnormal"/>
      </w:pPr>
      <w:r w:rsidRPr="00163AEA">
        <w:t>Avgörande från svensk sida är att nya tillämpningsprinciper inte får försvaga bevarandesyftet med politiken utan snarare förstärka det. De idag bärande principerna, försiktighetsprincipen och ekosystemansatsen, är fastställda i grundförordningen och därmed fortsatt gällande. Begreppet ”MSY” kan komplettera dessa instrument, inte ersätta.</w:t>
      </w:r>
    </w:p>
    <w:p w14:paraId="35104907" w14:textId="77777777" w:rsidR="00246155" w:rsidRPr="00163AEA" w:rsidRDefault="00246155">
      <w:pPr>
        <w:pStyle w:val="RKnormal"/>
        <w:rPr>
          <w:i/>
          <w:iCs/>
        </w:rPr>
      </w:pPr>
      <w:r w:rsidRPr="00163AEA">
        <w:rPr>
          <w:i/>
          <w:iCs/>
        </w:rPr>
        <w:t xml:space="preserve"> </w:t>
      </w:r>
    </w:p>
    <w:p w14:paraId="4CCE58B9" w14:textId="77777777" w:rsidR="00246155" w:rsidRPr="00163AEA" w:rsidRDefault="00246155">
      <w:pPr>
        <w:pStyle w:val="RKnormal"/>
        <w:rPr>
          <w:i/>
          <w:iCs/>
        </w:rPr>
      </w:pPr>
      <w:r w:rsidRPr="00163AEA">
        <w:rPr>
          <w:i/>
          <w:iCs/>
        </w:rPr>
        <w:t>EU-nämnden</w:t>
      </w:r>
    </w:p>
    <w:p w14:paraId="232EA07A" w14:textId="77777777" w:rsidR="00246155" w:rsidRPr="00163AEA" w:rsidRDefault="00246155">
      <w:pPr>
        <w:pStyle w:val="RKnormal"/>
      </w:pPr>
      <w:r w:rsidRPr="00163AEA">
        <w:t>Frågan har inte tidigare varit föremål för samråd med EU-nämnden.</w:t>
      </w:r>
    </w:p>
    <w:p w14:paraId="4ECF380B" w14:textId="77777777" w:rsidR="00246155" w:rsidRPr="00163AEA" w:rsidRDefault="00246155">
      <w:pPr>
        <w:pStyle w:val="RKnormal"/>
      </w:pPr>
    </w:p>
    <w:p w14:paraId="7EA5E206" w14:textId="77777777" w:rsidR="00246155" w:rsidRPr="00163AEA" w:rsidRDefault="00246155">
      <w:pPr>
        <w:pStyle w:val="RKnormal"/>
        <w:rPr>
          <w:i/>
          <w:iCs/>
        </w:rPr>
      </w:pPr>
    </w:p>
    <w:p w14:paraId="3CDCECD4" w14:textId="77777777" w:rsidR="00246155" w:rsidRPr="00163AEA" w:rsidRDefault="00246155">
      <w:pPr>
        <w:pStyle w:val="RKrubrik"/>
      </w:pPr>
      <w:r w:rsidRPr="00163AEA">
        <w:t>7. Meddelande från kommissionen till Europaparlamentet och rådet: Handlingsplan 2006-2008 för förenkling och förbättring av den gemensamma fiskeripolitiken</w:t>
      </w:r>
    </w:p>
    <w:p w14:paraId="0276432E" w14:textId="77777777" w:rsidR="00246155" w:rsidRPr="00163AEA" w:rsidRDefault="00246155">
      <w:pPr>
        <w:pStyle w:val="RKnormal"/>
        <w:rPr>
          <w:b/>
          <w:bCs/>
          <w:i/>
          <w:iCs/>
        </w:rPr>
      </w:pPr>
      <w:r w:rsidRPr="00163AEA">
        <w:rPr>
          <w:b/>
          <w:bCs/>
          <w:i/>
          <w:iCs/>
        </w:rPr>
        <w:t>- Lägesrapport + lunchdiskussion</w:t>
      </w:r>
    </w:p>
    <w:p w14:paraId="0DFBFE1A" w14:textId="77777777" w:rsidR="00246155" w:rsidRPr="00163AEA" w:rsidRDefault="00246155">
      <w:pPr>
        <w:pStyle w:val="RKnormal"/>
        <w:rPr>
          <w:i/>
          <w:iCs/>
        </w:rPr>
      </w:pPr>
    </w:p>
    <w:p w14:paraId="174FDC61" w14:textId="77777777" w:rsidR="00246155" w:rsidRPr="00163AEA" w:rsidRDefault="00246155">
      <w:pPr>
        <w:pStyle w:val="RKnormal"/>
        <w:rPr>
          <w:i/>
          <w:iCs/>
        </w:rPr>
      </w:pPr>
      <w:r w:rsidRPr="00163AEA">
        <w:rPr>
          <w:i/>
          <w:iCs/>
        </w:rPr>
        <w:t>Dokumentbeteckning</w:t>
      </w:r>
    </w:p>
    <w:p w14:paraId="6DC630CE" w14:textId="77777777" w:rsidR="00246155" w:rsidRPr="00163AEA" w:rsidRDefault="00246155">
      <w:pPr>
        <w:spacing w:line="240" w:lineRule="auto"/>
      </w:pPr>
      <w:r w:rsidRPr="00163AEA">
        <w:t>15613/05 PECHE 277</w:t>
      </w:r>
    </w:p>
    <w:p w14:paraId="674B382F" w14:textId="77777777" w:rsidR="00246155" w:rsidRPr="00163AEA" w:rsidRDefault="00246155">
      <w:pPr>
        <w:pStyle w:val="RKnormal"/>
        <w:rPr>
          <w:i/>
          <w:iCs/>
        </w:rPr>
      </w:pPr>
    </w:p>
    <w:p w14:paraId="4BB74BE6" w14:textId="77777777" w:rsidR="00246155" w:rsidRPr="00163AEA" w:rsidRDefault="00246155">
      <w:pPr>
        <w:pStyle w:val="RKnormal"/>
        <w:rPr>
          <w:i/>
          <w:iCs/>
        </w:rPr>
      </w:pPr>
      <w:r w:rsidRPr="00163AEA">
        <w:rPr>
          <w:i/>
          <w:iCs/>
        </w:rPr>
        <w:t>Rättslig grund</w:t>
      </w:r>
    </w:p>
    <w:p w14:paraId="51E794D0" w14:textId="77777777" w:rsidR="00246155" w:rsidRPr="00163AEA" w:rsidRDefault="00246155">
      <w:pPr>
        <w:pStyle w:val="RKnormal"/>
      </w:pPr>
      <w:r w:rsidRPr="00163AEA">
        <w:t>-</w:t>
      </w:r>
    </w:p>
    <w:p w14:paraId="3C44DCBC" w14:textId="77777777" w:rsidR="00246155" w:rsidRPr="00163AEA" w:rsidRDefault="00246155">
      <w:pPr>
        <w:pStyle w:val="RKnormal"/>
        <w:rPr>
          <w:i/>
          <w:iCs/>
        </w:rPr>
      </w:pPr>
    </w:p>
    <w:p w14:paraId="38D4E4B9" w14:textId="77777777" w:rsidR="00246155" w:rsidRPr="00163AEA" w:rsidRDefault="00246155">
      <w:pPr>
        <w:pStyle w:val="RKnormal"/>
        <w:rPr>
          <w:i/>
          <w:iCs/>
        </w:rPr>
      </w:pPr>
      <w:r w:rsidRPr="00163AEA">
        <w:rPr>
          <w:i/>
          <w:iCs/>
        </w:rPr>
        <w:t>Bakgrund</w:t>
      </w:r>
    </w:p>
    <w:p w14:paraId="5A577189" w14:textId="77777777" w:rsidR="00246155" w:rsidRPr="00163AEA" w:rsidRDefault="00246155">
      <w:pPr>
        <w:pStyle w:val="RKnormal"/>
      </w:pPr>
      <w:bookmarkStart w:id="0" w:name="Text9"/>
      <w:r w:rsidRPr="00163AEA">
        <w:t>Kommissionen presenterade år 2002 en generell handlingsplan för förenkling och förbättring av Europeiska gemenskapens lagstiftning, KOM(2002)278. Syftet var att utforma lagstiftningen så att den är mer effektiv och transparent för såväl medlemsstaterna som allmänheten. Genom detta skall konkurrens, tillväxt och hållbar utveckling främjas och bidra till målen enligt Lissabonstrategin.</w:t>
      </w:r>
    </w:p>
    <w:p w14:paraId="67AB76EC" w14:textId="77777777" w:rsidR="00246155" w:rsidRPr="00163AEA" w:rsidRDefault="00246155">
      <w:pPr>
        <w:pStyle w:val="RKnormal"/>
      </w:pPr>
    </w:p>
    <w:p w14:paraId="37FE39FD" w14:textId="77777777" w:rsidR="00246155" w:rsidRPr="00163AEA" w:rsidRDefault="00246155">
      <w:pPr>
        <w:pStyle w:val="RKnormal"/>
      </w:pPr>
      <w:r w:rsidRPr="00163AEA">
        <w:t>Ett antal steg har tagits i processen för att uppnå ovan målsättning. Avseende den gemensamma fiskeripolitiken (GFP) antog rådet den 22 april 2005 rådsslutsatser om förenklingsarbetet av GFP och uppmanade kommissionen att presentera en handlingsplan för detta arbete. Handlingsplanen presenterades vid jordbruks- och fiskerådet i december 2005 och innehåller de åtgärder kommissionen ämnar genomföra under 2006-2008 avseende förenkling och förbättring av GFP.</w:t>
      </w:r>
    </w:p>
    <w:p w14:paraId="2F037B39" w14:textId="77777777" w:rsidR="00246155" w:rsidRPr="00163AEA" w:rsidRDefault="00246155">
      <w:pPr>
        <w:pStyle w:val="RKnormal"/>
      </w:pPr>
    </w:p>
    <w:p w14:paraId="339B0B28" w14:textId="77777777" w:rsidR="00246155" w:rsidRPr="00163AEA" w:rsidRDefault="00246155">
      <w:pPr>
        <w:pStyle w:val="RKnormal"/>
      </w:pPr>
      <w:r w:rsidRPr="00163AEA">
        <w:t>Hur arbetet med handlingsplanen fortskrider skall avrapporteras under varje ordförandeskap. Vid jordbruks- och fiskerådet i april 2006 informerade kommissionen rådet om hur arbetet fortskridit och följer nu upp med en ny redogörelse. Huvudpunkterna i redogörelsen gäller TAC:er (totala tillåtna fångstmängden), tekniska åtgärder, datainsamling, övervakning och kontroll samt fisketillstånd.</w:t>
      </w:r>
      <w:bookmarkEnd w:id="0"/>
    </w:p>
    <w:p w14:paraId="5E07C204" w14:textId="77777777" w:rsidR="00246155" w:rsidRPr="00163AEA" w:rsidRDefault="00246155">
      <w:pPr>
        <w:pStyle w:val="RKnormal"/>
        <w:rPr>
          <w:i/>
          <w:iCs/>
        </w:rPr>
      </w:pPr>
    </w:p>
    <w:p w14:paraId="6AAAEE0A" w14:textId="77777777" w:rsidR="00246155" w:rsidRPr="00163AEA" w:rsidRDefault="00246155">
      <w:pPr>
        <w:pStyle w:val="RKnormal"/>
        <w:rPr>
          <w:i/>
          <w:iCs/>
        </w:rPr>
      </w:pPr>
      <w:r w:rsidRPr="00163AEA">
        <w:rPr>
          <w:i/>
          <w:iCs/>
        </w:rPr>
        <w:t>Förslag till svensk ståndpunkt</w:t>
      </w:r>
    </w:p>
    <w:p w14:paraId="3A7AE6A0" w14:textId="77777777" w:rsidR="00246155" w:rsidRPr="00163AEA" w:rsidRDefault="00246155">
      <w:pPr>
        <w:pStyle w:val="RKnormal"/>
        <w:rPr>
          <w:color w:val="000000"/>
        </w:rPr>
      </w:pPr>
      <w:r w:rsidRPr="00163AEA">
        <w:t>Sverige anser att det är positivt att kommissionen fortsätter förenklingsarbetet och kontinuerligt avrapporterar till rådet. Sverige har tidigare ställt sig positivt till kommissionens handlingsplan med utpekade åtgärder för hur förenklingsarbetet skall fortgå. Åtgärder för ökad framförhållning i lagstiftningsprocessen kan särskilt underlätta förenklingsarbetet. I detta ligger även en förankring av förslag hos berörda aktörer, främst via regionala rådgivande nämnder, vilket skall skapa en ökad förståelse o</w:t>
      </w:r>
      <w:r w:rsidRPr="00163AEA">
        <w:t>ch legitimitet för regelverket.</w:t>
      </w:r>
    </w:p>
    <w:p w14:paraId="17EE5EAC" w14:textId="77777777" w:rsidR="00246155" w:rsidRPr="00163AEA" w:rsidRDefault="00246155">
      <w:pPr>
        <w:pStyle w:val="RKnormal"/>
        <w:rPr>
          <w:color w:val="000000"/>
        </w:rPr>
      </w:pPr>
    </w:p>
    <w:p w14:paraId="2EB29818" w14:textId="77777777" w:rsidR="00246155" w:rsidRPr="00163AEA" w:rsidRDefault="00246155">
      <w:pPr>
        <w:pStyle w:val="RKnormal"/>
        <w:rPr>
          <w:i/>
          <w:iCs/>
        </w:rPr>
      </w:pPr>
      <w:r w:rsidRPr="00163AEA">
        <w:rPr>
          <w:i/>
          <w:iCs/>
        </w:rPr>
        <w:t xml:space="preserve">EU-nämnden </w:t>
      </w:r>
    </w:p>
    <w:p w14:paraId="14819F9F" w14:textId="77777777" w:rsidR="00246155" w:rsidRPr="00163AEA" w:rsidRDefault="00246155">
      <w:pPr>
        <w:pStyle w:val="RKnormal"/>
      </w:pPr>
      <w:r w:rsidRPr="00163AEA">
        <w:t>Frågan har senast varit föremål för samråd med EU-nämnden inför jordbruks- och fiskerådet den 26 april 2006.</w:t>
      </w:r>
    </w:p>
    <w:p w14:paraId="4BD55481" w14:textId="77777777" w:rsidR="00246155" w:rsidRPr="00163AEA" w:rsidRDefault="00246155">
      <w:pPr>
        <w:pStyle w:val="RKnormal"/>
      </w:pPr>
    </w:p>
    <w:p w14:paraId="5217A61D" w14:textId="77777777" w:rsidR="00246155" w:rsidRPr="00163AEA" w:rsidRDefault="00246155">
      <w:pPr>
        <w:pStyle w:val="RKnormal"/>
      </w:pPr>
    </w:p>
    <w:p w14:paraId="704C8AC9" w14:textId="77777777" w:rsidR="00246155" w:rsidRPr="00163AEA" w:rsidRDefault="00246155">
      <w:pPr>
        <w:pStyle w:val="RKrubrik"/>
        <w:spacing w:before="120"/>
      </w:pPr>
      <w:r w:rsidRPr="00163AEA">
        <w:t>8. Biologisk mångfald (fiske/jordbruk)</w:t>
      </w:r>
    </w:p>
    <w:p w14:paraId="43754292" w14:textId="77777777" w:rsidR="00246155" w:rsidRPr="00163AEA" w:rsidRDefault="00246155">
      <w:pPr>
        <w:pStyle w:val="RKnormal"/>
        <w:rPr>
          <w:b/>
          <w:bCs/>
          <w:i/>
          <w:iCs/>
        </w:rPr>
      </w:pPr>
      <w:r w:rsidRPr="00163AEA">
        <w:rPr>
          <w:b/>
          <w:bCs/>
          <w:i/>
          <w:iCs/>
        </w:rPr>
        <w:t>- Diskussion</w:t>
      </w:r>
    </w:p>
    <w:p w14:paraId="0487B721" w14:textId="77777777" w:rsidR="00246155" w:rsidRPr="00163AEA" w:rsidRDefault="00246155">
      <w:pPr>
        <w:pStyle w:val="RKnormal"/>
        <w:rPr>
          <w:b/>
          <w:bCs/>
          <w:i/>
          <w:iCs/>
        </w:rPr>
      </w:pPr>
    </w:p>
    <w:p w14:paraId="65892987" w14:textId="77777777" w:rsidR="00246155" w:rsidRPr="00163AEA" w:rsidRDefault="00246155">
      <w:pPr>
        <w:pStyle w:val="RKnormal"/>
        <w:rPr>
          <w:i/>
          <w:iCs/>
        </w:rPr>
      </w:pPr>
      <w:r w:rsidRPr="00163AEA">
        <w:rPr>
          <w:i/>
          <w:iCs/>
        </w:rPr>
        <w:t>Dokumentbeteckning</w:t>
      </w:r>
    </w:p>
    <w:p w14:paraId="5A0B1741" w14:textId="77777777" w:rsidR="00246155" w:rsidRPr="00163AEA" w:rsidRDefault="00246155">
      <w:pPr>
        <w:spacing w:line="240" w:lineRule="auto"/>
      </w:pPr>
      <w:r w:rsidRPr="00163AEA">
        <w:t xml:space="preserve">- </w:t>
      </w:r>
    </w:p>
    <w:p w14:paraId="7687F213" w14:textId="77777777" w:rsidR="00246155" w:rsidRPr="00163AEA" w:rsidRDefault="00246155">
      <w:pPr>
        <w:pStyle w:val="RKnormal"/>
        <w:rPr>
          <w:i/>
          <w:iCs/>
        </w:rPr>
      </w:pPr>
    </w:p>
    <w:p w14:paraId="585EBE75" w14:textId="77777777" w:rsidR="00246155" w:rsidRPr="00163AEA" w:rsidRDefault="00246155">
      <w:pPr>
        <w:pStyle w:val="RKnormal"/>
        <w:rPr>
          <w:i/>
          <w:iCs/>
        </w:rPr>
      </w:pPr>
      <w:r w:rsidRPr="00163AEA">
        <w:rPr>
          <w:i/>
          <w:iCs/>
        </w:rPr>
        <w:t>Rättslig grund</w:t>
      </w:r>
    </w:p>
    <w:p w14:paraId="45BD7C93" w14:textId="77777777" w:rsidR="00246155" w:rsidRPr="00163AEA" w:rsidRDefault="00246155">
      <w:pPr>
        <w:pStyle w:val="RKnormal"/>
      </w:pPr>
      <w:r w:rsidRPr="00163AEA">
        <w:t>-</w:t>
      </w:r>
    </w:p>
    <w:p w14:paraId="1160E6BA" w14:textId="77777777" w:rsidR="00246155" w:rsidRPr="00163AEA" w:rsidRDefault="00246155">
      <w:pPr>
        <w:pStyle w:val="RKnormal"/>
        <w:rPr>
          <w:i/>
          <w:iCs/>
        </w:rPr>
      </w:pPr>
    </w:p>
    <w:p w14:paraId="4D802072" w14:textId="77777777" w:rsidR="00246155" w:rsidRPr="00163AEA" w:rsidRDefault="00246155">
      <w:pPr>
        <w:pStyle w:val="RKnormal"/>
        <w:rPr>
          <w:i/>
          <w:iCs/>
        </w:rPr>
      </w:pPr>
      <w:r w:rsidRPr="00163AEA">
        <w:rPr>
          <w:i/>
          <w:iCs/>
        </w:rPr>
        <w:t>Bakgrund</w:t>
      </w:r>
    </w:p>
    <w:p w14:paraId="47699C11" w14:textId="77777777" w:rsidR="00246155" w:rsidRPr="00163AEA" w:rsidRDefault="00246155">
      <w:pPr>
        <w:pStyle w:val="RKnormal"/>
      </w:pPr>
      <w:r w:rsidRPr="00163AEA">
        <w:t>I maj 2006 antog kommissionen ett meddelande till rådet vars syfte var att förstärka EU:s insatser för att stoppa förlusten av biologisk mångfald i EU. I meddelandet slås det fast att fisket och vattenbruket i Europa kan påverka fiskbestånd, arter och livsmiljöer negativt där överutnyttjande, spridning av främmande arter och förorening uppges som huvudorsakerna. Jordbrukets bidrag till bevarandet av genetiska resurser, arter och habitat lyfts fram, liksom också det hot mot den biologiska mångfalden som int</w:t>
      </w:r>
      <w:r w:rsidRPr="00163AEA">
        <w:t>ensifiering och specialisering inom jordbruket utgör. Ordförandeskapet planerar att rådsslutsatser skall antas om meddelandet på miljörådet i december. Rådsslutsatser antas med konsensus.</w:t>
      </w:r>
    </w:p>
    <w:p w14:paraId="39950C2C" w14:textId="77777777" w:rsidR="00246155" w:rsidRPr="00163AEA" w:rsidRDefault="00246155">
      <w:pPr>
        <w:pStyle w:val="RKnormal"/>
      </w:pPr>
    </w:p>
    <w:p w14:paraId="2600BF37" w14:textId="77777777" w:rsidR="00246155" w:rsidRPr="00163AEA" w:rsidRDefault="00246155">
      <w:pPr>
        <w:pStyle w:val="RKnormal"/>
      </w:pPr>
      <w:r w:rsidRPr="00163AEA">
        <w:t>I meddelandet ställs bl.a. krav på biologisk mångfald inom den gemensamma fiskeripolitiken. Bland annat genom att fastställa gränser för fiskeridödlighet, nya mer skonsamma fiskeredskap, skyddade områden och minimistorlekar samt skydd för känsliga livsmiljöer. Även IUU (bekämpning av illegalt fiske), nämns som en viktig fråga. Inom jordburksområdet lyfts bl.a. miljöersättningar, god jordbrukarsed, ekologisk produktion och stöd till mindre gynnade områden fram som viktiga instrument för bevarande av biologis</w:t>
      </w:r>
      <w:r w:rsidRPr="00163AEA">
        <w:t>k mångfald. De möjligheter som den nya landsbygds</w:t>
      </w:r>
      <w:r w:rsidRPr="00163AEA">
        <w:softHyphen/>
        <w:t>förordningen ger framhålls samtidigt som medlemsstaternas ansvar för att den genomförs på ett sätt som gynnar den biologiska mångfalden understryks.</w:t>
      </w:r>
    </w:p>
    <w:p w14:paraId="05B4628C" w14:textId="77777777" w:rsidR="00246155" w:rsidRPr="00163AEA" w:rsidRDefault="00246155">
      <w:pPr>
        <w:pStyle w:val="RKnormal"/>
        <w:rPr>
          <w:i/>
          <w:iCs/>
        </w:rPr>
      </w:pPr>
    </w:p>
    <w:p w14:paraId="743545DC" w14:textId="77777777" w:rsidR="00246155" w:rsidRPr="00163AEA" w:rsidRDefault="00246155">
      <w:pPr>
        <w:pStyle w:val="RKnormal"/>
        <w:rPr>
          <w:i/>
          <w:iCs/>
        </w:rPr>
      </w:pPr>
      <w:r w:rsidRPr="00163AEA">
        <w:rPr>
          <w:i/>
          <w:iCs/>
        </w:rPr>
        <w:t>Förslag till svensk ståndpunkt</w:t>
      </w:r>
    </w:p>
    <w:p w14:paraId="3AC6012F" w14:textId="77777777" w:rsidR="00246155" w:rsidRPr="00163AEA" w:rsidRDefault="00246155">
      <w:pPr>
        <w:pStyle w:val="RKnormal"/>
      </w:pPr>
      <w:r w:rsidRPr="00163AEA">
        <w:t>Sverige välkomnar och stödjer kommissionens meddelande. Det ger en god grund för det fortsatta arbetet inom EU med att bevara och nyttja biologisk mångfald. Från svensk sida är det angeläget med en fortsatt sektorsintegrering så att samarbete mellan sektorerna fiske, jordbruk och miljö främjas. Vidare stödjer Sverige kommissionens bedömning att en särskilt stor utmaning utgör biologisk mångfald på landsbygden generellt och i havet.</w:t>
      </w:r>
    </w:p>
    <w:p w14:paraId="59283014" w14:textId="77777777" w:rsidR="00246155" w:rsidRPr="00163AEA" w:rsidRDefault="00246155">
      <w:pPr>
        <w:pStyle w:val="RKnormal"/>
        <w:rPr>
          <w:i/>
          <w:iCs/>
        </w:rPr>
      </w:pPr>
    </w:p>
    <w:p w14:paraId="75C95E75" w14:textId="77777777" w:rsidR="00246155" w:rsidRPr="00163AEA" w:rsidRDefault="00246155">
      <w:pPr>
        <w:pStyle w:val="RKnormal"/>
        <w:rPr>
          <w:i/>
          <w:iCs/>
        </w:rPr>
      </w:pPr>
      <w:r w:rsidRPr="00163AEA">
        <w:rPr>
          <w:i/>
          <w:iCs/>
        </w:rPr>
        <w:t>EU-nämnden</w:t>
      </w:r>
    </w:p>
    <w:p w14:paraId="49399D9F" w14:textId="77777777" w:rsidR="00246155" w:rsidRPr="00163AEA" w:rsidRDefault="00246155">
      <w:pPr>
        <w:pStyle w:val="RKnormal"/>
      </w:pPr>
      <w:r w:rsidRPr="00163AEA">
        <w:t>Frågan har inte tidigare varit föremål för samråd med EU-nämnden.</w:t>
      </w:r>
    </w:p>
    <w:p w14:paraId="4260C4FD" w14:textId="77777777" w:rsidR="00246155" w:rsidRPr="00163AEA" w:rsidRDefault="00246155">
      <w:pPr>
        <w:pStyle w:val="RKnormal"/>
      </w:pPr>
    </w:p>
    <w:p w14:paraId="1571EACA" w14:textId="77777777" w:rsidR="00246155" w:rsidRPr="00163AEA" w:rsidRDefault="00246155">
      <w:pPr>
        <w:pStyle w:val="RKrubrik"/>
      </w:pPr>
      <w:r w:rsidRPr="00163AEA">
        <w:t>9. Förslag till rådets förordning om ändring av förordningarna (EEG) nr 404/93, (EG) nr 1782/2003 och (EG) nr 247/2006 vad gäller banansektorn</w:t>
      </w:r>
    </w:p>
    <w:p w14:paraId="4E4908CB" w14:textId="77777777" w:rsidR="00246155" w:rsidRPr="00163AEA" w:rsidRDefault="00246155">
      <w:pPr>
        <w:spacing w:line="240" w:lineRule="auto"/>
        <w:rPr>
          <w:b/>
          <w:bCs/>
          <w:i/>
          <w:iCs/>
        </w:rPr>
      </w:pPr>
      <w:r w:rsidRPr="00163AEA">
        <w:rPr>
          <w:b/>
          <w:bCs/>
          <w:i/>
          <w:iCs/>
        </w:rPr>
        <w:t xml:space="preserve">- Riktlinjedebatt </w:t>
      </w:r>
    </w:p>
    <w:p w14:paraId="62E3438A" w14:textId="77777777" w:rsidR="00246155" w:rsidRPr="00163AEA" w:rsidRDefault="00246155">
      <w:pPr>
        <w:pStyle w:val="RKnormal"/>
        <w:rPr>
          <w:i/>
          <w:iCs/>
        </w:rPr>
      </w:pPr>
    </w:p>
    <w:p w14:paraId="43A2DF46" w14:textId="77777777" w:rsidR="00246155" w:rsidRPr="00163AEA" w:rsidRDefault="00246155">
      <w:pPr>
        <w:pStyle w:val="RKnormal"/>
        <w:rPr>
          <w:i/>
          <w:iCs/>
        </w:rPr>
      </w:pPr>
      <w:r w:rsidRPr="00163AEA">
        <w:rPr>
          <w:i/>
          <w:iCs/>
        </w:rPr>
        <w:t>Dokumentbeteckning</w:t>
      </w:r>
    </w:p>
    <w:p w14:paraId="5A5C479C" w14:textId="77777777" w:rsidR="00246155" w:rsidRPr="00163AEA" w:rsidRDefault="00246155">
      <w:pPr>
        <w:spacing w:line="240" w:lineRule="auto"/>
        <w:rPr>
          <w:szCs w:val="24"/>
        </w:rPr>
      </w:pPr>
      <w:r w:rsidRPr="00163AEA">
        <w:rPr>
          <w:szCs w:val="24"/>
        </w:rPr>
        <w:t>13000/06 AGRIORG 74 AGRIFIN 77 WTO 153 ACP 142</w:t>
      </w:r>
    </w:p>
    <w:p w14:paraId="21341AF1" w14:textId="77777777" w:rsidR="00246155" w:rsidRPr="00163AEA" w:rsidRDefault="00246155">
      <w:pPr>
        <w:pStyle w:val="RKnormal"/>
        <w:rPr>
          <w:i/>
          <w:iCs/>
        </w:rPr>
      </w:pPr>
      <w:r w:rsidRPr="00163AEA">
        <w:t>+ ADD 1</w:t>
      </w:r>
    </w:p>
    <w:p w14:paraId="66FA5F46" w14:textId="77777777" w:rsidR="00246155" w:rsidRPr="00163AEA" w:rsidRDefault="00246155">
      <w:pPr>
        <w:pStyle w:val="RKnormal"/>
        <w:rPr>
          <w:i/>
          <w:iCs/>
        </w:rPr>
      </w:pPr>
    </w:p>
    <w:p w14:paraId="2E25E476" w14:textId="77777777" w:rsidR="00246155" w:rsidRPr="00163AEA" w:rsidRDefault="00246155">
      <w:pPr>
        <w:pStyle w:val="RKnormal"/>
        <w:rPr>
          <w:i/>
          <w:iCs/>
        </w:rPr>
      </w:pPr>
      <w:r w:rsidRPr="00163AEA">
        <w:rPr>
          <w:i/>
          <w:iCs/>
        </w:rPr>
        <w:t>Rättslig grund</w:t>
      </w:r>
    </w:p>
    <w:p w14:paraId="7EBA4925" w14:textId="77777777" w:rsidR="00246155" w:rsidRPr="00163AEA" w:rsidRDefault="00246155">
      <w:pPr>
        <w:pStyle w:val="RKnormal"/>
      </w:pPr>
      <w:r w:rsidRPr="00163AEA">
        <w:t>Artikel 37 i EG-fördraget. Beslut fattas av rådet med kvalificerad majoritet efter att ha inhämtat Europaparlamentets yttrande.</w:t>
      </w:r>
    </w:p>
    <w:p w14:paraId="4B951F2E" w14:textId="77777777" w:rsidR="00246155" w:rsidRPr="00163AEA" w:rsidRDefault="00246155">
      <w:pPr>
        <w:pStyle w:val="RKnormal"/>
        <w:rPr>
          <w:i/>
          <w:iCs/>
        </w:rPr>
      </w:pPr>
    </w:p>
    <w:p w14:paraId="32DA029A" w14:textId="77777777" w:rsidR="00246155" w:rsidRPr="00163AEA" w:rsidRDefault="00246155">
      <w:pPr>
        <w:pStyle w:val="RKnormal"/>
        <w:rPr>
          <w:i/>
          <w:iCs/>
        </w:rPr>
      </w:pPr>
      <w:r w:rsidRPr="00163AEA">
        <w:rPr>
          <w:i/>
          <w:iCs/>
        </w:rPr>
        <w:t>Bakgrund</w:t>
      </w:r>
    </w:p>
    <w:p w14:paraId="70A28E15" w14:textId="77777777" w:rsidR="00246155" w:rsidRPr="00163AEA" w:rsidRDefault="00246155">
      <w:pPr>
        <w:pStyle w:val="RKnormal"/>
      </w:pPr>
      <w:r w:rsidRPr="00163AEA">
        <w:t xml:space="preserve">Kommissionen presenterade den 6 oktober ett förslag till reform av marknadsordningen för bananer. </w:t>
      </w:r>
      <w:r w:rsidRPr="00163AEA">
        <w:rPr>
          <w:color w:val="000000"/>
          <w:szCs w:val="24"/>
        </w:rPr>
        <w:t xml:space="preserve">I och med införandet av en ny importregim för bananer den 1 januari 2006 kommer reformen av marknadsordningen i princip endast att beröra kompensationsstödet till EU:s bananproducenter. </w:t>
      </w:r>
      <w:r w:rsidRPr="00163AEA">
        <w:t>Stödet varierar med ett genomsnittligt årligt fastställt försäljningspris och är därmed klassat som ett gult (handelsstörande) stöd enligt WTO:s kriterier. Den EU-produktion som berättigar till stöd är maximerad till 857 000 ton, dock finns idag inte något budgettak för stödet.</w:t>
      </w:r>
    </w:p>
    <w:p w14:paraId="2731A80D" w14:textId="77777777" w:rsidR="00246155" w:rsidRPr="00163AEA" w:rsidRDefault="00246155">
      <w:pPr>
        <w:pStyle w:val="RKnormal"/>
      </w:pPr>
    </w:p>
    <w:p w14:paraId="3708CE45" w14:textId="77777777" w:rsidR="00246155" w:rsidRPr="00163AEA" w:rsidRDefault="00246155">
      <w:pPr>
        <w:pStyle w:val="RKnormal"/>
      </w:pPr>
      <w:r w:rsidRPr="00163AEA">
        <w:t>Kommissionens förslag innebär i korthet att stora delar av marknadsordningen stryks och att kompensationsstödet avvecklas. För EU:s bananproducenter i de yttre randområdena (Kanarieöarna, Guadeloupe, Martinique, Madeira och Azorerna) överförs kompensationsstödet till POSEI-programmet</w:t>
      </w:r>
      <w:r w:rsidRPr="00163AEA">
        <w:rPr>
          <w:rStyle w:val="Fotnotsreferens"/>
        </w:rPr>
        <w:footnoteReference w:id="1"/>
      </w:r>
      <w:r w:rsidRPr="00163AEA">
        <w:t>. Stödet till övriga bananproducenterna i EU (Kreta, Algarve-kusten, samt Cypern), vilka står för ca två procent av EU-produktionen, frikopplas. Budgeten för förslaget på ca 280 miljoner euro baseras på genomsnittliga utgifter för kompensationsstödet åren 2000-2002, plus en säkerhetsmarginal på 8,5 % som ska kompensera för prisvariationer inom sektorn. Reformen inför ett budgettak för utgifterna men innebär totalt sett en budgetökning.</w:t>
      </w:r>
    </w:p>
    <w:p w14:paraId="67DDF4D8" w14:textId="77777777" w:rsidR="00246155" w:rsidRPr="00163AEA" w:rsidRDefault="00246155">
      <w:pPr>
        <w:pStyle w:val="RKnormal"/>
        <w:rPr>
          <w:i/>
          <w:iCs/>
        </w:rPr>
      </w:pPr>
    </w:p>
    <w:p w14:paraId="4907031F" w14:textId="77777777" w:rsidR="00246155" w:rsidRPr="00163AEA" w:rsidRDefault="00246155">
      <w:pPr>
        <w:pStyle w:val="RKnormal"/>
        <w:rPr>
          <w:i/>
          <w:iCs/>
        </w:rPr>
      </w:pPr>
      <w:r w:rsidRPr="00163AEA">
        <w:rPr>
          <w:i/>
          <w:iCs/>
        </w:rPr>
        <w:t>Förslag till svensk ståndpunkt</w:t>
      </w:r>
    </w:p>
    <w:p w14:paraId="2D0F9162" w14:textId="77777777" w:rsidR="00246155" w:rsidRPr="00163AEA" w:rsidRDefault="00246155">
      <w:pPr>
        <w:pStyle w:val="RKnormal"/>
      </w:pPr>
      <w:r w:rsidRPr="00163AEA">
        <w:t>Sverige vill se minskade handelsstörningar och ökad marknadsorientering för bananproduktionen inom unionen. Det produktionskopplade stödet som utgår till ca 15 000 bananproducenter har de senaste åren varierat mellan 235 och 300 miljoner euro. Sverige anser att det finns utrymme för budgetbesparingar. Sverige förespråkar ett system som i ökad utsträckning ligger i linje med WTO:s regelverk, samt att bananproducenterna fortsatt ska uppmuntras till ökad miljöhänsyn. Dessutom bör Sverige verka för en förenkli</w:t>
      </w:r>
      <w:r w:rsidRPr="00163AEA">
        <w:t>ng av regelverket liksom en högre grad av öppenhet i stödsystemet.</w:t>
      </w:r>
    </w:p>
    <w:p w14:paraId="49491D44" w14:textId="77777777" w:rsidR="00246155" w:rsidRPr="00163AEA" w:rsidRDefault="00246155">
      <w:pPr>
        <w:pStyle w:val="RKnormal"/>
        <w:rPr>
          <w:i/>
          <w:iCs/>
        </w:rPr>
      </w:pPr>
    </w:p>
    <w:p w14:paraId="14F48A2E" w14:textId="77777777" w:rsidR="00246155" w:rsidRPr="00163AEA" w:rsidRDefault="00246155">
      <w:pPr>
        <w:pStyle w:val="RKnormal"/>
        <w:rPr>
          <w:i/>
          <w:iCs/>
        </w:rPr>
      </w:pPr>
      <w:r w:rsidRPr="00163AEA">
        <w:rPr>
          <w:i/>
          <w:iCs/>
        </w:rPr>
        <w:t xml:space="preserve">EU-nämnden </w:t>
      </w:r>
    </w:p>
    <w:p w14:paraId="0465BD56" w14:textId="77777777" w:rsidR="00246155" w:rsidRPr="00163AEA" w:rsidRDefault="00246155">
      <w:pPr>
        <w:pStyle w:val="RKnormal"/>
      </w:pPr>
      <w:r w:rsidRPr="00163AEA">
        <w:t>Frågan har inte varit föremål för samråd i EU-nämnden tidigare.</w:t>
      </w:r>
    </w:p>
    <w:p w14:paraId="4E1D4FAD" w14:textId="77777777" w:rsidR="00246155" w:rsidRPr="00163AEA" w:rsidRDefault="00246155">
      <w:pPr>
        <w:pStyle w:val="RKnormal"/>
      </w:pPr>
    </w:p>
    <w:p w14:paraId="55868BF8" w14:textId="77777777" w:rsidR="00246155" w:rsidRPr="00163AEA" w:rsidRDefault="00246155">
      <w:pPr>
        <w:pStyle w:val="RKrubrik"/>
      </w:pPr>
      <w:r w:rsidRPr="00163AEA">
        <w:t>10. Förslag till rådets förordning om ändring och rättelse av förordning (EG) nr 1782/2003 om upprättande av gemensamma bestämmelser för system för direktstöd inom den gemensamma jordbrukspolitiken och om upprättande av vissa stödsystem för jordbrukare och om ändring av förordning (EG) nr 1698/2005 om stöd för landsbygdsutveckling från Europeiska jordbruksfonden för landsbygdsutveckling (EJFLU)</w:t>
      </w:r>
    </w:p>
    <w:p w14:paraId="25B4870E" w14:textId="77777777" w:rsidR="00246155" w:rsidRPr="00163AEA" w:rsidRDefault="00246155">
      <w:pPr>
        <w:pStyle w:val="RKnormal"/>
        <w:rPr>
          <w:b/>
          <w:bCs/>
          <w:i/>
          <w:iCs/>
        </w:rPr>
      </w:pPr>
      <w:r w:rsidRPr="00163AEA">
        <w:rPr>
          <w:b/>
          <w:bCs/>
          <w:i/>
          <w:iCs/>
        </w:rPr>
        <w:t>- Riktlinjedebatt</w:t>
      </w:r>
    </w:p>
    <w:p w14:paraId="19ADF563" w14:textId="77777777" w:rsidR="00246155" w:rsidRPr="00163AEA" w:rsidRDefault="00246155">
      <w:pPr>
        <w:pStyle w:val="RKnormal"/>
        <w:rPr>
          <w:i/>
          <w:iCs/>
        </w:rPr>
      </w:pPr>
    </w:p>
    <w:p w14:paraId="41AB8D83" w14:textId="77777777" w:rsidR="00246155" w:rsidRPr="00163AEA" w:rsidRDefault="00246155">
      <w:pPr>
        <w:pStyle w:val="RKnormal"/>
        <w:rPr>
          <w:i/>
          <w:iCs/>
        </w:rPr>
      </w:pPr>
      <w:r w:rsidRPr="00163AEA">
        <w:rPr>
          <w:i/>
          <w:iCs/>
        </w:rPr>
        <w:t>Dokumentbeteckning</w:t>
      </w:r>
    </w:p>
    <w:p w14:paraId="6D60BD6B" w14:textId="77777777" w:rsidR="00246155" w:rsidRPr="00163AEA" w:rsidRDefault="00246155">
      <w:pPr>
        <w:pStyle w:val="RKnormal"/>
      </w:pPr>
      <w:r w:rsidRPr="00163AEA">
        <w:t>13217/06 AGRI 297 AGRISTR 38 AGRIFIN 78 AGRIORG 76 ENV 491 ENER 217</w:t>
      </w:r>
    </w:p>
    <w:p w14:paraId="334FA21D" w14:textId="77777777" w:rsidR="00246155" w:rsidRPr="00163AEA" w:rsidRDefault="00246155">
      <w:pPr>
        <w:pStyle w:val="RKnormal"/>
      </w:pPr>
    </w:p>
    <w:p w14:paraId="110B1046" w14:textId="77777777" w:rsidR="00246155" w:rsidRPr="00163AEA" w:rsidRDefault="00246155">
      <w:pPr>
        <w:pStyle w:val="RKnormal"/>
        <w:rPr>
          <w:i/>
          <w:iCs/>
        </w:rPr>
      </w:pPr>
      <w:r w:rsidRPr="00163AEA">
        <w:rPr>
          <w:i/>
          <w:iCs/>
        </w:rPr>
        <w:t>Rättslig grund</w:t>
      </w:r>
    </w:p>
    <w:p w14:paraId="707C09D2" w14:textId="77777777" w:rsidR="00246155" w:rsidRPr="00163AEA" w:rsidRDefault="00246155">
      <w:pPr>
        <w:pStyle w:val="RKnormal"/>
      </w:pPr>
      <w:r w:rsidRPr="00163AEA">
        <w:t>Rapporten -</w:t>
      </w:r>
      <w:commentRangeStart w:id="1"/>
      <w:commentRangeEnd w:id="1"/>
      <w:r w:rsidRPr="00163AEA">
        <w:rPr>
          <w:rStyle w:val="Kommentarsreferens"/>
          <w:sz w:val="24"/>
          <w:szCs w:val="20"/>
        </w:rPr>
        <w:commentReference w:id="1"/>
      </w:r>
    </w:p>
    <w:p w14:paraId="6191A690" w14:textId="77777777" w:rsidR="00246155" w:rsidRPr="00163AEA" w:rsidRDefault="00246155">
      <w:pPr>
        <w:pStyle w:val="RKnormal"/>
      </w:pPr>
      <w:r w:rsidRPr="00163AEA">
        <w:t>Förordningen: Artikel 36 och 37.2 i fördraget. Beslut fattas av rådet med kvalificerad majoritet efter att ha inhämtat Europaparlamentets yttrande.</w:t>
      </w:r>
    </w:p>
    <w:p w14:paraId="2BAFC418" w14:textId="77777777" w:rsidR="00246155" w:rsidRPr="00163AEA" w:rsidRDefault="00246155">
      <w:pPr>
        <w:pStyle w:val="RKnormal"/>
      </w:pPr>
    </w:p>
    <w:p w14:paraId="1102A822" w14:textId="77777777" w:rsidR="00246155" w:rsidRPr="00163AEA" w:rsidRDefault="00246155">
      <w:pPr>
        <w:pStyle w:val="RKnormal"/>
        <w:rPr>
          <w:i/>
          <w:iCs/>
        </w:rPr>
      </w:pPr>
      <w:r w:rsidRPr="00163AEA">
        <w:rPr>
          <w:i/>
          <w:iCs/>
        </w:rPr>
        <w:t>Bakgrund</w:t>
      </w:r>
    </w:p>
    <w:p w14:paraId="2DF8EAE8" w14:textId="77777777" w:rsidR="00246155" w:rsidRPr="00163AEA" w:rsidRDefault="00246155">
      <w:pPr>
        <w:pStyle w:val="RKnormal"/>
      </w:pPr>
      <w:r w:rsidRPr="00163AEA">
        <w:t>Rådsförordning (EG) nr 1782/2003 anger att kommissionen senast den 31 december 2006 ska överlämna en rapport till rådet om genomförandet av stödsystemet för energigrödor, vid behov åtföljd av förslag som tar hänsyn till genomförandet av EU:s biobränsleinitiativ</w:t>
      </w:r>
      <w:r w:rsidRPr="00163AEA">
        <w:rPr>
          <w:rStyle w:val="Fotnotsreferens"/>
        </w:rPr>
        <w:footnoteReference w:id="2"/>
      </w:r>
      <w:r w:rsidRPr="00163AEA">
        <w:t>.</w:t>
      </w:r>
    </w:p>
    <w:p w14:paraId="415895DB" w14:textId="77777777" w:rsidR="00246155" w:rsidRPr="00163AEA" w:rsidRDefault="00246155">
      <w:pPr>
        <w:pStyle w:val="RKnormal"/>
      </w:pPr>
    </w:p>
    <w:p w14:paraId="7E79C8A6" w14:textId="77777777" w:rsidR="00246155" w:rsidRPr="00163AEA" w:rsidRDefault="00246155">
      <w:pPr>
        <w:pStyle w:val="RKnormal"/>
      </w:pPr>
      <w:r w:rsidRPr="00163AEA">
        <w:t>I samband med den rapport som nu har presenterats föreslår kommissionen att energigrödpremien görs tillgänglig även för de nya medlemsstaterna (NMS) som tillämpar det förenklade stödsystemet (single area payment scheme, SAPS). Kommissionen föreslår därför att den maximal garanterad arealen (MGA) utökas med 500 000 ha till 2 miljoner ha. Förslaget innebär en ökad budgetkostnad på 22,5 miljoner euro.</w:t>
      </w:r>
    </w:p>
    <w:p w14:paraId="21137D32" w14:textId="77777777" w:rsidR="00246155" w:rsidRPr="00163AEA" w:rsidRDefault="00246155">
      <w:pPr>
        <w:pStyle w:val="RKnormal"/>
      </w:pPr>
    </w:p>
    <w:p w14:paraId="03B6A86E" w14:textId="77777777" w:rsidR="00246155" w:rsidRPr="00163AEA" w:rsidRDefault="00246155">
      <w:pPr>
        <w:pStyle w:val="RKnormal"/>
      </w:pPr>
      <w:r w:rsidRPr="00163AEA">
        <w:t>Nationellt stöd för anläggning av permanenta energigrödor som till exempel salix</w:t>
      </w:r>
      <w:r w:rsidRPr="00163AEA">
        <w:rPr>
          <w:rStyle w:val="Fotnotsreferens"/>
        </w:rPr>
        <w:footnoteReference w:id="3"/>
      </w:r>
      <w:r w:rsidRPr="00163AEA">
        <w:t xml:space="preserve"> föreslås utökas till att omfatta arealer även utanför trädan, under förutsättning att lantbrukaren samtidigt ansöker om energigrödpremien.</w:t>
      </w:r>
    </w:p>
    <w:p w14:paraId="11683F75" w14:textId="77777777" w:rsidR="00246155" w:rsidRPr="00163AEA" w:rsidRDefault="00246155">
      <w:pPr>
        <w:pStyle w:val="RKnormal"/>
      </w:pPr>
    </w:p>
    <w:p w14:paraId="67572785" w14:textId="77777777" w:rsidR="00246155" w:rsidRPr="00163AEA" w:rsidRDefault="00246155">
      <w:pPr>
        <w:pStyle w:val="RKnormal"/>
      </w:pPr>
      <w:r w:rsidRPr="00163AEA">
        <w:t xml:space="preserve">Utöver ändringar inom ramen för stödsystemet för energigrödor föreslår kommissionen även ett antal ytterligare ändringar i rådsförordning 1782/2003. Bland annat föreslås att möjligheten att tillämpa SAPS förlängs till utgången av 2010. Undantaget från tillämpning av tvärvillkoren ska dock inte förlängas efter utgången av 2008. </w:t>
      </w:r>
    </w:p>
    <w:p w14:paraId="1594061D" w14:textId="77777777" w:rsidR="00246155" w:rsidRPr="00163AEA" w:rsidRDefault="00246155">
      <w:pPr>
        <w:pStyle w:val="RKnormal"/>
      </w:pPr>
    </w:p>
    <w:p w14:paraId="6ABB567B" w14:textId="77777777" w:rsidR="00246155" w:rsidRPr="00163AEA" w:rsidRDefault="00246155">
      <w:pPr>
        <w:pStyle w:val="RKnormal"/>
        <w:rPr>
          <w:i/>
          <w:iCs/>
        </w:rPr>
      </w:pPr>
      <w:r w:rsidRPr="00163AEA">
        <w:rPr>
          <w:i/>
          <w:iCs/>
        </w:rPr>
        <w:t>Förslag till svensk ståndpunkt</w:t>
      </w:r>
    </w:p>
    <w:p w14:paraId="2FF1A59F" w14:textId="77777777" w:rsidR="00246155" w:rsidRPr="00163AEA" w:rsidRDefault="00246155">
      <w:pPr>
        <w:pStyle w:val="RKnormal"/>
        <w:rPr>
          <w:color w:val="000000"/>
          <w:szCs w:val="24"/>
        </w:rPr>
      </w:pPr>
      <w:r w:rsidRPr="00163AEA">
        <w:t xml:space="preserve">Sverige välkomnar kommissionens rapport och förslag om stödsystemet för energigrödor. Kommissionens syfte med ett särskilt stöd för energigrödor är att ersätta fossila energikällor. Det saknas dock en djupare analys av effektiviteten av stödet vilket är beklagligt. </w:t>
      </w:r>
      <w:r w:rsidRPr="00163AEA">
        <w:rPr>
          <w:color w:val="000000"/>
          <w:szCs w:val="24"/>
        </w:rPr>
        <w:t xml:space="preserve">Det är även viktigt att förslaget finansieras inom befintliga budgetramar och inte ytterligare belastar jordbruksbudgeten. </w:t>
      </w:r>
    </w:p>
    <w:p w14:paraId="646B7EAE" w14:textId="77777777" w:rsidR="00246155" w:rsidRPr="00163AEA" w:rsidRDefault="00246155">
      <w:pPr>
        <w:pStyle w:val="RKnormal"/>
        <w:rPr>
          <w:color w:val="000000"/>
          <w:szCs w:val="24"/>
        </w:rPr>
      </w:pPr>
    </w:p>
    <w:p w14:paraId="0AE7C2B7" w14:textId="77777777" w:rsidR="00246155" w:rsidRPr="00163AEA" w:rsidRDefault="00246155">
      <w:pPr>
        <w:pStyle w:val="RKnormal"/>
      </w:pPr>
      <w:r w:rsidRPr="00163AEA">
        <w:t>För närvarande, vilket kommissionen också anger i rapporten, är de administrativa kostnaderna för stödet höga för såväl lantbrukare som den statliga administrationen. Sverige anser därför att det är av stor vikt att regelverket för energigrödor förenklas. Sveriges långsiktiga målsättning är att all odling på åkermark, oavsett slutanvändning ska behandlas lika. Det är viktigt att nya förslag inom den gemensamma jordbrukspolitiken leder till bättre marknadsanpassning genom frikoppling av stöd. Detta gäller äv</w:t>
      </w:r>
      <w:r w:rsidRPr="00163AEA">
        <w:t>en bioenergisektorn.</w:t>
      </w:r>
    </w:p>
    <w:p w14:paraId="7825905D" w14:textId="77777777" w:rsidR="00246155" w:rsidRPr="00163AEA" w:rsidRDefault="00246155">
      <w:pPr>
        <w:pStyle w:val="RKnormal"/>
      </w:pPr>
    </w:p>
    <w:p w14:paraId="54202E3B" w14:textId="77777777" w:rsidR="00246155" w:rsidRPr="00163AEA" w:rsidRDefault="00246155">
      <w:pPr>
        <w:pStyle w:val="RKnormal"/>
        <w:rPr>
          <w:i/>
          <w:iCs/>
        </w:rPr>
      </w:pPr>
      <w:r w:rsidRPr="00163AEA">
        <w:rPr>
          <w:i/>
          <w:iCs/>
        </w:rPr>
        <w:t>EU-nämnden</w:t>
      </w:r>
    </w:p>
    <w:p w14:paraId="719A5D61" w14:textId="77777777" w:rsidR="00246155" w:rsidRPr="00163AEA" w:rsidRDefault="00246155">
      <w:pPr>
        <w:pStyle w:val="RKnormal"/>
      </w:pPr>
      <w:r w:rsidRPr="00163AEA">
        <w:t>Frågan har inte tidigare varit föremål för samråd i EU-nämnden.</w:t>
      </w:r>
    </w:p>
    <w:p w14:paraId="49FD4B2C" w14:textId="77777777" w:rsidR="00246155" w:rsidRPr="00163AEA" w:rsidRDefault="00246155">
      <w:pPr>
        <w:pStyle w:val="RKnormal"/>
      </w:pPr>
    </w:p>
    <w:p w14:paraId="1539B76C" w14:textId="77777777" w:rsidR="00246155" w:rsidRPr="00163AEA" w:rsidRDefault="00246155">
      <w:pPr>
        <w:pStyle w:val="RKnormal"/>
      </w:pPr>
    </w:p>
    <w:p w14:paraId="623E54F1" w14:textId="77777777" w:rsidR="00246155" w:rsidRPr="00163AEA" w:rsidRDefault="00246155">
      <w:pPr>
        <w:pStyle w:val="RKrubrik"/>
      </w:pPr>
      <w:r w:rsidRPr="00163AEA">
        <w:t>11. Övriga frågor</w:t>
      </w:r>
    </w:p>
    <w:p w14:paraId="0C4D8FEC" w14:textId="77777777" w:rsidR="00246155" w:rsidRPr="00163AEA" w:rsidRDefault="00246155">
      <w:pPr>
        <w:pStyle w:val="RKrubrik"/>
      </w:pPr>
      <w:r w:rsidRPr="00163AEA">
        <w:t>a) EU/Norge: Årliga samråd för 2007</w:t>
      </w:r>
    </w:p>
    <w:p w14:paraId="16971991" w14:textId="77777777" w:rsidR="00246155" w:rsidRPr="00163AEA" w:rsidRDefault="00246155">
      <w:pPr>
        <w:pStyle w:val="RKnormal"/>
        <w:rPr>
          <w:b/>
          <w:bCs/>
          <w:i/>
          <w:iCs/>
        </w:rPr>
      </w:pPr>
      <w:r w:rsidRPr="00163AEA">
        <w:rPr>
          <w:b/>
          <w:bCs/>
          <w:i/>
          <w:iCs/>
        </w:rPr>
        <w:t>- Information från kommissionen</w:t>
      </w:r>
    </w:p>
    <w:p w14:paraId="3DBC986E" w14:textId="77777777" w:rsidR="00246155" w:rsidRPr="00163AEA" w:rsidRDefault="00246155">
      <w:pPr>
        <w:pStyle w:val="RKnormal"/>
        <w:rPr>
          <w:i/>
          <w:iCs/>
        </w:rPr>
      </w:pPr>
    </w:p>
    <w:p w14:paraId="07309C1D" w14:textId="77777777" w:rsidR="00246155" w:rsidRPr="00163AEA" w:rsidRDefault="00246155">
      <w:pPr>
        <w:pStyle w:val="RKnormal"/>
        <w:rPr>
          <w:i/>
          <w:iCs/>
        </w:rPr>
      </w:pPr>
      <w:r w:rsidRPr="00163AEA">
        <w:rPr>
          <w:i/>
          <w:iCs/>
        </w:rPr>
        <w:t>Dokumentbeteckning</w:t>
      </w:r>
    </w:p>
    <w:p w14:paraId="6EE1CA71" w14:textId="77777777" w:rsidR="00246155" w:rsidRPr="00163AEA" w:rsidRDefault="00246155">
      <w:pPr>
        <w:pStyle w:val="RKnormal"/>
        <w:rPr>
          <w:i/>
          <w:iCs/>
        </w:rPr>
      </w:pPr>
      <w:r w:rsidRPr="00163AEA">
        <w:rPr>
          <w:i/>
          <w:iCs/>
        </w:rPr>
        <w:t>-</w:t>
      </w:r>
    </w:p>
    <w:p w14:paraId="67203CF2" w14:textId="77777777" w:rsidR="00246155" w:rsidRPr="00163AEA" w:rsidRDefault="00246155">
      <w:pPr>
        <w:pStyle w:val="RKnormal"/>
        <w:rPr>
          <w:i/>
          <w:iCs/>
        </w:rPr>
      </w:pPr>
    </w:p>
    <w:p w14:paraId="5ACEFF55" w14:textId="77777777" w:rsidR="00246155" w:rsidRPr="00163AEA" w:rsidRDefault="00246155">
      <w:pPr>
        <w:pStyle w:val="RKnormal"/>
        <w:rPr>
          <w:i/>
          <w:iCs/>
        </w:rPr>
      </w:pPr>
      <w:r w:rsidRPr="00163AEA">
        <w:rPr>
          <w:i/>
          <w:iCs/>
        </w:rPr>
        <w:t>Rättslig grund</w:t>
      </w:r>
    </w:p>
    <w:p w14:paraId="52263D8A" w14:textId="77777777" w:rsidR="00246155" w:rsidRPr="00163AEA" w:rsidRDefault="00246155">
      <w:pPr>
        <w:pStyle w:val="RKnormal"/>
      </w:pPr>
      <w:r w:rsidRPr="00163AEA">
        <w:t>-</w:t>
      </w:r>
    </w:p>
    <w:p w14:paraId="2013B2EC" w14:textId="77777777" w:rsidR="00246155" w:rsidRPr="00163AEA" w:rsidRDefault="00246155">
      <w:pPr>
        <w:pStyle w:val="RKnormal"/>
        <w:rPr>
          <w:i/>
          <w:iCs/>
        </w:rPr>
      </w:pPr>
    </w:p>
    <w:p w14:paraId="2EC3CEC5" w14:textId="77777777" w:rsidR="00246155" w:rsidRPr="00163AEA" w:rsidRDefault="00246155">
      <w:pPr>
        <w:pStyle w:val="RKnormal"/>
        <w:rPr>
          <w:i/>
          <w:iCs/>
        </w:rPr>
      </w:pPr>
      <w:r w:rsidRPr="00163AEA">
        <w:rPr>
          <w:i/>
          <w:iCs/>
        </w:rPr>
        <w:t>Bakgrund</w:t>
      </w:r>
    </w:p>
    <w:p w14:paraId="28E01689" w14:textId="77777777" w:rsidR="00246155" w:rsidRPr="00163AEA" w:rsidRDefault="00246155">
      <w:pPr>
        <w:pStyle w:val="RKnormal"/>
      </w:pPr>
      <w:r w:rsidRPr="00163AEA">
        <w:t>1980 års fiskeavtal mellan EG och Norge föreskriver årliga förhandlingar om kommande års fiskekvoter med mera. Ett första preliminärt meningsutbyte om dessa ägde rum vid jordbruks- och fiskerådsmötet den 24-25 oktober 2006. På detta jordbruks- och fiskeråd kommer kommissionen att informera om den första (vilken ägde rum mellan 6-10 november 2006) av två förhandlingsrundor med Norge. Den första rundan var av sonderande natur och inte avsedd att lösa de centrala frågorna om kvoter och byte av fiskemöjlighete</w:t>
      </w:r>
      <w:r w:rsidRPr="00163AEA">
        <w:t>r.</w:t>
      </w:r>
    </w:p>
    <w:p w14:paraId="37CD5DBC" w14:textId="77777777" w:rsidR="00246155" w:rsidRPr="00163AEA" w:rsidRDefault="00246155">
      <w:pPr>
        <w:pStyle w:val="RKnormal"/>
      </w:pPr>
    </w:p>
    <w:p w14:paraId="5C91D893" w14:textId="77777777" w:rsidR="00246155" w:rsidRPr="00163AEA" w:rsidRDefault="00246155">
      <w:pPr>
        <w:pStyle w:val="RKnormal"/>
        <w:rPr>
          <w:i/>
          <w:iCs/>
        </w:rPr>
      </w:pPr>
      <w:r w:rsidRPr="00163AEA">
        <w:rPr>
          <w:i/>
          <w:iCs/>
        </w:rPr>
        <w:t>Förslag till svensk ståndpunkt</w:t>
      </w:r>
    </w:p>
    <w:p w14:paraId="622E7317" w14:textId="77777777" w:rsidR="00246155" w:rsidRPr="00163AEA" w:rsidRDefault="00246155">
      <w:r w:rsidRPr="00163AEA">
        <w:t xml:space="preserve">Den första förhandlingsrundans sonderingar, och framstegen i några avseenden, visar att förutsättningarna är goda för att nå en ömsesidigt fördelaktig och långsiktigt hållbar överenskommelse vid nästa runda. För svenskt vidkommande är det särskilt angeläget att besluten avseende fisket av sill i Kattegatt/Skagerak beaktar att beståndet består av två komponenter med olika biologiska karakteristika. </w:t>
      </w:r>
    </w:p>
    <w:p w14:paraId="2B022494" w14:textId="77777777" w:rsidR="00246155" w:rsidRPr="00163AEA" w:rsidRDefault="00246155">
      <w:pPr>
        <w:rPr>
          <w:i/>
          <w:iCs/>
        </w:rPr>
      </w:pPr>
    </w:p>
    <w:p w14:paraId="0C4218D6" w14:textId="77777777" w:rsidR="00246155" w:rsidRPr="00163AEA" w:rsidRDefault="00246155">
      <w:pPr>
        <w:pStyle w:val="RKnormal"/>
        <w:jc w:val="both"/>
        <w:rPr>
          <w:i/>
          <w:iCs/>
        </w:rPr>
      </w:pPr>
      <w:r w:rsidRPr="00163AEA">
        <w:rPr>
          <w:i/>
          <w:iCs/>
        </w:rPr>
        <w:t>EU-nämnden</w:t>
      </w:r>
    </w:p>
    <w:p w14:paraId="5EBF7FC4" w14:textId="77777777" w:rsidR="00246155" w:rsidRPr="00163AEA" w:rsidRDefault="00246155">
      <w:pPr>
        <w:pStyle w:val="RKnormal"/>
      </w:pPr>
      <w:r w:rsidRPr="00163AEA">
        <w:t>Frågan var föremål för samråd med EU-nämnden inför rådsmötet 24-25 oktober.</w:t>
      </w:r>
    </w:p>
    <w:p w14:paraId="73955A9E" w14:textId="77777777" w:rsidR="00246155" w:rsidRPr="00163AEA" w:rsidRDefault="00246155">
      <w:pPr>
        <w:pStyle w:val="RKnormal"/>
      </w:pPr>
    </w:p>
    <w:p w14:paraId="43C24620" w14:textId="77777777" w:rsidR="00246155" w:rsidRPr="00163AEA" w:rsidRDefault="00246155">
      <w:pPr>
        <w:pStyle w:val="RKnormal"/>
      </w:pPr>
    </w:p>
    <w:p w14:paraId="0F0914AB" w14:textId="77777777" w:rsidR="00246155" w:rsidRPr="00163AEA" w:rsidRDefault="00246155">
      <w:pPr>
        <w:pStyle w:val="RKrubrik"/>
      </w:pPr>
      <w:r w:rsidRPr="00163AEA">
        <w:t>b) Rapport från kommissionen till rådet och Europaparlamentet om tillämpning av Europaparlamentets och rådets förordning (EG) nr 1829/2003 om genetiskt modifierade livsmedel och foder</w:t>
      </w:r>
    </w:p>
    <w:p w14:paraId="6A6A8BD5" w14:textId="77777777" w:rsidR="00246155" w:rsidRPr="00163AEA" w:rsidRDefault="00246155">
      <w:pPr>
        <w:pStyle w:val="RKnormal"/>
        <w:rPr>
          <w:b/>
          <w:bCs/>
          <w:i/>
          <w:iCs/>
        </w:rPr>
      </w:pPr>
      <w:r w:rsidRPr="00163AEA">
        <w:rPr>
          <w:b/>
          <w:bCs/>
          <w:i/>
          <w:iCs/>
        </w:rPr>
        <w:t>- Föredragning av kommissionen</w:t>
      </w:r>
    </w:p>
    <w:p w14:paraId="14834E90" w14:textId="77777777" w:rsidR="00246155" w:rsidRPr="00163AEA" w:rsidRDefault="00246155">
      <w:pPr>
        <w:pStyle w:val="RKnormal"/>
      </w:pPr>
    </w:p>
    <w:p w14:paraId="0C69982C" w14:textId="77777777" w:rsidR="00246155" w:rsidRPr="00163AEA" w:rsidRDefault="00246155">
      <w:pPr>
        <w:pStyle w:val="RKnormal"/>
        <w:rPr>
          <w:i/>
          <w:iCs/>
        </w:rPr>
      </w:pPr>
      <w:r w:rsidRPr="00163AEA">
        <w:rPr>
          <w:i/>
          <w:iCs/>
        </w:rPr>
        <w:t>Dokumentbeteckning</w:t>
      </w:r>
    </w:p>
    <w:p w14:paraId="49FF89C1" w14:textId="77777777" w:rsidR="00246155" w:rsidRPr="00163AEA" w:rsidRDefault="00246155">
      <w:pPr>
        <w:pStyle w:val="RKnormal"/>
      </w:pPr>
      <w:r w:rsidRPr="00163AEA">
        <w:t>14668/06 AGRI 349 ENV 581</w:t>
      </w:r>
    </w:p>
    <w:p w14:paraId="6B548CAC" w14:textId="77777777" w:rsidR="00246155" w:rsidRPr="00163AEA" w:rsidRDefault="00246155">
      <w:pPr>
        <w:pStyle w:val="RKnormal"/>
        <w:rPr>
          <w:i/>
          <w:iCs/>
        </w:rPr>
      </w:pPr>
    </w:p>
    <w:p w14:paraId="25A5A157" w14:textId="77777777" w:rsidR="00246155" w:rsidRPr="00163AEA" w:rsidRDefault="00246155">
      <w:pPr>
        <w:pStyle w:val="RKnormal"/>
      </w:pPr>
      <w:r w:rsidRPr="00163AEA">
        <w:rPr>
          <w:i/>
          <w:iCs/>
        </w:rPr>
        <w:t>Rättslig grund</w:t>
      </w:r>
    </w:p>
    <w:p w14:paraId="5E2B4E03" w14:textId="77777777" w:rsidR="00246155" w:rsidRPr="00163AEA" w:rsidRDefault="00246155">
      <w:pPr>
        <w:pStyle w:val="RKnormal"/>
        <w:rPr>
          <w:i/>
          <w:iCs/>
        </w:rPr>
      </w:pPr>
      <w:r w:rsidRPr="00163AEA">
        <w:rPr>
          <w:i/>
          <w:iCs/>
        </w:rPr>
        <w:t>-</w:t>
      </w:r>
    </w:p>
    <w:p w14:paraId="3E5CA6E7" w14:textId="77777777" w:rsidR="00246155" w:rsidRPr="00163AEA" w:rsidRDefault="00246155">
      <w:pPr>
        <w:pStyle w:val="RKnormal"/>
        <w:rPr>
          <w:i/>
          <w:iCs/>
        </w:rPr>
      </w:pPr>
    </w:p>
    <w:p w14:paraId="037BAF48" w14:textId="77777777" w:rsidR="00246155" w:rsidRPr="00163AEA" w:rsidRDefault="00246155">
      <w:pPr>
        <w:pStyle w:val="RKnormal"/>
        <w:rPr>
          <w:i/>
          <w:iCs/>
        </w:rPr>
      </w:pPr>
      <w:r w:rsidRPr="00163AEA">
        <w:rPr>
          <w:i/>
          <w:iCs/>
        </w:rPr>
        <w:t>Bakgrund</w:t>
      </w:r>
    </w:p>
    <w:p w14:paraId="3B001BF2" w14:textId="77777777" w:rsidR="00246155" w:rsidRPr="00163AEA" w:rsidRDefault="00246155">
      <w:pPr>
        <w:pStyle w:val="RKnormal"/>
      </w:pPr>
      <w:r w:rsidRPr="00163AEA">
        <w:t>Europaparlamentets och rådets förordning (EG) nr 1829/2003 om genetiskt modifierade livsmedel och foder har tillämpats i EU sedan 18 april 2004. Enligt artikel 48 i förordningen skall kommissionen lämna en rapport om genomförandet av den till rådet och parlamentet. Rapporten skall om det bedöms lämpligt åtföljas av lämpliga förslag på ändringar av förordningen. Rapporten behandlar bl.a. genomförandet av förordningen när det gäller godkännandeproceduren för GMO i livsmedel och foder, notifieringen av existe</w:t>
      </w:r>
      <w:r w:rsidRPr="00163AEA">
        <w:t>rande produkter, märkning av livsmedel och foder innehållande GMO, förekomsten av icke-godkända GMO, åtgärder för genomförandet av förordningen och frågan om fermenteringsprodukter.</w:t>
      </w:r>
    </w:p>
    <w:p w14:paraId="0E3CF500" w14:textId="77777777" w:rsidR="00246155" w:rsidRPr="00163AEA" w:rsidRDefault="00246155">
      <w:pPr>
        <w:pStyle w:val="RKnormal"/>
      </w:pPr>
    </w:p>
    <w:p w14:paraId="538FAB8F" w14:textId="77777777" w:rsidR="00246155" w:rsidRPr="00163AEA" w:rsidRDefault="00246155">
      <w:pPr>
        <w:pStyle w:val="RKnormal"/>
      </w:pPr>
      <w:r w:rsidRPr="00163AEA">
        <w:t>Kommissionens slutsats i rapporten är att förordningen endast varit i kraft en begränsad tid och att erfarenheten därför är starkt begränsad. Kommissionen betraktar därför rapporten som preliminär och att fortsatt uppföljning och rapportering kommer att vara nödvändig för att få en god bild av hur förordningen genomförts. Kommissionen avser att utarbeta ytterligare en rapport när tillräcklig tid har förflutit för att ge möjlighet till ytterligare insikt i olika aspekter av genomförandet av förordningen.</w:t>
      </w:r>
    </w:p>
    <w:p w14:paraId="49B56D62" w14:textId="77777777" w:rsidR="00246155" w:rsidRPr="00163AEA" w:rsidRDefault="00246155">
      <w:pPr>
        <w:pStyle w:val="RKnormal"/>
        <w:rPr>
          <w:i/>
          <w:iCs/>
        </w:rPr>
      </w:pPr>
    </w:p>
    <w:p w14:paraId="503219AC" w14:textId="77777777" w:rsidR="00246155" w:rsidRPr="00163AEA" w:rsidRDefault="00246155">
      <w:pPr>
        <w:pStyle w:val="RKnormal"/>
      </w:pPr>
      <w:r w:rsidRPr="00163AEA">
        <w:rPr>
          <w:i/>
          <w:iCs/>
        </w:rPr>
        <w:t>Förslag till svensk ståndpunkt</w:t>
      </w:r>
    </w:p>
    <w:p w14:paraId="2D0FC9DB" w14:textId="77777777" w:rsidR="00246155" w:rsidRPr="00163AEA" w:rsidRDefault="00246155">
      <w:pPr>
        <w:pStyle w:val="RKnormal"/>
        <w:tabs>
          <w:tab w:val="left" w:pos="0"/>
        </w:tabs>
      </w:pPr>
      <w:r w:rsidRPr="00163AEA">
        <w:t>Sverige välkomnar kommissionens rapport och delar kommissionens slutsatser när det gäller genomförandet av Europaparlamentets och rådets förordning (EG) nr 1829/2003 om genetiskt modifierade livsmedel och foder.</w:t>
      </w:r>
    </w:p>
    <w:p w14:paraId="51BF9F63" w14:textId="77777777" w:rsidR="00246155" w:rsidRPr="00163AEA" w:rsidRDefault="00246155">
      <w:pPr>
        <w:pStyle w:val="RKnormal"/>
      </w:pPr>
    </w:p>
    <w:p w14:paraId="3F528815" w14:textId="77777777" w:rsidR="00246155" w:rsidRPr="00163AEA" w:rsidRDefault="00246155">
      <w:pPr>
        <w:pStyle w:val="RKnormal"/>
        <w:rPr>
          <w:i/>
          <w:iCs/>
        </w:rPr>
      </w:pPr>
      <w:r w:rsidRPr="00163AEA">
        <w:rPr>
          <w:i/>
          <w:iCs/>
        </w:rPr>
        <w:t>EU-nämnden</w:t>
      </w:r>
    </w:p>
    <w:p w14:paraId="5C3B75C7" w14:textId="77777777" w:rsidR="00246155" w:rsidRPr="00163AEA" w:rsidRDefault="00246155">
      <w:pPr>
        <w:pStyle w:val="RKnormal"/>
      </w:pPr>
      <w:r w:rsidRPr="00163AEA">
        <w:t>Frågan har inte tidigare varit föremål för samråd i EU-nämnden.</w:t>
      </w:r>
    </w:p>
    <w:p w14:paraId="70223F90" w14:textId="77777777" w:rsidR="00246155" w:rsidRPr="00163AEA" w:rsidRDefault="00246155">
      <w:pPr>
        <w:pStyle w:val="RKnormal"/>
      </w:pPr>
    </w:p>
    <w:p w14:paraId="6CED6335" w14:textId="77777777" w:rsidR="00246155" w:rsidRPr="00163AEA" w:rsidRDefault="00246155">
      <w:pPr>
        <w:pStyle w:val="RKnormal"/>
        <w:rPr>
          <w:i/>
          <w:iCs/>
        </w:rPr>
      </w:pPr>
    </w:p>
    <w:p w14:paraId="6A03D7AC" w14:textId="77777777" w:rsidR="00246155" w:rsidRPr="00163AEA" w:rsidRDefault="00246155">
      <w:pPr>
        <w:pStyle w:val="RKrubrik"/>
      </w:pPr>
      <w:r w:rsidRPr="00163AEA">
        <w:t>c) Fågelinfluensan (H5N1)</w:t>
      </w:r>
    </w:p>
    <w:p w14:paraId="3075BF39" w14:textId="77777777" w:rsidR="00246155" w:rsidRPr="00163AEA" w:rsidRDefault="00246155">
      <w:pPr>
        <w:pStyle w:val="RKnormal"/>
        <w:rPr>
          <w:b/>
          <w:bCs/>
          <w:i/>
          <w:iCs/>
        </w:rPr>
      </w:pPr>
      <w:r w:rsidRPr="00163AEA">
        <w:rPr>
          <w:b/>
          <w:bCs/>
          <w:i/>
          <w:iCs/>
        </w:rPr>
        <w:t>- Uppdaterad information från kommissionen</w:t>
      </w:r>
    </w:p>
    <w:p w14:paraId="3035AA1A" w14:textId="77777777" w:rsidR="00246155" w:rsidRPr="00163AEA" w:rsidRDefault="00246155">
      <w:pPr>
        <w:pStyle w:val="RKnormal"/>
        <w:rPr>
          <w:i/>
          <w:iCs/>
        </w:rPr>
      </w:pPr>
    </w:p>
    <w:p w14:paraId="15CB6A5C" w14:textId="77777777" w:rsidR="00246155" w:rsidRPr="00163AEA" w:rsidRDefault="00246155">
      <w:pPr>
        <w:pStyle w:val="RKnormal"/>
        <w:rPr>
          <w:i/>
          <w:iCs/>
        </w:rPr>
      </w:pPr>
      <w:r w:rsidRPr="00163AEA">
        <w:rPr>
          <w:i/>
          <w:iCs/>
        </w:rPr>
        <w:t>Dokumentbeteckning</w:t>
      </w:r>
    </w:p>
    <w:p w14:paraId="37BC06C4" w14:textId="77777777" w:rsidR="00246155" w:rsidRPr="00163AEA" w:rsidRDefault="00246155">
      <w:pPr>
        <w:pStyle w:val="RKnormal"/>
        <w:rPr>
          <w:i/>
          <w:iCs/>
        </w:rPr>
      </w:pPr>
      <w:r w:rsidRPr="00163AEA">
        <w:rPr>
          <w:i/>
          <w:iCs/>
        </w:rPr>
        <w:t>-</w:t>
      </w:r>
    </w:p>
    <w:p w14:paraId="435C61A6" w14:textId="77777777" w:rsidR="00246155" w:rsidRPr="00163AEA" w:rsidRDefault="00246155">
      <w:pPr>
        <w:pStyle w:val="RKnormal"/>
        <w:rPr>
          <w:i/>
          <w:iCs/>
        </w:rPr>
      </w:pPr>
    </w:p>
    <w:p w14:paraId="4A1AEBFB" w14:textId="77777777" w:rsidR="00246155" w:rsidRPr="00163AEA" w:rsidRDefault="00246155">
      <w:pPr>
        <w:pStyle w:val="RKnormal"/>
        <w:rPr>
          <w:i/>
          <w:iCs/>
        </w:rPr>
      </w:pPr>
      <w:r w:rsidRPr="00163AEA">
        <w:rPr>
          <w:i/>
          <w:iCs/>
        </w:rPr>
        <w:t>Bakgrund</w:t>
      </w:r>
    </w:p>
    <w:p w14:paraId="05DBCB63" w14:textId="77777777" w:rsidR="00246155" w:rsidRPr="00163AEA" w:rsidRDefault="00246155">
      <w:pPr>
        <w:pStyle w:val="RKnormal"/>
      </w:pPr>
      <w:r w:rsidRPr="00163AEA">
        <w:t xml:space="preserve">Fågelinfluensa av typen H5N1 har sedan 2003 orsakat stora utbrott hos fjäderfä i Sydostasien, och har sedan sommaren 2005 spridits till Europa och Afrika. Människor som varit i nära kontakt med sjuka fåglar har insjuknat och blivit allvarligt sjuka. Sedan 2003 har sammanlagt 256 människor insjuknat och 152 har avlidit till följd av H5N1-viruset (31 oktober 2006). </w:t>
      </w:r>
    </w:p>
    <w:p w14:paraId="5C164837" w14:textId="77777777" w:rsidR="00246155" w:rsidRPr="00163AEA" w:rsidRDefault="00246155">
      <w:pPr>
        <w:pStyle w:val="RKnormal"/>
      </w:pPr>
    </w:p>
    <w:p w14:paraId="5DDD491C" w14:textId="77777777" w:rsidR="00246155" w:rsidRPr="00163AEA" w:rsidRDefault="00246155">
      <w:pPr>
        <w:pStyle w:val="RKnormal"/>
      </w:pPr>
      <w:r w:rsidRPr="00163AEA">
        <w:t xml:space="preserve">Under våren 2006 rapporterades fynd av vilda fåglar smittade med H5N1-virus  i 14 av EU:s medlemsstater, samt utbrott hos tamfjäderfä i Frankrike, Sverige (ett hägn med vilda fåglar), Tyskland, Danmark och Ungern. Samtliga dessa utbrott har framgångsrikt bekämpats. Även i EU:s närområde tycks situationen vara under kontroll. </w:t>
      </w:r>
    </w:p>
    <w:p w14:paraId="0D4A9CEE" w14:textId="77777777" w:rsidR="00246155" w:rsidRPr="00163AEA" w:rsidRDefault="00246155">
      <w:pPr>
        <w:pStyle w:val="RKnormal"/>
      </w:pPr>
    </w:p>
    <w:p w14:paraId="0272FD34" w14:textId="77777777" w:rsidR="00246155" w:rsidRPr="00163AEA" w:rsidRDefault="00246155">
      <w:pPr>
        <w:pStyle w:val="RKnormal"/>
      </w:pPr>
      <w:r w:rsidRPr="00163AEA">
        <w:t xml:space="preserve">För att skydda tamfjäderfä har kommissionen beslutat att samtliga medlemsstater i riskområden skall vidta åtgärder för att förhindra att fjäderfä kommer i kontakt med vilda fåglar. </w:t>
      </w:r>
    </w:p>
    <w:p w14:paraId="106863D9" w14:textId="77777777" w:rsidR="00246155" w:rsidRPr="00163AEA" w:rsidRDefault="00246155">
      <w:pPr>
        <w:pStyle w:val="RKnormal"/>
      </w:pPr>
    </w:p>
    <w:p w14:paraId="0FCB38E7" w14:textId="77777777" w:rsidR="00246155" w:rsidRPr="00163AEA" w:rsidRDefault="00246155">
      <w:pPr>
        <w:pStyle w:val="RKnormal"/>
      </w:pPr>
      <w:r w:rsidRPr="00163AEA">
        <w:t xml:space="preserve">Experter varnar för att nya fynd av smittade vilda fåglar kan göras under fåglarnas höstflytt. Det kan då bli aktuellt att skärpa kravet för att skydda fjäderfä. Ännu har dock inga rapporter inkommit om sådana fynd. </w:t>
      </w:r>
    </w:p>
    <w:p w14:paraId="0252C1D3" w14:textId="77777777" w:rsidR="00246155" w:rsidRPr="00163AEA" w:rsidRDefault="00246155">
      <w:pPr>
        <w:pStyle w:val="RKnormal"/>
        <w:rPr>
          <w:i/>
          <w:iCs/>
        </w:rPr>
      </w:pPr>
    </w:p>
    <w:p w14:paraId="3BE26F34" w14:textId="77777777" w:rsidR="00246155" w:rsidRPr="00163AEA" w:rsidRDefault="00246155">
      <w:pPr>
        <w:pStyle w:val="RKnormal"/>
      </w:pPr>
      <w:r w:rsidRPr="00163AEA">
        <w:rPr>
          <w:i/>
          <w:iCs/>
        </w:rPr>
        <w:t>Förslag till svensk ståndpunkt</w:t>
      </w:r>
    </w:p>
    <w:p w14:paraId="78D0F688" w14:textId="77777777" w:rsidR="00246155" w:rsidRPr="00163AEA" w:rsidRDefault="00246155">
      <w:pPr>
        <w:pStyle w:val="RKnormal"/>
      </w:pPr>
      <w:r w:rsidRPr="00163AEA">
        <w:t>Sverige stöder de beslut som tagits av kommissionen. Sverige instämmer i att det är av allra största vikt att förhindra att tama fåglar smittas.</w:t>
      </w:r>
    </w:p>
    <w:p w14:paraId="038EABAF" w14:textId="77777777" w:rsidR="00246155" w:rsidRPr="00163AEA" w:rsidRDefault="00246155">
      <w:pPr>
        <w:pStyle w:val="RKnormal"/>
        <w:rPr>
          <w:i/>
          <w:iCs/>
        </w:rPr>
      </w:pPr>
    </w:p>
    <w:p w14:paraId="135CF7D3" w14:textId="77777777" w:rsidR="00246155" w:rsidRPr="00163AEA" w:rsidRDefault="00246155">
      <w:pPr>
        <w:pStyle w:val="RKnormal"/>
        <w:rPr>
          <w:i/>
          <w:iCs/>
        </w:rPr>
      </w:pPr>
      <w:r w:rsidRPr="00163AEA">
        <w:rPr>
          <w:i/>
          <w:iCs/>
        </w:rPr>
        <w:t>EU-nämnden</w:t>
      </w:r>
    </w:p>
    <w:p w14:paraId="709C034F" w14:textId="77777777" w:rsidR="00246155" w:rsidRPr="00163AEA" w:rsidRDefault="00246155">
      <w:pPr>
        <w:pStyle w:val="RKnormal"/>
      </w:pPr>
      <w:r w:rsidRPr="00163AEA">
        <w:t>Frågan har varit föremål för samråd i EU-nämnden inför varje jordbruks- och fiskeråd sedan september 2005.</w:t>
      </w:r>
    </w:p>
    <w:p w14:paraId="2C37ED9A" w14:textId="77777777" w:rsidR="00246155" w:rsidRPr="00163AEA" w:rsidRDefault="00246155">
      <w:pPr>
        <w:pStyle w:val="RKnormal"/>
        <w:rPr>
          <w:i/>
          <w:iCs/>
        </w:rPr>
      </w:pPr>
    </w:p>
    <w:p w14:paraId="78A3092E" w14:textId="77777777" w:rsidR="00246155" w:rsidRPr="00163AEA" w:rsidRDefault="00246155">
      <w:pPr>
        <w:pStyle w:val="RKrubrik"/>
        <w:rPr>
          <w:color w:val="000000"/>
        </w:rPr>
      </w:pPr>
      <w:r w:rsidRPr="00163AEA">
        <w:t xml:space="preserve">d) </w:t>
      </w:r>
      <w:r w:rsidRPr="00163AEA">
        <w:rPr>
          <w:color w:val="000000"/>
        </w:rPr>
        <w:t>Läget i genomförandet av omstruktureringen av sockersektorn</w:t>
      </w:r>
    </w:p>
    <w:p w14:paraId="21A41A8E" w14:textId="77777777" w:rsidR="00246155" w:rsidRPr="00163AEA" w:rsidRDefault="00246155">
      <w:pPr>
        <w:pStyle w:val="RKnormal"/>
        <w:rPr>
          <w:b/>
          <w:bCs/>
          <w:i/>
          <w:iCs/>
        </w:rPr>
      </w:pPr>
      <w:r w:rsidRPr="00163AEA">
        <w:rPr>
          <w:b/>
          <w:bCs/>
          <w:i/>
          <w:iCs/>
        </w:rPr>
        <w:t>- Information från kommissionen</w:t>
      </w:r>
    </w:p>
    <w:p w14:paraId="2F9B8258" w14:textId="77777777" w:rsidR="00246155" w:rsidRPr="00163AEA" w:rsidRDefault="00246155">
      <w:pPr>
        <w:pStyle w:val="RKnormal"/>
      </w:pPr>
    </w:p>
    <w:p w14:paraId="7BE42BC1" w14:textId="77777777" w:rsidR="00246155" w:rsidRPr="00163AEA" w:rsidRDefault="00246155">
      <w:pPr>
        <w:pStyle w:val="RKnormal"/>
      </w:pPr>
      <w:r w:rsidRPr="00163AEA">
        <w:rPr>
          <w:i/>
          <w:iCs/>
        </w:rPr>
        <w:t>Dokumentbeteckning</w:t>
      </w:r>
    </w:p>
    <w:p w14:paraId="7B6F7762" w14:textId="77777777" w:rsidR="00246155" w:rsidRPr="00163AEA" w:rsidRDefault="00246155">
      <w:pPr>
        <w:pStyle w:val="RKnormal"/>
      </w:pPr>
      <w:r w:rsidRPr="00163AEA">
        <w:t>-</w:t>
      </w:r>
    </w:p>
    <w:p w14:paraId="7E43D692" w14:textId="77777777" w:rsidR="00246155" w:rsidRPr="00163AEA" w:rsidRDefault="00246155">
      <w:pPr>
        <w:pStyle w:val="RKnormal"/>
        <w:rPr>
          <w:i/>
          <w:iCs/>
        </w:rPr>
      </w:pPr>
      <w:r w:rsidRPr="00163AEA">
        <w:rPr>
          <w:i/>
          <w:iCs/>
        </w:rPr>
        <w:t>Rättslig grund</w:t>
      </w:r>
    </w:p>
    <w:p w14:paraId="0B8B9581" w14:textId="77777777" w:rsidR="00246155" w:rsidRPr="00163AEA" w:rsidRDefault="00246155">
      <w:pPr>
        <w:pStyle w:val="RKnormal"/>
      </w:pPr>
      <w:r w:rsidRPr="00163AEA">
        <w:t>-</w:t>
      </w:r>
    </w:p>
    <w:p w14:paraId="04F33016" w14:textId="77777777" w:rsidR="00246155" w:rsidRPr="00163AEA" w:rsidRDefault="00246155">
      <w:pPr>
        <w:pStyle w:val="RKnormal"/>
        <w:rPr>
          <w:i/>
          <w:iCs/>
        </w:rPr>
      </w:pPr>
      <w:r w:rsidRPr="00163AEA">
        <w:rPr>
          <w:i/>
          <w:iCs/>
        </w:rPr>
        <w:t>Bakgrund</w:t>
      </w:r>
    </w:p>
    <w:p w14:paraId="008874A4" w14:textId="77777777" w:rsidR="00246155" w:rsidRPr="00163AEA" w:rsidRDefault="00246155">
      <w:pPr>
        <w:pStyle w:val="RKnormal"/>
      </w:pPr>
      <w:r w:rsidRPr="00163AEA">
        <w:t>Beslut om att reformera sockersektorn togs av jordbruksrådet i februari 2006. Reformen innebär bland annat en prissänkning för socker och sockerbetor samt att ett omstruktureringsprogram med syfte att minska produktionen av socker i EU införs. Omstruktureringsprogrammet är till för att få industrin att avsäga sig produktionskvot och lägga ner produktion. Stödet för att avsäga sig kvot är 730 euro/ton under två år och sjunker sedan till 625 respektive 520 euro/ton de två sista åren. Omstruktureringsprogramm</w:t>
      </w:r>
      <w:r w:rsidRPr="00163AEA">
        <w:t xml:space="preserve">et finansieras via en avgift på industrins resterande kvot som ska betalas under tre år och är 126,4, 173,8 och 113,3 euro/ton.  Omstruktureringsfonden ska även användas till att finansiera diversifierings- och övergångsåtgärder i regioner som berörs av omstruktureringen. </w:t>
      </w:r>
    </w:p>
    <w:p w14:paraId="0DEF7758" w14:textId="77777777" w:rsidR="00246155" w:rsidRPr="00163AEA" w:rsidRDefault="00246155">
      <w:pPr>
        <w:pStyle w:val="RKnormal"/>
      </w:pPr>
    </w:p>
    <w:p w14:paraId="36C2348D" w14:textId="77777777" w:rsidR="00246155" w:rsidRPr="00163AEA" w:rsidRDefault="00246155">
      <w:pPr>
        <w:pStyle w:val="RKnormal"/>
      </w:pPr>
      <w:r w:rsidRPr="00163AEA">
        <w:t>Det har hittills kommit in omstruktureringsansökningar på ca 1,2 M ton i hela EU. I Sverige har Danisco ansökt om omstruktureringsstöd för att avsäga sig drygt 42 000 ton av sin produktionskvot och lägga ned sockerbruket i Köpingebro. Daniscos ansökan är beviljad. Kommissionen har bekräftat att det finns tillräckligt med medel i omstruktureringsfonden för de ansökningar som har kommit in för 2006/07 och för de diversifieringsstöd som får beviljas i samband med omstrukturering.</w:t>
      </w:r>
    </w:p>
    <w:p w14:paraId="5366D26F" w14:textId="77777777" w:rsidR="00246155" w:rsidRPr="00163AEA" w:rsidRDefault="00246155">
      <w:pPr>
        <w:pStyle w:val="RKnormal"/>
      </w:pPr>
    </w:p>
    <w:p w14:paraId="2AA3E051" w14:textId="77777777" w:rsidR="00246155" w:rsidRPr="00163AEA" w:rsidRDefault="00246155">
      <w:pPr>
        <w:pStyle w:val="RKnormal"/>
      </w:pPr>
      <w:r w:rsidRPr="00163AEA">
        <w:t>I Sverige medför nedläggningen att alla svenska betodlares leveranskontrakt reduceras med ca 11 %. Arbetet pågår med Sveriges omstruktureringsprogram som ska innehålla de diversifierings- och övergångsåtgärder som får ges stöd i samband med omstrukturering av sockersektorn. Arbetet med det nationella omstruktureringsprogrammet ska vara färdigt till den 31 december 2006.</w:t>
      </w:r>
    </w:p>
    <w:p w14:paraId="6BE13DCB" w14:textId="77777777" w:rsidR="00246155" w:rsidRPr="00163AEA" w:rsidRDefault="00246155">
      <w:pPr>
        <w:pStyle w:val="RKnormal"/>
      </w:pPr>
    </w:p>
    <w:p w14:paraId="3B0C81B1" w14:textId="77777777" w:rsidR="00246155" w:rsidRPr="00163AEA" w:rsidRDefault="00246155">
      <w:pPr>
        <w:pStyle w:val="RKnormal"/>
      </w:pPr>
    </w:p>
    <w:p w14:paraId="69D84155" w14:textId="77777777" w:rsidR="00246155" w:rsidRPr="00163AEA" w:rsidRDefault="00246155">
      <w:pPr>
        <w:pStyle w:val="RKnormal"/>
        <w:rPr>
          <w:i/>
          <w:iCs/>
        </w:rPr>
      </w:pPr>
      <w:r w:rsidRPr="00163AEA">
        <w:rPr>
          <w:i/>
          <w:iCs/>
        </w:rPr>
        <w:t>Förslag till svensk ståndpunkt</w:t>
      </w:r>
    </w:p>
    <w:p w14:paraId="284F5882" w14:textId="77777777" w:rsidR="00246155" w:rsidRPr="00163AEA" w:rsidRDefault="00246155">
      <w:pPr>
        <w:pStyle w:val="RKnormal"/>
      </w:pPr>
      <w:r w:rsidRPr="00163AEA">
        <w:t>Det är positivt att kommissionen informerar om läget i omstruktureringen eftersom det har varit osäkert om effekten av omstruktureringsprogrammet har blivit den som förutsågs i reformdiskussionerna.</w:t>
      </w:r>
    </w:p>
    <w:p w14:paraId="07034C05" w14:textId="77777777" w:rsidR="00246155" w:rsidRPr="00163AEA" w:rsidRDefault="00246155">
      <w:pPr>
        <w:pStyle w:val="RKnormal"/>
      </w:pPr>
    </w:p>
    <w:p w14:paraId="248818A9" w14:textId="77777777" w:rsidR="00246155" w:rsidRPr="00163AEA" w:rsidRDefault="00246155">
      <w:pPr>
        <w:pStyle w:val="RKnormal"/>
        <w:rPr>
          <w:i/>
          <w:iCs/>
        </w:rPr>
      </w:pPr>
      <w:r w:rsidRPr="00163AEA">
        <w:rPr>
          <w:i/>
          <w:iCs/>
        </w:rPr>
        <w:t>EU-nämnden</w:t>
      </w:r>
    </w:p>
    <w:p w14:paraId="1426D1C1" w14:textId="77777777" w:rsidR="00246155" w:rsidRPr="00163AEA" w:rsidRDefault="00246155">
      <w:pPr>
        <w:pStyle w:val="RKnormal"/>
      </w:pPr>
      <w:r w:rsidRPr="00163AEA">
        <w:t xml:space="preserve">Sockerreformen var senast uppe för samråd med EU-nämnden inför Jordbruks- och fiskerådet den 20 februari 2006. </w:t>
      </w:r>
    </w:p>
    <w:p w14:paraId="3049A218" w14:textId="77777777" w:rsidR="00246155" w:rsidRPr="00163AEA" w:rsidRDefault="00246155">
      <w:pPr>
        <w:pStyle w:val="RKnormal"/>
      </w:pPr>
    </w:p>
    <w:sectPr w:rsidR="00246155" w:rsidRPr="00163AEA">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 w:initials="N">
    <w:p w14:paraId="04F9210F" w14:textId="77777777" w:rsidR="00246155" w:rsidRPr="00163AEA" w:rsidRDefault="00246155">
      <w:pPr>
        <w:pStyle w:val="Kommentarer"/>
      </w:pPr>
      <w:r w:rsidRPr="00163AEA">
        <w:fldChar w:fldCharType="begin" w:fldLock="1"/>
      </w:r>
      <w:r w:rsidRPr="00163AEA">
        <w:instrText>PAGE \# "'Sidan: '#'</w:instrText>
      </w:r>
      <w:r w:rsidRPr="00163AEA">
        <w:br/>
        <w:instrText>'"</w:instrText>
      </w:r>
      <w:r w:rsidRPr="00163AEA">
        <w:rPr>
          <w:rStyle w:val="Kommentarsreferens"/>
        </w:rPr>
        <w:instrText xml:space="preserve">  </w:instrText>
      </w:r>
      <w:r w:rsidRPr="00163AEA">
        <w:fldChar w:fldCharType="end"/>
      </w:r>
      <w:r w:rsidRPr="00163AEA">
        <w:rPr>
          <w:rStyle w:val="Kommentarsreferens"/>
        </w:rPr>
        <w:annotationRef/>
      </w:r>
      <w:r w:rsidRPr="00163AEA">
        <w:t>Ange KOMs förslag till rättslig grund, ev. invändningar samt relevanta artiklar i grundfördragen. Ange vidare om frågan kräver enkel majoritet, kvalificerad majoritet eller enhällighet och om EP är medbeslutande.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F92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F9210F" w16cid:durableId="1D1E09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7458" w14:textId="77777777" w:rsidR="00246155" w:rsidRPr="00163AEA" w:rsidRDefault="00246155">
      <w:pPr>
        <w:spacing w:line="240" w:lineRule="auto"/>
      </w:pPr>
      <w:r w:rsidRPr="00163AEA">
        <w:separator/>
      </w:r>
    </w:p>
  </w:endnote>
  <w:endnote w:type="continuationSeparator" w:id="0">
    <w:p w14:paraId="31108B25" w14:textId="77777777" w:rsidR="00246155" w:rsidRPr="00163AEA" w:rsidRDefault="00246155">
      <w:pPr>
        <w:spacing w:line="240" w:lineRule="auto"/>
      </w:pPr>
      <w:r w:rsidRPr="00163A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F374" w14:textId="77777777" w:rsidR="00246155" w:rsidRPr="00163AEA" w:rsidRDefault="00246155">
      <w:pPr>
        <w:spacing w:line="240" w:lineRule="auto"/>
      </w:pPr>
      <w:r w:rsidRPr="00163AEA">
        <w:separator/>
      </w:r>
    </w:p>
  </w:footnote>
  <w:footnote w:type="continuationSeparator" w:id="0">
    <w:p w14:paraId="15D49D7A" w14:textId="77777777" w:rsidR="00246155" w:rsidRPr="00163AEA" w:rsidRDefault="00246155">
      <w:pPr>
        <w:spacing w:line="240" w:lineRule="auto"/>
      </w:pPr>
      <w:r w:rsidRPr="00163AEA">
        <w:continuationSeparator/>
      </w:r>
    </w:p>
  </w:footnote>
  <w:footnote w:id="1">
    <w:p w14:paraId="55711F6E" w14:textId="77777777" w:rsidR="00246155" w:rsidRPr="00163AEA" w:rsidRDefault="00246155">
      <w:pPr>
        <w:pStyle w:val="Fotnotstext"/>
      </w:pPr>
      <w:r w:rsidRPr="00163AEA">
        <w:rPr>
          <w:rStyle w:val="Fotnotsreferens"/>
        </w:rPr>
        <w:footnoteRef/>
      </w:r>
      <w:r w:rsidRPr="00163AEA">
        <w:t xml:space="preserve"> POSEI-programmet innehåller stöd till jordbruket i EU:s yttre randområden och syftar till att garantera försörjning samt minska de merkostnader som uppstår till följd av dessa områdens position.</w:t>
      </w:r>
    </w:p>
  </w:footnote>
  <w:footnote w:id="2">
    <w:p w14:paraId="6FCF9EB7" w14:textId="77777777" w:rsidR="00246155" w:rsidRPr="00163AEA" w:rsidRDefault="00246155">
      <w:pPr>
        <w:pStyle w:val="Fotnotstext"/>
      </w:pPr>
      <w:r w:rsidRPr="00163AEA">
        <w:rPr>
          <w:rStyle w:val="Fotnotsreferens"/>
        </w:rPr>
        <w:footnoteRef/>
      </w:r>
      <w:r w:rsidRPr="00163AEA">
        <w:t xml:space="preserve"> EU:s biobränsleinitiativ innefattar bland annat handlingsplanen för biomassa från 2005 och strategin för biodrivmedel från 2006. Dessutom innefattas kommande översyner av biodrivmedelsdirektivet och biobränslekvalitetsdirektivet.</w:t>
      </w:r>
    </w:p>
  </w:footnote>
  <w:footnote w:id="3">
    <w:p w14:paraId="0B08D7EE" w14:textId="77777777" w:rsidR="00246155" w:rsidRPr="00163AEA" w:rsidRDefault="00246155">
      <w:pPr>
        <w:pStyle w:val="Fotnotstext"/>
      </w:pPr>
      <w:r w:rsidRPr="00163AEA">
        <w:rPr>
          <w:rStyle w:val="Fotnotsreferens"/>
        </w:rPr>
        <w:footnoteRef/>
      </w:r>
      <w:r w:rsidRPr="00163AEA">
        <w:t xml:space="preserve"> Snabbväxande energiskog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910F" w14:textId="77777777" w:rsidR="00246155" w:rsidRPr="00163AEA" w:rsidRDefault="00246155">
    <w:pPr>
      <w:pStyle w:val="Sidhuvud"/>
      <w:framePr w:wrap="around" w:vAnchor="text" w:hAnchor="margin" w:xAlign="right" w:y="1"/>
      <w:rPr>
        <w:rStyle w:val="Sidnummer"/>
      </w:rPr>
    </w:pPr>
    <w:r w:rsidRPr="00163AEA">
      <w:rPr>
        <w:rStyle w:val="Sidnummer"/>
      </w:rPr>
      <w:fldChar w:fldCharType="begin" w:fldLock="1"/>
    </w:r>
    <w:r w:rsidRPr="00163AEA">
      <w:rPr>
        <w:rStyle w:val="Sidnummer"/>
      </w:rPr>
      <w:instrText xml:space="preserve">PAGE  </w:instrText>
    </w:r>
    <w:r w:rsidRPr="00163AEA">
      <w:rPr>
        <w:rStyle w:val="Sidnummer"/>
      </w:rPr>
      <w:fldChar w:fldCharType="separate"/>
    </w:r>
    <w:r w:rsidRPr="00163AEA">
      <w:rPr>
        <w:rStyle w:val="Sidnummer"/>
      </w:rPr>
      <w:t>2</w:t>
    </w:r>
    <w:r w:rsidRPr="00163AEA">
      <w:rPr>
        <w:rStyle w:val="Sidnummer"/>
      </w:rPr>
      <w:fldChar w:fldCharType="end"/>
    </w:r>
  </w:p>
  <w:p w14:paraId="7885EB60" w14:textId="77777777" w:rsidR="00246155" w:rsidRPr="00163AEA" w:rsidRDefault="00246155">
    <w:pPr>
      <w:pStyle w:val="Sidhuvud"/>
      <w:ind w:right="360"/>
    </w:pPr>
  </w:p>
  <w:p w14:paraId="44A3B6B0" w14:textId="77777777" w:rsidR="00246155" w:rsidRPr="00163AEA" w:rsidRDefault="0024615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B311" w14:textId="77777777" w:rsidR="00246155" w:rsidRPr="00163AEA" w:rsidRDefault="00246155">
    <w:pPr>
      <w:pStyle w:val="Sidhuvud"/>
      <w:framePr w:wrap="around" w:vAnchor="text" w:hAnchor="margin" w:xAlign="right" w:y="1"/>
      <w:rPr>
        <w:rStyle w:val="Sidnummer"/>
      </w:rPr>
    </w:pPr>
    <w:r w:rsidRPr="00163AEA">
      <w:rPr>
        <w:rStyle w:val="Sidnummer"/>
      </w:rPr>
      <w:fldChar w:fldCharType="begin" w:fldLock="1"/>
    </w:r>
    <w:r w:rsidRPr="00163AEA">
      <w:rPr>
        <w:rStyle w:val="Sidnummer"/>
      </w:rPr>
      <w:instrText xml:space="preserve">PAGE  </w:instrText>
    </w:r>
    <w:r w:rsidRPr="00163AEA">
      <w:rPr>
        <w:rStyle w:val="Sidnummer"/>
      </w:rPr>
      <w:fldChar w:fldCharType="separate"/>
    </w:r>
    <w:r w:rsidRPr="00163AEA">
      <w:rPr>
        <w:rStyle w:val="Sidnummer"/>
      </w:rPr>
      <w:t>3</w:t>
    </w:r>
    <w:r w:rsidRPr="00163AEA">
      <w:rPr>
        <w:rStyle w:val="Sidnummer"/>
      </w:rPr>
      <w:fldChar w:fldCharType="end"/>
    </w:r>
  </w:p>
  <w:p w14:paraId="7C72710F" w14:textId="77777777" w:rsidR="00246155" w:rsidRPr="00163AEA" w:rsidRDefault="00246155">
    <w:pPr>
      <w:pStyle w:val="Sidhuvud"/>
      <w:ind w:right="360"/>
    </w:pPr>
  </w:p>
  <w:p w14:paraId="4D683D24" w14:textId="77777777" w:rsidR="00246155" w:rsidRPr="00163AEA" w:rsidRDefault="0024615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67A0" w14:textId="79DEB91B" w:rsidR="00246155" w:rsidRPr="00163AEA" w:rsidRDefault="00163AEA">
    <w:pPr>
      <w:framePr w:w="2948" w:h="1321" w:hRule="exact" w:wrap="notBeside" w:vAnchor="page" w:hAnchor="page" w:x="1362" w:y="653"/>
    </w:pPr>
    <w:r w:rsidRPr="00163AEA">
      <w:rPr>
        <w:noProof/>
      </w:rPr>
      <w:drawing>
        <wp:inline distT="0" distB="0" distL="0" distR="0" wp14:anchorId="638DE402" wp14:editId="57552E51">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14:paraId="2C0958E4" w14:textId="77777777" w:rsidR="00246155" w:rsidRPr="00163AEA" w:rsidRDefault="00246155">
    <w:pPr>
      <w:pStyle w:val="RKrubrik"/>
      <w:keepNext w:val="0"/>
      <w:tabs>
        <w:tab w:val="clear" w:pos="1134"/>
        <w:tab w:val="clear" w:pos="2835"/>
      </w:tabs>
      <w:spacing w:before="0" w:after="0" w:line="320" w:lineRule="atLeast"/>
      <w:rPr>
        <w:bCs/>
      </w:rPr>
    </w:pPr>
  </w:p>
  <w:p w14:paraId="7DA3EEA7" w14:textId="77777777" w:rsidR="00246155" w:rsidRPr="00163AEA" w:rsidRDefault="00246155">
    <w:pPr>
      <w:rPr>
        <w:rFonts w:ascii="TradeGothic" w:hAnsi="TradeGothic"/>
        <w:b/>
        <w:bCs/>
        <w:spacing w:val="12"/>
        <w:sz w:val="22"/>
      </w:rPr>
    </w:pPr>
  </w:p>
  <w:p w14:paraId="150775FB" w14:textId="77777777" w:rsidR="00246155" w:rsidRPr="00163AEA" w:rsidRDefault="00246155">
    <w:pPr>
      <w:pStyle w:val="RKrubrik"/>
      <w:keepNext w:val="0"/>
      <w:tabs>
        <w:tab w:val="clear" w:pos="1134"/>
        <w:tab w:val="clear" w:pos="2835"/>
      </w:tabs>
      <w:spacing w:before="0" w:after="0" w:line="320" w:lineRule="atLeast"/>
      <w:rPr>
        <w:bCs/>
      </w:rPr>
    </w:pPr>
  </w:p>
  <w:p w14:paraId="5A45D4A8" w14:textId="77777777" w:rsidR="00246155" w:rsidRPr="00163AEA" w:rsidRDefault="0024615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4"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num w:numId="1" w16cid:durableId="1825194396">
    <w:abstractNumId w:val="2"/>
  </w:num>
  <w:num w:numId="2" w16cid:durableId="918293089">
    <w:abstractNumId w:val="1"/>
  </w:num>
  <w:num w:numId="3" w16cid:durableId="1581254466">
    <w:abstractNumId w:val="0"/>
  </w:num>
  <w:num w:numId="4" w16cid:durableId="486746156">
    <w:abstractNumId w:val="4"/>
  </w:num>
  <w:num w:numId="5" w16cid:durableId="1318222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0E2C67"/>
    <w:rsid w:val="000E2C67"/>
    <w:rsid w:val="00163AEA"/>
    <w:rsid w:val="002461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E8F33"/>
  <w15:chartTrackingRefBased/>
  <w15:docId w15:val="{722F214F-A859-4610-9902-BE377E71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semiHidden/>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3464</Words>
  <Characters>21899</Characters>
  <Application>Microsoft Office Word</Application>
  <DocSecurity>4</DocSecurity>
  <Lines>591</Lines>
  <Paragraphs>209</Paragraphs>
  <ScaleCrop>false</ScaleCrop>
  <HeadingPairs>
    <vt:vector size="2" baseType="variant">
      <vt:variant>
        <vt:lpstr>Titel</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2006-11-10T11:45:00Z</cp:lastPrinted>
  <dcterms:created xsi:type="dcterms:W3CDTF">2025-12-17T03:56:00Z</dcterms:created>
  <dcterms:modified xsi:type="dcterms:W3CDTF">2025-12-17T03:56:00Z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