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CC3DB" w14:textId="77777777" w:rsidR="00FE1016" w:rsidRDefault="00D13590">
      <w:pPr>
        <w:pStyle w:val="Rubrik"/>
      </w:pPr>
      <w:bookmarkStart w:id="0" w:name="Start"/>
      <w:bookmarkEnd w:id="0"/>
      <w:r>
        <w:rPr>
          <w:rFonts w:ascii="Arial"/>
          <w:szCs w:val="26"/>
        </w:rPr>
        <w:t>Svar på fråga 2018/19:572 av Håkan Svenneling (V)</w:t>
      </w:r>
      <w:r>
        <w:rPr>
          <w:rFonts w:ascii="Arial"/>
          <w:szCs w:val="26"/>
        </w:rPr>
        <w:br/>
        <w:t xml:space="preserve">Folkmordet i dåvarande Ottomanska riket samt </w:t>
      </w:r>
      <w:r w:rsidR="00E472A6">
        <w:rPr>
          <w:rFonts w:ascii="Arial"/>
          <w:szCs w:val="26"/>
        </w:rPr>
        <w:t xml:space="preserve">fråga </w:t>
      </w:r>
      <w:r>
        <w:rPr>
          <w:rFonts w:ascii="Arial"/>
          <w:szCs w:val="26"/>
        </w:rPr>
        <w:t>2018/19:575 av Markus Wiechel (SD) Upprättelse efter folkmordet mot armenier</w:t>
      </w:r>
    </w:p>
    <w:p w14:paraId="3B92646D" w14:textId="77777777" w:rsidR="00FE1016" w:rsidRDefault="00D13590">
      <w:pPr>
        <w:pStyle w:val="Brdtext"/>
      </w:pPr>
      <w:r>
        <w:rPr>
          <w:rFonts w:ascii="Garamond"/>
        </w:rPr>
        <w:t>Håkan Svenneling har frågat mig om jag avser ta några initiativ för att regeringen ska följa riksdagens beslut att erkänna folkmordet på</w:t>
      </w:r>
      <w:r w:rsidR="00AB08DF">
        <w:rPr>
          <w:rFonts w:ascii="Garamond"/>
        </w:rPr>
        <w:t xml:space="preserve"> armenier, assyrier/</w:t>
      </w:r>
      <w:r>
        <w:rPr>
          <w:rFonts w:ascii="Garamond"/>
        </w:rPr>
        <w:t>syrianer, kaldéer och pontiska greker i dåvarande Osmanska riket som ett folkmord. Markus Wiechel har frågat mig varför regeringen inte erkänner att ett folkmord har skett, och om regeringen avser att begära en officiell ursäkt från Turkiet.</w:t>
      </w:r>
      <w:r w:rsidR="00E472A6">
        <w:rPr>
          <w:rFonts w:ascii="Garamond"/>
        </w:rPr>
        <w:t xml:space="preserve"> Jag väljer att besvara frågorna i ett sammanhang.</w:t>
      </w:r>
    </w:p>
    <w:p w14:paraId="7A238874" w14:textId="77777777" w:rsidR="00FE1016" w:rsidRDefault="00D13590">
      <w:pPr>
        <w:pStyle w:val="Brdtext"/>
      </w:pPr>
      <w:bookmarkStart w:id="1" w:name="_Hlk7013008"/>
      <w:r>
        <w:rPr>
          <w:rFonts w:ascii="Garamond"/>
        </w:rPr>
        <w:t xml:space="preserve">För regeringens del råder ingen tvekan om att det begicks fruktansvärda övergrepp mot den armeniska folkgruppen och andra minoriteter i det sönderfallande Osmanska riket under tiden för det första världskriget. </w:t>
      </w:r>
      <w:bookmarkEnd w:id="1"/>
      <w:r>
        <w:rPr>
          <w:rFonts w:ascii="Garamond" w:eastAsia="Times New Roman"/>
        </w:rPr>
        <w:t>En betydande del av det Osmanska rikets kristna befolkning dödades.</w:t>
      </w:r>
      <w:r>
        <w:rPr>
          <w:rFonts w:ascii="Garamond"/>
        </w:rPr>
        <w:t xml:space="preserve"> </w:t>
      </w:r>
    </w:p>
    <w:p w14:paraId="4036C8B2" w14:textId="77777777" w:rsidR="00FE1016" w:rsidRDefault="00D13590">
      <w:pPr>
        <w:pStyle w:val="Brdtextmedindrag"/>
        <w:ind w:firstLine="0"/>
        <w:rPr>
          <w:rFonts w:eastAsia="Times New Roman" w:cs="Times New Roman"/>
        </w:rPr>
      </w:pPr>
      <w:bookmarkStart w:id="2" w:name="_Hlk2778988"/>
      <w:r>
        <w:rPr>
          <w:rFonts w:ascii="Garamond" w:eastAsia="Times New Roman" w:cs="Times New Roman"/>
        </w:rPr>
        <w:t>Det är viktigt att vi minns och lär oss av de mörka kapitlen i vår historia för att förhindra upprepning av massövergrepp i vår samtid. Detta är en fråga om respekt för folkrätt och mänskliga rättigheter som är grundläggande i svensk utrikespolitik.</w:t>
      </w:r>
    </w:p>
    <w:p w14:paraId="10BE2690" w14:textId="77777777" w:rsidR="00FE1016" w:rsidRDefault="00D13590">
      <w:pPr>
        <w:pStyle w:val="Brdtextmedindrag"/>
        <w:ind w:firstLine="0"/>
      </w:pPr>
      <w:r>
        <w:rPr>
          <w:rFonts w:ascii="Garamond"/>
        </w:rPr>
        <w:t xml:space="preserve">Frågor om hur en regering bör förhålla sig till, och benämna, massövergrepp långt bak i tiden innehåller flera folkrättsliga, konstitutionella, straffrättsliga och politiska aspekter. Jag har många gånger tidigare framhållit att detta inte sällan är komplicerat. Även frågan om ansvarsutkrävande är komplicerad. </w:t>
      </w:r>
    </w:p>
    <w:p w14:paraId="69DA2A3E" w14:textId="77777777" w:rsidR="006F4708" w:rsidRDefault="00D13590">
      <w:pPr>
        <w:pStyle w:val="Brdtextmedindrag"/>
        <w:ind w:firstLine="0"/>
        <w:rPr>
          <w:rFonts w:ascii="Garamond" w:eastAsia="Times New Roman" w:cs="Times New Roman"/>
        </w:rPr>
      </w:pPr>
      <w:r>
        <w:rPr>
          <w:rFonts w:ascii="Garamond" w:eastAsia="Times New Roman" w:cs="Times New Roman"/>
        </w:rPr>
        <w:t xml:space="preserve">Regeringen gav år 2015 Stockholm Center for International Law and Justice i uppdrag att på en principiell och allmän nivå belysa relevanta rättsliga, </w:t>
      </w:r>
    </w:p>
    <w:p w14:paraId="719374BF" w14:textId="77777777" w:rsidR="006F4708" w:rsidRDefault="006F4708">
      <w:pPr>
        <w:pStyle w:val="Brdtextmedindrag"/>
        <w:ind w:firstLine="0"/>
        <w:rPr>
          <w:rFonts w:ascii="Garamond" w:eastAsia="Times New Roman" w:cs="Times New Roman"/>
        </w:rPr>
      </w:pPr>
    </w:p>
    <w:p w14:paraId="40F2B6A0" w14:textId="77777777" w:rsidR="00FE1016" w:rsidRDefault="00D13590">
      <w:pPr>
        <w:pStyle w:val="Brdtextmedindrag"/>
        <w:ind w:firstLine="0"/>
        <w:rPr>
          <w:rFonts w:eastAsia="Times New Roman" w:cs="Times New Roman"/>
        </w:rPr>
      </w:pPr>
      <w:bookmarkStart w:id="3" w:name="_GoBack"/>
      <w:bookmarkEnd w:id="3"/>
      <w:r>
        <w:rPr>
          <w:rFonts w:ascii="Garamond" w:eastAsia="Times New Roman" w:cs="Times New Roman"/>
        </w:rPr>
        <w:t xml:space="preserve">historiska och andra aspekter på förhållningssätt och benämningar i anslutning till historiska massövergrepp. </w:t>
      </w:r>
    </w:p>
    <w:p w14:paraId="3A55000D" w14:textId="77777777" w:rsidR="00FE1016" w:rsidRDefault="00D13590">
      <w:pPr>
        <w:pStyle w:val="Brdtextmedindrag"/>
        <w:ind w:firstLine="0"/>
      </w:pPr>
      <w:r>
        <w:rPr>
          <w:rFonts w:ascii="Garamond" w:eastAsia="Times New Roman" w:cs="Times New Roman"/>
        </w:rPr>
        <w:t>I rapporten konstateras att de allra flesta historiska massövergrepp inte har blivit föremål för agerande från stater som inte varit delaktiga i massövergreppen. F</w:t>
      </w:r>
      <w:r>
        <w:rPr>
          <w:rFonts w:ascii="Garamond"/>
        </w:rPr>
        <w:t xml:space="preserve">å regeringar gör uttalanden i frågan. Däremot har ett antal parlament, inklusive Sveriges riksdag, gjort uttalanden om massövergreppen. </w:t>
      </w:r>
    </w:p>
    <w:p w14:paraId="69EFCA16" w14:textId="77777777" w:rsidR="00FE1016" w:rsidRDefault="00D13590">
      <w:pPr>
        <w:pStyle w:val="Brdtext"/>
      </w:pPr>
      <w:r>
        <w:rPr>
          <w:rFonts w:ascii="Garamond"/>
        </w:rPr>
        <w:t>Enligt rapporten finns problem med regeringsuttalanden som fastställer historiska fakta. Sådana kan uppfattas som normerande för forskningen och strida mot akademiska principer om kritiskt tänkande. Ifråga om massövergreppen i det sönderfallande Osmanska riket behöver de berörda gemensamt analysera och komma fram till ett förhållningssätt till övergreppen. Dessa är de principiella skälen för vårt ställningstagande.</w:t>
      </w:r>
    </w:p>
    <w:p w14:paraId="2F28A641" w14:textId="77777777" w:rsidR="00FE1016" w:rsidRDefault="00D13590">
      <w:pPr>
        <w:pStyle w:val="Brdtextmedindrag"/>
        <w:ind w:firstLine="0"/>
        <w:rPr>
          <w:rFonts w:eastAsia="Times New Roman" w:cs="Times New Roman"/>
        </w:rPr>
      </w:pPr>
      <w:r>
        <w:rPr>
          <w:rFonts w:ascii="Garamond"/>
        </w:rPr>
        <w:t xml:space="preserve">De övergrepp som ägde rum i det sönderfallande Osmanska riket ska kunna diskuteras öppet. </w:t>
      </w:r>
      <w:r>
        <w:rPr>
          <w:rFonts w:ascii="Garamond" w:eastAsia="Times New Roman" w:cs="Calibri"/>
        </w:rPr>
        <w:t xml:space="preserve">Regeringen arbetar för att bidra till att främja förståelse, debatt och dialog om händelserna i det sönderfallande Osmanska riket, inte minst i Turkiet och mellan Turkiet och Armenien. </w:t>
      </w:r>
      <w:bookmarkEnd w:id="2"/>
    </w:p>
    <w:p w14:paraId="457ED38B" w14:textId="77777777" w:rsidR="00FE1016" w:rsidRDefault="00D13590">
      <w:pPr>
        <w:pStyle w:val="Brdtextmedindrag"/>
        <w:ind w:firstLine="0"/>
        <w:rPr>
          <w:rFonts w:eastAsia="Times New Roman" w:cs="Calibri"/>
        </w:rPr>
      </w:pPr>
      <w:r>
        <w:rPr>
          <w:rFonts w:ascii="Garamond" w:eastAsia="Times New Roman" w:cs="Calibri"/>
        </w:rPr>
        <w:t>Ett exempel på sådant arbete är Sveriges stöd till Hrant Dink Foundation, som bidrog till att etablera det första armeniska institutet i Turkiet och arbetar för dialog och samförstånd i landet.</w:t>
      </w:r>
      <w:r>
        <w:rPr>
          <w:rFonts w:ascii="Garamond"/>
        </w:rPr>
        <w:t xml:space="preserve"> </w:t>
      </w:r>
      <w:r>
        <w:rPr>
          <w:rFonts w:ascii="Garamond" w:eastAsia="Times New Roman" w:cs="Arial"/>
        </w:rPr>
        <w:t>Sverige har även under 2018 gett stöd till det så kallade Armenia-Turkey Normalization Process, ett EU-finansierat projekt som främjar dialog och samverkan mellan armeniska och turkiska civilsamhällesorganisationer.</w:t>
      </w:r>
    </w:p>
    <w:p w14:paraId="2D8663B9" w14:textId="77777777" w:rsidR="00FE1016" w:rsidRDefault="00D13590">
      <w:pPr>
        <w:pStyle w:val="Brdtextmedindrag"/>
        <w:ind w:firstLine="0"/>
        <w:rPr>
          <w:rFonts w:eastAsia="Times New Roman"/>
        </w:rPr>
      </w:pPr>
      <w:r>
        <w:rPr>
          <w:rFonts w:ascii="Garamond" w:eastAsia="Times New Roman"/>
        </w:rPr>
        <w:t xml:space="preserve">Utöver detta kommer regeringen att ge Forum För Levande Historia i uppdrag att producera en nedladdningsbar vandringsutställning om händelserna i det sönderfallande Osmanska riket. </w:t>
      </w:r>
    </w:p>
    <w:p w14:paraId="17AC7D16" w14:textId="77777777" w:rsidR="00FE1016" w:rsidRDefault="00D13590">
      <w:pPr>
        <w:pStyle w:val="Brdtextmedindrag"/>
        <w:ind w:firstLine="0"/>
        <w:rPr>
          <w:rFonts w:eastAsia="Times New Roman"/>
        </w:rPr>
      </w:pPr>
      <w:r>
        <w:rPr>
          <w:rFonts w:ascii="Garamond" w:eastAsia="Times New Roman"/>
        </w:rPr>
        <w:t>Regeringen avser dessutom arrangera en konferens där begrepp som folkmord och massövergrepp ska diskuteras</w:t>
      </w:r>
      <w:r w:rsidR="00CB5695">
        <w:rPr>
          <w:rFonts w:ascii="Garamond" w:eastAsia="Times New Roman"/>
        </w:rPr>
        <w:t>.</w:t>
      </w:r>
    </w:p>
    <w:p w14:paraId="4F477667" w14:textId="77777777" w:rsidR="006F4708" w:rsidRDefault="006F4708">
      <w:pPr>
        <w:spacing w:after="320" w:line="320" w:lineRule="atLeast"/>
        <w:rPr>
          <w:rFonts w:ascii="Garamond"/>
        </w:rPr>
      </w:pPr>
    </w:p>
    <w:p w14:paraId="03963D37" w14:textId="77777777" w:rsidR="006F4708" w:rsidRDefault="006F4708">
      <w:pPr>
        <w:spacing w:after="320" w:line="320" w:lineRule="atLeast"/>
        <w:rPr>
          <w:rFonts w:ascii="Garamond"/>
        </w:rPr>
      </w:pPr>
    </w:p>
    <w:p w14:paraId="35B71AC2" w14:textId="77777777" w:rsidR="00FE1016" w:rsidRDefault="00D13590">
      <w:pPr>
        <w:spacing w:after="320" w:line="320" w:lineRule="atLeast"/>
      </w:pPr>
      <w:r>
        <w:rPr>
          <w:rFonts w:ascii="Garamond"/>
        </w:rPr>
        <w:lastRenderedPageBreak/>
        <w:t>Regeringen kommer att fortsätta sina ansträngningar för att bidra till att skipa rättvisa där möjligt, bidra till försoning och upprättelse och minska lidandet för alla de som har drabbats och fortsätter att drabbas av väpnade konflikter och massövergrepp.</w:t>
      </w:r>
    </w:p>
    <w:p w14:paraId="4C8A4BA8" w14:textId="77777777" w:rsidR="00FE1016" w:rsidRDefault="00D13590">
      <w:pPr>
        <w:pStyle w:val="Brdtext"/>
      </w:pPr>
      <w:r>
        <w:rPr>
          <w:rFonts w:ascii="Garamond"/>
        </w:rPr>
        <w:t>Stockholm den 2 maj 2019</w:t>
      </w:r>
    </w:p>
    <w:p w14:paraId="70855B4C" w14:textId="77777777" w:rsidR="00E472A6" w:rsidRDefault="00E472A6">
      <w:pPr>
        <w:pStyle w:val="Brdtext"/>
        <w:rPr>
          <w:rFonts w:ascii="Garamond"/>
        </w:rPr>
      </w:pPr>
    </w:p>
    <w:p w14:paraId="470C68B2" w14:textId="77777777" w:rsidR="00FE1016" w:rsidRDefault="00D13590">
      <w:pPr>
        <w:pStyle w:val="Brdtext"/>
      </w:pPr>
      <w:r>
        <w:rPr>
          <w:rFonts w:ascii="Garamond"/>
        </w:rPr>
        <w:t>Margot Wallström</w:t>
      </w:r>
    </w:p>
    <w:sectPr w:rsidR="00FE1016" w:rsidSect="00BA3271">
      <w:footerReference w:type="default" r:id="rId14"/>
      <w:headerReference w:type="first" r:id="rId15"/>
      <w:footerReference w:type="first" r:id="rId16"/>
      <w:pgSz w:w="11906" w:h="16838"/>
      <w:pgMar w:top="2041" w:right="1985" w:bottom="2098" w:left="2466" w:header="34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6C3D0" w14:textId="77777777" w:rsidR="00BA3271" w:rsidRDefault="00BA3271" w:rsidP="00A87A54">
      <w:pPr>
        <w:spacing w:after="0" w:line="240" w:lineRule="auto"/>
      </w:pPr>
      <w:r>
        <w:separator/>
      </w:r>
    </w:p>
  </w:endnote>
  <w:endnote w:type="continuationSeparator" w:id="0">
    <w:p w14:paraId="2DBF06A5" w14:textId="77777777" w:rsidR="00BA3271" w:rsidRDefault="00BA327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FE1016" w14:paraId="3C424D05" w14:textId="77777777">
      <w:trPr>
        <w:trHeight w:val="227"/>
        <w:jc w:val="right"/>
      </w:trPr>
      <w:tc>
        <w:tcPr>
          <w:tcW w:w="708" w:type="dxa"/>
          <w:vAlign w:val="bottom"/>
        </w:tcPr>
        <w:p w14:paraId="748C0FAD" w14:textId="77777777" w:rsidR="00FE1016" w:rsidRDefault="00D13590">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F4708" w:rsidRPr="006F4708">
            <w:rPr>
              <w:rStyle w:val="Sidnummer"/>
              <w:rFonts w:ascii="Arial"/>
              <w:noProof/>
              <w:szCs w:val="17"/>
            </w:rPr>
            <w:t>2</w:t>
          </w:r>
          <w:r>
            <w:rPr>
              <w:rStyle w:val="Sidnummer"/>
            </w:rPr>
            <w:fldChar w:fldCharType="end"/>
          </w:r>
          <w:r>
            <w:rPr>
              <w:rStyle w:val="Sidnummer"/>
              <w:rFonts w:ascii="Arial"/>
              <w:szCs w:val="17"/>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6F4708" w:rsidRPr="006F4708">
            <w:rPr>
              <w:rStyle w:val="Sidnummer"/>
              <w:rFonts w:ascii="Arial"/>
              <w:noProof/>
              <w:szCs w:val="17"/>
            </w:rPr>
            <w:t>3</w:t>
          </w:r>
          <w:r>
            <w:rPr>
              <w:rStyle w:val="Sidnummer"/>
            </w:rPr>
            <w:fldChar w:fldCharType="end"/>
          </w:r>
          <w:r>
            <w:rPr>
              <w:rStyle w:val="Sidnummer"/>
              <w:rFonts w:ascii="Arial"/>
              <w:szCs w:val="17"/>
            </w:rPr>
            <w:t>)</w:t>
          </w:r>
        </w:p>
      </w:tc>
    </w:tr>
    <w:tr w:rsidR="00FE1016" w14:paraId="27B45FBA" w14:textId="77777777">
      <w:trPr>
        <w:trHeight w:val="850"/>
        <w:jc w:val="right"/>
      </w:trPr>
      <w:tc>
        <w:tcPr>
          <w:tcW w:w="708" w:type="dxa"/>
          <w:vAlign w:val="bottom"/>
        </w:tcPr>
        <w:p w14:paraId="56918551" w14:textId="77777777" w:rsidR="00FE1016" w:rsidRDefault="00FE1016">
          <w:pPr>
            <w:pStyle w:val="Sidfot"/>
            <w:spacing w:line="276" w:lineRule="auto"/>
            <w:jc w:val="right"/>
          </w:pPr>
        </w:p>
      </w:tc>
    </w:tr>
  </w:tbl>
  <w:p w14:paraId="4DC91A3E" w14:textId="77777777" w:rsidR="00FE1016" w:rsidRDefault="00FE1016">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FE1016" w14:paraId="5645CFBB" w14:textId="77777777">
      <w:trPr>
        <w:trHeight w:val="510"/>
      </w:trPr>
      <w:tc>
        <w:tcPr>
          <w:tcW w:w="8525" w:type="dxa"/>
          <w:gridSpan w:val="2"/>
          <w:vAlign w:val="bottom"/>
        </w:tcPr>
        <w:p w14:paraId="69F4253F" w14:textId="77777777" w:rsidR="00FE1016" w:rsidRDefault="00FE1016">
          <w:pPr>
            <w:pStyle w:val="Sidfot"/>
            <w:rPr>
              <w:sz w:val="8"/>
            </w:rPr>
          </w:pPr>
        </w:p>
      </w:tc>
    </w:tr>
    <w:tr w:rsidR="00FE1016" w14:paraId="6318DC5F" w14:textId="77777777">
      <w:trPr>
        <w:trHeight w:val="227"/>
      </w:trPr>
      <w:tc>
        <w:tcPr>
          <w:tcW w:w="4074" w:type="dxa"/>
        </w:tcPr>
        <w:p w14:paraId="4F3F1DB6" w14:textId="77777777" w:rsidR="00FE1016" w:rsidRDefault="00FE1016">
          <w:pPr>
            <w:pStyle w:val="Sidfot"/>
            <w:spacing w:line="276" w:lineRule="auto"/>
          </w:pPr>
        </w:p>
      </w:tc>
      <w:tc>
        <w:tcPr>
          <w:tcW w:w="4451" w:type="dxa"/>
        </w:tcPr>
        <w:p w14:paraId="4363B4B8" w14:textId="77777777" w:rsidR="00FE1016" w:rsidRDefault="00FE1016">
          <w:pPr>
            <w:pStyle w:val="Sidfot"/>
            <w:spacing w:line="276" w:lineRule="auto"/>
          </w:pPr>
        </w:p>
      </w:tc>
    </w:tr>
  </w:tbl>
  <w:p w14:paraId="4BCB0712" w14:textId="77777777" w:rsidR="00FE1016" w:rsidRDefault="00FE1016">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9E852" w14:textId="77777777" w:rsidR="00BA3271" w:rsidRDefault="00BA3271" w:rsidP="00A87A54">
      <w:pPr>
        <w:spacing w:after="0" w:line="240" w:lineRule="auto"/>
      </w:pPr>
      <w:r>
        <w:separator/>
      </w:r>
    </w:p>
  </w:footnote>
  <w:footnote w:type="continuationSeparator" w:id="0">
    <w:p w14:paraId="7D9AF77E" w14:textId="77777777" w:rsidR="00BA3271" w:rsidRDefault="00BA327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E1016" w14:paraId="6B3CD0DF" w14:textId="77777777">
      <w:trPr>
        <w:trHeight w:val="227"/>
      </w:trPr>
      <w:tc>
        <w:tcPr>
          <w:tcW w:w="5534" w:type="dxa"/>
        </w:tcPr>
        <w:p w14:paraId="2C58E22D" w14:textId="77777777" w:rsidR="00FE1016" w:rsidRDefault="00FE1016">
          <w:pPr>
            <w:pStyle w:val="Sidhuvud"/>
          </w:pPr>
        </w:p>
      </w:tc>
      <w:tc>
        <w:tcPr>
          <w:tcW w:w="3170" w:type="dxa"/>
          <w:vAlign w:val="bottom"/>
        </w:tcPr>
        <w:p w14:paraId="68E99530" w14:textId="77777777" w:rsidR="00FE1016" w:rsidRDefault="00FE1016">
          <w:pPr>
            <w:pStyle w:val="Sidhuvud"/>
          </w:pPr>
        </w:p>
      </w:tc>
      <w:tc>
        <w:tcPr>
          <w:tcW w:w="1134" w:type="dxa"/>
        </w:tcPr>
        <w:p w14:paraId="640D3F28" w14:textId="77777777" w:rsidR="00FE1016" w:rsidRDefault="00FE1016">
          <w:pPr>
            <w:pStyle w:val="Sidhuvud"/>
          </w:pPr>
        </w:p>
      </w:tc>
    </w:tr>
    <w:tr w:rsidR="00FE1016" w14:paraId="01C41AA4" w14:textId="77777777">
      <w:trPr>
        <w:trHeight w:val="1928"/>
      </w:trPr>
      <w:tc>
        <w:tcPr>
          <w:tcW w:w="5534" w:type="dxa"/>
        </w:tcPr>
        <w:p w14:paraId="1725F812" w14:textId="77777777" w:rsidR="00FE1016" w:rsidRDefault="00D13590">
          <w:pPr>
            <w:pStyle w:val="Sidhuvud"/>
          </w:pPr>
          <w:r>
            <w:rPr>
              <w:rFonts w:ascii="Arial"/>
              <w:noProof/>
              <w:szCs w:val="19"/>
            </w:rPr>
            <w:drawing>
              <wp:inline distT="0" distB="0" distL="0" distR="0" wp14:anchorId="62F05421" wp14:editId="38D8706C">
                <wp:extent cx="1743633" cy="505155"/>
                <wp:effectExtent l="0" t="0" r="0" b="952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743633" cy="505162"/>
                        </a:xfrm>
                        <a:prstGeom prst="rect">
                          <a:avLst/>
                        </a:prstGeom>
                      </pic:spPr>
                    </pic:pic>
                  </a:graphicData>
                </a:graphic>
              </wp:inline>
            </w:drawing>
          </w:r>
        </w:p>
      </w:tc>
      <w:tc>
        <w:tcPr>
          <w:tcW w:w="3170" w:type="dxa"/>
        </w:tcPr>
        <w:p w14:paraId="26AA8429" w14:textId="77777777" w:rsidR="00FE1016" w:rsidRDefault="00FE1016">
          <w:pPr>
            <w:pStyle w:val="Sidhuvud"/>
            <w:rPr>
              <w:b/>
            </w:rPr>
          </w:pPr>
        </w:p>
        <w:p w14:paraId="769CE684" w14:textId="77777777" w:rsidR="00FE1016" w:rsidRDefault="00FE1016">
          <w:pPr>
            <w:pStyle w:val="Sidhuvud"/>
          </w:pPr>
        </w:p>
        <w:p w14:paraId="7C445D0C" w14:textId="77777777" w:rsidR="00FE1016" w:rsidRDefault="00FE1016">
          <w:pPr>
            <w:pStyle w:val="Sidhuvud"/>
          </w:pPr>
        </w:p>
        <w:p w14:paraId="65B28261" w14:textId="77777777" w:rsidR="00FE1016" w:rsidRDefault="00FE1016">
          <w:pPr>
            <w:pStyle w:val="Sidhuvud"/>
          </w:pPr>
        </w:p>
        <w:p w14:paraId="0C40A82C" w14:textId="77777777" w:rsidR="00FE1016" w:rsidRDefault="00FE1016">
          <w:pPr>
            <w:pStyle w:val="Sidhuvud"/>
          </w:pPr>
        </w:p>
        <w:p w14:paraId="278046CD" w14:textId="77777777" w:rsidR="00FE1016" w:rsidRDefault="00FE1016">
          <w:pPr>
            <w:pStyle w:val="Sidhuvud"/>
          </w:pPr>
        </w:p>
      </w:tc>
      <w:tc>
        <w:tcPr>
          <w:tcW w:w="1134" w:type="dxa"/>
        </w:tcPr>
        <w:p w14:paraId="7F28DD64" w14:textId="77777777" w:rsidR="00FE1016" w:rsidRDefault="00FE1016">
          <w:pPr>
            <w:pStyle w:val="Sidhuvud"/>
          </w:pPr>
        </w:p>
        <w:p w14:paraId="5DC24B00" w14:textId="77777777" w:rsidR="00FE1016" w:rsidRDefault="00FE1016">
          <w:pPr>
            <w:pStyle w:val="Sidhuvud"/>
          </w:pPr>
        </w:p>
      </w:tc>
    </w:tr>
    <w:tr w:rsidR="00FE1016" w14:paraId="124CDF86" w14:textId="77777777">
      <w:trPr>
        <w:trHeight w:val="2268"/>
      </w:trPr>
      <w:tc>
        <w:tcPr>
          <w:tcW w:w="5534" w:type="dxa"/>
        </w:tcPr>
        <w:p w14:paraId="5B3EBEAC" w14:textId="77777777" w:rsidR="00FE1016" w:rsidRDefault="00D13590">
          <w:pPr>
            <w:pStyle w:val="Sidhuvud"/>
            <w:rPr>
              <w:b/>
            </w:rPr>
          </w:pPr>
          <w:r>
            <w:rPr>
              <w:rFonts w:ascii="Arial"/>
              <w:b/>
              <w:szCs w:val="19"/>
            </w:rPr>
            <w:t>Utrikesdepartementet</w:t>
          </w:r>
        </w:p>
        <w:p w14:paraId="1125B610" w14:textId="77777777" w:rsidR="00FE1016" w:rsidRDefault="00D13590">
          <w:pPr>
            <w:pStyle w:val="Sidhuvud"/>
            <w:rPr>
              <w:rFonts w:ascii="Arial"/>
              <w:szCs w:val="19"/>
            </w:rPr>
          </w:pPr>
          <w:r>
            <w:rPr>
              <w:rFonts w:ascii="Arial"/>
              <w:szCs w:val="19"/>
            </w:rPr>
            <w:t>Utrikesministern</w:t>
          </w:r>
        </w:p>
        <w:p w14:paraId="6EC64BAB" w14:textId="77777777" w:rsidR="00E472A6" w:rsidRDefault="00E472A6">
          <w:pPr>
            <w:pStyle w:val="Sidhuvud"/>
            <w:rPr>
              <w:rFonts w:ascii="Arial"/>
              <w:szCs w:val="19"/>
            </w:rPr>
          </w:pPr>
        </w:p>
        <w:p w14:paraId="4851C061" w14:textId="77777777" w:rsidR="00D13590" w:rsidRPr="00E472A6" w:rsidRDefault="00D13590">
          <w:pPr>
            <w:pStyle w:val="Sidhuvud"/>
          </w:pPr>
        </w:p>
      </w:tc>
      <w:tc>
        <w:tcPr>
          <w:tcW w:w="3170" w:type="dxa"/>
        </w:tcPr>
        <w:p w14:paraId="034E1A64" w14:textId="77777777" w:rsidR="00FE1016" w:rsidRDefault="00D13590">
          <w:pPr>
            <w:pStyle w:val="Sidhuvud"/>
            <w:rPr>
              <w:rFonts w:ascii="Arial"/>
              <w:szCs w:val="19"/>
            </w:rPr>
          </w:pPr>
          <w:r>
            <w:rPr>
              <w:rFonts w:ascii="Arial"/>
              <w:szCs w:val="19"/>
            </w:rPr>
            <w:t>Till riksdagen</w:t>
          </w:r>
        </w:p>
        <w:p w14:paraId="665716F0" w14:textId="77777777" w:rsidR="00E472A6" w:rsidRDefault="00E472A6">
          <w:pPr>
            <w:pStyle w:val="Sidhuvud"/>
            <w:rPr>
              <w:rFonts w:ascii="Arial"/>
              <w:szCs w:val="19"/>
            </w:rPr>
          </w:pPr>
        </w:p>
        <w:p w14:paraId="3617E043" w14:textId="77777777" w:rsidR="00E472A6" w:rsidRDefault="00E472A6">
          <w:pPr>
            <w:pStyle w:val="Sidhuvud"/>
          </w:pPr>
        </w:p>
      </w:tc>
      <w:tc>
        <w:tcPr>
          <w:tcW w:w="1134" w:type="dxa"/>
        </w:tcPr>
        <w:p w14:paraId="4D034A79" w14:textId="77777777" w:rsidR="00FE1016" w:rsidRDefault="00FE1016">
          <w:pPr>
            <w:pStyle w:val="Sidhuvud"/>
          </w:pPr>
        </w:p>
      </w:tc>
    </w:tr>
  </w:tbl>
  <w:p w14:paraId="2A27C9CF" w14:textId="77777777" w:rsidR="00FE1016" w:rsidRDefault="00FE101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71"/>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0C1C"/>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1E1F"/>
    <w:rsid w:val="002B6849"/>
    <w:rsid w:val="002C0230"/>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334FB"/>
    <w:rsid w:val="00544738"/>
    <w:rsid w:val="005456E4"/>
    <w:rsid w:val="00547B89"/>
    <w:rsid w:val="00553241"/>
    <w:rsid w:val="005568AF"/>
    <w:rsid w:val="00556AF5"/>
    <w:rsid w:val="005606BC"/>
    <w:rsid w:val="00561080"/>
    <w:rsid w:val="00563E73"/>
    <w:rsid w:val="00565792"/>
    <w:rsid w:val="00567799"/>
    <w:rsid w:val="005710DE"/>
    <w:rsid w:val="00571A0B"/>
    <w:rsid w:val="00573DFD"/>
    <w:rsid w:val="005747D0"/>
    <w:rsid w:val="00582918"/>
    <w:rsid w:val="005850D7"/>
    <w:rsid w:val="0058522F"/>
    <w:rsid w:val="00586266"/>
    <w:rsid w:val="005879D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5F5D46"/>
    <w:rsid w:val="00605718"/>
    <w:rsid w:val="00605C66"/>
    <w:rsid w:val="00607814"/>
    <w:rsid w:val="006175D7"/>
    <w:rsid w:val="006208E5"/>
    <w:rsid w:val="006273E4"/>
    <w:rsid w:val="00631F82"/>
    <w:rsid w:val="00633B59"/>
    <w:rsid w:val="00634EF4"/>
    <w:rsid w:val="006358C8"/>
    <w:rsid w:val="006406AC"/>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6F4708"/>
    <w:rsid w:val="00710A6C"/>
    <w:rsid w:val="00710D98"/>
    <w:rsid w:val="00711CE9"/>
    <w:rsid w:val="00712266"/>
    <w:rsid w:val="00712593"/>
    <w:rsid w:val="00712D82"/>
    <w:rsid w:val="00716E22"/>
    <w:rsid w:val="007171AB"/>
    <w:rsid w:val="007213D0"/>
    <w:rsid w:val="00732599"/>
    <w:rsid w:val="00736026"/>
    <w:rsid w:val="00743E09"/>
    <w:rsid w:val="00744FCC"/>
    <w:rsid w:val="00750C93"/>
    <w:rsid w:val="00753B19"/>
    <w:rsid w:val="00754E24"/>
    <w:rsid w:val="00757B3B"/>
    <w:rsid w:val="00764FA6"/>
    <w:rsid w:val="007708CB"/>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817"/>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21EC"/>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2D5F"/>
    <w:rsid w:val="00A53E57"/>
    <w:rsid w:val="00A548EA"/>
    <w:rsid w:val="00A56824"/>
    <w:rsid w:val="00A572DA"/>
    <w:rsid w:val="00A60D45"/>
    <w:rsid w:val="00A60F18"/>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08DF"/>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A3271"/>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0742D"/>
    <w:rsid w:val="00C1410E"/>
    <w:rsid w:val="00C141C6"/>
    <w:rsid w:val="00C16F5A"/>
    <w:rsid w:val="00C2071A"/>
    <w:rsid w:val="00C20ACB"/>
    <w:rsid w:val="00C23703"/>
    <w:rsid w:val="00C26068"/>
    <w:rsid w:val="00C26DF9"/>
    <w:rsid w:val="00C271A8"/>
    <w:rsid w:val="00C3050C"/>
    <w:rsid w:val="00C32067"/>
    <w:rsid w:val="00C320A9"/>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5ECD"/>
    <w:rsid w:val="00CA6B28"/>
    <w:rsid w:val="00CA72BB"/>
    <w:rsid w:val="00CA7FF5"/>
    <w:rsid w:val="00CB07E5"/>
    <w:rsid w:val="00CB1C14"/>
    <w:rsid w:val="00CB1E7C"/>
    <w:rsid w:val="00CB2EA1"/>
    <w:rsid w:val="00CB2F84"/>
    <w:rsid w:val="00CB3E75"/>
    <w:rsid w:val="00CB43F1"/>
    <w:rsid w:val="00CB5695"/>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590"/>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C55EF"/>
    <w:rsid w:val="00DD0722"/>
    <w:rsid w:val="00DD212F"/>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2A6"/>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14D3"/>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0683"/>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107A"/>
    <w:rsid w:val="00F922B2"/>
    <w:rsid w:val="00F943C8"/>
    <w:rsid w:val="00F96B28"/>
    <w:rsid w:val="00FA1564"/>
    <w:rsid w:val="00FA41B4"/>
    <w:rsid w:val="00FA5DDD"/>
    <w:rsid w:val="00FA7644"/>
    <w:rsid w:val="00FB0647"/>
    <w:rsid w:val="00FC069A"/>
    <w:rsid w:val="00FC08A9"/>
    <w:rsid w:val="00FC7600"/>
    <w:rsid w:val="00FD0B7B"/>
    <w:rsid w:val="00FD4C08"/>
    <w:rsid w:val="00FE1016"/>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6CACC4"/>
  <w15:docId w15:val="{E8C04868-2D58-4B7B-918C-9765FA2B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5178">
      <w:bodyDiv w:val="1"/>
      <w:marLeft w:val="0"/>
      <w:marRight w:val="0"/>
      <w:marTop w:val="0"/>
      <w:marBottom w:val="0"/>
      <w:divBdr>
        <w:top w:val="none" w:sz="0" w:space="0" w:color="auto"/>
        <w:left w:val="none" w:sz="0" w:space="0" w:color="auto"/>
        <w:bottom w:val="none" w:sz="0" w:space="0" w:color="auto"/>
        <w:right w:val="none" w:sz="0" w:space="0" w:color="auto"/>
      </w:divBdr>
    </w:div>
    <w:div w:id="5686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2019-05-02T00:00:00</HeaderDate>
    <Office/>
    <Dnr>UD2019/</Dnr>
    <ParagrafNr/>
    <DocumentTitle/>
    <VisitingAddress/>
    <Extra1/>
    <Extra2/>
    <Extra3>Håkan Svenneling</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a32b7bfb-3607-4345-8475-d9850f4cc391</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2019-05-02T00:00:00</HeaderDate>
    <Office/>
    <Dnr>UD2019/</Dnr>
    <ParagrafNr/>
    <DocumentTitle/>
    <VisitingAddress/>
    <Extra1/>
    <Extra2/>
    <Extra3>Håkan Svenneling</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SY2CVNDC5XDY-369191429-7218</_dlc_DocId>
    <_dlc_DocIdUrl xmlns="a9ec56ab-dea3-443b-ae99-35f2199b5204">
      <Url>https://dhs.sp.regeringskansliet.se/yta/ud-mk_ur/_layouts/15/DocIdRedir.aspx?ID=SY2CVNDC5XDY-369191429-7218</Url>
      <Description>SY2CVNDC5XDY-369191429-7218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AFE95-5790-4A51-97C9-3B05F6871FDB}"/>
</file>

<file path=customXml/itemProps2.xml><?xml version="1.0" encoding="utf-8"?>
<ds:datastoreItem xmlns:ds="http://schemas.openxmlformats.org/officeDocument/2006/customXml" ds:itemID="{D6EF3CA0-3413-4265-A57F-4BC8053005F5}"/>
</file>

<file path=customXml/itemProps3.xml><?xml version="1.0" encoding="utf-8"?>
<ds:datastoreItem xmlns:ds="http://schemas.openxmlformats.org/officeDocument/2006/customXml" ds:itemID="{52DA8BFE-5974-4468-A21B-ABB62809BE00}"/>
</file>

<file path=customXml/itemProps4.xml><?xml version="1.0" encoding="utf-8"?>
<ds:datastoreItem xmlns:ds="http://schemas.openxmlformats.org/officeDocument/2006/customXml" ds:itemID="{073AFE95-5790-4A51-97C9-3B05F6871FDB}"/>
</file>

<file path=customXml/itemProps5.xml><?xml version="1.0" encoding="utf-8"?>
<ds:datastoreItem xmlns:ds="http://schemas.openxmlformats.org/officeDocument/2006/customXml" ds:itemID="{D6EF3CA0-3413-4265-A57F-4BC8053005F5}"/>
</file>

<file path=customXml/itemProps6.xml><?xml version="1.0" encoding="utf-8"?>
<ds:datastoreItem xmlns:ds="http://schemas.openxmlformats.org/officeDocument/2006/customXml" ds:itemID="{46EEF8AD-B852-4A55-A312-0AFC5C49C520}"/>
</file>

<file path=customXml/itemProps7.xml><?xml version="1.0" encoding="utf-8"?>
<ds:datastoreItem xmlns:ds="http://schemas.openxmlformats.org/officeDocument/2006/customXml" ds:itemID="{245790A5-64BA-4C93-A179-3B4094990817}"/>
</file>

<file path=docProps/app.xml><?xml version="1.0" encoding="utf-8"?>
<Properties xmlns="http://schemas.openxmlformats.org/officeDocument/2006/extended-properties" xmlns:vt="http://schemas.openxmlformats.org/officeDocument/2006/docPropsVTypes">
  <Template>RK Basmall</Template>
  <TotalTime>0</TotalTime>
  <Pages>3</Pages>
  <Words>591</Words>
  <Characters>3138</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Doumbia</dc:creator>
  <cp:keywords/>
  <dc:description/>
  <cp:lastModifiedBy>Carina Stålberg</cp:lastModifiedBy>
  <cp:revision>2</cp:revision>
  <cp:lastPrinted>2019-04-29T12:47:00Z</cp:lastPrinted>
  <dcterms:created xsi:type="dcterms:W3CDTF">2019-05-02T09:34:00Z</dcterms:created>
  <dcterms:modified xsi:type="dcterms:W3CDTF">2019-05-02T09:34:00Z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b5e0ef72-a6fe-4678-8037-11d281b24a97</vt:lpwstr>
  </property>
</Properties>
</file>