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9DA1F0D76DE42AFAB0B0247D753124A"/>
        </w:placeholder>
        <w:text/>
      </w:sdtPr>
      <w:sdtEndPr/>
      <w:sdtContent>
        <w:p w:rsidRPr="009B062B" w:rsidR="00AF30DD" w:rsidP="00016C85" w:rsidRDefault="00AF30DD" w14:paraId="452A2B2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82532f-5375-482c-aa5b-b6d3a7c9bfb7"/>
        <w:id w:val="76177810"/>
        <w:lock w:val="sdtLocked"/>
      </w:sdtPr>
      <w:sdtEndPr/>
      <w:sdtContent>
        <w:p w:rsidR="000F3B61" w:rsidRDefault="00F03F2D" w14:paraId="452A2B2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efterlevnaden av riktlinjerna för statliga universitets och högskolors förvaltning av holdingbolag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A31AEC8082A46789244F11D9EEC3921"/>
        </w:placeholder>
        <w:text/>
      </w:sdtPr>
      <w:sdtEndPr/>
      <w:sdtContent>
        <w:p w:rsidRPr="009B062B" w:rsidR="006D79C9" w:rsidP="00333E95" w:rsidRDefault="006D79C9" w14:paraId="452A2B2C" w14:textId="77777777">
          <w:pPr>
            <w:pStyle w:val="Rubrik1"/>
          </w:pPr>
          <w:r>
            <w:t>Motivering</w:t>
          </w:r>
        </w:p>
      </w:sdtContent>
    </w:sdt>
    <w:p w:rsidR="00E6227A" w:rsidP="00C539B2" w:rsidRDefault="008B110C" w14:paraId="452A2B2D" w14:textId="5C24F2EC">
      <w:pPr>
        <w:pStyle w:val="Normalutanindragellerluft"/>
      </w:pPr>
      <w:r>
        <w:t>Regeringen redovisar i skrivelsen sina slutsatser av Riksrevisionens granskningsrapport Holdingbolag vid lärosätena – brister i styrning och förvaltning (RiR 2020:4). I rapport</w:t>
      </w:r>
      <w:r w:rsidR="00C539B2">
        <w:softHyphen/>
      </w:r>
      <w:r>
        <w:t>en framhåller Riksrevisionen att regeringen inte har styrt lärosätena så att de har fått förutsättningar för en aktiv och professionell förvaltning av holdingbolagen, med värde</w:t>
      </w:r>
      <w:r w:rsidR="00C539B2">
        <w:softHyphen/>
      </w:r>
      <w:r>
        <w:t xml:space="preserve">skapande som övergripande mål. I sin rapport rekommenderar Riksrevisionen </w:t>
      </w:r>
      <w:r w:rsidR="00166839">
        <w:t>regering</w:t>
      </w:r>
      <w:r w:rsidR="00C539B2">
        <w:softHyphen/>
      </w:r>
      <w:r w:rsidR="00166839">
        <w:t>en att bl.a.</w:t>
      </w:r>
      <w:r>
        <w:t xml:space="preserve"> tydliggöra vilka verksamheter som kan ingå i holdingbolagens koncerner</w:t>
      </w:r>
      <w:r w:rsidR="00166839">
        <w:t xml:space="preserve"> och </w:t>
      </w:r>
      <w:r>
        <w:t>vissa ansvarsfrågor samt att utreda hur rapporteringskedjan mellan bolag, lärosäte och regering kan utvecklas för att åstadkomma en aktiv och professionell förvaltning av bo</w:t>
      </w:r>
      <w:r w:rsidR="00C539B2">
        <w:softHyphen/>
      </w:r>
      <w:r>
        <w:t>lagen.</w:t>
      </w:r>
    </w:p>
    <w:p w:rsidRPr="00E6227A" w:rsidR="00E6227A" w:rsidP="00C539B2" w:rsidRDefault="008B110C" w14:paraId="452A2B2E" w14:textId="23F35450">
      <w:r w:rsidRPr="00E6227A">
        <w:t>Holdingbolag</w:t>
      </w:r>
      <w:r w:rsidR="00166839">
        <w:t xml:space="preserve"> som är</w:t>
      </w:r>
      <w:r w:rsidRPr="00E6227A">
        <w:t xml:space="preserve"> knut</w:t>
      </w:r>
      <w:r w:rsidR="00E6227A">
        <w:t>n</w:t>
      </w:r>
      <w:r w:rsidRPr="00E6227A">
        <w:t>a till svenska lärosäten spelar en viktig roll i nyttogöran</w:t>
      </w:r>
      <w:r w:rsidR="00C539B2">
        <w:softHyphen/>
      </w:r>
      <w:r w:rsidRPr="00E6227A">
        <w:t>de</w:t>
      </w:r>
      <w:r w:rsidR="00166839">
        <w:t>t</w:t>
      </w:r>
      <w:r w:rsidRPr="00E6227A">
        <w:t xml:space="preserve"> av forskningsgenombrott. För att det nyttogörande</w:t>
      </w:r>
      <w:r w:rsidR="00E6227A">
        <w:t>t</w:t>
      </w:r>
      <w:r w:rsidRPr="00E6227A">
        <w:t xml:space="preserve"> ska kunna maximeras krävs dock att </w:t>
      </w:r>
      <w:r w:rsidRPr="00E6227A" w:rsidR="00E6227A">
        <w:t>holdingbolagen</w:t>
      </w:r>
      <w:r w:rsidRPr="00E6227A">
        <w:t xml:space="preserve"> har korrekta förutsättningar men också styrs utifrån professio</w:t>
      </w:r>
      <w:r w:rsidR="00C539B2">
        <w:softHyphen/>
      </w:r>
      <w:r w:rsidRPr="00E6227A">
        <w:t>nalitet.</w:t>
      </w:r>
    </w:p>
    <w:p w:rsidRPr="00E6227A" w:rsidR="00E6227A" w:rsidP="00C539B2" w:rsidRDefault="008B110C" w14:paraId="452A2B2F" w14:textId="48F648C5">
      <w:r w:rsidRPr="00E6227A">
        <w:t xml:space="preserve">Det är glädjande att regeringen i sin skrivelse i stort instämmer </w:t>
      </w:r>
      <w:r w:rsidR="00166839">
        <w:t>i</w:t>
      </w:r>
      <w:r w:rsidRPr="00E6227A">
        <w:t xml:space="preserve"> de observationer som Riksrevisionen gör. Liberalerna instämmer också med regeringen om att det har tagits steg för att utveckla styrningen av holdingbolagen. Inom ramen för detta ingår </w:t>
      </w:r>
      <w:r w:rsidR="00166839">
        <w:t>bl.a.</w:t>
      </w:r>
      <w:r w:rsidRPr="00E6227A">
        <w:t xml:space="preserve"> de riktlinjer för statliga universitets och högskolors förvaltning av holdingbolag som bl.a. förtydligar </w:t>
      </w:r>
      <w:r w:rsidR="00166839">
        <w:t xml:space="preserve">den </w:t>
      </w:r>
      <w:r w:rsidRPr="00E6227A">
        <w:t>styrnings- och rapporteringskedja mellan holdingbolag, läro</w:t>
      </w:r>
      <w:r w:rsidR="00C539B2">
        <w:softHyphen/>
      </w:r>
      <w:r w:rsidRPr="00E6227A">
        <w:t xml:space="preserve">säte och regering som regeringen beslutat om. </w:t>
      </w:r>
    </w:p>
    <w:p w:rsidRPr="00E6227A" w:rsidR="00E6227A" w:rsidP="00C539B2" w:rsidRDefault="008B110C" w14:paraId="452A2B30" w14:textId="17275DB5">
      <w:r w:rsidRPr="00E6227A">
        <w:lastRenderedPageBreak/>
        <w:t>Vi emotser resultaten av det uppdrag som den särskild</w:t>
      </w:r>
      <w:r w:rsidR="00166839">
        <w:t>a</w:t>
      </w:r>
      <w:r w:rsidRPr="00E6227A">
        <w:t xml:space="preserve"> utredare</w:t>
      </w:r>
      <w:r w:rsidR="00166839">
        <w:t>n</w:t>
      </w:r>
      <w:r w:rsidRPr="00E6227A">
        <w:t xml:space="preserve"> har fått att föreslå en utvecklad struktur för innovationsstödet vid statliga universitet och högskolor. Upp</w:t>
      </w:r>
      <w:r w:rsidR="00C539B2">
        <w:softHyphen/>
      </w:r>
      <w:r w:rsidRPr="00E6227A">
        <w:t>draget omfattar flera av de frågor som Riksrevisionen lyfter fram. När utredarens för</w:t>
      </w:r>
      <w:r w:rsidR="00C539B2">
        <w:softHyphen/>
      </w:r>
      <w:r w:rsidRPr="00E6227A">
        <w:t xml:space="preserve">slag har presenterats kommer regeringen att överväga behovet av fler åtgärder för att utveckla innovationsstödet vid lärosätena, vilket innefattar holdingbolagen. </w:t>
      </w:r>
    </w:p>
    <w:p w:rsidRPr="00E6227A" w:rsidR="00E6227A" w:rsidP="00C539B2" w:rsidRDefault="008B110C" w14:paraId="452A2B31" w14:textId="6A22F36C">
      <w:r w:rsidRPr="00E6227A">
        <w:t>Liberalerna anser dock att regeringen behöver vara tydligare i fråga om säkerställan</w:t>
      </w:r>
      <w:r w:rsidR="00C539B2">
        <w:softHyphen/>
      </w:r>
      <w:r w:rsidRPr="00E6227A">
        <w:t>det av att lärosätena tar sitt ansvar. Om riktlinjernas tillämpning brister till följd av be</w:t>
      </w:r>
      <w:r w:rsidR="00C539B2">
        <w:softHyphen/>
      </w:r>
      <w:r w:rsidRPr="00E6227A">
        <w:t xml:space="preserve">gränsat ansvarstagande hos lärosätena behöver det åtgärdas. </w:t>
      </w:r>
    </w:p>
    <w:sdt>
      <w:sdtPr>
        <w:alias w:val="CC_Underskrifter"/>
        <w:tag w:val="CC_Underskrifter"/>
        <w:id w:val="583496634"/>
        <w:lock w:val="sdtContentLocked"/>
        <w:placeholder>
          <w:docPart w:val="E27328E4DDCE4A328A008DBC047F42D2"/>
        </w:placeholder>
      </w:sdtPr>
      <w:sdtEndPr/>
      <w:sdtContent>
        <w:p w:rsidR="00016C85" w:rsidP="00016C85" w:rsidRDefault="00016C85" w14:paraId="452A2B32" w14:textId="77777777"/>
        <w:p w:rsidRPr="008E0FE2" w:rsidR="004801AC" w:rsidP="00016C85" w:rsidRDefault="00BA2B01" w14:paraId="452A2B3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Haddad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0752" w:rsidRDefault="00C10752" w14:paraId="452A2B43" w14:textId="77777777">
      <w:bookmarkStart w:name="_GoBack" w:id="1"/>
      <w:bookmarkEnd w:id="1"/>
    </w:p>
    <w:sectPr w:rsidR="00C1075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A2B45" w14:textId="77777777" w:rsidR="008B110C" w:rsidRDefault="008B110C" w:rsidP="000C1CAD">
      <w:pPr>
        <w:spacing w:line="240" w:lineRule="auto"/>
      </w:pPr>
      <w:r>
        <w:separator/>
      </w:r>
    </w:p>
  </w:endnote>
  <w:endnote w:type="continuationSeparator" w:id="0">
    <w:p w14:paraId="452A2B46" w14:textId="77777777" w:rsidR="008B110C" w:rsidRDefault="008B11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A2B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A2B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A2B54" w14:textId="77777777" w:rsidR="00262EA3" w:rsidRPr="00016C85" w:rsidRDefault="00262EA3" w:rsidP="00016C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A2B43" w14:textId="77777777" w:rsidR="008B110C" w:rsidRDefault="008B110C" w:rsidP="000C1CAD">
      <w:pPr>
        <w:spacing w:line="240" w:lineRule="auto"/>
      </w:pPr>
      <w:r>
        <w:separator/>
      </w:r>
    </w:p>
  </w:footnote>
  <w:footnote w:type="continuationSeparator" w:id="0">
    <w:p w14:paraId="452A2B44" w14:textId="77777777" w:rsidR="008B110C" w:rsidRDefault="008B11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52A2B4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2A2B56" wp14:anchorId="452A2B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A2B01" w14:paraId="452A2B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DA5BB8B3CA94FC48AF2C5252AA99619"/>
                              </w:placeholder>
                              <w:text/>
                            </w:sdtPr>
                            <w:sdtEndPr/>
                            <w:sdtContent>
                              <w:r w:rsidR="008B110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BD4B31AE4EE4D80A5B48BFC6CE36EF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2A2B5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A2B01" w14:paraId="452A2B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DA5BB8B3CA94FC48AF2C5252AA99619"/>
                        </w:placeholder>
                        <w:text/>
                      </w:sdtPr>
                      <w:sdtEndPr/>
                      <w:sdtContent>
                        <w:r w:rsidR="008B110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BD4B31AE4EE4D80A5B48BFC6CE36EF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2A2B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52A2B49" w14:textId="77777777">
    <w:pPr>
      <w:jc w:val="right"/>
    </w:pPr>
  </w:p>
  <w:p w:rsidR="00262EA3" w:rsidP="00776B74" w:rsidRDefault="00262EA3" w14:paraId="452A2B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A2B01" w14:paraId="452A2B4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2A2B58" wp14:anchorId="452A2B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A2B01" w14:paraId="452A2B4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110C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A2B01" w14:paraId="452A2B4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A2B01" w14:paraId="452A2B5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</w:t>
        </w:r>
      </w:sdtContent>
    </w:sdt>
  </w:p>
  <w:p w:rsidR="00262EA3" w:rsidP="00E03A3D" w:rsidRDefault="00BA2B01" w14:paraId="452A2B5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Maria Nilsson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B110C" w14:paraId="452A2B52" w14:textId="77777777">
        <w:pPr>
          <w:pStyle w:val="FSHRub2"/>
        </w:pPr>
        <w:r>
          <w:t>med anledning av skr. 2019/20:199 Riksrevisionens rapport om holdingbolag vid universitet och högskolor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2A2B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B110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C85"/>
    <w:rsid w:val="00016E33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8B5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B61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839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11C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10C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B01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752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9B2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27A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3F2D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2A2B29"/>
  <w15:chartTrackingRefBased/>
  <w15:docId w15:val="{91D3F643-A2F0-45DB-BA70-9F7494D6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DA1F0D76DE42AFAB0B0247D7531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0888D-D548-4BBE-BC8F-9195C34FD894}"/>
      </w:docPartPr>
      <w:docPartBody>
        <w:p w:rsidR="009D676C" w:rsidRDefault="009D676C">
          <w:pPr>
            <w:pStyle w:val="89DA1F0D76DE42AFAB0B0247D75312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31AEC8082A46789244F11D9EEC3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14362A-B70D-4189-963D-6B9C74C46D61}"/>
      </w:docPartPr>
      <w:docPartBody>
        <w:p w:rsidR="009D676C" w:rsidRDefault="009D676C">
          <w:pPr>
            <w:pStyle w:val="7A31AEC8082A46789244F11D9EEC39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A5BB8B3CA94FC48AF2C5252AA99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B9F66-F304-40E9-B81D-409AE32253E7}"/>
      </w:docPartPr>
      <w:docPartBody>
        <w:p w:rsidR="009D676C" w:rsidRDefault="009D676C">
          <w:pPr>
            <w:pStyle w:val="0DA5BB8B3CA94FC48AF2C5252AA996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D4B31AE4EE4D80A5B48BFC6CE36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5983A-3F9B-4717-8169-BA71B74B1A37}"/>
      </w:docPartPr>
      <w:docPartBody>
        <w:p w:rsidR="009D676C" w:rsidRDefault="009D676C">
          <w:pPr>
            <w:pStyle w:val="EBD4B31AE4EE4D80A5B48BFC6CE36EFD"/>
          </w:pPr>
          <w:r>
            <w:t xml:space="preserve"> </w:t>
          </w:r>
        </w:p>
      </w:docPartBody>
    </w:docPart>
    <w:docPart>
      <w:docPartPr>
        <w:name w:val="E27328E4DDCE4A328A008DBC047F42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45418-FA97-4D87-AF84-9A06294B57CC}"/>
      </w:docPartPr>
      <w:docPartBody>
        <w:p w:rsidR="00213902" w:rsidRDefault="0021390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6C"/>
    <w:rsid w:val="00213902"/>
    <w:rsid w:val="009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DA1F0D76DE42AFAB0B0247D753124A">
    <w:name w:val="89DA1F0D76DE42AFAB0B0247D753124A"/>
  </w:style>
  <w:style w:type="paragraph" w:customStyle="1" w:styleId="FDAA304B15BE48EF9599878CDDE02507">
    <w:name w:val="FDAA304B15BE48EF9599878CDDE0250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9406DCF09034E1082182933C5DDAB22">
    <w:name w:val="39406DCF09034E1082182933C5DDAB22"/>
  </w:style>
  <w:style w:type="paragraph" w:customStyle="1" w:styleId="7A31AEC8082A46789244F11D9EEC3921">
    <w:name w:val="7A31AEC8082A46789244F11D9EEC3921"/>
  </w:style>
  <w:style w:type="paragraph" w:customStyle="1" w:styleId="ABBCDDFB14B4463AADBFE9947DF5F6A1">
    <w:name w:val="ABBCDDFB14B4463AADBFE9947DF5F6A1"/>
  </w:style>
  <w:style w:type="paragraph" w:customStyle="1" w:styleId="3776C9EAD0914C329A55AD67278CFE82">
    <w:name w:val="3776C9EAD0914C329A55AD67278CFE82"/>
  </w:style>
  <w:style w:type="paragraph" w:customStyle="1" w:styleId="0DA5BB8B3CA94FC48AF2C5252AA99619">
    <w:name w:val="0DA5BB8B3CA94FC48AF2C5252AA99619"/>
  </w:style>
  <w:style w:type="paragraph" w:customStyle="1" w:styleId="EBD4B31AE4EE4D80A5B48BFC6CE36EFD">
    <w:name w:val="EBD4B31AE4EE4D80A5B48BFC6CE36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6EA40-2B77-4397-8132-7A46253772FB}"/>
</file>

<file path=customXml/itemProps2.xml><?xml version="1.0" encoding="utf-8"?>
<ds:datastoreItem xmlns:ds="http://schemas.openxmlformats.org/officeDocument/2006/customXml" ds:itemID="{17ECDF0C-46DA-410B-883D-98C154119A93}"/>
</file>

<file path=customXml/itemProps3.xml><?xml version="1.0" encoding="utf-8"?>
<ds:datastoreItem xmlns:ds="http://schemas.openxmlformats.org/officeDocument/2006/customXml" ds:itemID="{181FC62F-87AD-40CB-AC06-F1D8CE9939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2165</Characters>
  <Application>Microsoft Office Word</Application>
  <DocSecurity>0</DocSecurity>
  <Lines>46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skr  2019 20 199 Riksrevisionens rapport om holdingbolag vid universitet och högskolor</vt:lpstr>
      <vt:lpstr>
      </vt:lpstr>
    </vt:vector>
  </TitlesOfParts>
  <Company>Sveriges riksdag</Company>
  <LinksUpToDate>false</LinksUpToDate>
  <CharactersWithSpaces>2483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