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Val av chefsjustitieombudsman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Omval av Elisabeth Rynning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Val av ställföreträdande justitieombudsmän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Konstitutionsutskottet har föreslagit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Omval av Lilian Wiklund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Omval av Cecilia Nordenfelt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2020:9 Flerbarnstillägget i barnbidraget - ett generellt bidrag som kan effektiviseras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2019/20:122 Ändrade mervärdesskatteregler vid e-handel mellan företag och konsumenter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2019/20:123 Ett effektivare informationsutbyte mellan polis och socialtjänst vid samverkan mot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2019/20:145 Ett förenklat förfarande vid vissa beslut om hemlig avlyssning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2019/20:128 Riksrevisionens rapport om konsumentskyddet på det finansiella 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2019/20:141 Riksrevisionens rapport om valförfarandet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2019/20:FiU51 Extra ändringsbudget för 2020 – Stöd vid korttidsarbete och andra åtgärder med anledning av coronaviruset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2019/20:CU18 Genomförande av EU:s ändringsdirektiv om byggnaders energiprestanda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2019/20:SoU6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2019/20:SoU10 Frågor om psykisk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2019/20:FiU54 Extra ändringsbudget för 2020 – Kreditgarantier för lån till företag med anledning av coronaviruset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2019/20:JuU20 Redovisning av användningen av hemliga tvångsmedel under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2019/20:JuU22 Barnpornografibrottet och preskription av brott mot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2019/20:FöU6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2019/20:SfU16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2019/20:SfU25 Nya direktiv till utredningen om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2019/20:KrU9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2019/20:AU9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2019/20:AU10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2020-04-01</SAFIR_Sammantradesdatum_Doc>
    <SAFIR_SammantradeID xmlns="C07A1A6C-0B19-41D9-BDF8-F523BA3921EB">77d3baa0-caee-45c2-83f1-9345702a2b70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C10BF-CBA3-4754-B061-33B8D846E4A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