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Ewa Björling (M)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Ekström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Emanuel Öz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1 och torsdagen den 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budgetpropositionens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oktober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 ersättare fr.o.m. den 3 november 2014 t.o.m. den 29 mars 2015 under Jenny Peterssons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2014/15:FPM1 En EU-strategi och handlingsplan för riskhantering på tullområdet </w:t>
            </w:r>
            <w:r>
              <w:rPr>
                <w:i/>
                <w:iCs/>
                <w:rtl w:val="0"/>
              </w:rPr>
              <w:t>KOM(2014) 527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 Förordning om djurläkemedel </w:t>
            </w:r>
            <w:r>
              <w:rPr>
                <w:i/>
                <w:iCs/>
                <w:rtl w:val="0"/>
              </w:rPr>
              <w:t>KOM(2014) 557, KOM(2014) 558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2014/15:FPM3 Förordning om läkemedel i foder </w:t>
            </w:r>
            <w:r>
              <w:rPr>
                <w:i/>
                <w:iCs/>
                <w:rtl w:val="0"/>
              </w:rPr>
              <w:t>KOM(2014) 556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2014-10-16</SAFIR_Sammantradesdatum_Doc>
    <SAFIR_SammantradeID xmlns="C07A1A6C-0B19-41D9-BDF8-F523BA3921EB">8efc5dfc-2cb2-4290-ba04-45cac138351a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300D9-77A9-4465-836E-73F87ECC0FA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