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9524EA">
        <w:trPr>
          <w:cantSplit/>
          <w:trHeight w:val="1720"/>
        </w:trPr>
        <w:tc>
          <w:tcPr>
            <w:tcW w:w="6024" w:type="dxa"/>
            <w:gridSpan w:val="2"/>
          </w:tcPr>
          <w:p w:rsidR="000C6E9C" w:rsidRPr="009524EA" w:rsidRDefault="00DC47EB" w:rsidP="0020634B">
            <w:pPr>
              <w:pStyle w:val="HuvudRubrik"/>
            </w:pPr>
            <w:r w:rsidRPr="009524EA">
              <w:t>Framställning till riksdagen</w:t>
            </w:r>
          </w:p>
          <w:p w:rsidR="000C6E9C" w:rsidRPr="009524EA" w:rsidRDefault="00511BE8" w:rsidP="006D0187">
            <w:pPr>
              <w:pStyle w:val="HuvudRubrikRad2"/>
            </w:pPr>
            <w:bookmarkStart w:id="0" w:name="BetänkandeNr"/>
            <w:bookmarkEnd w:id="0"/>
            <w:r w:rsidRPr="009524EA">
              <w:t>2009/10</w:t>
            </w:r>
            <w:r w:rsidR="000C6E9C" w:rsidRPr="009524EA">
              <w:t>:</w:t>
            </w:r>
            <w:r w:rsidRPr="009524EA">
              <w:t>RRS30</w:t>
            </w:r>
          </w:p>
        </w:tc>
        <w:tc>
          <w:tcPr>
            <w:tcW w:w="1418" w:type="dxa"/>
            <w:tcBorders>
              <w:bottom w:val="nil"/>
            </w:tcBorders>
          </w:tcPr>
          <w:p w:rsidR="000C6E9C" w:rsidRPr="009524EA" w:rsidRDefault="009524EA">
            <w:pPr>
              <w:spacing w:line="230" w:lineRule="auto"/>
              <w:jc w:val="center"/>
            </w:pPr>
            <w:r w:rsidRPr="009524EA">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9524EA" w:rsidRDefault="000C6E9C">
            <w:pPr>
              <w:pStyle w:val="Normaltindrag"/>
              <w:jc w:val="center"/>
            </w:pPr>
          </w:p>
          <w:p w:rsidR="000C6E9C" w:rsidRPr="009524EA" w:rsidRDefault="000C6E9C">
            <w:pPr>
              <w:pStyle w:val="StatusSida1"/>
            </w:pPr>
          </w:p>
          <w:p w:rsidR="000C6E9C" w:rsidRPr="009524EA" w:rsidRDefault="000C6E9C" w:rsidP="00BD37CC">
            <w:pPr>
              <w:pStyle w:val="UtskriftsdatumSida1"/>
              <w:framePr w:wrap="around"/>
            </w:pPr>
          </w:p>
        </w:tc>
      </w:tr>
      <w:tr w:rsidR="000C6E9C" w:rsidRPr="009524EA">
        <w:trPr>
          <w:cantSplit/>
        </w:trPr>
        <w:tc>
          <w:tcPr>
            <w:tcW w:w="6024" w:type="dxa"/>
            <w:gridSpan w:val="2"/>
            <w:tcBorders>
              <w:bottom w:val="single" w:sz="4" w:space="0" w:color="auto"/>
            </w:tcBorders>
          </w:tcPr>
          <w:p w:rsidR="000C6E9C" w:rsidRPr="009524EA" w:rsidRDefault="00DC47EB" w:rsidP="00407C67">
            <w:pPr>
              <w:pStyle w:val="DokumentRubrik"/>
              <w:rPr>
                <w:noProof w:val="0"/>
              </w:rPr>
            </w:pPr>
            <w:bookmarkStart w:id="1" w:name="Huvudrubrik"/>
            <w:bookmarkEnd w:id="1"/>
            <w:r w:rsidRPr="009524EA">
              <w:rPr>
                <w:noProof w:val="0"/>
              </w:rPr>
              <w:t>Riksrevisionens styrelses framställning om sammanslagningar av myndigheter</w:t>
            </w:r>
          </w:p>
        </w:tc>
        <w:tc>
          <w:tcPr>
            <w:tcW w:w="1418" w:type="dxa"/>
            <w:tcBorders>
              <w:bottom w:val="nil"/>
            </w:tcBorders>
          </w:tcPr>
          <w:p w:rsidR="000C6E9C" w:rsidRPr="009524EA" w:rsidRDefault="000C6E9C"/>
        </w:tc>
      </w:tr>
      <w:tr w:rsidR="000C6E9C" w:rsidRPr="009524EA">
        <w:trPr>
          <w:cantSplit/>
          <w:trHeight w:hRule="exact" w:val="360"/>
        </w:trPr>
        <w:tc>
          <w:tcPr>
            <w:tcW w:w="3012" w:type="dxa"/>
          </w:tcPr>
          <w:p w:rsidR="000C6E9C" w:rsidRPr="009524EA" w:rsidRDefault="000C6E9C"/>
        </w:tc>
        <w:tc>
          <w:tcPr>
            <w:tcW w:w="3012" w:type="dxa"/>
          </w:tcPr>
          <w:p w:rsidR="000C6E9C" w:rsidRPr="009524EA" w:rsidRDefault="000C6E9C"/>
        </w:tc>
        <w:tc>
          <w:tcPr>
            <w:tcW w:w="1418" w:type="dxa"/>
          </w:tcPr>
          <w:p w:rsidR="000C6E9C" w:rsidRPr="009524EA" w:rsidRDefault="000C6E9C"/>
        </w:tc>
      </w:tr>
    </w:tbl>
    <w:p w:rsidR="000C6E9C" w:rsidRPr="009524EA" w:rsidRDefault="000C6E9C"/>
    <w:p w:rsidR="00DC47EB" w:rsidRPr="009524EA" w:rsidRDefault="00DC47EB" w:rsidP="00DC47EB">
      <w:pPr>
        <w:pStyle w:val="Rubrik1"/>
        <w:spacing w:after="180"/>
        <w:rPr>
          <w:noProof w:val="0"/>
        </w:rPr>
      </w:pPr>
      <w:bookmarkStart w:id="2" w:name="_Toc260831114"/>
      <w:r w:rsidRPr="009524EA">
        <w:rPr>
          <w:noProof w:val="0"/>
        </w:rPr>
        <w:t>Sammanfattning</w:t>
      </w:r>
      <w:bookmarkEnd w:id="2"/>
    </w:p>
    <w:p w:rsidR="00407C67" w:rsidRPr="009524EA" w:rsidRDefault="00407C67" w:rsidP="00407C67">
      <w:pPr>
        <w:rPr>
          <w:i/>
        </w:rPr>
      </w:pPr>
      <w:bookmarkStart w:id="3" w:name="TextStart"/>
      <w:bookmarkEnd w:id="3"/>
      <w:r w:rsidRPr="009524EA">
        <w:t>Riksrevisionen har granskat enmyndighetsreformerna av Försäkringskassan, Skatteverket och Åklagarmyndigheten. Resultatet av granskningen har red</w:t>
      </w:r>
      <w:r w:rsidRPr="009524EA">
        <w:t>o</w:t>
      </w:r>
      <w:r w:rsidRPr="009524EA">
        <w:t xml:space="preserve">visats i granskningsrapporten </w:t>
      </w:r>
      <w:r w:rsidRPr="009524EA">
        <w:rPr>
          <w:i/>
        </w:rPr>
        <w:t xml:space="preserve">Från många till en – sammanslagningar av myndigheter </w:t>
      </w:r>
      <w:r w:rsidRPr="009524EA">
        <w:t xml:space="preserve">(RiR 2010:3). </w:t>
      </w:r>
    </w:p>
    <w:p w:rsidR="00DC47EB" w:rsidRPr="009524EA" w:rsidRDefault="000930EA" w:rsidP="00DC47EB">
      <w:pPr>
        <w:pStyle w:val="Normaltindrag"/>
      </w:pPr>
      <w:r w:rsidRPr="009524EA">
        <w:t>Riksrevisionens granskni</w:t>
      </w:r>
      <w:r w:rsidR="007208B0" w:rsidRPr="009524EA">
        <w:t>n</w:t>
      </w:r>
      <w:r w:rsidRPr="009524EA">
        <w:t>g visar att enhetligheten och likformigheten i myndigheternas verksamhet inte ökat på ett entydigt sätt i de ärendeslag som Riksrevisionen granskat vid de tre myndigheterna. Tvärtom visar gransknin</w:t>
      </w:r>
      <w:r w:rsidRPr="009524EA">
        <w:t>g</w:t>
      </w:r>
      <w:r w:rsidRPr="009524EA">
        <w:t>en fortsatta variationer mellan olika kontor i hur ärenden handläggs. Enmy</w:t>
      </w:r>
      <w:r w:rsidRPr="009524EA">
        <w:t>n</w:t>
      </w:r>
      <w:r w:rsidRPr="009524EA">
        <w:t>dighetsreformerna har däremot skapat bättre förutsättningar för rättslig sty</w:t>
      </w:r>
      <w:r w:rsidRPr="009524EA">
        <w:t>r</w:t>
      </w:r>
      <w:r w:rsidRPr="009524EA">
        <w:t xml:space="preserve">ning och fördelning av resurser. </w:t>
      </w:r>
    </w:p>
    <w:p w:rsidR="00257C45" w:rsidRPr="009524EA" w:rsidRDefault="00257C45" w:rsidP="00257C45">
      <w:pPr>
        <w:pStyle w:val="Normaltindrag"/>
      </w:pPr>
      <w:r w:rsidRPr="009524EA">
        <w:t>Styrelsen anser att det är viktigt att få klarhet i hur rättstillämpningen har utvecklats efter att omorganisationerna vid de tre myndigheterna genomförts. Sammanslagningar till en enda myndighet förefaller inte ensamt kunna åsta</w:t>
      </w:r>
      <w:r w:rsidRPr="009524EA">
        <w:t>d</w:t>
      </w:r>
      <w:r w:rsidRPr="009524EA">
        <w:t>komma ett mera likformigt och därmed rättssäkert beslutsfattande. Mot denna bakgrund anser styrelsen att regeringen bör återrapportera till riksdagen hur enhetligheten i rättstillämpningen har utvecklats vid Försäkringskassan, Ska</w:t>
      </w:r>
      <w:r w:rsidRPr="009524EA">
        <w:t>t</w:t>
      </w:r>
      <w:r w:rsidRPr="009524EA">
        <w:t>teverket och Åklagarmyndigheten. Riksdagen kan därigenom få en uppfat</w:t>
      </w:r>
      <w:r w:rsidRPr="009524EA">
        <w:t>t</w:t>
      </w:r>
      <w:r w:rsidRPr="009524EA">
        <w:t xml:space="preserve">ning om effekterna av de beslutade myndighetsreformerna. </w:t>
      </w:r>
    </w:p>
    <w:p w:rsidR="000930EA" w:rsidRPr="009524EA" w:rsidRDefault="000930EA" w:rsidP="000930EA">
      <w:pPr>
        <w:pStyle w:val="Normaltindrag"/>
        <w:rPr>
          <w:b/>
        </w:rPr>
      </w:pPr>
    </w:p>
    <w:p w:rsidR="000930EA" w:rsidRPr="009524EA" w:rsidRDefault="000930EA" w:rsidP="00DC47EB">
      <w:pPr>
        <w:pStyle w:val="Normaltindrag"/>
      </w:pPr>
    </w:p>
    <w:p w:rsidR="000930EA" w:rsidRPr="009524EA" w:rsidRDefault="000930EA" w:rsidP="00DC47EB">
      <w:pPr>
        <w:pStyle w:val="Normaltindrag"/>
      </w:pPr>
    </w:p>
    <w:p w:rsidR="000930EA" w:rsidRPr="009524EA" w:rsidRDefault="000930EA" w:rsidP="00DC47EB">
      <w:pPr>
        <w:pStyle w:val="Normaltindrag"/>
      </w:pPr>
    </w:p>
    <w:p w:rsidR="000930EA" w:rsidRPr="009524EA" w:rsidRDefault="000930EA" w:rsidP="00DC47EB">
      <w:pPr>
        <w:pStyle w:val="Normaltindrag"/>
      </w:pPr>
    </w:p>
    <w:p w:rsidR="000930EA" w:rsidRPr="009524EA" w:rsidRDefault="000930EA" w:rsidP="00DC47EB">
      <w:pPr>
        <w:pStyle w:val="Normaltindrag"/>
        <w:sectPr w:rsidR="000930EA" w:rsidRPr="009524EA" w:rsidSect="00F52C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360"/>
        </w:sectPr>
      </w:pPr>
    </w:p>
    <w:p w:rsidR="00DC47EB" w:rsidRPr="009524EA" w:rsidRDefault="00DC47EB" w:rsidP="00DC47EB">
      <w:pPr>
        <w:pStyle w:val="Rubrik1"/>
        <w:rPr>
          <w:noProof w:val="0"/>
        </w:rPr>
      </w:pPr>
      <w:bookmarkStart w:id="4" w:name="_Toc260831115"/>
      <w:r w:rsidRPr="009524EA">
        <w:rPr>
          <w:noProof w:val="0"/>
        </w:rPr>
        <w:lastRenderedPageBreak/>
        <w:t>Innehållsförteckning</w:t>
      </w:r>
      <w:bookmarkEnd w:id="4"/>
    </w:p>
    <w:p w:rsidR="00DC4401" w:rsidRPr="009524EA" w:rsidRDefault="00DC4401">
      <w:pPr>
        <w:pStyle w:val="Innehll1"/>
        <w:rPr>
          <w:rFonts w:ascii="Calibri" w:hAnsi="Calibri"/>
          <w:sz w:val="22"/>
          <w:szCs w:val="22"/>
        </w:rPr>
      </w:pPr>
      <w:r w:rsidRPr="009524EA">
        <w:t>Sammanfattning</w:t>
      </w:r>
      <w:r w:rsidRPr="009524EA">
        <w:tab/>
      </w:r>
      <w:r w:rsidR="0090510E" w:rsidRPr="009524EA">
        <w:t>1</w:t>
      </w:r>
    </w:p>
    <w:p w:rsidR="00DC4401" w:rsidRPr="009524EA" w:rsidRDefault="00DC4401">
      <w:pPr>
        <w:pStyle w:val="Innehll1"/>
        <w:rPr>
          <w:rFonts w:ascii="Calibri" w:hAnsi="Calibri"/>
          <w:sz w:val="22"/>
          <w:szCs w:val="22"/>
        </w:rPr>
      </w:pPr>
      <w:r w:rsidRPr="009524EA">
        <w:t>Innehållsförteckning</w:t>
      </w:r>
      <w:r w:rsidRPr="009524EA">
        <w:tab/>
      </w:r>
      <w:r w:rsidR="0090510E" w:rsidRPr="009524EA">
        <w:t>2</w:t>
      </w:r>
    </w:p>
    <w:p w:rsidR="00DC4401" w:rsidRPr="009524EA" w:rsidRDefault="00DC4401">
      <w:pPr>
        <w:pStyle w:val="Innehll1"/>
        <w:rPr>
          <w:rFonts w:ascii="Calibri" w:hAnsi="Calibri"/>
          <w:sz w:val="22"/>
          <w:szCs w:val="22"/>
        </w:rPr>
      </w:pPr>
      <w:r w:rsidRPr="009524EA">
        <w:t>Styrelsens förslag</w:t>
      </w:r>
      <w:r w:rsidRPr="009524EA">
        <w:tab/>
      </w:r>
      <w:r w:rsidR="0090510E" w:rsidRPr="009524EA">
        <w:t>3</w:t>
      </w:r>
    </w:p>
    <w:p w:rsidR="00DC4401" w:rsidRPr="009524EA" w:rsidRDefault="00DC4401">
      <w:pPr>
        <w:pStyle w:val="Innehll1"/>
        <w:rPr>
          <w:rFonts w:ascii="Calibri" w:hAnsi="Calibri"/>
          <w:sz w:val="22"/>
          <w:szCs w:val="22"/>
        </w:rPr>
      </w:pPr>
      <w:r w:rsidRPr="009524EA">
        <w:t>Riksrevisionens granskning</w:t>
      </w:r>
      <w:r w:rsidRPr="009524EA">
        <w:tab/>
      </w:r>
      <w:r w:rsidR="0090510E" w:rsidRPr="009524EA">
        <w:t>4</w:t>
      </w:r>
    </w:p>
    <w:p w:rsidR="00DC4401" w:rsidRPr="009524EA" w:rsidRDefault="00DC4401">
      <w:pPr>
        <w:pStyle w:val="Innehll2"/>
        <w:rPr>
          <w:rFonts w:ascii="Calibri" w:hAnsi="Calibri"/>
          <w:sz w:val="22"/>
          <w:szCs w:val="22"/>
        </w:rPr>
      </w:pPr>
      <w:r w:rsidRPr="009524EA">
        <w:t>Bakgrund</w:t>
      </w:r>
      <w:r w:rsidRPr="009524EA">
        <w:tab/>
      </w:r>
      <w:r w:rsidR="0090510E" w:rsidRPr="009524EA">
        <w:t>4</w:t>
      </w:r>
    </w:p>
    <w:p w:rsidR="00DC4401" w:rsidRPr="009524EA" w:rsidRDefault="00DC4401">
      <w:pPr>
        <w:pStyle w:val="Innehll2"/>
        <w:rPr>
          <w:rFonts w:ascii="Calibri" w:hAnsi="Calibri"/>
          <w:sz w:val="22"/>
          <w:szCs w:val="22"/>
        </w:rPr>
      </w:pPr>
      <w:r w:rsidRPr="009524EA">
        <w:t>Syfte och revisionsfrågor</w:t>
      </w:r>
      <w:r w:rsidRPr="009524EA">
        <w:tab/>
      </w:r>
      <w:r w:rsidR="0090510E" w:rsidRPr="009524EA">
        <w:t>4</w:t>
      </w:r>
    </w:p>
    <w:p w:rsidR="00DC4401" w:rsidRPr="009524EA" w:rsidRDefault="00DC4401">
      <w:pPr>
        <w:pStyle w:val="Innehll2"/>
        <w:rPr>
          <w:rFonts w:ascii="Calibri" w:hAnsi="Calibri"/>
          <w:sz w:val="22"/>
          <w:szCs w:val="22"/>
        </w:rPr>
      </w:pPr>
      <w:r w:rsidRPr="009524EA">
        <w:t>Sammanslagningarna</w:t>
      </w:r>
      <w:r w:rsidRPr="009524EA">
        <w:tab/>
      </w:r>
      <w:r w:rsidR="0090510E" w:rsidRPr="009524EA">
        <w:t>5</w:t>
      </w:r>
    </w:p>
    <w:p w:rsidR="00DC4401" w:rsidRPr="009524EA" w:rsidRDefault="00DC4401">
      <w:pPr>
        <w:pStyle w:val="Innehll3"/>
        <w:rPr>
          <w:rFonts w:ascii="Calibri" w:hAnsi="Calibri"/>
          <w:sz w:val="22"/>
          <w:szCs w:val="22"/>
        </w:rPr>
      </w:pPr>
      <w:r w:rsidRPr="009524EA">
        <w:t>Försäkringskassan</w:t>
      </w:r>
      <w:r w:rsidRPr="009524EA">
        <w:tab/>
      </w:r>
      <w:r w:rsidR="0090510E" w:rsidRPr="009524EA">
        <w:t>5</w:t>
      </w:r>
    </w:p>
    <w:p w:rsidR="00DC4401" w:rsidRPr="009524EA" w:rsidRDefault="00DC4401">
      <w:pPr>
        <w:pStyle w:val="Innehll3"/>
        <w:rPr>
          <w:rFonts w:ascii="Calibri" w:hAnsi="Calibri"/>
          <w:sz w:val="22"/>
          <w:szCs w:val="22"/>
        </w:rPr>
      </w:pPr>
      <w:r w:rsidRPr="009524EA">
        <w:t>Skatteverket</w:t>
      </w:r>
      <w:r w:rsidRPr="009524EA">
        <w:tab/>
      </w:r>
      <w:r w:rsidR="0090510E" w:rsidRPr="009524EA">
        <w:t>5</w:t>
      </w:r>
    </w:p>
    <w:p w:rsidR="00DC4401" w:rsidRPr="009524EA" w:rsidRDefault="00DC4401">
      <w:pPr>
        <w:pStyle w:val="Innehll3"/>
        <w:rPr>
          <w:rFonts w:ascii="Calibri" w:hAnsi="Calibri"/>
          <w:sz w:val="22"/>
          <w:szCs w:val="22"/>
        </w:rPr>
      </w:pPr>
      <w:r w:rsidRPr="009524EA">
        <w:t>Åklagarmyndigheten</w:t>
      </w:r>
      <w:r w:rsidRPr="009524EA">
        <w:tab/>
      </w:r>
      <w:r w:rsidR="0090510E" w:rsidRPr="009524EA">
        <w:t>5</w:t>
      </w:r>
    </w:p>
    <w:p w:rsidR="00DC4401" w:rsidRPr="009524EA" w:rsidRDefault="00DC4401">
      <w:pPr>
        <w:pStyle w:val="Innehll2"/>
        <w:rPr>
          <w:rFonts w:ascii="Calibri" w:hAnsi="Calibri"/>
          <w:sz w:val="22"/>
          <w:szCs w:val="22"/>
        </w:rPr>
      </w:pPr>
      <w:r w:rsidRPr="009524EA">
        <w:t>Riksrevisionens iakttagelser och slutsatser</w:t>
      </w:r>
      <w:r w:rsidRPr="009524EA">
        <w:tab/>
      </w:r>
      <w:r w:rsidR="0090510E" w:rsidRPr="009524EA">
        <w:t>6</w:t>
      </w:r>
    </w:p>
    <w:p w:rsidR="00DC4401" w:rsidRPr="009524EA" w:rsidRDefault="00DC4401">
      <w:pPr>
        <w:pStyle w:val="Innehll3"/>
        <w:rPr>
          <w:rFonts w:ascii="Calibri" w:hAnsi="Calibri"/>
          <w:sz w:val="22"/>
          <w:szCs w:val="22"/>
        </w:rPr>
      </w:pPr>
      <w:r w:rsidRPr="009524EA">
        <w:t>Vad har myndigheterna gjort?</w:t>
      </w:r>
      <w:r w:rsidRPr="009524EA">
        <w:tab/>
      </w:r>
      <w:r w:rsidR="0090510E" w:rsidRPr="009524EA">
        <w:t>6</w:t>
      </w:r>
    </w:p>
    <w:p w:rsidR="00DC4401" w:rsidRPr="009524EA" w:rsidRDefault="00DC4401">
      <w:pPr>
        <w:pStyle w:val="Innehll3"/>
        <w:rPr>
          <w:rFonts w:ascii="Calibri" w:hAnsi="Calibri"/>
          <w:sz w:val="22"/>
          <w:szCs w:val="22"/>
        </w:rPr>
      </w:pPr>
      <w:r w:rsidRPr="009524EA">
        <w:t>Har enhetligheten ökat?</w:t>
      </w:r>
      <w:r w:rsidRPr="009524EA">
        <w:tab/>
      </w:r>
      <w:r w:rsidR="0090510E" w:rsidRPr="009524EA">
        <w:t>8</w:t>
      </w:r>
    </w:p>
    <w:p w:rsidR="00DC4401" w:rsidRPr="009524EA" w:rsidRDefault="00DC4401">
      <w:pPr>
        <w:pStyle w:val="Innehll3"/>
        <w:rPr>
          <w:rFonts w:ascii="Calibri" w:hAnsi="Calibri"/>
          <w:sz w:val="22"/>
          <w:szCs w:val="22"/>
        </w:rPr>
      </w:pPr>
      <w:r w:rsidRPr="009524EA">
        <w:t>Vad vet myndigheterna och regeringen om måluppfyllelsen?</w:t>
      </w:r>
      <w:r w:rsidRPr="009524EA">
        <w:tab/>
      </w:r>
      <w:r w:rsidR="0090510E" w:rsidRPr="009524EA">
        <w:t>10</w:t>
      </w:r>
    </w:p>
    <w:p w:rsidR="00DC4401" w:rsidRPr="009524EA" w:rsidRDefault="00DC4401">
      <w:pPr>
        <w:pStyle w:val="Innehll3"/>
        <w:rPr>
          <w:rFonts w:ascii="Calibri" w:hAnsi="Calibri"/>
          <w:sz w:val="22"/>
          <w:szCs w:val="22"/>
        </w:rPr>
      </w:pPr>
      <w:r w:rsidRPr="009524EA">
        <w:t>Kostnads- och produktivitetsutvecklingen vid myndigheterna</w:t>
      </w:r>
      <w:r w:rsidRPr="009524EA">
        <w:tab/>
      </w:r>
      <w:r w:rsidR="0090510E" w:rsidRPr="009524EA">
        <w:t>11</w:t>
      </w:r>
    </w:p>
    <w:p w:rsidR="00DC4401" w:rsidRPr="009524EA" w:rsidRDefault="00DC4401">
      <w:pPr>
        <w:pStyle w:val="Innehll3"/>
        <w:rPr>
          <w:rFonts w:ascii="Calibri" w:hAnsi="Calibri"/>
          <w:sz w:val="22"/>
          <w:szCs w:val="22"/>
        </w:rPr>
      </w:pPr>
      <w:r w:rsidRPr="009524EA">
        <w:t>Baksidan av sammanslagningar</w:t>
      </w:r>
      <w:r w:rsidRPr="009524EA">
        <w:tab/>
      </w:r>
      <w:r w:rsidR="0090510E" w:rsidRPr="009524EA">
        <w:t>11</w:t>
      </w:r>
    </w:p>
    <w:p w:rsidR="00DC4401" w:rsidRPr="009524EA" w:rsidRDefault="00DC4401">
      <w:pPr>
        <w:pStyle w:val="Innehll2"/>
        <w:rPr>
          <w:rFonts w:ascii="Calibri" w:hAnsi="Calibri"/>
          <w:sz w:val="22"/>
          <w:szCs w:val="22"/>
        </w:rPr>
      </w:pPr>
      <w:r w:rsidRPr="009524EA">
        <w:t>Riksrevisionens rekommendationer</w:t>
      </w:r>
      <w:r w:rsidRPr="009524EA">
        <w:tab/>
      </w:r>
      <w:r w:rsidR="0090510E" w:rsidRPr="009524EA">
        <w:t>12</w:t>
      </w:r>
    </w:p>
    <w:p w:rsidR="00DC4401" w:rsidRPr="009524EA" w:rsidRDefault="00DC4401">
      <w:pPr>
        <w:pStyle w:val="Innehll3"/>
        <w:rPr>
          <w:rFonts w:ascii="Calibri" w:hAnsi="Calibri"/>
          <w:sz w:val="22"/>
          <w:szCs w:val="22"/>
        </w:rPr>
      </w:pPr>
      <w:r w:rsidRPr="009524EA">
        <w:t>Riksrevisionen rekommenderar berörda myndigheter att</w:t>
      </w:r>
      <w:r w:rsidRPr="009524EA">
        <w:tab/>
      </w:r>
      <w:r w:rsidR="0090510E" w:rsidRPr="009524EA">
        <w:t>12</w:t>
      </w:r>
    </w:p>
    <w:p w:rsidR="00DC4401" w:rsidRPr="009524EA" w:rsidRDefault="00DC4401">
      <w:pPr>
        <w:pStyle w:val="Innehll3"/>
        <w:rPr>
          <w:rFonts w:ascii="Calibri" w:hAnsi="Calibri"/>
          <w:sz w:val="22"/>
          <w:szCs w:val="22"/>
        </w:rPr>
      </w:pPr>
      <w:r w:rsidRPr="009524EA">
        <w:t>Riksrevisionen rekommenderar regeringen att</w:t>
      </w:r>
      <w:r w:rsidRPr="009524EA">
        <w:tab/>
      </w:r>
      <w:r w:rsidR="0090510E" w:rsidRPr="009524EA">
        <w:t>12</w:t>
      </w:r>
    </w:p>
    <w:p w:rsidR="00DC4401" w:rsidRPr="009524EA" w:rsidRDefault="00DC4401">
      <w:pPr>
        <w:pStyle w:val="Innehll1"/>
        <w:rPr>
          <w:rFonts w:ascii="Calibri" w:hAnsi="Calibri"/>
          <w:sz w:val="22"/>
          <w:szCs w:val="22"/>
        </w:rPr>
      </w:pPr>
      <w:r w:rsidRPr="009524EA">
        <w:t>Styrelsens överväganden</w:t>
      </w:r>
      <w:r w:rsidRPr="009524EA">
        <w:tab/>
      </w:r>
      <w:r w:rsidR="0090510E" w:rsidRPr="009524EA">
        <w:t>13</w:t>
      </w:r>
    </w:p>
    <w:p w:rsidR="00DC4401" w:rsidRPr="009524EA" w:rsidRDefault="00DC4401">
      <w:pPr>
        <w:pStyle w:val="Innehll2"/>
        <w:rPr>
          <w:rFonts w:ascii="Calibri" w:hAnsi="Calibri"/>
          <w:sz w:val="22"/>
          <w:szCs w:val="22"/>
        </w:rPr>
      </w:pPr>
      <w:r w:rsidRPr="009524EA">
        <w:t>Återrapportering till riksdagen</w:t>
      </w:r>
      <w:r w:rsidRPr="009524EA">
        <w:tab/>
      </w:r>
      <w:r w:rsidR="0090510E" w:rsidRPr="009524EA">
        <w:t>13</w:t>
      </w:r>
    </w:p>
    <w:p w:rsidR="00DC4401" w:rsidRPr="009524EA" w:rsidRDefault="00DC4401">
      <w:pPr>
        <w:pStyle w:val="Innehll2"/>
        <w:rPr>
          <w:rFonts w:ascii="Calibri" w:hAnsi="Calibri"/>
          <w:sz w:val="22"/>
          <w:szCs w:val="22"/>
        </w:rPr>
      </w:pPr>
      <w:r w:rsidRPr="009524EA">
        <w:t>Styrelsens förslag</w:t>
      </w:r>
      <w:r w:rsidRPr="009524EA">
        <w:tab/>
      </w:r>
      <w:r w:rsidR="0090510E" w:rsidRPr="009524EA">
        <w:t>14</w:t>
      </w:r>
    </w:p>
    <w:p w:rsidR="00DC47EB" w:rsidRPr="009524EA" w:rsidRDefault="00DC47EB" w:rsidP="00DC47EB"/>
    <w:p w:rsidR="00DC47EB" w:rsidRPr="009524EA" w:rsidRDefault="00DC47EB" w:rsidP="00DC47EB">
      <w:pPr>
        <w:pStyle w:val="Normaltindrag"/>
        <w:sectPr w:rsidR="00DC47EB" w:rsidRPr="009524EA" w:rsidSect="00F52C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360"/>
        </w:sectPr>
      </w:pPr>
    </w:p>
    <w:p w:rsidR="00DC47EB" w:rsidRPr="009524EA" w:rsidRDefault="00DC47EB" w:rsidP="00DC47EB">
      <w:pPr>
        <w:pStyle w:val="Rubrik1"/>
        <w:rPr>
          <w:noProof w:val="0"/>
        </w:rPr>
      </w:pPr>
      <w:bookmarkStart w:id="5" w:name="_Toc260831116"/>
      <w:r w:rsidRPr="009524EA">
        <w:rPr>
          <w:noProof w:val="0"/>
        </w:rPr>
        <w:t>Styrelsens förslag</w:t>
      </w:r>
      <w:bookmarkEnd w:id="5"/>
    </w:p>
    <w:p w:rsidR="00DC47EB" w:rsidRPr="009524EA" w:rsidRDefault="00DC47EB" w:rsidP="00DC47EB">
      <w:r w:rsidRPr="009524EA">
        <w:t>Med hänvisning till de motiveringar som framförs under Riksrevisionens styrelses överväganden föreslår Riksrevisionens styrelse följande:</w:t>
      </w:r>
    </w:p>
    <w:p w:rsidR="00DC47EB" w:rsidRPr="009524EA" w:rsidRDefault="00DC47EB" w:rsidP="00DC47EB">
      <w:pPr>
        <w:pStyle w:val="Normaltindrag"/>
      </w:pPr>
    </w:p>
    <w:p w:rsidR="00DC47EB" w:rsidRPr="009524EA" w:rsidRDefault="009D1D48" w:rsidP="0055172C">
      <w:pPr>
        <w:pStyle w:val="Frslagspunkt"/>
        <w:rPr>
          <w:noProof w:val="0"/>
        </w:rPr>
      </w:pPr>
      <w:bookmarkStart w:id="6" w:name="Nästa_Hpunkt"/>
      <w:bookmarkEnd w:id="6"/>
      <w:r w:rsidRPr="009524EA">
        <w:rPr>
          <w:noProof w:val="0"/>
        </w:rPr>
        <w:t>Å</w:t>
      </w:r>
      <w:r w:rsidR="0055172C" w:rsidRPr="009524EA">
        <w:rPr>
          <w:noProof w:val="0"/>
        </w:rPr>
        <w:t>terrappor</w:t>
      </w:r>
      <w:r w:rsidR="00EF1F67" w:rsidRPr="009524EA">
        <w:rPr>
          <w:noProof w:val="0"/>
        </w:rPr>
        <w:t>t</w:t>
      </w:r>
      <w:r w:rsidR="0055172C" w:rsidRPr="009524EA">
        <w:rPr>
          <w:noProof w:val="0"/>
        </w:rPr>
        <w:t>ering till riksdagen</w:t>
      </w:r>
    </w:p>
    <w:p w:rsidR="0055172C" w:rsidRPr="009524EA" w:rsidRDefault="009848B9" w:rsidP="0055172C">
      <w:r w:rsidRPr="009524EA">
        <w:t xml:space="preserve">Riksdagen tillkännager för regeringen som sin mening </w:t>
      </w:r>
      <w:r w:rsidR="009D1D48" w:rsidRPr="009524EA">
        <w:t xml:space="preserve">vad styrelsen anfört om </w:t>
      </w:r>
      <w:r w:rsidRPr="009524EA">
        <w:t xml:space="preserve">att </w:t>
      </w:r>
      <w:r w:rsidR="009D1D48" w:rsidRPr="009524EA">
        <w:t>regeringen bör återkomma till riksdagen med en redovisning av i vi</w:t>
      </w:r>
      <w:r w:rsidR="009D1D48" w:rsidRPr="009524EA">
        <w:t>l</w:t>
      </w:r>
      <w:r w:rsidR="009D1D48" w:rsidRPr="009524EA">
        <w:t xml:space="preserve">ken utsträckning en ökad enhetlighet </w:t>
      </w:r>
      <w:r w:rsidR="00D43BC5" w:rsidRPr="009524EA">
        <w:t xml:space="preserve">i rättstillämpningen </w:t>
      </w:r>
      <w:r w:rsidR="009D1D48" w:rsidRPr="009524EA">
        <w:t>har uppnåtts genom sammanslagning</w:t>
      </w:r>
      <w:r w:rsidR="00BD37CC" w:rsidRPr="009524EA">
        <w:t>arna</w:t>
      </w:r>
      <w:r w:rsidR="009D1D48" w:rsidRPr="009524EA">
        <w:t xml:space="preserve"> av Skatteverket, Åklagarmyndigheten och Försäkring</w:t>
      </w:r>
      <w:r w:rsidR="009D1D48" w:rsidRPr="009524EA">
        <w:t>s</w:t>
      </w:r>
      <w:r w:rsidR="009D1D48" w:rsidRPr="009524EA">
        <w:t>kassan.</w:t>
      </w:r>
    </w:p>
    <w:p w:rsidR="00DC47EB" w:rsidRPr="009524EA" w:rsidRDefault="00DC47EB" w:rsidP="00B4672D">
      <w:pPr>
        <w:pStyle w:val="Utskriftsdatum"/>
        <w:spacing w:before="480"/>
      </w:pPr>
      <w:r w:rsidRPr="009524EA">
        <w:t>Stockholm den</w:t>
      </w:r>
      <w:r w:rsidR="001B59E4" w:rsidRPr="009524EA">
        <w:t xml:space="preserve"> 5 maj 2010</w:t>
      </w:r>
      <w:r w:rsidRPr="009524EA">
        <w:t xml:space="preserve"> </w:t>
      </w:r>
    </w:p>
    <w:p w:rsidR="001B59E4" w:rsidRPr="009524EA" w:rsidRDefault="00DC47EB" w:rsidP="00B4672D">
      <w:pPr>
        <w:spacing w:before="240"/>
        <w:jc w:val="left"/>
      </w:pPr>
      <w:r w:rsidRPr="009524EA">
        <w:t>På Riksrevisionens styrelses vägn</w:t>
      </w:r>
      <w:bookmarkStart w:id="7" w:name="Ordförande"/>
      <w:bookmarkStart w:id="8" w:name="Deltagare"/>
      <w:bookmarkEnd w:id="7"/>
      <w:bookmarkEnd w:id="8"/>
      <w:r w:rsidR="001B59E4" w:rsidRPr="009524EA">
        <w:t>ar</w:t>
      </w:r>
    </w:p>
    <w:p w:rsidR="001B59E4" w:rsidRPr="009524EA" w:rsidRDefault="001B59E4" w:rsidP="001B59E4">
      <w:pPr>
        <w:pStyle w:val="Normaltindrag"/>
      </w:pPr>
    </w:p>
    <w:p w:rsidR="001B59E4" w:rsidRPr="009524EA" w:rsidRDefault="001B59E4" w:rsidP="001B59E4">
      <w:pPr>
        <w:pStyle w:val="Normaltindrag"/>
      </w:pPr>
    </w:p>
    <w:p w:rsidR="00FC08F2" w:rsidRPr="009524EA" w:rsidRDefault="00FC08F2" w:rsidP="001B59E4">
      <w:pPr>
        <w:pStyle w:val="Normaltindrag"/>
        <w:rPr>
          <w:i/>
        </w:rPr>
      </w:pPr>
    </w:p>
    <w:p w:rsidR="001B59E4" w:rsidRPr="009524EA" w:rsidRDefault="007208B0" w:rsidP="001B59E4">
      <w:pPr>
        <w:rPr>
          <w:i/>
        </w:rPr>
      </w:pPr>
      <w:r w:rsidRPr="009524EA">
        <w:rPr>
          <w:i/>
        </w:rPr>
        <w:t>Tommy Waidelich</w:t>
      </w:r>
    </w:p>
    <w:p w:rsidR="001B59E4" w:rsidRPr="009524EA" w:rsidRDefault="001B59E4" w:rsidP="001B59E4">
      <w:pPr>
        <w:pStyle w:val="Normaltindrag"/>
        <w:rPr>
          <w:i/>
        </w:rPr>
      </w:pPr>
    </w:p>
    <w:p w:rsidR="001B59E4" w:rsidRPr="009524EA" w:rsidRDefault="001B59E4" w:rsidP="001B59E4">
      <w:pPr>
        <w:pStyle w:val="Normaltindrag"/>
        <w:rPr>
          <w:i/>
        </w:rPr>
      </w:pPr>
    </w:p>
    <w:p w:rsidR="001B59E4" w:rsidRPr="009524EA" w:rsidRDefault="001B59E4" w:rsidP="001B59E4">
      <w:pPr>
        <w:pStyle w:val="Normaltindrag"/>
        <w:rPr>
          <w:i/>
        </w:rPr>
      </w:pPr>
    </w:p>
    <w:p w:rsidR="001B59E4" w:rsidRPr="009524EA" w:rsidRDefault="001B59E4" w:rsidP="001B59E4">
      <w:pPr>
        <w:pStyle w:val="Normaltindrag"/>
        <w:rPr>
          <w:i/>
        </w:rPr>
      </w:pPr>
    </w:p>
    <w:p w:rsidR="001B59E4" w:rsidRPr="009524EA" w:rsidRDefault="001B59E4" w:rsidP="001B59E4">
      <w:pPr>
        <w:pStyle w:val="Normaltindrag"/>
        <w:rPr>
          <w:i/>
        </w:rPr>
      </w:pPr>
    </w:p>
    <w:p w:rsidR="001B59E4" w:rsidRPr="009524EA" w:rsidRDefault="001B59E4" w:rsidP="001B59E4">
      <w:pPr>
        <w:pStyle w:val="Normaltindrag"/>
        <w:rPr>
          <w:i/>
        </w:rPr>
      </w:pPr>
      <w:r w:rsidRPr="009524EA">
        <w:rPr>
          <w:i/>
        </w:rPr>
        <w:tab/>
      </w:r>
      <w:r w:rsidRPr="009524EA">
        <w:rPr>
          <w:i/>
        </w:rPr>
        <w:tab/>
        <w:t>Anna Aspegren</w:t>
      </w:r>
    </w:p>
    <w:p w:rsidR="001B59E4" w:rsidRPr="009524EA" w:rsidRDefault="001B59E4" w:rsidP="001B59E4">
      <w:pPr>
        <w:pStyle w:val="Normaltindrag"/>
      </w:pPr>
    </w:p>
    <w:p w:rsidR="001B59E4" w:rsidRPr="009524EA" w:rsidRDefault="001B59E4" w:rsidP="001B59E4">
      <w:pPr>
        <w:pStyle w:val="Normaltindrag"/>
      </w:pPr>
    </w:p>
    <w:p w:rsidR="001B59E4" w:rsidRPr="009524EA" w:rsidRDefault="001B59E4" w:rsidP="001B59E4">
      <w:pPr>
        <w:pStyle w:val="Normaltindrag"/>
      </w:pPr>
    </w:p>
    <w:p w:rsidR="001B59E4" w:rsidRPr="009524EA" w:rsidRDefault="001B59E4" w:rsidP="001B59E4">
      <w:pPr>
        <w:pStyle w:val="Normaltindrag"/>
      </w:pPr>
    </w:p>
    <w:p w:rsidR="00511BE8" w:rsidRPr="009524EA" w:rsidRDefault="00511BE8" w:rsidP="00511BE8">
      <w:pPr>
        <w:pStyle w:val="Deltagare"/>
        <w:rPr>
          <w:noProof w:val="0"/>
        </w:rPr>
      </w:pPr>
      <w:r w:rsidRPr="009524EA">
        <w:rPr>
          <w:noProof w:val="0"/>
        </w:rPr>
        <w:t>Följande ledamöter har deltagit i beslutet: Tommy Waidelich (s), Anne-Marie Pålsson (m), Carina Adolfsson Elgestam (s), Ewa Thalén Finné (m), Alf Eriksson (s), Per Rosengren (v), Elisabeth Svantesson (m), Margareta Andersson (c), Helena Hillar Rosenqvist (mp) och Helena Höij (kd).</w:t>
      </w:r>
    </w:p>
    <w:p w:rsidR="001B59E4" w:rsidRPr="009524EA" w:rsidRDefault="001B59E4" w:rsidP="001B59E4">
      <w:pPr>
        <w:sectPr w:rsidR="001B59E4" w:rsidRPr="009524EA" w:rsidSect="00F52C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360"/>
        </w:sectPr>
      </w:pPr>
    </w:p>
    <w:p w:rsidR="00DC47EB" w:rsidRPr="009524EA" w:rsidRDefault="00DC47EB" w:rsidP="00DC47EB">
      <w:pPr>
        <w:pStyle w:val="Rubrik1"/>
        <w:rPr>
          <w:noProof w:val="0"/>
        </w:rPr>
      </w:pPr>
      <w:bookmarkStart w:id="9" w:name="_Toc260831117"/>
      <w:r w:rsidRPr="009524EA">
        <w:rPr>
          <w:noProof w:val="0"/>
        </w:rPr>
        <w:t>Riksrevisionens granskning</w:t>
      </w:r>
      <w:bookmarkEnd w:id="9"/>
    </w:p>
    <w:p w:rsidR="0055172C" w:rsidRPr="009524EA" w:rsidRDefault="0055172C" w:rsidP="0055172C">
      <w:pPr>
        <w:rPr>
          <w:i/>
        </w:rPr>
      </w:pPr>
      <w:r w:rsidRPr="009524EA">
        <w:t>Riksrevisionen har granskat enmyndighetsreformerna av Försäkringskassan, Skatteverket och Åklagarmyndigheten. Resultatet av granskningen har red</w:t>
      </w:r>
      <w:r w:rsidRPr="009524EA">
        <w:t>o</w:t>
      </w:r>
      <w:r w:rsidRPr="009524EA">
        <w:t xml:space="preserve">visats i granskningsrapporten </w:t>
      </w:r>
      <w:r w:rsidRPr="009524EA">
        <w:rPr>
          <w:i/>
        </w:rPr>
        <w:t xml:space="preserve">Från många till en – sammanslagningar av myndigheter </w:t>
      </w:r>
      <w:r w:rsidRPr="009524EA">
        <w:t>(RiR 2010:3). Rapporten publicerades i mars 2010.</w:t>
      </w:r>
    </w:p>
    <w:p w:rsidR="0055172C" w:rsidRPr="009524EA" w:rsidRDefault="0055172C" w:rsidP="0055172C">
      <w:pPr>
        <w:pStyle w:val="Rubrik2"/>
      </w:pPr>
      <w:bookmarkStart w:id="10" w:name="_Toc260831118"/>
      <w:r w:rsidRPr="009524EA">
        <w:t>Bakgrund</w:t>
      </w:r>
      <w:bookmarkEnd w:id="10"/>
      <w:r w:rsidRPr="009524EA">
        <w:t xml:space="preserve"> </w:t>
      </w:r>
    </w:p>
    <w:p w:rsidR="0055172C" w:rsidRPr="009524EA" w:rsidRDefault="0055172C" w:rsidP="0055172C">
      <w:r w:rsidRPr="009524EA">
        <w:t>Sedan 2004 har åtta av tio koncernmyndigheter slagits samman till enmy</w:t>
      </w:r>
      <w:r w:rsidRPr="009524EA">
        <w:t>n</w:t>
      </w:r>
      <w:r w:rsidRPr="009524EA">
        <w:t>digheter, bl.a. för att få en förtydligad struktur med utpekad ledning och klara ansvarskedjor i myndigheterna. Såväl riksdag som regering och myndigheter har motiverat förändringarna med att en sammanhållen nationell myndighet är en bättre garant för en likformig och rätt</w:t>
      </w:r>
      <w:r w:rsidR="007208B0" w:rsidRPr="009524EA">
        <w:t>s</w:t>
      </w:r>
      <w:r w:rsidRPr="009524EA">
        <w:t>säker handläggning liksom en ökad flexibilitet. Ambitioner att sammanslagningarna skulle leda till ett effektivare resursutnyttjande på myndigheterna genom bl.a. lägre kostnader för adminis</w:t>
      </w:r>
      <w:r w:rsidRPr="009524EA">
        <w:t>t</w:t>
      </w:r>
      <w:r w:rsidRPr="009524EA">
        <w:t>rationen har också funnits.</w:t>
      </w:r>
    </w:p>
    <w:p w:rsidR="0055172C" w:rsidRPr="009524EA" w:rsidRDefault="0055172C" w:rsidP="0055172C">
      <w:pPr>
        <w:pStyle w:val="Normaltindrag"/>
      </w:pPr>
      <w:r w:rsidRPr="009524EA">
        <w:t>De myndigheter som har genomgått en sammanslagning bedriver en ver</w:t>
      </w:r>
      <w:r w:rsidRPr="009524EA">
        <w:t>k</w:t>
      </w:r>
      <w:r w:rsidRPr="009524EA">
        <w:t>samhet som berör många medborgare och uppbär anslag som utgör en bet</w:t>
      </w:r>
      <w:r w:rsidRPr="009524EA">
        <w:t>y</w:t>
      </w:r>
      <w:r w:rsidRPr="009524EA">
        <w:t>dande del av statsbudgeten. Det är därför av största vikt för medborgarna och samhällets funktion att verksamheten hos de nya enmyndigheterna fungerar med minst bibehållen och helst högre effektivitet jämfört med tidigare.</w:t>
      </w:r>
    </w:p>
    <w:p w:rsidR="0055172C" w:rsidRPr="009524EA" w:rsidRDefault="0055172C" w:rsidP="0055172C">
      <w:pPr>
        <w:pStyle w:val="Rubrik2"/>
      </w:pPr>
      <w:bookmarkStart w:id="11" w:name="_Toc260831119"/>
      <w:r w:rsidRPr="009524EA">
        <w:t>Syfte och revisionsfrågor</w:t>
      </w:r>
      <w:bookmarkEnd w:id="11"/>
    </w:p>
    <w:p w:rsidR="0055172C" w:rsidRPr="009524EA" w:rsidRDefault="0055172C" w:rsidP="0055172C">
      <w:r w:rsidRPr="009524EA">
        <w:t>Huvudsyftet med granskningen är att granska om sammanslagningarna av Skatteverket, Åklagarmyndigheten och Försäkringskassan lett till större e</w:t>
      </w:r>
      <w:r w:rsidRPr="009524EA">
        <w:t>n</w:t>
      </w:r>
      <w:r w:rsidRPr="009524EA">
        <w:t xml:space="preserve">hetlighet vid myndighetsutövningen. </w:t>
      </w:r>
    </w:p>
    <w:p w:rsidR="0055172C" w:rsidRPr="009524EA" w:rsidRDefault="0055172C" w:rsidP="0055172C">
      <w:pPr>
        <w:pStyle w:val="Normaltindrag"/>
      </w:pPr>
      <w:r w:rsidRPr="009524EA">
        <w:t>I samband med reformerna har det även funnits ambitioner för Åklaga</w:t>
      </w:r>
      <w:r w:rsidRPr="009524EA">
        <w:t>r</w:t>
      </w:r>
      <w:r w:rsidRPr="009524EA">
        <w:t>myndigheten och Skatteverket att förbättra resursutnyttjande bl.a. genom att minska administrationen och därför ingår även granskning av kostnadsutvec</w:t>
      </w:r>
      <w:r w:rsidRPr="009524EA">
        <w:t>k</w:t>
      </w:r>
      <w:r w:rsidRPr="009524EA">
        <w:t>lingen för administrationen hos dessa myndigheter. När det gäller Åklaga</w:t>
      </w:r>
      <w:r w:rsidRPr="009524EA">
        <w:t>r</w:t>
      </w:r>
      <w:r w:rsidRPr="009524EA">
        <w:t>myndigheten var syftet med ökad enhetlighet vid myndighetsutövningen inte lika tydlig som för Försäkringskassan och Skatteverket.</w:t>
      </w:r>
    </w:p>
    <w:p w:rsidR="0055172C" w:rsidRPr="009524EA" w:rsidRDefault="0055172C" w:rsidP="0055172C">
      <w:pPr>
        <w:pStyle w:val="Normaltindrag"/>
      </w:pPr>
      <w:r w:rsidRPr="009524EA">
        <w:t>Följande frågor ställs i granskningen:</w:t>
      </w:r>
    </w:p>
    <w:p w:rsidR="0055172C" w:rsidRPr="009524EA" w:rsidRDefault="0055172C" w:rsidP="00256004">
      <w:pPr>
        <w:pStyle w:val="Liststycke"/>
        <w:numPr>
          <w:ilvl w:val="0"/>
          <w:numId w:val="7"/>
        </w:numPr>
        <w:spacing w:before="0"/>
      </w:pPr>
      <w:r w:rsidRPr="009524EA">
        <w:softHyphen/>
        <w:t>Har enmyndighetsreformerna lett till ökad enhetlighet vid Försäkringska</w:t>
      </w:r>
      <w:r w:rsidRPr="009524EA">
        <w:t>s</w:t>
      </w:r>
      <w:r w:rsidRPr="009524EA">
        <w:t>sans, Skatteverkets och Åklagarmyndighetens myndighetsutövning?</w:t>
      </w:r>
    </w:p>
    <w:p w:rsidR="0055172C" w:rsidRPr="009524EA" w:rsidRDefault="0055172C" w:rsidP="00256004">
      <w:pPr>
        <w:pStyle w:val="Liststycke"/>
        <w:numPr>
          <w:ilvl w:val="0"/>
          <w:numId w:val="7"/>
        </w:numPr>
      </w:pPr>
      <w:r w:rsidRPr="009524EA">
        <w:t>Har regeringen gett myndigheterna tillräckliga förutsättningar för att genomföra reformen på ett effektivt sätt?</w:t>
      </w:r>
    </w:p>
    <w:p w:rsidR="0055172C" w:rsidRPr="009524EA" w:rsidRDefault="0055172C" w:rsidP="00256004">
      <w:pPr>
        <w:pStyle w:val="Liststycke"/>
        <w:numPr>
          <w:ilvl w:val="0"/>
          <w:numId w:val="7"/>
        </w:numPr>
      </w:pPr>
      <w:r w:rsidRPr="009524EA">
        <w:t>Har myndigheterna utnyttjat möjligheterna med den nya organisationen?</w:t>
      </w:r>
    </w:p>
    <w:p w:rsidR="0055172C" w:rsidRPr="009524EA" w:rsidRDefault="0055172C" w:rsidP="00256004">
      <w:pPr>
        <w:pStyle w:val="Rubrik2"/>
      </w:pPr>
      <w:bookmarkStart w:id="12" w:name="_Toc260831120"/>
      <w:r w:rsidRPr="009524EA">
        <w:t>Sammanslagningarna</w:t>
      </w:r>
      <w:bookmarkEnd w:id="12"/>
    </w:p>
    <w:p w:rsidR="0055172C" w:rsidRPr="009524EA" w:rsidRDefault="0055172C" w:rsidP="004E5118">
      <w:pPr>
        <w:pStyle w:val="Rubrik3"/>
        <w:spacing w:before="0"/>
        <w:rPr>
          <w:noProof w:val="0"/>
        </w:rPr>
      </w:pPr>
      <w:bookmarkStart w:id="13" w:name="_Toc260831121"/>
      <w:r w:rsidRPr="009524EA">
        <w:rPr>
          <w:noProof w:val="0"/>
        </w:rPr>
        <w:t>Försäkringskassan</w:t>
      </w:r>
      <w:bookmarkEnd w:id="13"/>
      <w:r w:rsidRPr="009524EA">
        <w:rPr>
          <w:noProof w:val="0"/>
        </w:rPr>
        <w:t xml:space="preserve"> </w:t>
      </w:r>
    </w:p>
    <w:p w:rsidR="0055172C" w:rsidRPr="009524EA" w:rsidRDefault="0055172C" w:rsidP="0055172C">
      <w:r w:rsidRPr="009524EA">
        <w:t>Försäkringskassans organisation har förändrats i två steg. Den formella sa</w:t>
      </w:r>
      <w:r w:rsidRPr="009524EA">
        <w:t>m</w:t>
      </w:r>
      <w:r w:rsidRPr="009524EA">
        <w:t>manslagningen genomfördes den 1 januari 2005 då de 21 länsbaserade försä</w:t>
      </w:r>
      <w:r w:rsidRPr="009524EA">
        <w:t>k</w:t>
      </w:r>
      <w:r w:rsidRPr="009524EA">
        <w:t>ringskassorna och Riksförsäkringsverket avvecklades och den nya myndigh</w:t>
      </w:r>
      <w:r w:rsidRPr="009524EA">
        <w:t>e</w:t>
      </w:r>
      <w:r w:rsidRPr="009524EA">
        <w:t>ten, Försäkringskassan, bildades. Länsorganisationen bibehölls, liksom ko</w:t>
      </w:r>
      <w:r w:rsidRPr="009524EA">
        <w:t>n</w:t>
      </w:r>
      <w:r w:rsidRPr="009524EA">
        <w:t>torsstruktur och arbetsrutiner. Nästa steg togs under 2008 genom att myndi</w:t>
      </w:r>
      <w:r w:rsidRPr="009524EA">
        <w:t>g</w:t>
      </w:r>
      <w:r w:rsidRPr="009524EA">
        <w:t>heten gick från en decentraliserad organisation där nästan alla förmåner b</w:t>
      </w:r>
      <w:r w:rsidRPr="009524EA">
        <w:t>e</w:t>
      </w:r>
      <w:r w:rsidRPr="009524EA">
        <w:t xml:space="preserve">handlades vid samtliga 21 försäkringskassor till att </w:t>
      </w:r>
      <w:r w:rsidR="00BD37CC" w:rsidRPr="009524EA">
        <w:t xml:space="preserve">delar av </w:t>
      </w:r>
      <w:r w:rsidRPr="009524EA">
        <w:t>ärendehanterin</w:t>
      </w:r>
      <w:r w:rsidRPr="009524EA">
        <w:t>g</w:t>
      </w:r>
      <w:r w:rsidRPr="009524EA">
        <w:t xml:space="preserve">en koncentrerades </w:t>
      </w:r>
      <w:r w:rsidR="00BD37CC" w:rsidRPr="009524EA">
        <w:t>till färre konto</w:t>
      </w:r>
      <w:r w:rsidR="007208B0" w:rsidRPr="009524EA">
        <w:t>r</w:t>
      </w:r>
      <w:r w:rsidR="00BD37CC" w:rsidRPr="009524EA">
        <w:t xml:space="preserve"> </w:t>
      </w:r>
      <w:r w:rsidRPr="009524EA">
        <w:t xml:space="preserve">och länen avskaffades som organisatoriska enheter. </w:t>
      </w:r>
    </w:p>
    <w:p w:rsidR="0055172C" w:rsidRPr="009524EA" w:rsidRDefault="0055172C" w:rsidP="00256004">
      <w:pPr>
        <w:pStyle w:val="Normaltindrag"/>
      </w:pPr>
      <w:r w:rsidRPr="009524EA">
        <w:t>I regeringens förslag till omorganisation av försäkringskassornas verksa</w:t>
      </w:r>
      <w:r w:rsidRPr="009524EA">
        <w:t>m</w:t>
      </w:r>
      <w:r w:rsidRPr="009524EA">
        <w:t>het påtalades att det fanns behov av att åtgärda brister och oklarheter i a</w:t>
      </w:r>
      <w:r w:rsidRPr="009524EA">
        <w:t>n</w:t>
      </w:r>
      <w:r w:rsidRPr="009524EA">
        <w:t>svarsfördelningen inom socialförsäkringsadministrationen för att åstadkomma en enhetlig rättstillämpning och en effektiv handläggning av ärenden.</w:t>
      </w:r>
      <w:r w:rsidRPr="009524EA">
        <w:rPr>
          <w:vertAlign w:val="superscript"/>
        </w:rPr>
        <w:footnoteReference w:id="1"/>
      </w:r>
      <w:r w:rsidRPr="009524EA">
        <w:rPr>
          <w:vertAlign w:val="superscript"/>
        </w:rPr>
        <w:t xml:space="preserve"> </w:t>
      </w:r>
      <w:r w:rsidRPr="009524EA">
        <w:t>Även socialutskottet framhöll att den föreslagna organisationsförändringen var avsedd att åstadkomma en rättssäker tillämpning av socialförsäkringens re</w:t>
      </w:r>
      <w:r w:rsidRPr="009524EA">
        <w:t>g</w:t>
      </w:r>
      <w:r w:rsidRPr="009524EA">
        <w:t>ler.</w:t>
      </w:r>
      <w:r w:rsidRPr="009524EA">
        <w:rPr>
          <w:vertAlign w:val="superscript"/>
        </w:rPr>
        <w:footnoteReference w:id="2"/>
      </w:r>
      <w:r w:rsidRPr="009524EA">
        <w:t xml:space="preserve"> </w:t>
      </w:r>
    </w:p>
    <w:p w:rsidR="0055172C" w:rsidRPr="009524EA" w:rsidRDefault="0055172C" w:rsidP="00256004">
      <w:pPr>
        <w:pStyle w:val="Rubrik3"/>
        <w:rPr>
          <w:noProof w:val="0"/>
        </w:rPr>
      </w:pPr>
      <w:bookmarkStart w:id="14" w:name="_Toc260831122"/>
      <w:r w:rsidRPr="009524EA">
        <w:rPr>
          <w:noProof w:val="0"/>
        </w:rPr>
        <w:t>Skatteverket</w:t>
      </w:r>
      <w:bookmarkEnd w:id="14"/>
    </w:p>
    <w:p w:rsidR="0055172C" w:rsidRPr="009524EA" w:rsidRDefault="0055172C" w:rsidP="0055172C">
      <w:r w:rsidRPr="009524EA">
        <w:t>Skatteverket inrättades den 1 januari 2004 genom att de tio dåvarande skatt</w:t>
      </w:r>
      <w:r w:rsidRPr="009524EA">
        <w:t>e</w:t>
      </w:r>
      <w:r w:rsidRPr="009524EA">
        <w:t>myndigheterna och Riksskatteverket avvecklades och att en ny skattemyndi</w:t>
      </w:r>
      <w:r w:rsidRPr="009524EA">
        <w:t>g</w:t>
      </w:r>
      <w:r w:rsidRPr="009524EA">
        <w:t>het inrättades. Skatteverket består av huvudkontoret, åtta skattekontor och ett verksamhetsstöd. En central rättsavdelning har inrättats med ansvar för rätt</w:t>
      </w:r>
      <w:r w:rsidRPr="009524EA">
        <w:t>s</w:t>
      </w:r>
      <w:r w:rsidRPr="009524EA">
        <w:t xml:space="preserve">liga frågor. </w:t>
      </w:r>
    </w:p>
    <w:p w:rsidR="0055172C" w:rsidRPr="009524EA" w:rsidRDefault="0055172C" w:rsidP="00256004">
      <w:pPr>
        <w:pStyle w:val="Normaltindrag"/>
      </w:pPr>
      <w:r w:rsidRPr="009524EA">
        <w:t>I förslaget till reformen av skatteförvaltningen angav regeringen bl.a. att det krävdes flexibilitet för att anpassa resurserna till arbetsvolymen för att uppnå en ändamålsenlig och effektiv beskattningsverksamhet med enhetlig rättstillämpning inom hela förvaltningen. För att uppnå största möjliga li</w:t>
      </w:r>
      <w:r w:rsidRPr="009524EA">
        <w:t>k</w:t>
      </w:r>
      <w:r w:rsidRPr="009524EA">
        <w:t>formighet i beslutsfattandet fanns det enligt regeringen behov av specialis</w:t>
      </w:r>
      <w:r w:rsidRPr="009524EA">
        <w:t>e</w:t>
      </w:r>
      <w:r w:rsidRPr="009524EA">
        <w:t>ring, vilken försvårades av de befintliga myndighetsgränserna.</w:t>
      </w:r>
      <w:r w:rsidRPr="009524EA">
        <w:rPr>
          <w:vertAlign w:val="superscript"/>
        </w:rPr>
        <w:footnoteReference w:id="3"/>
      </w:r>
      <w:r w:rsidRPr="009524EA">
        <w:t xml:space="preserve"> Även skatt</w:t>
      </w:r>
      <w:r w:rsidRPr="009524EA">
        <w:t>e</w:t>
      </w:r>
      <w:r w:rsidRPr="009524EA">
        <w:t>utskottet framhöll att genom att skatteförvaltningen organiserades som en myndighet skapades bättre förutsättningar för att genom centraliser</w:t>
      </w:r>
      <w:r w:rsidR="007208B0" w:rsidRPr="009524EA">
        <w:t>ad styrning åstadkomma ett mer</w:t>
      </w:r>
      <w:r w:rsidRPr="009524EA">
        <w:t xml:space="preserve"> likformigt beslutsfattande</w:t>
      </w:r>
      <w:r w:rsidR="00423258" w:rsidRPr="009524EA">
        <w:t xml:space="preserve"> och </w:t>
      </w:r>
      <w:r w:rsidR="007208B0" w:rsidRPr="009524EA">
        <w:t xml:space="preserve">en </w:t>
      </w:r>
      <w:r w:rsidR="00423258" w:rsidRPr="009524EA">
        <w:t>enhetlig rättstilläm</w:t>
      </w:r>
      <w:r w:rsidR="00423258" w:rsidRPr="009524EA">
        <w:t>p</w:t>
      </w:r>
      <w:r w:rsidR="00423258" w:rsidRPr="009524EA">
        <w:t>ning.</w:t>
      </w:r>
      <w:r w:rsidRPr="009524EA">
        <w:rPr>
          <w:vertAlign w:val="superscript"/>
        </w:rPr>
        <w:footnoteReference w:id="4"/>
      </w:r>
    </w:p>
    <w:p w:rsidR="0055172C" w:rsidRPr="009524EA" w:rsidRDefault="0055172C" w:rsidP="00256004">
      <w:pPr>
        <w:pStyle w:val="Rubrik3"/>
        <w:rPr>
          <w:noProof w:val="0"/>
        </w:rPr>
      </w:pPr>
      <w:bookmarkStart w:id="15" w:name="_Toc260831123"/>
      <w:r w:rsidRPr="009524EA">
        <w:rPr>
          <w:noProof w:val="0"/>
        </w:rPr>
        <w:t>Åklagarmyndigheten</w:t>
      </w:r>
      <w:bookmarkEnd w:id="15"/>
    </w:p>
    <w:p w:rsidR="0055172C" w:rsidRPr="009524EA" w:rsidRDefault="0055172C" w:rsidP="0055172C">
      <w:r w:rsidRPr="009524EA">
        <w:t>Åklagarmyndigheten bildades den 1 januari 2005. Omorganisationen innebar avveckling av den regionala strukturen med sex myndighetschefer under Riksåklagaren och de regionala kanslierna som stod för det löpande adminis</w:t>
      </w:r>
      <w:r w:rsidRPr="009524EA">
        <w:t>t</w:t>
      </w:r>
      <w:r w:rsidRPr="009524EA">
        <w:t>rativa stödet. Kammarstrukturen med geografiskt indelade kammare lämnades i huvudsak oförändrad. Efter förändringen består myndigheten av 39 kamm</w:t>
      </w:r>
      <w:r w:rsidRPr="009524EA">
        <w:t>a</w:t>
      </w:r>
      <w:r w:rsidRPr="009524EA">
        <w:t>re, varav 32 är allmänna kammare, 4 nationella och 3 internationella. Samtl</w:t>
      </w:r>
      <w:r w:rsidRPr="009524EA">
        <w:t>i</w:t>
      </w:r>
      <w:r w:rsidRPr="009524EA">
        <w:t>ga kammare är placerade direkt under riksåklagaren. Fyra utvecklingscentrum med ansvar för rättslig utveckling, tillsyn och kontroll inom olika brottsomr</w:t>
      </w:r>
      <w:r w:rsidRPr="009524EA">
        <w:t>å</w:t>
      </w:r>
      <w:r w:rsidRPr="009524EA">
        <w:t>den bildades också. Efter reformen har åklagarna behörighet att verka över hela landet.</w:t>
      </w:r>
    </w:p>
    <w:p w:rsidR="0055172C" w:rsidRPr="009524EA" w:rsidRDefault="0055172C" w:rsidP="00256004">
      <w:pPr>
        <w:pStyle w:val="Normaltindrag"/>
      </w:pPr>
      <w:r w:rsidRPr="009524EA">
        <w:t>Inför omorganisationen av åklagarverksamheten angav regeringen bl.a. att det fanns betydande skillnader i arbetsmetoder och rättstillämpning som b</w:t>
      </w:r>
      <w:r w:rsidRPr="009524EA">
        <w:t>e</w:t>
      </w:r>
      <w:r w:rsidRPr="009524EA">
        <w:t>dömdes vara svåra att åtgärda i den dåvarande organisationsstrukturen. Rege</w:t>
      </w:r>
      <w:r w:rsidRPr="009524EA">
        <w:t>r</w:t>
      </w:r>
      <w:r w:rsidRPr="009524EA">
        <w:t>ingen gjorde bedömningen att reformens avsedda effektivisering, tillsammans med att tillsynsverksamheten och den rättsliga kontrollen förstärktes, skulle leda till ännu större enhetlighet i åklagarverksamheten.</w:t>
      </w:r>
      <w:r w:rsidRPr="009524EA">
        <w:rPr>
          <w:vertAlign w:val="superscript"/>
        </w:rPr>
        <w:footnoteReference w:id="5"/>
      </w:r>
      <w:r w:rsidRPr="009524EA">
        <w:t xml:space="preserve"> Justitieutskottet a</w:t>
      </w:r>
      <w:r w:rsidRPr="009524EA">
        <w:t>n</w:t>
      </w:r>
      <w:r w:rsidRPr="009524EA">
        <w:t>förde att en organisation med endast en myndighet utgjorde en ändamålsenlig grund för en åklagarverksamhet med fortsatt höga krav på rättssäkerhet och kvalitet i verksamheten liksom att funktionen för systematisk tillsyn och överprövningsverksamhet m.m. skapade goda förutsättningar för en mer enhetlig rättstillämpning.</w:t>
      </w:r>
      <w:r w:rsidRPr="009524EA">
        <w:rPr>
          <w:vertAlign w:val="superscript"/>
        </w:rPr>
        <w:footnoteReference w:id="6"/>
      </w:r>
      <w:r w:rsidRPr="009524EA">
        <w:t xml:space="preserve"> </w:t>
      </w:r>
    </w:p>
    <w:p w:rsidR="0055172C" w:rsidRPr="009524EA" w:rsidRDefault="0055172C" w:rsidP="00256004">
      <w:pPr>
        <w:pStyle w:val="Rubrik2"/>
      </w:pPr>
      <w:bookmarkStart w:id="16" w:name="_Toc260831124"/>
      <w:r w:rsidRPr="009524EA">
        <w:t>Riksrevisionens iakttagelser och slutsatser</w:t>
      </w:r>
      <w:bookmarkEnd w:id="16"/>
    </w:p>
    <w:p w:rsidR="0055172C" w:rsidRPr="009524EA" w:rsidRDefault="0055172C" w:rsidP="00256004">
      <w:pPr>
        <w:pStyle w:val="Rubrik3"/>
        <w:rPr>
          <w:noProof w:val="0"/>
        </w:rPr>
      </w:pPr>
      <w:bookmarkStart w:id="17" w:name="_Toc260831125"/>
      <w:r w:rsidRPr="009524EA">
        <w:rPr>
          <w:noProof w:val="0"/>
        </w:rPr>
        <w:t>Vad har myndigheterna gjort?</w:t>
      </w:r>
      <w:bookmarkEnd w:id="17"/>
    </w:p>
    <w:p w:rsidR="0055172C" w:rsidRPr="009524EA" w:rsidRDefault="0055172C" w:rsidP="0055172C">
      <w:r w:rsidRPr="009524EA">
        <w:t>En central fråga i granskningen är om myndigheterna har utnyttjat möjligh</w:t>
      </w:r>
      <w:r w:rsidRPr="009524EA">
        <w:t>e</w:t>
      </w:r>
      <w:r w:rsidRPr="009524EA">
        <w:t xml:space="preserve">terna med den nya organisationen. </w:t>
      </w:r>
    </w:p>
    <w:p w:rsidR="0055172C" w:rsidRPr="009524EA" w:rsidRDefault="0055172C" w:rsidP="00423258">
      <w:pPr>
        <w:pStyle w:val="R4"/>
      </w:pPr>
      <w:r w:rsidRPr="009524EA">
        <w:t>Öka</w:t>
      </w:r>
      <w:r w:rsidR="007208B0" w:rsidRPr="009524EA">
        <w:t>t</w:t>
      </w:r>
      <w:r w:rsidRPr="009524EA">
        <w:t xml:space="preserve"> fokus på styrning av rättsliga frågor och ärendehantering</w:t>
      </w:r>
    </w:p>
    <w:p w:rsidR="0055172C" w:rsidRPr="009524EA" w:rsidRDefault="0055172C" w:rsidP="0055172C">
      <w:r w:rsidRPr="009524EA">
        <w:t>Granskningen visar att för samtliga myndighet</w:t>
      </w:r>
      <w:r w:rsidR="007208B0" w:rsidRPr="009524EA">
        <w:t>er har reformerna lett till ökat</w:t>
      </w:r>
      <w:r w:rsidRPr="009524EA">
        <w:t xml:space="preserve"> fokus på styrning av rättsliga frågor och ärendehanteringsprocesser. Styrnin</w:t>
      </w:r>
      <w:r w:rsidRPr="009524EA">
        <w:t>g</w:t>
      </w:r>
      <w:r w:rsidRPr="009524EA">
        <w:t>en i form av vägledningar och riktlinjer för rättstillämpning och ärendehante</w:t>
      </w:r>
      <w:r w:rsidRPr="009524EA">
        <w:t>r</w:t>
      </w:r>
      <w:r w:rsidRPr="009524EA">
        <w:t>ing har ökat väsentligt vid de tre myndigheterna. Vid Åklagarmyndigheten och Skatteverket har dessutom särskilda funktioner för rättslig styrning inrä</w:t>
      </w:r>
      <w:r w:rsidRPr="009524EA">
        <w:t>t</w:t>
      </w:r>
      <w:r w:rsidRPr="009524EA">
        <w:t xml:space="preserve">tats. </w:t>
      </w:r>
    </w:p>
    <w:p w:rsidR="0055172C" w:rsidRPr="009524EA" w:rsidRDefault="0055172C" w:rsidP="00256004">
      <w:pPr>
        <w:pStyle w:val="Normaltindrag"/>
      </w:pPr>
      <w:r w:rsidRPr="009524EA">
        <w:t>Före sammanslagningarna togs handböcker och riktlinjer fram regionalt inom de tre myndigheterna, vilket gjorde att handläggningen kunde skilja sig åt mellan de regionala myndigheterna. De tre myndigheterna har sedan sa</w:t>
      </w:r>
      <w:r w:rsidRPr="009524EA">
        <w:t>m</w:t>
      </w:r>
      <w:r w:rsidRPr="009524EA">
        <w:t xml:space="preserve">manslagningarna prioriterat arbetet med att ta fram riktlinjer och handböcker till handläggarna och åklagarna. </w:t>
      </w:r>
    </w:p>
    <w:p w:rsidR="0055172C" w:rsidRPr="009524EA" w:rsidRDefault="0055172C" w:rsidP="00CD37F0">
      <w:pPr>
        <w:pStyle w:val="R4"/>
      </w:pPr>
      <w:r w:rsidRPr="009524EA">
        <w:t xml:space="preserve">Svårigheter för handläggarna </w:t>
      </w:r>
      <w:r w:rsidR="00BD37CC" w:rsidRPr="009524EA">
        <w:t xml:space="preserve">att ta till sig den </w:t>
      </w:r>
      <w:r w:rsidRPr="009524EA">
        <w:t>ökande mängd</w:t>
      </w:r>
      <w:r w:rsidR="00BD37CC" w:rsidRPr="009524EA">
        <w:t>en</w:t>
      </w:r>
      <w:r w:rsidRPr="009524EA">
        <w:t xml:space="preserve"> styrsignaler</w:t>
      </w:r>
    </w:p>
    <w:p w:rsidR="0055172C" w:rsidRPr="009524EA" w:rsidRDefault="0055172C" w:rsidP="0055172C">
      <w:r w:rsidRPr="009524EA">
        <w:t>Granskningen visar att även om handläggarna vid myndigheterna i huvudsak är positivt inställda till att det inrättats centrala enheter med ett särskilt ansvar för rättstillämpningen, har de haft svårt att tillgodogöra sig den ökade män</w:t>
      </w:r>
      <w:r w:rsidRPr="009524EA">
        <w:t>g</w:t>
      </w:r>
      <w:r w:rsidRPr="009524EA">
        <w:t>den av styrsignale</w:t>
      </w:r>
      <w:r w:rsidR="007208B0" w:rsidRPr="009524EA">
        <w:t>r</w:t>
      </w:r>
      <w:r w:rsidRPr="009524EA">
        <w:t xml:space="preserve"> från huvudkontoren. Tidsbrist och svårigheter att hitta relevanta dokument uppges som skäl, något som kan vara en förklaring till att praxis fortfarande skiljer sig åt mellan kontoren. Från huvudkontorens sida har man inte i någon större utsträckning följt upp hur den ökande mängden styrsignaler mottagits och implementerats på handläggarnivå.</w:t>
      </w:r>
    </w:p>
    <w:p w:rsidR="0055172C" w:rsidRPr="009524EA" w:rsidRDefault="0055172C" w:rsidP="00CD37F0">
      <w:pPr>
        <w:pStyle w:val="R4"/>
      </w:pPr>
      <w:r w:rsidRPr="009524EA">
        <w:t>Mindre fokus på erfarenhetsutbyten</w:t>
      </w:r>
    </w:p>
    <w:p w:rsidR="0055172C" w:rsidRPr="009524EA" w:rsidRDefault="0055172C" w:rsidP="0055172C">
      <w:r w:rsidRPr="009524EA">
        <w:t>Riksrevisionens granskning indikerar att huvudkontorens sätt att styra äre</w:t>
      </w:r>
      <w:r w:rsidRPr="009524EA">
        <w:t>n</w:t>
      </w:r>
      <w:r w:rsidRPr="009524EA">
        <w:t>dehanteringsprocessen och rättstillämpningen har lett till minskade tillfällen till region</w:t>
      </w:r>
      <w:r w:rsidR="007208B0" w:rsidRPr="009524EA">
        <w:t>s</w:t>
      </w:r>
      <w:r w:rsidRPr="009524EA">
        <w:t>- och kontorsvisa erfarenhetsutbyten. Huvudkontoren har inte heller vidtagit tillräckligt med åtgärder för att tillgodose behovet av erfare</w:t>
      </w:r>
      <w:r w:rsidRPr="009524EA">
        <w:t>n</w:t>
      </w:r>
      <w:r w:rsidRPr="009524EA">
        <w:t>hetsutb</w:t>
      </w:r>
      <w:r w:rsidRPr="009524EA">
        <w:t>y</w:t>
      </w:r>
      <w:r w:rsidRPr="009524EA">
        <w:t xml:space="preserve">te i den nya organisationen. </w:t>
      </w:r>
    </w:p>
    <w:p w:rsidR="0055172C" w:rsidRPr="009524EA" w:rsidRDefault="0055172C" w:rsidP="00256004">
      <w:pPr>
        <w:pStyle w:val="Normaltindrag"/>
      </w:pPr>
      <w:r w:rsidRPr="009524EA">
        <w:t xml:space="preserve">Granskningen visar att avskaffandet av länsindelningen lett till mindre kontakter mellan kontoren inom Försäkringskassan. Innan sammanslagningen fanns fler möjligheter till erfarenhetsutbyten mellan de olika kontoren. Inom länen fanns </w:t>
      </w:r>
      <w:r w:rsidR="00BD37CC" w:rsidRPr="009524EA">
        <w:t xml:space="preserve">t.ex. </w:t>
      </w:r>
      <w:r w:rsidRPr="009524EA">
        <w:t xml:space="preserve">upparbetade nätverk för erfarenhetsutbyten som slogs sönder i och med förändringen. I den nuvarande organisationen har vissa lokalkontor valt att ta egna initiativ för att utbyta erfarenheter med andra närliggande lokalkontor. </w:t>
      </w:r>
    </w:p>
    <w:p w:rsidR="0055172C" w:rsidRPr="009524EA" w:rsidRDefault="0055172C" w:rsidP="00256004">
      <w:pPr>
        <w:pStyle w:val="Normaltindrag"/>
      </w:pPr>
      <w:r w:rsidRPr="009524EA">
        <w:t xml:space="preserve">Granskningen visar också att erfarenhetsutbytet mellan åklagarkamrarna har minskat sedan sammanslagningen. Kamrarna uppfattas efter den regionala indelningens avskaffande som mer självständiga, vilket lett till färre kontakter mellan åklagare vid olika kammare. </w:t>
      </w:r>
    </w:p>
    <w:p w:rsidR="0055172C" w:rsidRPr="009524EA" w:rsidRDefault="0055172C" w:rsidP="00256004">
      <w:pPr>
        <w:pStyle w:val="Normaltindrag"/>
      </w:pPr>
      <w:r w:rsidRPr="009524EA">
        <w:t>De flesta ärendeslag innehåller utrymme för tolkningar</w:t>
      </w:r>
      <w:r w:rsidR="007208B0" w:rsidRPr="009524EA">
        <w:t>,</w:t>
      </w:r>
      <w:r w:rsidRPr="009524EA">
        <w:t xml:space="preserve"> och handläggarna uttrycker ett behov av fortsatt erfarenhetsutbyte för att uppnå en mer enhetlig myndighetsutövning. Riksrevisionen anser att för att skapa enhetliga bedö</w:t>
      </w:r>
      <w:r w:rsidRPr="009524EA">
        <w:t>m</w:t>
      </w:r>
      <w:r w:rsidRPr="009524EA">
        <w:t xml:space="preserve">ningar inom olika ärendetyper måste utrymme ges för praxisdiskussioner mellan handläggarna. Huvudkontorens styrning har dock i hög grad förlitat sig på centralt framtagna riktlinjer och handböcker. </w:t>
      </w:r>
    </w:p>
    <w:p w:rsidR="0055172C" w:rsidRPr="009524EA" w:rsidRDefault="0055172C" w:rsidP="00CD37F0">
      <w:pPr>
        <w:pStyle w:val="R4"/>
      </w:pPr>
      <w:r w:rsidRPr="009524EA">
        <w:t>Möjligheten att omfördela resurser och ärenden utnyttjas inte fullt ut</w:t>
      </w:r>
    </w:p>
    <w:p w:rsidR="0055172C" w:rsidRPr="009524EA" w:rsidRDefault="0055172C" w:rsidP="0055172C">
      <w:r w:rsidRPr="009524EA">
        <w:t>Enmyndighetsreformerna har skapat legala förutsättningar för att omfördela resurser och ärenden. Skatteverket och Försäkringskassan har koncentrerat vissa ärendeslag till färre antal kontor i syfte att öka enhetligheten och effe</w:t>
      </w:r>
      <w:r w:rsidRPr="009524EA">
        <w:t>k</w:t>
      </w:r>
      <w:r w:rsidRPr="009524EA">
        <w:t xml:space="preserve">tivisera resursanvändningen. Åklagarmyndigheten har inte genomfört någon liknande koncentration, mycket beroende på verksamhetens art med täta kontakter med polis och domstolar. </w:t>
      </w:r>
    </w:p>
    <w:p w:rsidR="0055172C" w:rsidRPr="009524EA" w:rsidRDefault="0055172C" w:rsidP="00256004">
      <w:pPr>
        <w:pStyle w:val="Normaltindrag"/>
      </w:pPr>
      <w:r w:rsidRPr="009524EA">
        <w:t>Granskningen visar att på samma gång som styrningen har centraliserats har de lokala kontoren blivit mer självständiga då avståndet till den högsta beslutande ledningen har blivit längre. Granskningen visar också att myndi</w:t>
      </w:r>
      <w:r w:rsidRPr="009524EA">
        <w:t>g</w:t>
      </w:r>
      <w:r w:rsidRPr="009524EA">
        <w:t>heterna saknar en tydlig överblick över behovet av löpande omfördelning av resurser. Problemet har varit störst på Åklagarmyndigheten</w:t>
      </w:r>
      <w:r w:rsidR="007208B0" w:rsidRPr="009524EA">
        <w:t>,</w:t>
      </w:r>
      <w:r w:rsidRPr="009524EA">
        <w:t xml:space="preserve"> och myndigheten har därför utsett fyra områdesansvariga med ansvar för var sin region. Syftet har varit att få tillbaka överblicken över resursutvecklingen och förbättra styrbarheten och uppföljningen. </w:t>
      </w:r>
    </w:p>
    <w:p w:rsidR="0055172C" w:rsidRPr="009524EA" w:rsidRDefault="0055172C" w:rsidP="00256004">
      <w:pPr>
        <w:pStyle w:val="Rubrik3"/>
        <w:rPr>
          <w:noProof w:val="0"/>
        </w:rPr>
      </w:pPr>
      <w:bookmarkStart w:id="18" w:name="_Toc260831126"/>
      <w:r w:rsidRPr="009524EA">
        <w:rPr>
          <w:noProof w:val="0"/>
        </w:rPr>
        <w:t>Har enhetligheten ökat?</w:t>
      </w:r>
      <w:bookmarkEnd w:id="18"/>
    </w:p>
    <w:p w:rsidR="0055172C" w:rsidRPr="009524EA" w:rsidRDefault="0055172C" w:rsidP="0055172C">
      <w:r w:rsidRPr="009524EA">
        <w:t>Granskningen indikerar att det för den enskilde medborgaren fortsatt spelar roll var i landet eller av vem ett ärende avgörs. Omkring fem år efter refo</w:t>
      </w:r>
      <w:r w:rsidRPr="009524EA">
        <w:t>r</w:t>
      </w:r>
      <w:r w:rsidRPr="009524EA">
        <w:t>merna kvarstår regionala och kontorsvisa skillnader i centrala delar av my</w:t>
      </w:r>
      <w:r w:rsidRPr="009524EA">
        <w:t>n</w:t>
      </w:r>
      <w:r w:rsidRPr="009524EA">
        <w:t xml:space="preserve">dighetsutövningen. I något fall har variationerna ökat. Sammantaget tyder granskningen på att effekterna på enhetligheten i myndighetsutövningen har varit begränsade. </w:t>
      </w:r>
    </w:p>
    <w:p w:rsidR="0055172C" w:rsidRPr="009524EA" w:rsidRDefault="0055172C" w:rsidP="00256004">
      <w:pPr>
        <w:pStyle w:val="Normaltindrag"/>
      </w:pPr>
      <w:r w:rsidRPr="009524EA">
        <w:t>Enligt Riksrevisionen tyder granskningen på att regeringen och myndigh</w:t>
      </w:r>
      <w:r w:rsidRPr="009524EA">
        <w:t>e</w:t>
      </w:r>
      <w:r w:rsidRPr="009524EA">
        <w:t>terna har underskattat svårigheterna med att få till</w:t>
      </w:r>
      <w:r w:rsidR="007208B0" w:rsidRPr="009524EA">
        <w:t xml:space="preserve"> </w:t>
      </w:r>
      <w:r w:rsidRPr="009524EA">
        <w:t>stånd en mer enhetlig my</w:t>
      </w:r>
      <w:r w:rsidRPr="009524EA">
        <w:t>n</w:t>
      </w:r>
      <w:r w:rsidRPr="009524EA">
        <w:t>dighetsutövning genom reformerna. Regeringen har inte heller beställt några uppföljningar eller utvärderingar av sammanslagningens effekter för att kunna bedöma om målet med ökad enhetlighet uppfyllts. Myndigheterna mäter inte heller verksamheten på ett sådant sätt att utvecklingen av enhetlighet i rättsti</w:t>
      </w:r>
      <w:r w:rsidRPr="009524EA">
        <w:t>l</w:t>
      </w:r>
      <w:r w:rsidRPr="009524EA">
        <w:t xml:space="preserve">lämpningen går att följa över tid. </w:t>
      </w:r>
    </w:p>
    <w:p w:rsidR="0055172C" w:rsidRPr="009524EA" w:rsidRDefault="0055172C" w:rsidP="00CD37F0">
      <w:pPr>
        <w:pStyle w:val="R4"/>
      </w:pPr>
      <w:r w:rsidRPr="009524EA">
        <w:t>Förutsättningarna för enhetlighet har ökat</w:t>
      </w:r>
    </w:p>
    <w:p w:rsidR="0055172C" w:rsidRPr="009524EA" w:rsidRDefault="0055172C" w:rsidP="0055172C">
      <w:r w:rsidRPr="009524EA">
        <w:t>Granskningen visar att de tre myndigheterna har vidtagit vissa åtgärder för att öka enhetligheten. Sedan sammanslagningarna har myndigheterna prioriterat arbetet med att ta fram nationella riktlinjer och handböcker för att stötta han</w:t>
      </w:r>
      <w:r w:rsidRPr="009524EA">
        <w:t>d</w:t>
      </w:r>
      <w:r w:rsidRPr="009524EA">
        <w:t xml:space="preserve">läggarna och åklagarna i handläggningen och därigenom öka enhetligheten. Inrättandet av utvecklingscentrumen på Åklagarmyndigheten var en del i arbetet med att uppnå syftet om förbättrad verksamhet för rättslig utveckling och uppföljning. </w:t>
      </w:r>
    </w:p>
    <w:p w:rsidR="0055172C" w:rsidRPr="009524EA" w:rsidRDefault="0055172C" w:rsidP="00256004">
      <w:pPr>
        <w:pStyle w:val="Normaltindrag"/>
      </w:pPr>
      <w:r w:rsidRPr="009524EA">
        <w:t>Sammanslagningarna har även förbättrat förutsättningarna för att omförd</w:t>
      </w:r>
      <w:r w:rsidRPr="009524EA">
        <w:t>e</w:t>
      </w:r>
      <w:r w:rsidRPr="009524EA">
        <w:t>la resurser och ärenden mellan kontoren eftersom de tidigare myndighet</w:t>
      </w:r>
      <w:r w:rsidRPr="009524EA">
        <w:t>s</w:t>
      </w:r>
      <w:r w:rsidRPr="009524EA">
        <w:t xml:space="preserve">gränserna utgjorde ett legalt hinder för detta. </w:t>
      </w:r>
    </w:p>
    <w:p w:rsidR="0055172C" w:rsidRPr="009524EA" w:rsidRDefault="0055172C" w:rsidP="00256004">
      <w:pPr>
        <w:pStyle w:val="Normaltindrag"/>
      </w:pPr>
      <w:r w:rsidRPr="009524EA">
        <w:t>Försäkringskassan och Skatteverket har koncentrerat stora delar av ver</w:t>
      </w:r>
      <w:r w:rsidRPr="009524EA">
        <w:t>k</w:t>
      </w:r>
      <w:r w:rsidRPr="009524EA">
        <w:t xml:space="preserve">samheten för att förbättra förutsättningarna för enhetlighet. Genom att färre handläggare vid färre antal kontor arbetar med samma ärendetyp hoppas myndigheterna öka enhetligheten i handläggningen. </w:t>
      </w:r>
    </w:p>
    <w:p w:rsidR="0055172C" w:rsidRPr="009524EA" w:rsidRDefault="0055172C" w:rsidP="00CD37F0">
      <w:pPr>
        <w:pStyle w:val="R4"/>
      </w:pPr>
      <w:r w:rsidRPr="009524EA">
        <w:t>Variationer i handläggningstider har minskat i vissa avseenden</w:t>
      </w:r>
    </w:p>
    <w:p w:rsidR="0055172C" w:rsidRPr="009524EA" w:rsidRDefault="0055172C" w:rsidP="0055172C">
      <w:r w:rsidRPr="009524EA">
        <w:t>Granskningen visar att Försäkringskassan minskat variationerna i handläg</w:t>
      </w:r>
      <w:r w:rsidRPr="009524EA">
        <w:t>g</w:t>
      </w:r>
      <w:r w:rsidRPr="009524EA">
        <w:t>ningstiderna på ett systematiskt sätt för de flesta ärendeslag sedan samma</w:t>
      </w:r>
      <w:r w:rsidRPr="009524EA">
        <w:t>n</w:t>
      </w:r>
      <w:r w:rsidRPr="009524EA">
        <w:t>slagningen. Minskningen uppträder dock främst 2008, sedan Försäkringska</w:t>
      </w:r>
      <w:r w:rsidRPr="009524EA">
        <w:t>s</w:t>
      </w:r>
      <w:r w:rsidRPr="009524EA">
        <w:t>san koncentrerat ärendehandläggningen till färre antal kontor. Delar av fö</w:t>
      </w:r>
      <w:r w:rsidRPr="009524EA">
        <w:t>r</w:t>
      </w:r>
      <w:r w:rsidRPr="009524EA">
        <w:t xml:space="preserve">klaringen till minskningen förefaller därför enligt Riksrevisionen ligga i att det är färre kontor som handlägger ärenden än tidigare. Detta kan i sin tur innebära att variationerna från tidigare kvarstår, men </w:t>
      </w:r>
      <w:r w:rsidR="007208B0" w:rsidRPr="009524EA">
        <w:t xml:space="preserve">har </w:t>
      </w:r>
      <w:r w:rsidRPr="009524EA">
        <w:t>flyttats från att för</w:t>
      </w:r>
      <w:r w:rsidRPr="009524EA">
        <w:t>e</w:t>
      </w:r>
      <w:r w:rsidRPr="009524EA">
        <w:t xml:space="preserve">komma mellan kontoren till att förekomma mellan handläggarna. </w:t>
      </w:r>
    </w:p>
    <w:p w:rsidR="0055172C" w:rsidRPr="009524EA" w:rsidRDefault="0055172C" w:rsidP="00256004">
      <w:pPr>
        <w:pStyle w:val="Normaltindrag"/>
      </w:pPr>
      <w:r w:rsidRPr="009524EA">
        <w:t>För Skatteverket har skillnaderna minskat för vissa ärendeslag där han</w:t>
      </w:r>
      <w:r w:rsidRPr="009524EA">
        <w:t>d</w:t>
      </w:r>
      <w:r w:rsidRPr="009524EA">
        <w:t>läggningen koncentrerats till få orter.</w:t>
      </w:r>
    </w:p>
    <w:p w:rsidR="0055172C" w:rsidRPr="009524EA" w:rsidRDefault="0055172C" w:rsidP="00256004">
      <w:pPr>
        <w:pStyle w:val="Normaltindrag"/>
      </w:pPr>
      <w:r w:rsidRPr="009524EA">
        <w:t>Granskningen visar vidare att spridningen mellan kontoren inom Åklaga</w:t>
      </w:r>
      <w:r w:rsidRPr="009524EA">
        <w:t>r</w:t>
      </w:r>
      <w:r w:rsidRPr="009524EA">
        <w:t xml:space="preserve">myndigheten inte har minskat när det gäller handläggningstiderna för olika ärendeslag. </w:t>
      </w:r>
    </w:p>
    <w:p w:rsidR="0055172C" w:rsidRPr="009524EA" w:rsidRDefault="0055172C" w:rsidP="00CD37F0">
      <w:pPr>
        <w:pStyle w:val="R4"/>
      </w:pPr>
      <w:r w:rsidRPr="009524EA">
        <w:t>Skillnader i handläggning indikerar bristande enhetlighet</w:t>
      </w:r>
    </w:p>
    <w:p w:rsidR="0055172C" w:rsidRPr="009524EA" w:rsidRDefault="0055172C" w:rsidP="0055172C">
      <w:r w:rsidRPr="009524EA">
        <w:t>Granskningen visar att det inte har skett någon systematisk minskning av variationerna när det gäller handläggningens olika steg i de granskade äre</w:t>
      </w:r>
      <w:r w:rsidRPr="009524EA">
        <w:t>n</w:t>
      </w:r>
      <w:r w:rsidRPr="009524EA">
        <w:t xml:space="preserve">deslagen. Skillnaderna i vilka underlag eller uppgifter som handläggarna begär har i de flesta fall inte minskat nämnvärt. </w:t>
      </w:r>
    </w:p>
    <w:p w:rsidR="0055172C" w:rsidRPr="009524EA" w:rsidRDefault="0055172C" w:rsidP="00256004">
      <w:pPr>
        <w:pStyle w:val="Normaltindrag"/>
      </w:pPr>
      <w:r w:rsidRPr="009524EA">
        <w:t>Granskningen visar vidare att variationerna i andelen ärenden där sjuke</w:t>
      </w:r>
      <w:r w:rsidRPr="009524EA">
        <w:t>r</w:t>
      </w:r>
      <w:r w:rsidRPr="009524EA">
        <w:t>sättning eller aktivitetsersättning beviljats genom initiativ från Försäkring</w:t>
      </w:r>
      <w:r w:rsidRPr="009524EA">
        <w:t>s</w:t>
      </w:r>
      <w:r w:rsidRPr="009524EA">
        <w:t xml:space="preserve">kassan har minskat. Samtidigt ökar variationerna </w:t>
      </w:r>
      <w:r w:rsidR="00DA3EFE" w:rsidRPr="009524EA">
        <w:t xml:space="preserve">när det gäller </w:t>
      </w:r>
      <w:r w:rsidRPr="009524EA">
        <w:t>i vilken u</w:t>
      </w:r>
      <w:r w:rsidRPr="009524EA">
        <w:t>t</w:t>
      </w:r>
      <w:r w:rsidRPr="009524EA">
        <w:t>sträckning sociala förhållanden utreds och i vilken utsträckning handläggaren har kontakt med den försäkrade under utredningen av sjuk- och aktivitetse</w:t>
      </w:r>
      <w:r w:rsidRPr="009524EA">
        <w:t>r</w:t>
      </w:r>
      <w:r w:rsidRPr="009524EA">
        <w:t>sättning. Det finns också skillnader i hur de försäkringsmedicinska rådgiva</w:t>
      </w:r>
      <w:r w:rsidRPr="009524EA">
        <w:t>r</w:t>
      </w:r>
      <w:r w:rsidRPr="009524EA">
        <w:t>nas yttranden a</w:t>
      </w:r>
      <w:r w:rsidRPr="009524EA">
        <w:t>n</w:t>
      </w:r>
      <w:r w:rsidRPr="009524EA">
        <w:t xml:space="preserve">vänds och dokumenteras. </w:t>
      </w:r>
    </w:p>
    <w:p w:rsidR="0055172C" w:rsidRPr="009524EA" w:rsidRDefault="0055172C" w:rsidP="00256004">
      <w:pPr>
        <w:pStyle w:val="Normaltindrag"/>
        <w:rPr>
          <w:b/>
        </w:rPr>
      </w:pPr>
      <w:r w:rsidRPr="009524EA">
        <w:t>Det framgår också av granskningen att det för Skatteverkets del fortfara</w:t>
      </w:r>
      <w:r w:rsidRPr="009524EA">
        <w:t>n</w:t>
      </w:r>
      <w:r w:rsidRPr="009524EA">
        <w:t xml:space="preserve">de skiljer sig åt mellan kontoren i vilken utsträckning som handläggaren väljer att begära in uppgifter från den skattskyldige. När det gäller vilken sorts underlag som handläggaren begär in har skillnaderna minskat något sedan sammanslagningen. Den främsta minskningen av variationer gäller i vilken utsträckning handläggarna använder sig av ett schablonmässigt avdrag för privat körning vid beräkning av rätten till reseavdrag. Riksrevisionen påpekar dock att trots att Skatteverket tagit ställning till att handläggarna inte längre ska använda sig av det schablonmässiga avdraget förekommer det fortfarande vid ett flertal kontor. </w:t>
      </w:r>
    </w:p>
    <w:p w:rsidR="0055172C" w:rsidRPr="009524EA" w:rsidRDefault="0055172C" w:rsidP="00256004">
      <w:pPr>
        <w:pStyle w:val="Normaltindrag"/>
      </w:pPr>
      <w:r w:rsidRPr="009524EA">
        <w:t>För Åklagarväsendet framkommer det i granskningen att andelen beviljade besöksförbud skiljer sig åt mellan kamrarna. Tendensen är snarare att skilln</w:t>
      </w:r>
      <w:r w:rsidRPr="009524EA">
        <w:t>a</w:t>
      </w:r>
      <w:r w:rsidRPr="009524EA">
        <w:t>derna mellan den kammare som beviljat minst respektive störst andel besök</w:t>
      </w:r>
      <w:r w:rsidRPr="009524EA">
        <w:t>s</w:t>
      </w:r>
      <w:r w:rsidRPr="009524EA">
        <w:t>förbud ökat sedan 2004. Variationen mellan kamrarna när det gäller andelen beviljade besöksförbud inom den bestämda tidsfristen på sju dagar består också. Vidare visar granskningen att variationerna i andelen förordnade må</w:t>
      </w:r>
      <w:r w:rsidRPr="009524EA">
        <w:t>l</w:t>
      </w:r>
      <w:r w:rsidRPr="009524EA">
        <w:t>sägandebiträden ökat något sedan sammanslagningen. Slutligen framkommer det också i granskningen att handläggarnas och åklagarnas synsätt i viktiga bedömningsfrågor väsentligt skiljer sig åt mellan olika kontor, vilket i fö</w:t>
      </w:r>
      <w:r w:rsidRPr="009524EA">
        <w:t>r</w:t>
      </w:r>
      <w:r w:rsidRPr="009524EA">
        <w:t xml:space="preserve">längningen kan leda till att medborgare inte behandlas lika. </w:t>
      </w:r>
    </w:p>
    <w:p w:rsidR="0055172C" w:rsidRPr="009524EA" w:rsidRDefault="0055172C" w:rsidP="00256004">
      <w:pPr>
        <w:pStyle w:val="Normaltindrag"/>
      </w:pPr>
      <w:r w:rsidRPr="009524EA">
        <w:t>Riksrevisionen pekar på att metoden att granska ett enskilt ärendeslag l</w:t>
      </w:r>
      <w:r w:rsidRPr="009524EA">
        <w:t>e</w:t>
      </w:r>
      <w:r w:rsidRPr="009524EA">
        <w:t xml:space="preserve">der till att det kan vara svårt att uttala sig om enhetligheten i myndigheternas </w:t>
      </w:r>
      <w:r w:rsidRPr="009524EA">
        <w:rPr>
          <w:iCs/>
        </w:rPr>
        <w:t>samlade</w:t>
      </w:r>
      <w:r w:rsidRPr="009524EA">
        <w:rPr>
          <w:i/>
          <w:iCs/>
        </w:rPr>
        <w:t xml:space="preserve"> </w:t>
      </w:r>
      <w:r w:rsidRPr="009524EA">
        <w:t xml:space="preserve">verksamhet. Aktgranskningen av ett enskilt ärendeslag tillsammans med uppföljande intervjuer indikerar dock enligt Riksrevisionen slutsatsen att enmyndighetsreformerna hittills haft begränsade effekter på enhetligheten i myndigheternas verksamhet. Riksrevisionen framhåller tre möjliga skäl till detta. För det </w:t>
      </w:r>
      <w:r w:rsidRPr="009524EA">
        <w:rPr>
          <w:i/>
          <w:iCs/>
        </w:rPr>
        <w:t xml:space="preserve">första </w:t>
      </w:r>
      <w:r w:rsidRPr="009524EA">
        <w:t xml:space="preserve">har arbetet med att öka enhetligheten sett liknande ut för myndigheternas övriga verksamhet. För det </w:t>
      </w:r>
      <w:r w:rsidRPr="009524EA">
        <w:rPr>
          <w:i/>
          <w:iCs/>
        </w:rPr>
        <w:t xml:space="preserve">andra </w:t>
      </w:r>
      <w:r w:rsidRPr="009524EA">
        <w:t xml:space="preserve">har Riksrevisionen valt att granska aspekter av myndighetsutövningen som det bör vara möjligt att åstadkomma en ökad enhetlighet kring. För det </w:t>
      </w:r>
      <w:r w:rsidRPr="009524EA">
        <w:rPr>
          <w:i/>
          <w:iCs/>
        </w:rPr>
        <w:t xml:space="preserve">tredje </w:t>
      </w:r>
      <w:r w:rsidRPr="009524EA">
        <w:t>har varken myndigh</w:t>
      </w:r>
      <w:r w:rsidRPr="009524EA">
        <w:t>e</w:t>
      </w:r>
      <w:r w:rsidRPr="009524EA">
        <w:t>terna eller regeringen genomfört någon uppföljning eller utvärdering av om enhetligheten har ökat efter sammanslagningarna. Riksrevisionen anser att det helt enkelt saknas underlag som skulle visa att resultaten i aktgranskningen inte skulle gälla. De granskade ärendeslagen för samtliga tre myndigheter utgör dessutom viktiga delar av myndigheternas verksamhet. Enligt Riksrev</w:t>
      </w:r>
      <w:r w:rsidRPr="009524EA">
        <w:t>i</w:t>
      </w:r>
      <w:r w:rsidRPr="009524EA">
        <w:t>sionen är det utifrån ett medborgarperspektiv av yttersta vikt att variationerna inom dessa ärendeslag minskar.</w:t>
      </w:r>
    </w:p>
    <w:p w:rsidR="0055172C" w:rsidRPr="009524EA" w:rsidRDefault="0055172C" w:rsidP="00256004">
      <w:pPr>
        <w:pStyle w:val="Rubrik3"/>
        <w:rPr>
          <w:noProof w:val="0"/>
        </w:rPr>
      </w:pPr>
      <w:bookmarkStart w:id="19" w:name="_Toc260831127"/>
      <w:r w:rsidRPr="009524EA">
        <w:rPr>
          <w:noProof w:val="0"/>
        </w:rPr>
        <w:t>Vad vet myndigheterna och regeringen om måluppfyllelsen?</w:t>
      </w:r>
      <w:bookmarkEnd w:id="19"/>
    </w:p>
    <w:p w:rsidR="0055172C" w:rsidRPr="009524EA" w:rsidRDefault="0055172C" w:rsidP="0055172C">
      <w:pPr>
        <w:rPr>
          <w:i/>
        </w:rPr>
      </w:pPr>
      <w:r w:rsidRPr="009524EA">
        <w:rPr>
          <w:i/>
        </w:rPr>
        <w:t>Bristfällig uppföljning av rättstillämpning och ärendehantering</w:t>
      </w:r>
    </w:p>
    <w:p w:rsidR="0055172C" w:rsidRPr="009524EA" w:rsidRDefault="0055172C" w:rsidP="0055172C">
      <w:r w:rsidRPr="009524EA">
        <w:t>Ingen av de granskade myndigheterna har ett systematiskt uppföljningssystem som möjliggör en bedömning av om de regionala eller kontorsvisa skillnade</w:t>
      </w:r>
      <w:r w:rsidRPr="009524EA">
        <w:t>r</w:t>
      </w:r>
      <w:r w:rsidRPr="009524EA">
        <w:t xml:space="preserve">na i myndighetsutövningen har minskat sedan sammanslagningen. </w:t>
      </w:r>
    </w:p>
    <w:p w:rsidR="0055172C" w:rsidRPr="009524EA" w:rsidRDefault="0055172C" w:rsidP="00256004">
      <w:pPr>
        <w:pStyle w:val="Normaltindrag"/>
      </w:pPr>
      <w:r w:rsidRPr="009524EA">
        <w:t>På Åklagarmyndigheten genomförs tillsyn och uppföljningar av verksa</w:t>
      </w:r>
      <w:r w:rsidRPr="009524EA">
        <w:t>m</w:t>
      </w:r>
      <w:r w:rsidRPr="009524EA">
        <w:t xml:space="preserve">heten men inte på ett systematiskt sätt så att </w:t>
      </w:r>
      <w:r w:rsidR="00DA3EFE" w:rsidRPr="009524EA">
        <w:t xml:space="preserve">man kan använda </w:t>
      </w:r>
      <w:r w:rsidRPr="009524EA">
        <w:t>resultaten för att uttala sig om utvecklingen av variationer i rättstillämpningen och ärend</w:t>
      </w:r>
      <w:r w:rsidRPr="009524EA">
        <w:t>e</w:t>
      </w:r>
      <w:r w:rsidRPr="009524EA">
        <w:t>hanteringen över tid. Detta gäller även för Skatteverket. Försä</w:t>
      </w:r>
      <w:r w:rsidRPr="009524EA">
        <w:t>k</w:t>
      </w:r>
      <w:r w:rsidRPr="009524EA">
        <w:t>ringskassan har ett system för systematisk uppföljning av kvaliteten i ärendeha</w:t>
      </w:r>
      <w:r w:rsidRPr="009524EA">
        <w:t>n</w:t>
      </w:r>
      <w:r w:rsidRPr="009524EA">
        <w:t>teringen. Mätningarna syftar främst till att skapa ett underlag för att uttala sig om kval</w:t>
      </w:r>
      <w:r w:rsidRPr="009524EA">
        <w:t>i</w:t>
      </w:r>
      <w:r w:rsidRPr="009524EA">
        <w:t xml:space="preserve">teten på nationell nivå. Systemet används också för </w:t>
      </w:r>
      <w:r w:rsidR="00DA3EFE" w:rsidRPr="009524EA">
        <w:t xml:space="preserve">att </w:t>
      </w:r>
      <w:r w:rsidRPr="009524EA">
        <w:t>mäta skilln</w:t>
      </w:r>
      <w:r w:rsidRPr="009524EA">
        <w:t>a</w:t>
      </w:r>
      <w:r w:rsidRPr="009524EA">
        <w:t>der mellan regioner och kontor, men utvärderingar har visat att tillförlitligh</w:t>
      </w:r>
      <w:r w:rsidRPr="009524EA">
        <w:t>e</w:t>
      </w:r>
      <w:r w:rsidRPr="009524EA">
        <w:t xml:space="preserve">ten inte är </w:t>
      </w:r>
      <w:r w:rsidR="00DA3EFE" w:rsidRPr="009524EA">
        <w:t xml:space="preserve">tillräckligt hög för att det ska gå att </w:t>
      </w:r>
      <w:r w:rsidRPr="009524EA">
        <w:t>uttala sig om variationer mellan kontor. Sammantaget anser Riksrevisionen att varken myndigheterna eller regeringen har kunskap om huruvida enhetligheten har ökat eller minskat vid myndi</w:t>
      </w:r>
      <w:r w:rsidRPr="009524EA">
        <w:t>g</w:t>
      </w:r>
      <w:r w:rsidRPr="009524EA">
        <w:t>hetsu</w:t>
      </w:r>
      <w:r w:rsidRPr="009524EA">
        <w:t>t</w:t>
      </w:r>
      <w:r w:rsidRPr="009524EA">
        <w:t xml:space="preserve">övningen eller om vilka skillnader som är motiverade. </w:t>
      </w:r>
    </w:p>
    <w:p w:rsidR="0055172C" w:rsidRPr="009524EA" w:rsidRDefault="0055172C" w:rsidP="00256004">
      <w:pPr>
        <w:pStyle w:val="Normaltindrag"/>
      </w:pPr>
      <w:r w:rsidRPr="009524EA">
        <w:t>Riksrevisionen pekar på att den nya organisationsstrukturen med färre handläggande enheter kan dölja tidigare variationer inom de nya större enh</w:t>
      </w:r>
      <w:r w:rsidRPr="009524EA">
        <w:t>e</w:t>
      </w:r>
      <w:r w:rsidRPr="009524EA">
        <w:t>terna. Detta är möjligt eftersom den statistik som används i de flesta fall följer produktionsenheterna, vilket gör att variationer som tidigare fanns mellan kontor nu kan döljas inom de större enheterna. Både Skatteverket och Försä</w:t>
      </w:r>
      <w:r w:rsidRPr="009524EA">
        <w:t>k</w:t>
      </w:r>
      <w:r w:rsidRPr="009524EA">
        <w:t xml:space="preserve">ringskassan har uttryckt att regionala variationer i handläggningen inte längre är ett problem i och med sammanslagningen och koncentreringen av ärenden. </w:t>
      </w:r>
    </w:p>
    <w:p w:rsidR="0055172C" w:rsidRPr="009524EA" w:rsidRDefault="0055172C" w:rsidP="00256004">
      <w:pPr>
        <w:pStyle w:val="Normaltindrag"/>
      </w:pPr>
      <w:r w:rsidRPr="009524EA">
        <w:t xml:space="preserve">Granskningen visar vidare att återrapporteringen i årsredovisningarna har förändrats sedan myndigheterna slagits samman. Detta beror både på att de regionala och länsindelade organisatoriska enheterna inte finns kvar och på att regeringens krav på återrapportering har förändrats. </w:t>
      </w:r>
    </w:p>
    <w:p w:rsidR="0055172C" w:rsidRPr="009524EA" w:rsidRDefault="0055172C" w:rsidP="00256004">
      <w:pPr>
        <w:pStyle w:val="Normaltindrag"/>
      </w:pPr>
      <w:r w:rsidRPr="009524EA">
        <w:t>Riksrevisionen anser dock att det är fortsatt intressant att följa variationer mellan olika organisatoriska enheter. Utan uppföljning av eventuella variati</w:t>
      </w:r>
      <w:r w:rsidRPr="009524EA">
        <w:t>o</w:t>
      </w:r>
      <w:r w:rsidRPr="009524EA">
        <w:t>ner riskerar myndigheten att inte få kännedom om</w:t>
      </w:r>
      <w:r w:rsidR="00DA3EFE" w:rsidRPr="009524EA">
        <w:t xml:space="preserve"> huruvida</w:t>
      </w:r>
      <w:r w:rsidRPr="009524EA">
        <w:t xml:space="preserve"> det finns omot</w:t>
      </w:r>
      <w:r w:rsidRPr="009524EA">
        <w:t>i</w:t>
      </w:r>
      <w:r w:rsidRPr="009524EA">
        <w:t xml:space="preserve">verade variationer i verksamheten eller om syftet med sammanslagningen har uppnåtts. En förutsättning för att kunna svara upp mot kravet i 3 § </w:t>
      </w:r>
      <w:r w:rsidRPr="009524EA">
        <w:rPr>
          <w:i/>
        </w:rPr>
        <w:t>myndi</w:t>
      </w:r>
      <w:r w:rsidRPr="009524EA">
        <w:rPr>
          <w:i/>
        </w:rPr>
        <w:t>g</w:t>
      </w:r>
      <w:r w:rsidRPr="009524EA">
        <w:rPr>
          <w:i/>
        </w:rPr>
        <w:t>hetsförordningen</w:t>
      </w:r>
      <w:r w:rsidRPr="009524EA">
        <w:t xml:space="preserve"> (2007:15) om att verksamheten ska bedrivas effektivt och enligt gällande rätt är att myndigheterna följer upp variationerna i myndigh</w:t>
      </w:r>
      <w:r w:rsidRPr="009524EA">
        <w:t>e</w:t>
      </w:r>
      <w:r w:rsidRPr="009524EA">
        <w:t>tens handläggning och beslutsfattande. Sammantaget anser Riksrevisionen att myndigheterna saknar beslutsunderlag för att styra och förändra verksamh</w:t>
      </w:r>
      <w:r w:rsidRPr="009524EA">
        <w:t>e</w:t>
      </w:r>
      <w:r w:rsidRPr="009524EA">
        <w:t xml:space="preserve">ten på ett ändamålsenligt sätt för att uppnå ökad enhetlighet. </w:t>
      </w:r>
    </w:p>
    <w:p w:rsidR="0055172C" w:rsidRPr="009524EA" w:rsidRDefault="0055172C" w:rsidP="00CD37F0">
      <w:pPr>
        <w:pStyle w:val="R4"/>
      </w:pPr>
      <w:r w:rsidRPr="009524EA">
        <w:t>Regeringen har inte följt upp effekterna på enhetlighet</w:t>
      </w:r>
    </w:p>
    <w:p w:rsidR="0055172C" w:rsidRPr="009524EA" w:rsidRDefault="0055172C" w:rsidP="0055172C">
      <w:r w:rsidRPr="009524EA">
        <w:t>Riksrevisionen anser, mot bakgrund av det uttalade syftet med reformerna att öka enhetligheten i myndigheternas verksamhet, att regeringen inte skaffat sig tillräcklig kunskap om reformernas åsyftade effekter på enhetlighet i myndi</w:t>
      </w:r>
      <w:r w:rsidRPr="009524EA">
        <w:t>g</w:t>
      </w:r>
      <w:r w:rsidRPr="009524EA">
        <w:t xml:space="preserve">hetsutövningen. Regeringen saknar därmed underlag dels för resultatstyrning av enhetlighet i myndighetsutövningen, dels för att kunna säkerställa sin redovisningsskyldighet gentemot riksdagen. </w:t>
      </w:r>
    </w:p>
    <w:p w:rsidR="0055172C" w:rsidRPr="009524EA" w:rsidRDefault="0055172C" w:rsidP="00256004">
      <w:pPr>
        <w:pStyle w:val="Rubrik3"/>
        <w:rPr>
          <w:noProof w:val="0"/>
        </w:rPr>
      </w:pPr>
      <w:bookmarkStart w:id="20" w:name="_Toc260831128"/>
      <w:r w:rsidRPr="009524EA">
        <w:rPr>
          <w:noProof w:val="0"/>
        </w:rPr>
        <w:t>Kostnads- och produktivitetsutvecklingen vid myndigheterna</w:t>
      </w:r>
      <w:bookmarkEnd w:id="20"/>
    </w:p>
    <w:p w:rsidR="0055172C" w:rsidRPr="009524EA" w:rsidRDefault="0055172C" w:rsidP="0055172C">
      <w:r w:rsidRPr="009524EA">
        <w:t>För Åklagarmyndigheten fanns det ett uttalat syfte om att myndighetens a</w:t>
      </w:r>
      <w:r w:rsidRPr="009524EA">
        <w:t>d</w:t>
      </w:r>
      <w:r w:rsidRPr="009524EA">
        <w:t>ministrativa kostnader skulle minska i samband med sammanslagningen. En uppskattning av utvecklingen av de administrativa kostnaderna visar att dessa kostnader minskat med ca 2 % mellan 2004 och 2008.</w:t>
      </w:r>
    </w:p>
    <w:p w:rsidR="0055172C" w:rsidRPr="009524EA" w:rsidRDefault="0055172C" w:rsidP="00256004">
      <w:pPr>
        <w:pStyle w:val="Normaltindrag"/>
      </w:pPr>
      <w:r w:rsidRPr="009524EA">
        <w:t>När det gäller Skatteverket har det också funnits en uttalad ambition att de befintliga resurserna ska användas mer effektivt. Riksrevisionen har i grans</w:t>
      </w:r>
      <w:r w:rsidRPr="009524EA">
        <w:t>k</w:t>
      </w:r>
      <w:r w:rsidRPr="009524EA">
        <w:t>ningen försökt få fram uppgifter om kostnadsutvecklingen av samtliga adm</w:t>
      </w:r>
      <w:r w:rsidRPr="009524EA">
        <w:t>i</w:t>
      </w:r>
      <w:r w:rsidRPr="009524EA">
        <w:t>nistrativa kostnader från Skatteverket, men dessa uppgifter har inte funnits tillgängliga. Skatteverket följer inte heller utvecklingen av samtliga ove</w:t>
      </w:r>
      <w:r w:rsidRPr="009524EA">
        <w:t>r</w:t>
      </w:r>
      <w:r w:rsidRPr="009524EA">
        <w:t>headkostnader men har i en egen utvärdering visat att kostnaderna för ek</w:t>
      </w:r>
      <w:r w:rsidRPr="009524EA">
        <w:t>o</w:t>
      </w:r>
      <w:r w:rsidRPr="009524EA">
        <w:t>nomi- och lönehantering nästan har halverats.</w:t>
      </w:r>
    </w:p>
    <w:p w:rsidR="0055172C" w:rsidRPr="009524EA" w:rsidRDefault="0055172C" w:rsidP="00256004">
      <w:pPr>
        <w:pStyle w:val="Normaltindrag"/>
      </w:pPr>
      <w:r w:rsidRPr="009524EA">
        <w:t>Skatteverkets och Åklagarmyndighetens egna produktivitetsmätningar v</w:t>
      </w:r>
      <w:r w:rsidRPr="009524EA">
        <w:t>i</w:t>
      </w:r>
      <w:r w:rsidRPr="009524EA">
        <w:t>sar på en positiv produktivitetsutveckling över den aktuella tidsperioden.</w:t>
      </w:r>
      <w:r w:rsidR="00256004" w:rsidRPr="009524EA">
        <w:t xml:space="preserve">  </w:t>
      </w:r>
      <w:r w:rsidRPr="009524EA">
        <w:t>Försäkringskassans egen produktivitetsmätning visar att produktiviteten</w:t>
      </w:r>
      <w:r w:rsidR="00256004" w:rsidRPr="009524EA">
        <w:t xml:space="preserve"> </w:t>
      </w:r>
      <w:r w:rsidRPr="009524EA">
        <w:t xml:space="preserve">2008 i huvudsak ligger på samma nivå som under 2004. </w:t>
      </w:r>
    </w:p>
    <w:p w:rsidR="0055172C" w:rsidRPr="009524EA" w:rsidRDefault="0055172C" w:rsidP="00256004">
      <w:pPr>
        <w:pStyle w:val="Rubrik3"/>
        <w:rPr>
          <w:noProof w:val="0"/>
        </w:rPr>
      </w:pPr>
      <w:bookmarkStart w:id="21" w:name="_Toc260831129"/>
      <w:r w:rsidRPr="009524EA">
        <w:rPr>
          <w:noProof w:val="0"/>
        </w:rPr>
        <w:t>Baksidan av sammanslagningar</w:t>
      </w:r>
      <w:bookmarkEnd w:id="21"/>
    </w:p>
    <w:p w:rsidR="0055172C" w:rsidRPr="009524EA" w:rsidRDefault="0055172C" w:rsidP="0055172C">
      <w:r w:rsidRPr="009524EA">
        <w:t>Riksrevisionen har i granskningen funnit indikatorer på att nya problem har uppstått i samband med sammanslagningarna av Försäkringskassan respekt</w:t>
      </w:r>
      <w:r w:rsidRPr="009524EA">
        <w:t>i</w:t>
      </w:r>
      <w:r w:rsidRPr="009524EA">
        <w:t>ve Skatteverket.</w:t>
      </w:r>
    </w:p>
    <w:p w:rsidR="0055172C" w:rsidRPr="009524EA" w:rsidRDefault="0055172C" w:rsidP="00CD37F0">
      <w:pPr>
        <w:pStyle w:val="R4"/>
      </w:pPr>
      <w:r w:rsidRPr="009524EA">
        <w:t xml:space="preserve">Minskad lokal förankring kan ge mindre effektiv kontroll av deklarationer </w:t>
      </w:r>
    </w:p>
    <w:p w:rsidR="0055172C" w:rsidRPr="009524EA" w:rsidRDefault="0055172C" w:rsidP="0055172C">
      <w:r w:rsidRPr="009524EA">
        <w:t>Granskningen visar att sammanslagningarna har lett till att den lokala föran</w:t>
      </w:r>
      <w:r w:rsidRPr="009524EA">
        <w:t>k</w:t>
      </w:r>
      <w:r w:rsidRPr="009524EA">
        <w:t>ringen har blivit svagare. Koncentration av olika ärendetyper innebär att handläggare inte längre hanterar ärenden som är geografiskt kopplade till orten där de arbetar. Detta leder till att handläggarna inte längre har känn</w:t>
      </w:r>
      <w:r w:rsidRPr="009524EA">
        <w:t>e</w:t>
      </w:r>
      <w:r w:rsidRPr="009524EA">
        <w:t>dom om de lokala förhållandena där ärendet kommer ifrån. I granskningen framkommer att effekten av koncentrationen på Skatteverket har lett till en försämring av kontrollverksamheten då möjligheterna att anpassa kontrollerna till de problem handläggarna upplever som relevanta eller känner till på orten minskat. I strävan efter en enhetlig kontroll, dvs. att risken att hamna i en kontroll ska vara lika stor för alla medborgare</w:t>
      </w:r>
      <w:r w:rsidR="00DA3EFE" w:rsidRPr="009524EA">
        <w:t>,</w:t>
      </w:r>
      <w:r w:rsidRPr="009524EA">
        <w:t xml:space="preserve"> anser Riksrevisionen att Ska</w:t>
      </w:r>
      <w:r w:rsidRPr="009524EA">
        <w:t>t</w:t>
      </w:r>
      <w:r w:rsidRPr="009524EA">
        <w:t>teverket riskerar att i</w:t>
      </w:r>
      <w:r w:rsidR="00DA3EFE" w:rsidRPr="009524EA">
        <w:t xml:space="preserve"> </w:t>
      </w:r>
      <w:r w:rsidRPr="009524EA">
        <w:t>stället få en mindre effektiv kontrollverksamhet.</w:t>
      </w:r>
    </w:p>
    <w:p w:rsidR="0055172C" w:rsidRPr="009524EA" w:rsidRDefault="0055172C" w:rsidP="00CD37F0">
      <w:pPr>
        <w:pStyle w:val="R4"/>
      </w:pPr>
      <w:r w:rsidRPr="009524EA">
        <w:t>Nya ”stuprör” att överbrygga</w:t>
      </w:r>
    </w:p>
    <w:p w:rsidR="0055172C" w:rsidRPr="009524EA" w:rsidRDefault="0055172C" w:rsidP="0055172C">
      <w:r w:rsidRPr="009524EA">
        <w:t>Försäkringskassan och Skatteverket har valt att koncentrera stora delar av verksamheten för att möjliggöra specialisering i handläggningen. Grans</w:t>
      </w:r>
      <w:r w:rsidRPr="009524EA">
        <w:t>k</w:t>
      </w:r>
      <w:r w:rsidRPr="009524EA">
        <w:t>ningen visar att detta har lett till att handläggarna generellt sett hanterar och har kunskap om färre antal ärendetyper. Samtidigt som koncentrationen bidrar till en ökad specialisering och kunskap bidrar den också till en minskad flex</w:t>
      </w:r>
      <w:r w:rsidRPr="009524EA">
        <w:t>i</w:t>
      </w:r>
      <w:r w:rsidRPr="009524EA">
        <w:t xml:space="preserve">bilitet och sårbarhet i organisationen. Möjligheterna att flytta ärenden mellan olika handläggare minskar, då antalet handläggare som har kunskap om de olika ärendetyperna är färre.  </w:t>
      </w:r>
    </w:p>
    <w:p w:rsidR="0055172C" w:rsidRPr="009524EA" w:rsidRDefault="0055172C" w:rsidP="00256004">
      <w:pPr>
        <w:pStyle w:val="Normaltindrag"/>
      </w:pPr>
      <w:r w:rsidRPr="009524EA">
        <w:t>Av granskningen framkommer också att specialiseringen och koncentr</w:t>
      </w:r>
      <w:r w:rsidRPr="009524EA">
        <w:t>a</w:t>
      </w:r>
      <w:r w:rsidRPr="009524EA">
        <w:t>tionen av ärendehandläggningen inom Försäkringskassan har skapat interna stuprör som försvårat styrningen och gjort verksamheten svår att överblicka. Detta sätt att organisera verksamheten ställer högre krav på tvärsektoriell samordning mellan de olika verksamheterna.</w:t>
      </w:r>
    </w:p>
    <w:p w:rsidR="0055172C" w:rsidRPr="009524EA" w:rsidRDefault="0055172C" w:rsidP="00256004">
      <w:pPr>
        <w:pStyle w:val="Rubrik2"/>
      </w:pPr>
      <w:bookmarkStart w:id="22" w:name="_Toc260831130"/>
      <w:r w:rsidRPr="009524EA">
        <w:t>Riksrevisionens rekommendationer</w:t>
      </w:r>
      <w:bookmarkEnd w:id="22"/>
    </w:p>
    <w:p w:rsidR="0055172C" w:rsidRPr="009524EA" w:rsidRDefault="0055172C" w:rsidP="00256004">
      <w:pPr>
        <w:pStyle w:val="Rubrik3"/>
        <w:rPr>
          <w:noProof w:val="0"/>
        </w:rPr>
      </w:pPr>
      <w:bookmarkStart w:id="23" w:name="_Toc260831131"/>
      <w:r w:rsidRPr="009524EA">
        <w:rPr>
          <w:noProof w:val="0"/>
        </w:rPr>
        <w:t>Riksrevisionen rekommenderar berörda myndigheter att</w:t>
      </w:r>
      <w:bookmarkEnd w:id="23"/>
      <w:r w:rsidRPr="009524EA">
        <w:rPr>
          <w:noProof w:val="0"/>
        </w:rPr>
        <w:t xml:space="preserve"> </w:t>
      </w:r>
    </w:p>
    <w:p w:rsidR="00DA3EFE" w:rsidRPr="009524EA" w:rsidRDefault="0055172C" w:rsidP="0042022C">
      <w:pPr>
        <w:pStyle w:val="Liststycke"/>
        <w:numPr>
          <w:ilvl w:val="0"/>
          <w:numId w:val="10"/>
        </w:numPr>
        <w:spacing w:before="0"/>
      </w:pPr>
      <w:r w:rsidRPr="009524EA">
        <w:t>utveckla ett instrument för systematisk uppföljning av variationer i my</w:t>
      </w:r>
      <w:r w:rsidRPr="009524EA">
        <w:t>n</w:t>
      </w:r>
      <w:r w:rsidRPr="009524EA">
        <w:t>dighetsutövningen (oavsett or</w:t>
      </w:r>
      <w:r w:rsidR="00DA3EFE" w:rsidRPr="009524EA">
        <w:t>ganisatorisk struktur)</w:t>
      </w:r>
      <w:r w:rsidRPr="009524EA">
        <w:t xml:space="preserve"> </w:t>
      </w:r>
    </w:p>
    <w:p w:rsidR="0055172C" w:rsidRPr="009524EA" w:rsidRDefault="0055172C" w:rsidP="0042022C">
      <w:pPr>
        <w:pStyle w:val="Liststycke"/>
        <w:numPr>
          <w:ilvl w:val="0"/>
          <w:numId w:val="10"/>
        </w:numPr>
        <w:spacing w:before="0"/>
      </w:pPr>
      <w:r w:rsidRPr="009524EA">
        <w:t>möjliggöra interna praxisdiskussioner kring rättstillämpningen för att skapa ökad samsyn</w:t>
      </w:r>
    </w:p>
    <w:p w:rsidR="0055172C" w:rsidRPr="009524EA" w:rsidRDefault="0055172C" w:rsidP="0042022C">
      <w:pPr>
        <w:pStyle w:val="Liststycke"/>
        <w:numPr>
          <w:ilvl w:val="0"/>
          <w:numId w:val="10"/>
        </w:numPr>
      </w:pPr>
      <w:r w:rsidRPr="009524EA">
        <w:t>säkerställa det löpande behovet av omfördelning av resurserna inom hela myndigheten för att åstadko</w:t>
      </w:r>
      <w:r w:rsidR="0042022C" w:rsidRPr="009524EA">
        <w:t>mma en jämnare arbetsbelastning</w:t>
      </w:r>
      <w:r w:rsidR="00DA3EFE" w:rsidRPr="009524EA">
        <w:t>.</w:t>
      </w:r>
    </w:p>
    <w:p w:rsidR="0055172C" w:rsidRPr="009524EA" w:rsidRDefault="0055172C" w:rsidP="00256004">
      <w:pPr>
        <w:pStyle w:val="Rubrik3"/>
        <w:rPr>
          <w:noProof w:val="0"/>
        </w:rPr>
      </w:pPr>
      <w:bookmarkStart w:id="24" w:name="_Toc260831132"/>
      <w:r w:rsidRPr="009524EA">
        <w:rPr>
          <w:noProof w:val="0"/>
        </w:rPr>
        <w:t>Riksrevisionen rekommenderar regeringen att</w:t>
      </w:r>
      <w:bookmarkEnd w:id="24"/>
      <w:r w:rsidRPr="009524EA">
        <w:rPr>
          <w:noProof w:val="0"/>
        </w:rPr>
        <w:t xml:space="preserve"> </w:t>
      </w:r>
    </w:p>
    <w:p w:rsidR="0055172C" w:rsidRPr="009524EA" w:rsidRDefault="0055172C" w:rsidP="0042022C">
      <w:pPr>
        <w:pStyle w:val="Liststycke"/>
        <w:numPr>
          <w:ilvl w:val="0"/>
          <w:numId w:val="11"/>
        </w:numPr>
        <w:spacing w:before="0"/>
      </w:pPr>
      <w:r w:rsidRPr="009524EA">
        <w:t xml:space="preserve">ge myndigheterna i uppdrag att följa upp variationerna i handläggningen samt </w:t>
      </w:r>
      <w:r w:rsidR="00DA3EFE" w:rsidRPr="009524EA">
        <w:t>ställa krav på återrapportering</w:t>
      </w:r>
    </w:p>
    <w:p w:rsidR="0055172C" w:rsidRPr="009524EA" w:rsidRDefault="0055172C" w:rsidP="0042022C">
      <w:pPr>
        <w:pStyle w:val="Liststycke"/>
        <w:numPr>
          <w:ilvl w:val="0"/>
          <w:numId w:val="11"/>
        </w:numPr>
      </w:pPr>
      <w:r w:rsidRPr="009524EA">
        <w:t>utvärdera och följa upp om syftena med sammanslagningarna till enmy</w:t>
      </w:r>
      <w:r w:rsidRPr="009524EA">
        <w:t>n</w:t>
      </w:r>
      <w:r w:rsidR="00DA3EFE" w:rsidRPr="009524EA">
        <w:t>digheter har uppnåtts</w:t>
      </w:r>
    </w:p>
    <w:p w:rsidR="0055172C" w:rsidRPr="009524EA" w:rsidRDefault="0055172C" w:rsidP="0042022C">
      <w:pPr>
        <w:pStyle w:val="Liststycke"/>
        <w:numPr>
          <w:ilvl w:val="0"/>
          <w:numId w:val="11"/>
        </w:numPr>
      </w:pPr>
      <w:r w:rsidRPr="009524EA">
        <w:t>anpassa den löpande resultatstyrningen utifrån den bild som ges av uppföl</w:t>
      </w:r>
      <w:r w:rsidRPr="009524EA">
        <w:t>j</w:t>
      </w:r>
      <w:r w:rsidR="0042022C" w:rsidRPr="009524EA">
        <w:t>ningarna</w:t>
      </w:r>
      <w:r w:rsidR="00DA3EFE" w:rsidRPr="009524EA">
        <w:t>.</w:t>
      </w:r>
    </w:p>
    <w:p w:rsidR="0055172C" w:rsidRPr="009524EA" w:rsidRDefault="0055172C" w:rsidP="0055172C"/>
    <w:p w:rsidR="00DC47EB" w:rsidRPr="009524EA" w:rsidRDefault="00DC47EB" w:rsidP="00DC47EB">
      <w:pPr>
        <w:pStyle w:val="Rubrik1"/>
        <w:rPr>
          <w:noProof w:val="0"/>
        </w:rPr>
      </w:pPr>
      <w:bookmarkStart w:id="25" w:name="_Toc260831133"/>
      <w:r w:rsidRPr="009524EA">
        <w:rPr>
          <w:noProof w:val="0"/>
        </w:rPr>
        <w:t>Styrelsens överväganden</w:t>
      </w:r>
      <w:bookmarkEnd w:id="25"/>
    </w:p>
    <w:p w:rsidR="009848B9" w:rsidRPr="009524EA" w:rsidRDefault="009848B9" w:rsidP="009848B9">
      <w:r w:rsidRPr="009524EA">
        <w:t xml:space="preserve">Riksrevisionens styrelse har funnit att slutsatserna av den granskning som Riksrevisionen har redovisat i rapporten </w:t>
      </w:r>
      <w:r w:rsidRPr="009524EA">
        <w:rPr>
          <w:i/>
        </w:rPr>
        <w:t>Från många till en – sammansla</w:t>
      </w:r>
      <w:r w:rsidRPr="009524EA">
        <w:rPr>
          <w:i/>
        </w:rPr>
        <w:t>g</w:t>
      </w:r>
      <w:r w:rsidRPr="009524EA">
        <w:rPr>
          <w:i/>
        </w:rPr>
        <w:t xml:space="preserve">ningar av myndigheter </w:t>
      </w:r>
      <w:r w:rsidRPr="009524EA">
        <w:t xml:space="preserve">(RiR 2010:3) ska överlämnas till riksdagen i form av en framställning. I anslutning härtill vill styrelsen anföra följande. </w:t>
      </w:r>
    </w:p>
    <w:p w:rsidR="00C374AE" w:rsidRPr="009524EA" w:rsidRDefault="009D1D48" w:rsidP="009D1D48">
      <w:pPr>
        <w:pStyle w:val="Normaltindrag"/>
      </w:pPr>
      <w:r w:rsidRPr="009524EA">
        <w:t>Styrelsens utgångspunkt</w:t>
      </w:r>
      <w:r w:rsidR="002520E5" w:rsidRPr="009524EA">
        <w:t xml:space="preserve"> är </w:t>
      </w:r>
      <w:r w:rsidR="00E547AD" w:rsidRPr="009524EA">
        <w:t>r</w:t>
      </w:r>
      <w:r w:rsidRPr="009524EA">
        <w:t>iksdagens uttalade avsikt</w:t>
      </w:r>
      <w:r w:rsidRPr="009524EA">
        <w:rPr>
          <w:b/>
        </w:rPr>
        <w:t xml:space="preserve"> </w:t>
      </w:r>
      <w:r w:rsidR="002520E5" w:rsidRPr="009524EA">
        <w:t>då</w:t>
      </w:r>
      <w:r w:rsidRPr="009524EA">
        <w:t xml:space="preserve"> sammanslagnin</w:t>
      </w:r>
      <w:r w:rsidRPr="009524EA">
        <w:t>g</w:t>
      </w:r>
      <w:r w:rsidRPr="009524EA">
        <w:t xml:space="preserve">arna av Skatteverket, Åklagarmyndigheten och Försäkringskassan </w:t>
      </w:r>
      <w:r w:rsidR="002520E5" w:rsidRPr="009524EA">
        <w:t xml:space="preserve">beslutades, </w:t>
      </w:r>
      <w:r w:rsidR="00F3417B" w:rsidRPr="009524EA">
        <w:t xml:space="preserve">nämligen </w:t>
      </w:r>
      <w:r w:rsidR="00E547AD" w:rsidRPr="009524EA">
        <w:t>a</w:t>
      </w:r>
      <w:r w:rsidR="002520E5" w:rsidRPr="009524EA">
        <w:t xml:space="preserve">tt de organisatoriska förändringarna </w:t>
      </w:r>
      <w:r w:rsidRPr="009524EA">
        <w:t xml:space="preserve">skulle leda till en </w:t>
      </w:r>
      <w:r w:rsidR="002520E5" w:rsidRPr="009524EA">
        <w:t xml:space="preserve">enhetlig rättstillämpning. </w:t>
      </w:r>
      <w:r w:rsidR="00C374AE" w:rsidRPr="009524EA">
        <w:t>Respektive utskott framhöll</w:t>
      </w:r>
      <w:r w:rsidR="00D43BC5" w:rsidRPr="009524EA">
        <w:t xml:space="preserve"> vid riksdagsbehandlingen</w:t>
      </w:r>
      <w:r w:rsidR="00C374AE" w:rsidRPr="009524EA">
        <w:t xml:space="preserve"> att en sammanhållen nationell myndighet är en bättre garant för likformig och rätt</w:t>
      </w:r>
      <w:r w:rsidR="00C374AE" w:rsidRPr="009524EA">
        <w:t>s</w:t>
      </w:r>
      <w:r w:rsidR="00C374AE" w:rsidRPr="009524EA">
        <w:t xml:space="preserve">säker handläggning liksom </w:t>
      </w:r>
      <w:r w:rsidR="00D43BC5" w:rsidRPr="009524EA">
        <w:t>för</w:t>
      </w:r>
      <w:r w:rsidR="00C374AE" w:rsidRPr="009524EA">
        <w:t xml:space="preserve"> ökad flexibilitet.</w:t>
      </w:r>
      <w:r w:rsidR="00EF1F67" w:rsidRPr="009524EA">
        <w:t xml:space="preserve"> Uttalandena gjordes mot bakgrund av att </w:t>
      </w:r>
      <w:r w:rsidR="001C4C4D" w:rsidRPr="009524EA">
        <w:t xml:space="preserve">det </w:t>
      </w:r>
      <w:r w:rsidR="00EF1F67" w:rsidRPr="009524EA">
        <w:t>förekom regionala eller kontorsvisa skillnader i myndi</w:t>
      </w:r>
      <w:r w:rsidR="00EF1F67" w:rsidRPr="009524EA">
        <w:t>g</w:t>
      </w:r>
      <w:r w:rsidR="00EF1F67" w:rsidRPr="009524EA">
        <w:t>hetsutövningen.</w:t>
      </w:r>
      <w:r w:rsidR="00E547AD" w:rsidRPr="009524EA">
        <w:t xml:space="preserve"> </w:t>
      </w:r>
    </w:p>
    <w:p w:rsidR="005A0984" w:rsidRPr="009524EA" w:rsidRDefault="00F3417B" w:rsidP="005A0984">
      <w:pPr>
        <w:pStyle w:val="Normaltindrag"/>
      </w:pPr>
      <w:r w:rsidRPr="009524EA">
        <w:t>Styrelsen vill</w:t>
      </w:r>
      <w:r w:rsidR="00936142" w:rsidRPr="009524EA">
        <w:t xml:space="preserve"> understryka</w:t>
      </w:r>
      <w:r w:rsidR="00EF1F67" w:rsidRPr="009524EA">
        <w:t xml:space="preserve"> </w:t>
      </w:r>
      <w:r w:rsidRPr="009524EA">
        <w:t xml:space="preserve">att </w:t>
      </w:r>
      <w:r w:rsidR="00EF1F67" w:rsidRPr="009524EA">
        <w:t xml:space="preserve">de tre granskade </w:t>
      </w:r>
      <w:r w:rsidR="002520E5" w:rsidRPr="009524EA">
        <w:t>myndigheter</w:t>
      </w:r>
      <w:r w:rsidR="00EF1F67" w:rsidRPr="009524EA">
        <w:t>na</w:t>
      </w:r>
      <w:r w:rsidR="002520E5" w:rsidRPr="009524EA">
        <w:t xml:space="preserve"> bedriver en verksamhet som rör många med</w:t>
      </w:r>
      <w:r w:rsidR="00EF1F67" w:rsidRPr="009524EA">
        <w:t>borgare som enskilda individer</w:t>
      </w:r>
      <w:r w:rsidRPr="009524EA">
        <w:t>. Detta innebär att verksamheten vid varje myndighet</w:t>
      </w:r>
      <w:r w:rsidR="002C0F3C" w:rsidRPr="009524EA">
        <w:t xml:space="preserve"> måste vara </w:t>
      </w:r>
      <w:r w:rsidRPr="009524EA">
        <w:t xml:space="preserve">likvärdig och </w:t>
      </w:r>
      <w:r w:rsidR="002520E5" w:rsidRPr="009524EA">
        <w:t>rättssäk</w:t>
      </w:r>
      <w:r w:rsidRPr="009524EA">
        <w:t>er</w:t>
      </w:r>
      <w:r w:rsidR="002520E5" w:rsidRPr="009524EA">
        <w:t xml:space="preserve"> </w:t>
      </w:r>
      <w:r w:rsidR="002C0F3C" w:rsidRPr="009524EA">
        <w:t>så långt d</w:t>
      </w:r>
      <w:r w:rsidR="00EF1F67" w:rsidRPr="009524EA">
        <w:t>et är</w:t>
      </w:r>
      <w:r w:rsidR="002520E5" w:rsidRPr="009524EA">
        <w:t xml:space="preserve"> möjligt. </w:t>
      </w:r>
      <w:r w:rsidR="002C0F3C" w:rsidRPr="009524EA">
        <w:t xml:space="preserve">En enhetlig rättstillämpning är också viktig för </w:t>
      </w:r>
      <w:r w:rsidRPr="009524EA">
        <w:t>att m</w:t>
      </w:r>
      <w:r w:rsidR="00E547AD" w:rsidRPr="009524EA">
        <w:t>e</w:t>
      </w:r>
      <w:r w:rsidR="00E547AD" w:rsidRPr="009524EA">
        <w:t>d</w:t>
      </w:r>
      <w:r w:rsidR="00E547AD" w:rsidRPr="009524EA">
        <w:t xml:space="preserve">borgare </w:t>
      </w:r>
      <w:r w:rsidRPr="009524EA">
        <w:t>ska hysa förtroende för myndigheternas verksamhet</w:t>
      </w:r>
      <w:r w:rsidR="00E547AD" w:rsidRPr="009524EA">
        <w:t>.</w:t>
      </w:r>
      <w:r w:rsidR="005A0984" w:rsidRPr="009524EA">
        <w:t xml:space="preserve"> Styrelsen not</w:t>
      </w:r>
      <w:r w:rsidR="005A0984" w:rsidRPr="009524EA">
        <w:t>e</w:t>
      </w:r>
      <w:r w:rsidR="005A0984" w:rsidRPr="009524EA">
        <w:t xml:space="preserve">rar att varken </w:t>
      </w:r>
      <w:r w:rsidR="002C0F3C" w:rsidRPr="009524EA">
        <w:t xml:space="preserve">regeringen </w:t>
      </w:r>
      <w:r w:rsidR="005A0984" w:rsidRPr="009524EA">
        <w:t xml:space="preserve">eller </w:t>
      </w:r>
      <w:r w:rsidR="002C0F3C" w:rsidRPr="009524EA">
        <w:t xml:space="preserve">myndigheterna </w:t>
      </w:r>
      <w:r w:rsidRPr="009524EA">
        <w:t>under de fem sex år som gått sedan förändringarna genom</w:t>
      </w:r>
      <w:r w:rsidR="002C0F3C" w:rsidRPr="009524EA">
        <w:t>fördes</w:t>
      </w:r>
      <w:r w:rsidR="00D43BC5" w:rsidRPr="009524EA">
        <w:t>,</w:t>
      </w:r>
      <w:r w:rsidR="00DA3EFE" w:rsidRPr="009524EA">
        <w:t xml:space="preserve"> har</w:t>
      </w:r>
      <w:r w:rsidRPr="009524EA">
        <w:t xml:space="preserve"> </w:t>
      </w:r>
      <w:r w:rsidR="0038560C" w:rsidRPr="009524EA">
        <w:t xml:space="preserve">utfört </w:t>
      </w:r>
      <w:r w:rsidR="005A0984" w:rsidRPr="009524EA">
        <w:t xml:space="preserve">någon </w:t>
      </w:r>
      <w:r w:rsidR="0038560C" w:rsidRPr="009524EA">
        <w:t>uppföljning av reforme</w:t>
      </w:r>
      <w:r w:rsidR="0038560C" w:rsidRPr="009524EA">
        <w:t>r</w:t>
      </w:r>
      <w:r w:rsidR="0038560C" w:rsidRPr="009524EA">
        <w:t xml:space="preserve">na. </w:t>
      </w:r>
    </w:p>
    <w:p w:rsidR="00EF1F67" w:rsidRPr="009524EA" w:rsidRDefault="002520E5" w:rsidP="009D1D48">
      <w:pPr>
        <w:pStyle w:val="Normaltindrag"/>
      </w:pPr>
      <w:r w:rsidRPr="009524EA">
        <w:t>Samtidigt är styrelsen medveten om de svårigheter som kan finnas med att styra stora</w:t>
      </w:r>
      <w:r w:rsidR="00D43BC5" w:rsidRPr="009524EA">
        <w:t>,</w:t>
      </w:r>
      <w:r w:rsidR="00C374AE" w:rsidRPr="009524EA">
        <w:t xml:space="preserve"> komplexa</w:t>
      </w:r>
      <w:r w:rsidR="00EF1F67" w:rsidRPr="009524EA">
        <w:t xml:space="preserve"> organisationer med </w:t>
      </w:r>
      <w:r w:rsidR="00E547AD" w:rsidRPr="009524EA">
        <w:t>verksamhet</w:t>
      </w:r>
      <w:r w:rsidR="00EF1F67" w:rsidRPr="009524EA">
        <w:t xml:space="preserve"> på olika orter runt om i landet. Detta innebär </w:t>
      </w:r>
      <w:r w:rsidR="00E547AD" w:rsidRPr="009524EA">
        <w:t>å andra sidan a</w:t>
      </w:r>
      <w:r w:rsidR="00EF1F67" w:rsidRPr="009524EA">
        <w:t xml:space="preserve">tt </w:t>
      </w:r>
      <w:r w:rsidR="002C0F3C" w:rsidRPr="009524EA">
        <w:t>det ä</w:t>
      </w:r>
      <w:r w:rsidR="00E547AD" w:rsidRPr="009524EA">
        <w:t>r desto viktigare att myndigheterna har</w:t>
      </w:r>
      <w:r w:rsidR="00EF1F67" w:rsidRPr="009524EA">
        <w:t xml:space="preserve"> tillförlitliga uppföljningssystem för att följa verksamheten</w:t>
      </w:r>
      <w:r w:rsidR="002C0F3C" w:rsidRPr="009524EA">
        <w:t>, t.ex.</w:t>
      </w:r>
      <w:r w:rsidR="00EF1F67" w:rsidRPr="009524EA">
        <w:t xml:space="preserve"> </w:t>
      </w:r>
      <w:r w:rsidR="00E547AD" w:rsidRPr="009524EA">
        <w:t xml:space="preserve">för att det ska vara möjligt att </w:t>
      </w:r>
      <w:r w:rsidR="002C0F3C" w:rsidRPr="009524EA">
        <w:t>bedöma</w:t>
      </w:r>
      <w:r w:rsidR="00EF1F67" w:rsidRPr="009524EA">
        <w:t xml:space="preserve"> effekterna av en organisatorisk förändring. Rik</w:t>
      </w:r>
      <w:r w:rsidR="00EF1F67" w:rsidRPr="009524EA">
        <w:t>s</w:t>
      </w:r>
      <w:r w:rsidR="00EF1F67" w:rsidRPr="009524EA">
        <w:t xml:space="preserve">revisionens granskning visar dock att ingen av de granskade myndigheterna har ett systematiskt uppföljningssystem som möjliggör en sådan bedömning. </w:t>
      </w:r>
      <w:r w:rsidR="00532326" w:rsidRPr="009524EA">
        <w:t xml:space="preserve">Mot denna bakgrund </w:t>
      </w:r>
      <w:r w:rsidR="00E547AD" w:rsidRPr="009524EA">
        <w:t>lämnar styrelsen följande förslag.</w:t>
      </w:r>
    </w:p>
    <w:p w:rsidR="00EF1F67" w:rsidRPr="009524EA" w:rsidRDefault="001C4C4D" w:rsidP="00EF1F67">
      <w:pPr>
        <w:pStyle w:val="Rubrik2"/>
      </w:pPr>
      <w:bookmarkStart w:id="26" w:name="_Toc260831134"/>
      <w:r w:rsidRPr="009524EA">
        <w:t>Å</w:t>
      </w:r>
      <w:r w:rsidR="00EF1F67" w:rsidRPr="009524EA">
        <w:t>terrapportering till riksdagen</w:t>
      </w:r>
      <w:bookmarkEnd w:id="26"/>
    </w:p>
    <w:p w:rsidR="00520580" w:rsidRPr="009524EA" w:rsidRDefault="00520580" w:rsidP="00AA7ADB">
      <w:bookmarkStart w:id="27" w:name="OLE_LINK1"/>
      <w:bookmarkStart w:id="28" w:name="OLE_LINK2"/>
      <w:r w:rsidRPr="009524EA">
        <w:t xml:space="preserve">Granskningen visar att omorganisationerna på flera punkter </w:t>
      </w:r>
      <w:r w:rsidR="002C0F3C" w:rsidRPr="009524EA">
        <w:t>i</w:t>
      </w:r>
      <w:r w:rsidRPr="009524EA">
        <w:t xml:space="preserve">nneburit att möjligheterna att styra myndigheterna </w:t>
      </w:r>
      <w:r w:rsidR="002C0F3C" w:rsidRPr="009524EA">
        <w:t xml:space="preserve">har </w:t>
      </w:r>
      <w:r w:rsidRPr="009524EA">
        <w:t xml:space="preserve">förbättrats. </w:t>
      </w:r>
      <w:bookmarkEnd w:id="27"/>
      <w:bookmarkEnd w:id="28"/>
      <w:r w:rsidRPr="009524EA">
        <w:t>Exempelvis har antalet vägledningar och riktlinjer för rättstillämpning och ärendehantering ökat väsentligt vid de tre myndigheterna.</w:t>
      </w:r>
      <w:r w:rsidR="00AA7ADB" w:rsidRPr="009524EA">
        <w:t xml:space="preserve"> </w:t>
      </w:r>
      <w:r w:rsidR="004F16D6" w:rsidRPr="009524EA">
        <w:t>Det har också inrättats centrala enheter med ett särskilt ansvar för rättstillämpningen</w:t>
      </w:r>
      <w:r w:rsidR="00AA7ADB" w:rsidRPr="009524EA">
        <w:t xml:space="preserve">. Det framkommer dock också i </w:t>
      </w:r>
      <w:r w:rsidRPr="009524EA">
        <w:t>granskningen</w:t>
      </w:r>
      <w:r w:rsidR="00AA7ADB" w:rsidRPr="009524EA">
        <w:t xml:space="preserve"> att</w:t>
      </w:r>
      <w:r w:rsidRPr="009524EA">
        <w:t xml:space="preserve"> </w:t>
      </w:r>
      <w:r w:rsidR="00AA7ADB" w:rsidRPr="009524EA">
        <w:t>h</w:t>
      </w:r>
      <w:r w:rsidRPr="009524EA">
        <w:t>andläggarna har haft svårt att tillgodogöra sig den ökade mängden styrningssignal</w:t>
      </w:r>
      <w:r w:rsidR="00D43BC5" w:rsidRPr="009524EA">
        <w:t>er,</w:t>
      </w:r>
      <w:r w:rsidR="00DA3EFE" w:rsidRPr="009524EA">
        <w:t xml:space="preserve"> p.g.a.</w:t>
      </w:r>
      <w:r w:rsidRPr="009524EA">
        <w:t xml:space="preserve"> tidsbrist och svårigheter att hitta relevanta dokument</w:t>
      </w:r>
      <w:r w:rsidR="000D751A" w:rsidRPr="009524EA">
        <w:t xml:space="preserve">. </w:t>
      </w:r>
      <w:r w:rsidR="00AA7ADB" w:rsidRPr="009524EA">
        <w:t xml:space="preserve">Det framkommer också att </w:t>
      </w:r>
      <w:r w:rsidR="000D751A" w:rsidRPr="009524EA">
        <w:t>huvudkontorens sätt att styra ärend</w:t>
      </w:r>
      <w:r w:rsidR="000D751A" w:rsidRPr="009524EA">
        <w:t>e</w:t>
      </w:r>
      <w:r w:rsidR="000D751A" w:rsidRPr="009524EA">
        <w:t>hanteringsprocessen och rättsstillämpningen har lett till minskade tillfällen till region</w:t>
      </w:r>
      <w:r w:rsidR="00DA3EFE" w:rsidRPr="009524EA">
        <w:t>s</w:t>
      </w:r>
      <w:r w:rsidR="000D751A" w:rsidRPr="009524EA">
        <w:t>- och kontorsvisa erfarenhetsutbyten</w:t>
      </w:r>
      <w:r w:rsidR="00D43BC5" w:rsidRPr="009524EA">
        <w:t xml:space="preserve"> för personalen</w:t>
      </w:r>
      <w:r w:rsidR="000D751A" w:rsidRPr="009524EA">
        <w:t>.</w:t>
      </w:r>
    </w:p>
    <w:p w:rsidR="004F16D6" w:rsidRPr="009524EA" w:rsidRDefault="0038560C" w:rsidP="00520580">
      <w:pPr>
        <w:pStyle w:val="Normaltindrag"/>
      </w:pPr>
      <w:r w:rsidRPr="009524EA">
        <w:t>Gransk</w:t>
      </w:r>
      <w:r w:rsidR="00DA3EFE" w:rsidRPr="009524EA">
        <w:t>ningen indikerar dock samtidigt</w:t>
      </w:r>
      <w:r w:rsidRPr="009524EA">
        <w:t xml:space="preserve"> att t</w:t>
      </w:r>
      <w:r w:rsidR="004F16D6" w:rsidRPr="009524EA">
        <w:t>rots de förändringar som g</w:t>
      </w:r>
      <w:r w:rsidR="004F16D6" w:rsidRPr="009524EA">
        <w:t>e</w:t>
      </w:r>
      <w:r w:rsidR="004F16D6" w:rsidRPr="009524EA">
        <w:t xml:space="preserve">nomförts </w:t>
      </w:r>
      <w:r w:rsidRPr="009524EA">
        <w:t xml:space="preserve">har </w:t>
      </w:r>
      <w:r w:rsidR="004F16D6" w:rsidRPr="009524EA">
        <w:t xml:space="preserve">målet </w:t>
      </w:r>
      <w:r w:rsidR="00D43BC5" w:rsidRPr="009524EA">
        <w:t xml:space="preserve">om </w:t>
      </w:r>
      <w:r w:rsidR="004F16D6" w:rsidRPr="009524EA">
        <w:t>en ökad enhetlighet i rättstillämpningen i myndigh</w:t>
      </w:r>
      <w:r w:rsidR="004F16D6" w:rsidRPr="009524EA">
        <w:t>e</w:t>
      </w:r>
      <w:r w:rsidR="004F16D6" w:rsidRPr="009524EA">
        <w:t xml:space="preserve">ternas verksamhet </w:t>
      </w:r>
      <w:r w:rsidR="00BD37CC" w:rsidRPr="009524EA">
        <w:t xml:space="preserve">inte </w:t>
      </w:r>
      <w:r w:rsidR="004F16D6" w:rsidRPr="009524EA">
        <w:t xml:space="preserve">uppnåtts. </w:t>
      </w:r>
      <w:r w:rsidR="000D751A" w:rsidRPr="009524EA">
        <w:t>När det gäller de ären</w:t>
      </w:r>
      <w:r w:rsidRPr="009524EA">
        <w:t>deslag</w:t>
      </w:r>
      <w:r w:rsidR="000D751A" w:rsidRPr="009524EA">
        <w:t xml:space="preserve"> </w:t>
      </w:r>
      <w:r w:rsidRPr="009524EA">
        <w:t>som Riksrev</w:t>
      </w:r>
      <w:r w:rsidRPr="009524EA">
        <w:t>i</w:t>
      </w:r>
      <w:r w:rsidRPr="009524EA">
        <w:t xml:space="preserve">sionen har granskat </w:t>
      </w:r>
      <w:r w:rsidR="000D751A" w:rsidRPr="009524EA">
        <w:t xml:space="preserve">spelar det således fortfarande roll var i landet </w:t>
      </w:r>
      <w:r w:rsidR="004F16D6" w:rsidRPr="009524EA">
        <w:t>den enski</w:t>
      </w:r>
      <w:r w:rsidR="004F16D6" w:rsidRPr="009524EA">
        <w:t>l</w:t>
      </w:r>
      <w:r w:rsidR="004F16D6" w:rsidRPr="009524EA">
        <w:t xml:space="preserve">de bor </w:t>
      </w:r>
      <w:r w:rsidR="000D751A" w:rsidRPr="009524EA">
        <w:t>eller av vem ett ärende avgörs.</w:t>
      </w:r>
    </w:p>
    <w:p w:rsidR="0038560C" w:rsidRPr="009524EA" w:rsidRDefault="004F16D6" w:rsidP="00520580">
      <w:pPr>
        <w:pStyle w:val="Normaltindrag"/>
      </w:pPr>
      <w:r w:rsidRPr="009524EA">
        <w:t xml:space="preserve">Styrelsen anser att det är viktigt att få klarhet i hur rättstillämpningen har utvecklats </w:t>
      </w:r>
      <w:r w:rsidR="0038560C" w:rsidRPr="009524EA">
        <w:t xml:space="preserve">efter att </w:t>
      </w:r>
      <w:r w:rsidRPr="009524EA">
        <w:t>omorganisationerna</w:t>
      </w:r>
      <w:r w:rsidR="0038560C" w:rsidRPr="009524EA">
        <w:t xml:space="preserve"> </w:t>
      </w:r>
      <w:r w:rsidR="00D43BC5" w:rsidRPr="009524EA">
        <w:t xml:space="preserve">vid de tre myndigheterna </w:t>
      </w:r>
      <w:r w:rsidR="0038560C" w:rsidRPr="009524EA">
        <w:t>genomförts</w:t>
      </w:r>
      <w:r w:rsidRPr="009524EA">
        <w:t xml:space="preserve">. </w:t>
      </w:r>
      <w:r w:rsidR="0038560C" w:rsidRPr="009524EA">
        <w:t xml:space="preserve">Om </w:t>
      </w:r>
      <w:r w:rsidRPr="009524EA">
        <w:t>en sådan kartläggning visar att utvecklingen är densamma för andra äre</w:t>
      </w:r>
      <w:r w:rsidRPr="009524EA">
        <w:t>n</w:t>
      </w:r>
      <w:r w:rsidRPr="009524EA">
        <w:t>deslag</w:t>
      </w:r>
      <w:r w:rsidR="0038560C" w:rsidRPr="009524EA">
        <w:t xml:space="preserve"> </w:t>
      </w:r>
      <w:r w:rsidR="00F7409D" w:rsidRPr="009524EA">
        <w:t>än de som Riksrevisionen undersökt</w:t>
      </w:r>
      <w:r w:rsidR="00D43BC5" w:rsidRPr="009524EA">
        <w:t>,</w:t>
      </w:r>
      <w:r w:rsidR="00F7409D" w:rsidRPr="009524EA">
        <w:t xml:space="preserve"> </w:t>
      </w:r>
      <w:r w:rsidR="0038560C" w:rsidRPr="009524EA">
        <w:t>bör</w:t>
      </w:r>
      <w:r w:rsidRPr="009524EA">
        <w:t xml:space="preserve"> frågan om lämpliga styrfo</w:t>
      </w:r>
      <w:r w:rsidRPr="009524EA">
        <w:t>r</w:t>
      </w:r>
      <w:r w:rsidRPr="009524EA">
        <w:t>mer för myndigheterna övervä</w:t>
      </w:r>
      <w:r w:rsidR="00F7409D" w:rsidRPr="009524EA">
        <w:t>gas</w:t>
      </w:r>
      <w:r w:rsidRPr="009524EA">
        <w:t>.</w:t>
      </w:r>
      <w:r w:rsidR="000D751A" w:rsidRPr="009524EA">
        <w:t xml:space="preserve"> </w:t>
      </w:r>
      <w:r w:rsidR="0038560C" w:rsidRPr="009524EA">
        <w:t xml:space="preserve">Sammanslagningar till en enda myndighet förefaller inte ensamt kunna åstadkomma ett mera likformigt och därmed rättssäkert beslutsfattande. </w:t>
      </w:r>
    </w:p>
    <w:p w:rsidR="000D751A" w:rsidRPr="009524EA" w:rsidRDefault="001C4C4D" w:rsidP="00520580">
      <w:pPr>
        <w:pStyle w:val="Normaltindrag"/>
      </w:pPr>
      <w:r w:rsidRPr="009524EA">
        <w:t>Som</w:t>
      </w:r>
      <w:r w:rsidR="005A0984" w:rsidRPr="009524EA">
        <w:t xml:space="preserve"> konstaterats ovan</w:t>
      </w:r>
      <w:r w:rsidRPr="009524EA">
        <w:t xml:space="preserve"> visar granskningen </w:t>
      </w:r>
      <w:r w:rsidR="005A0984" w:rsidRPr="009524EA">
        <w:t>att de</w:t>
      </w:r>
      <w:r w:rsidRPr="009524EA">
        <w:t xml:space="preserve"> </w:t>
      </w:r>
      <w:r w:rsidR="005A0984" w:rsidRPr="009524EA">
        <w:t>uppföljningssystem</w:t>
      </w:r>
      <w:r w:rsidRPr="009524EA">
        <w:t xml:space="preserve"> s</w:t>
      </w:r>
      <w:r w:rsidR="005A0984" w:rsidRPr="009524EA">
        <w:t>om</w:t>
      </w:r>
      <w:r w:rsidRPr="009524EA">
        <w:t xml:space="preserve"> </w:t>
      </w:r>
      <w:r w:rsidR="005A0984" w:rsidRPr="009524EA">
        <w:t xml:space="preserve">för närvarande finns vid myndigheterna </w:t>
      </w:r>
      <w:r w:rsidRPr="009524EA">
        <w:t>inte kan ge svar på huruvida enhe</w:t>
      </w:r>
      <w:r w:rsidRPr="009524EA">
        <w:t>t</w:t>
      </w:r>
      <w:r w:rsidRPr="009524EA">
        <w:t>lighe</w:t>
      </w:r>
      <w:r w:rsidR="005A0984" w:rsidRPr="009524EA">
        <w:t>ten har ökat. Införandet av sådana uppföljning</w:t>
      </w:r>
      <w:r w:rsidR="00957027" w:rsidRPr="009524EA">
        <w:t>ssystem</w:t>
      </w:r>
      <w:r w:rsidR="005A0984" w:rsidRPr="009524EA">
        <w:t xml:space="preserve"> bör enligt styre</w:t>
      </w:r>
      <w:r w:rsidR="005A0984" w:rsidRPr="009524EA">
        <w:t>l</w:t>
      </w:r>
      <w:r w:rsidR="005A0984" w:rsidRPr="009524EA">
        <w:t>sens upp</w:t>
      </w:r>
      <w:r w:rsidR="00957027" w:rsidRPr="009524EA">
        <w:t>fattning</w:t>
      </w:r>
      <w:r w:rsidR="005A0984" w:rsidRPr="009524EA">
        <w:t xml:space="preserve"> övervägas så att </w:t>
      </w:r>
      <w:r w:rsidR="00957027" w:rsidRPr="009524EA">
        <w:t xml:space="preserve">regeringens </w:t>
      </w:r>
      <w:r w:rsidR="005A0984" w:rsidRPr="009524EA">
        <w:t>resultatredovisning till riksd</w:t>
      </w:r>
      <w:r w:rsidR="005A0984" w:rsidRPr="009524EA">
        <w:t>a</w:t>
      </w:r>
      <w:r w:rsidR="005A0984" w:rsidRPr="009524EA">
        <w:t xml:space="preserve">gen kan förbättras inom respektive myndighetsområde. </w:t>
      </w:r>
    </w:p>
    <w:p w:rsidR="00AA7ADB" w:rsidRPr="009524EA" w:rsidRDefault="00AA7ADB" w:rsidP="00532326">
      <w:pPr>
        <w:pStyle w:val="Normaltindrag"/>
      </w:pPr>
      <w:r w:rsidRPr="009524EA">
        <w:t>Mot denna bakgrund anser styrelsen att regeringen bör åte</w:t>
      </w:r>
      <w:r w:rsidRPr="009524EA">
        <w:t>r</w:t>
      </w:r>
      <w:r w:rsidRPr="009524EA">
        <w:t xml:space="preserve">rapportera till riksdagen hur enhetligheten i rättstillämpningen har utvecklats vid </w:t>
      </w:r>
      <w:r w:rsidR="005A0984" w:rsidRPr="009524EA">
        <w:t>Försä</w:t>
      </w:r>
      <w:r w:rsidR="005A0984" w:rsidRPr="009524EA">
        <w:t>k</w:t>
      </w:r>
      <w:r w:rsidR="005A0984" w:rsidRPr="009524EA">
        <w:t xml:space="preserve">ringskassan, Skatteverket och Åklagarmyndigheten. </w:t>
      </w:r>
      <w:r w:rsidR="001C4C4D" w:rsidRPr="009524EA">
        <w:t>Riksdagen kan där</w:t>
      </w:r>
      <w:r w:rsidR="005A0984" w:rsidRPr="009524EA">
        <w:t>ig</w:t>
      </w:r>
      <w:r w:rsidR="005A0984" w:rsidRPr="009524EA">
        <w:t>e</w:t>
      </w:r>
      <w:r w:rsidR="005A0984" w:rsidRPr="009524EA">
        <w:t>nom</w:t>
      </w:r>
      <w:r w:rsidR="001C4C4D" w:rsidRPr="009524EA">
        <w:t xml:space="preserve"> få en uppfattning om effekterna av de beslutade </w:t>
      </w:r>
      <w:r w:rsidR="005A0984" w:rsidRPr="009524EA">
        <w:t>myndighetsrefo</w:t>
      </w:r>
      <w:r w:rsidR="005A0984" w:rsidRPr="009524EA">
        <w:t>r</w:t>
      </w:r>
      <w:r w:rsidR="005A0984" w:rsidRPr="009524EA">
        <w:t xml:space="preserve">merna. </w:t>
      </w:r>
    </w:p>
    <w:p w:rsidR="00951650" w:rsidRPr="009524EA" w:rsidRDefault="00951650" w:rsidP="00951650">
      <w:pPr>
        <w:pStyle w:val="Rubrik2"/>
      </w:pPr>
      <w:bookmarkStart w:id="29" w:name="_Toc260831135"/>
      <w:r w:rsidRPr="009524EA">
        <w:t>Styrelsens förslag</w:t>
      </w:r>
      <w:bookmarkEnd w:id="29"/>
      <w:r w:rsidRPr="009524EA">
        <w:t xml:space="preserve"> </w:t>
      </w:r>
    </w:p>
    <w:p w:rsidR="009B2681" w:rsidRPr="009524EA" w:rsidRDefault="00F3417B" w:rsidP="00957027">
      <w:r w:rsidRPr="009524EA">
        <w:t xml:space="preserve">Mot bakgrund av ovanstående överväganden föreslår styrelsen att riksdagen begär att regeringen återkommer till riksdagen med en redovisning av i vilken utsträckning en ökad enhetlighet </w:t>
      </w:r>
      <w:r w:rsidR="00D43BC5" w:rsidRPr="009524EA">
        <w:t xml:space="preserve">i rättstillämpningen </w:t>
      </w:r>
      <w:r w:rsidRPr="009524EA">
        <w:t>har uppnåtts genom sammanslagning</w:t>
      </w:r>
      <w:r w:rsidR="00FC08F2" w:rsidRPr="009524EA">
        <w:t>arna</w:t>
      </w:r>
      <w:r w:rsidRPr="009524EA">
        <w:t xml:space="preserve"> av Skatteverket, Åklagarmyndigheten och Försäkring</w:t>
      </w:r>
      <w:r w:rsidRPr="009524EA">
        <w:t>s</w:t>
      </w:r>
      <w:r w:rsidRPr="009524EA">
        <w:t xml:space="preserve">kassan. </w:t>
      </w:r>
    </w:p>
    <w:p w:rsidR="00DC47EB" w:rsidRPr="009524EA" w:rsidRDefault="00DC47EB" w:rsidP="00DC47EB">
      <w:pPr>
        <w:pStyle w:val="Normaltindrag"/>
      </w:pPr>
    </w:p>
    <w:p w:rsidR="00B4672D" w:rsidRPr="009524EA" w:rsidRDefault="00B4672D" w:rsidP="00DC47EB">
      <w:pPr>
        <w:pStyle w:val="Normaltindrag"/>
      </w:pPr>
    </w:p>
    <w:p w:rsidR="00B4672D" w:rsidRPr="009524EA" w:rsidRDefault="00B4672D" w:rsidP="00B4672D">
      <w:pPr>
        <w:pStyle w:val="Tryckort"/>
        <w:framePr w:wrap="around"/>
        <w:jc w:val="right"/>
      </w:pPr>
      <w:r w:rsidRPr="009524EA">
        <w:t>Elanders, Vällingby  2010</w:t>
      </w:r>
    </w:p>
    <w:p w:rsidR="000C6E9C" w:rsidRPr="009524EA" w:rsidRDefault="000C6E9C" w:rsidP="00DC47EB">
      <w:pPr>
        <w:pStyle w:val="Normaltindrag"/>
      </w:pPr>
    </w:p>
    <w:sectPr w:rsidR="000C6E9C" w:rsidRPr="009524EA" w:rsidSect="00F52C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686" w:rsidRPr="009524EA" w:rsidRDefault="00134686">
      <w:pPr>
        <w:spacing w:before="0" w:line="240" w:lineRule="auto"/>
      </w:pPr>
      <w:r w:rsidRPr="009524EA">
        <w:separator/>
      </w:r>
    </w:p>
  </w:endnote>
  <w:endnote w:type="continuationSeparator" w:id="0">
    <w:p w:rsidR="00134686" w:rsidRPr="009524EA" w:rsidRDefault="00134686">
      <w:pPr>
        <w:spacing w:before="0" w:line="240" w:lineRule="auto"/>
      </w:pPr>
      <w:r w:rsidRPr="00952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V"/>
      <w:framePr w:w="8732" w:h="284" w:hRule="exact" w:hSpace="0" w:vSpace="0" w:wrap="around" w:xAlign="inside" w:y="13042" w:anchorLock="0"/>
    </w:pPr>
    <w:r w:rsidRPr="009524EA">
      <w:fldChar w:fldCharType="begin" w:fldLock="1"/>
    </w:r>
    <w:r w:rsidRPr="009524EA">
      <w:instrText xml:space="preserve"> PAGE </w:instrText>
    </w:r>
    <w:r w:rsidRPr="009524EA">
      <w:fldChar w:fldCharType="separate"/>
    </w:r>
    <w:r w:rsidRPr="009524EA">
      <w:t>2</w:t>
    </w:r>
    <w:r w:rsidRPr="009524EA">
      <w:fldChar w:fldCharType="end"/>
    </w:r>
  </w:p>
  <w:p w:rsidR="00134686" w:rsidRPr="009524EA" w:rsidRDefault="0013468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V"/>
      <w:framePr w:w="8732" w:h="284" w:hRule="exact" w:hSpace="0" w:vSpace="0" w:wrap="around" w:xAlign="inside" w:y="13042" w:anchorLock="0"/>
    </w:pPr>
    <w:r w:rsidRPr="009524EA">
      <w:fldChar w:fldCharType="begin" w:fldLock="1"/>
    </w:r>
    <w:r w:rsidRPr="009524EA">
      <w:instrText xml:space="preserve"> PAGE </w:instrText>
    </w:r>
    <w:r w:rsidRPr="009524EA">
      <w:fldChar w:fldCharType="separate"/>
    </w:r>
    <w:r w:rsidR="008513E8" w:rsidRPr="009524EA">
      <w:t>6</w:t>
    </w:r>
    <w:r w:rsidRPr="009524EA">
      <w:fldChar w:fldCharType="end"/>
    </w:r>
  </w:p>
  <w:p w:rsidR="00134686" w:rsidRPr="009524EA" w:rsidRDefault="0013468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H"/>
      <w:framePr w:w="8732" w:h="284" w:hRule="exact" w:hSpace="0" w:vSpace="0" w:wrap="around" w:xAlign="inside" w:y="13042" w:anchorLock="0"/>
    </w:pPr>
    <w:r w:rsidRPr="009524EA">
      <w:fldChar w:fldCharType="begin" w:fldLock="1"/>
    </w:r>
    <w:r w:rsidRPr="009524EA">
      <w:instrText xml:space="preserve"> PAGE </w:instrText>
    </w:r>
    <w:r w:rsidRPr="009524EA">
      <w:fldChar w:fldCharType="separate"/>
    </w:r>
    <w:r w:rsidR="008513E8" w:rsidRPr="009524EA">
      <w:t>5</w:t>
    </w:r>
    <w:r w:rsidRPr="009524EA">
      <w:fldChar w:fldCharType="end"/>
    </w:r>
  </w:p>
  <w:p w:rsidR="00134686" w:rsidRPr="009524EA" w:rsidRDefault="0013468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V"/>
      <w:framePr w:w="8732" w:h="284" w:hRule="exact" w:hSpace="0" w:vSpace="0" w:wrap="around" w:xAlign="inside" w:y="13042" w:anchorLock="0"/>
    </w:pPr>
    <w:r w:rsidRPr="009524EA">
      <w:fldChar w:fldCharType="begin" w:fldLock="1"/>
    </w:r>
    <w:r w:rsidRPr="009524EA">
      <w:instrText xml:space="preserve"> if </w:instrText>
    </w:r>
    <w:r w:rsidRPr="009524EA">
      <w:fldChar w:fldCharType="begin" w:fldLock="1"/>
    </w:r>
    <w:r w:rsidRPr="009524EA">
      <w:instrText xml:space="preserve"> = </w:instrText>
    </w:r>
    <w:r w:rsidRPr="009524EA">
      <w:fldChar w:fldCharType="begin" w:fldLock="1"/>
    </w:r>
    <w:r w:rsidRPr="009524EA">
      <w:instrText xml:space="preserve"> = </w:instrText>
    </w:r>
    <w:r w:rsidRPr="009524EA">
      <w:fldChar w:fldCharType="begin" w:fldLock="1"/>
    </w:r>
    <w:r w:rsidRPr="009524EA">
      <w:instrText xml:space="preserve"> page</w:instrText>
    </w:r>
    <w:r w:rsidRPr="009524EA">
      <w:fldChar w:fldCharType="separate"/>
    </w:r>
    <w:r w:rsidR="008513E8" w:rsidRPr="009524EA">
      <w:instrText>4</w:instrText>
    </w:r>
    <w:r w:rsidRPr="009524EA">
      <w:fldChar w:fldCharType="end"/>
    </w:r>
    <w:r w:rsidRPr="009524EA">
      <w:instrText xml:space="preserve">/2 </w:instrText>
    </w:r>
    <w:r w:rsidRPr="009524EA">
      <w:fldChar w:fldCharType="separate"/>
    </w:r>
    <w:r w:rsidR="008513E8" w:rsidRPr="009524EA">
      <w:instrText>2</w:instrText>
    </w:r>
    <w:r w:rsidRPr="009524EA">
      <w:fldChar w:fldCharType="end"/>
    </w:r>
    <w:r w:rsidRPr="009524EA">
      <w:instrText xml:space="preserve"> - </w:instrText>
    </w:r>
    <w:r w:rsidRPr="009524EA">
      <w:fldChar w:fldCharType="begin" w:fldLock="1"/>
    </w:r>
    <w:r w:rsidRPr="009524EA">
      <w:instrText xml:space="preserve"> = int(</w:instrText>
    </w:r>
    <w:r w:rsidRPr="009524EA">
      <w:fldChar w:fldCharType="begin" w:fldLock="1"/>
    </w:r>
    <w:r w:rsidRPr="009524EA">
      <w:instrText xml:space="preserve"> page</w:instrText>
    </w:r>
    <w:r w:rsidRPr="009524EA">
      <w:fldChar w:fldCharType="separate"/>
    </w:r>
    <w:r w:rsidR="008513E8" w:rsidRPr="009524EA">
      <w:instrText>4</w:instrText>
    </w:r>
    <w:r w:rsidRPr="009524EA">
      <w:fldChar w:fldCharType="end"/>
    </w:r>
    <w:r w:rsidRPr="009524EA">
      <w:instrText xml:space="preserve">/2) </w:instrText>
    </w:r>
    <w:r w:rsidRPr="009524EA">
      <w:fldChar w:fldCharType="separate"/>
    </w:r>
    <w:r w:rsidR="008513E8" w:rsidRPr="009524EA">
      <w:instrText>2</w:instrText>
    </w:r>
    <w:r w:rsidRPr="009524EA">
      <w:fldChar w:fldCharType="end"/>
    </w:r>
    <w:r w:rsidRPr="009524EA">
      <w:fldChar w:fldCharType="separate"/>
    </w:r>
    <w:r w:rsidR="008513E8" w:rsidRPr="009524EA">
      <w:instrText>0</w:instrText>
    </w:r>
    <w:r w:rsidRPr="009524EA">
      <w:fldChar w:fldCharType="end"/>
    </w:r>
    <w:r w:rsidRPr="009524EA">
      <w:instrText xml:space="preserve"> = 0 "</w:instrText>
    </w:r>
    <w:r w:rsidRPr="009524EA">
      <w:fldChar w:fldCharType="begin" w:fldLock="1"/>
    </w:r>
    <w:r w:rsidRPr="009524EA">
      <w:instrText xml:space="preserve"> PAGE </w:instrText>
    </w:r>
    <w:r w:rsidRPr="009524EA">
      <w:fldChar w:fldCharType="separate"/>
    </w:r>
    <w:r w:rsidR="008513E8" w:rsidRPr="009524EA">
      <w:instrText>4</w:instrText>
    </w:r>
    <w:r w:rsidRPr="009524EA">
      <w:fldChar w:fldCharType="end"/>
    </w:r>
  </w:p>
  <w:p w:rsidR="008513E8" w:rsidRPr="009524EA" w:rsidRDefault="00134686">
    <w:pPr>
      <w:pStyle w:val="SidfotV"/>
      <w:framePr w:w="8732" w:h="284" w:hRule="exact" w:hSpace="0" w:vSpace="0" w:wrap="around" w:xAlign="inside" w:y="13042" w:anchorLock="0"/>
    </w:pPr>
    <w:r w:rsidRPr="009524EA">
      <w:instrText>""</w:instrText>
    </w:r>
    <w:r w:rsidRPr="009524EA">
      <w:fldChar w:fldCharType="begin" w:fldLock="1"/>
    </w:r>
    <w:r w:rsidRPr="009524EA">
      <w:instrText xml:space="preserve"> PAGE </w:instrText>
    </w:r>
    <w:r w:rsidRPr="009524EA">
      <w:fldChar w:fldCharType="separate"/>
    </w:r>
    <w:r w:rsidRPr="009524EA">
      <w:instrText>5</w:instrText>
    </w:r>
    <w:r w:rsidRPr="009524EA">
      <w:fldChar w:fldCharType="end"/>
    </w:r>
    <w:r w:rsidRPr="009524EA">
      <w:instrText>"</w:instrText>
    </w:r>
    <w:r w:rsidRPr="009524EA">
      <w:fldChar w:fldCharType="separate"/>
    </w:r>
    <w:r w:rsidR="008513E8" w:rsidRPr="009524EA">
      <w:t>4</w:t>
    </w:r>
  </w:p>
  <w:p w:rsidR="00134686" w:rsidRPr="009524EA" w:rsidRDefault="00134686">
    <w:pPr>
      <w:pStyle w:val="SidfotH"/>
      <w:framePr w:w="8732" w:h="284" w:hRule="exact" w:hSpace="0" w:vSpace="0" w:wrap="around" w:xAlign="inside" w:y="13042" w:anchorLock="0"/>
    </w:pPr>
    <w:r w:rsidRPr="009524EA">
      <w:fldChar w:fldCharType="end"/>
    </w:r>
  </w:p>
  <w:p w:rsidR="00134686" w:rsidRPr="009524EA" w:rsidRDefault="001346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H"/>
      <w:framePr w:w="8732" w:h="284" w:hRule="exact" w:hSpace="0" w:vSpace="0" w:wrap="around" w:xAlign="inside" w:y="13042" w:anchorLock="0"/>
    </w:pPr>
    <w:r w:rsidRPr="009524EA">
      <w:fldChar w:fldCharType="begin" w:fldLock="1"/>
    </w:r>
    <w:r w:rsidRPr="009524EA">
      <w:instrText xml:space="preserve"> PAGE </w:instrText>
    </w:r>
    <w:r w:rsidRPr="009524EA">
      <w:fldChar w:fldCharType="separate"/>
    </w:r>
    <w:r w:rsidRPr="009524EA">
      <w:t>3</w:t>
    </w:r>
    <w:r w:rsidRPr="009524EA">
      <w:fldChar w:fldCharType="end"/>
    </w:r>
  </w:p>
  <w:p w:rsidR="00134686" w:rsidRPr="009524EA" w:rsidRDefault="001346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V"/>
      <w:framePr w:w="8732" w:h="284" w:hRule="exact" w:hSpace="0" w:vSpace="0" w:wrap="around" w:xAlign="inside" w:y="13042" w:anchorLock="0"/>
    </w:pPr>
    <w:r w:rsidRPr="009524EA">
      <w:fldChar w:fldCharType="begin" w:fldLock="1"/>
    </w:r>
    <w:r w:rsidRPr="009524EA">
      <w:instrText xml:space="preserve"> if </w:instrText>
    </w:r>
    <w:r w:rsidRPr="009524EA">
      <w:fldChar w:fldCharType="begin" w:fldLock="1"/>
    </w:r>
    <w:r w:rsidRPr="009524EA">
      <w:instrText xml:space="preserve"> = </w:instrText>
    </w:r>
    <w:r w:rsidRPr="009524EA">
      <w:fldChar w:fldCharType="begin" w:fldLock="1"/>
    </w:r>
    <w:r w:rsidRPr="009524EA">
      <w:instrText xml:space="preserve"> = </w:instrText>
    </w:r>
    <w:r w:rsidRPr="009524EA">
      <w:fldChar w:fldCharType="begin" w:fldLock="1"/>
    </w:r>
    <w:r w:rsidRPr="009524EA">
      <w:instrText xml:space="preserve"> page</w:instrText>
    </w:r>
    <w:r w:rsidRPr="009524EA">
      <w:fldChar w:fldCharType="separate"/>
    </w:r>
    <w:r w:rsidR="009524EA">
      <w:rPr>
        <w:noProof/>
      </w:rPr>
      <w:instrText>1</w:instrText>
    </w:r>
    <w:r w:rsidRPr="009524EA">
      <w:fldChar w:fldCharType="end"/>
    </w:r>
    <w:r w:rsidRPr="009524EA">
      <w:instrText xml:space="preserve">/2 </w:instrText>
    </w:r>
    <w:r w:rsidRPr="009524EA">
      <w:fldChar w:fldCharType="separate"/>
    </w:r>
    <w:r w:rsidR="009524EA">
      <w:rPr>
        <w:noProof/>
      </w:rPr>
      <w:instrText>0,5</w:instrText>
    </w:r>
    <w:r w:rsidRPr="009524EA">
      <w:fldChar w:fldCharType="end"/>
    </w:r>
    <w:r w:rsidRPr="009524EA">
      <w:instrText xml:space="preserve"> - </w:instrText>
    </w:r>
    <w:r w:rsidRPr="009524EA">
      <w:fldChar w:fldCharType="begin" w:fldLock="1"/>
    </w:r>
    <w:r w:rsidRPr="009524EA">
      <w:instrText xml:space="preserve"> = int(</w:instrText>
    </w:r>
    <w:r w:rsidRPr="009524EA">
      <w:fldChar w:fldCharType="begin" w:fldLock="1"/>
    </w:r>
    <w:r w:rsidRPr="009524EA">
      <w:instrText xml:space="preserve"> page</w:instrText>
    </w:r>
    <w:r w:rsidRPr="009524EA">
      <w:fldChar w:fldCharType="separate"/>
    </w:r>
    <w:r w:rsidR="009524EA">
      <w:rPr>
        <w:noProof/>
      </w:rPr>
      <w:instrText>1</w:instrText>
    </w:r>
    <w:r w:rsidRPr="009524EA">
      <w:fldChar w:fldCharType="end"/>
    </w:r>
    <w:r w:rsidRPr="009524EA">
      <w:instrText xml:space="preserve">/2) </w:instrText>
    </w:r>
    <w:r w:rsidRPr="009524EA">
      <w:fldChar w:fldCharType="separate"/>
    </w:r>
    <w:r w:rsidR="009524EA">
      <w:rPr>
        <w:noProof/>
      </w:rPr>
      <w:instrText>0</w:instrText>
    </w:r>
    <w:r w:rsidRPr="009524EA">
      <w:fldChar w:fldCharType="end"/>
    </w:r>
    <w:r w:rsidRPr="009524EA">
      <w:fldChar w:fldCharType="separate"/>
    </w:r>
    <w:r w:rsidR="009524EA">
      <w:rPr>
        <w:noProof/>
      </w:rPr>
      <w:instrText>0,5</w:instrText>
    </w:r>
    <w:r w:rsidRPr="009524EA">
      <w:fldChar w:fldCharType="end"/>
    </w:r>
    <w:r w:rsidRPr="009524EA">
      <w:instrText xml:space="preserve"> = 0 "</w:instrText>
    </w:r>
    <w:r w:rsidRPr="009524EA">
      <w:fldChar w:fldCharType="begin" w:fldLock="1"/>
    </w:r>
    <w:r w:rsidRPr="009524EA">
      <w:instrText xml:space="preserve"> PAGE </w:instrText>
    </w:r>
    <w:r w:rsidRPr="009524EA">
      <w:fldChar w:fldCharType="separate"/>
    </w:r>
    <w:r w:rsidRPr="009524EA">
      <w:instrText>2</w:instrText>
    </w:r>
    <w:r w:rsidRPr="009524EA">
      <w:fldChar w:fldCharType="end"/>
    </w:r>
  </w:p>
  <w:p w:rsidR="00134686" w:rsidRPr="009524EA" w:rsidRDefault="00134686">
    <w:pPr>
      <w:pStyle w:val="SidfotH"/>
      <w:framePr w:w="8732" w:h="284" w:hRule="exact" w:hSpace="0" w:vSpace="0" w:wrap="around" w:xAlign="inside" w:y="13042" w:anchorLock="0"/>
    </w:pPr>
    <w:r w:rsidRPr="009524EA">
      <w:instrText>""</w:instrText>
    </w:r>
    <w:r w:rsidRPr="009524EA">
      <w:fldChar w:fldCharType="begin" w:fldLock="1"/>
    </w:r>
    <w:r w:rsidRPr="009524EA">
      <w:instrText xml:space="preserve"> PAGE </w:instrText>
    </w:r>
    <w:r w:rsidRPr="009524EA">
      <w:fldChar w:fldCharType="separate"/>
    </w:r>
    <w:r w:rsidR="009524EA">
      <w:rPr>
        <w:noProof/>
      </w:rPr>
      <w:instrText>1</w:instrText>
    </w:r>
    <w:r w:rsidRPr="009524EA">
      <w:fldChar w:fldCharType="end"/>
    </w:r>
    <w:r w:rsidRPr="009524EA">
      <w:instrText>"</w:instrText>
    </w:r>
    <w:r w:rsidRPr="009524EA">
      <w:fldChar w:fldCharType="separate"/>
    </w:r>
    <w:r w:rsidR="009524EA">
      <w:rPr>
        <w:noProof/>
      </w:rPr>
      <w:t>1</w:t>
    </w:r>
    <w:r w:rsidRPr="009524EA">
      <w:fldChar w:fldCharType="end"/>
    </w:r>
  </w:p>
  <w:p w:rsidR="00134686" w:rsidRPr="009524EA" w:rsidRDefault="0013468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V"/>
      <w:framePr w:w="8732" w:h="284" w:hRule="exact" w:hSpace="0" w:vSpace="0" w:wrap="around" w:xAlign="inside" w:y="13042" w:anchorLock="0"/>
    </w:pPr>
    <w:r w:rsidRPr="009524EA">
      <w:fldChar w:fldCharType="begin" w:fldLock="1"/>
    </w:r>
    <w:r w:rsidRPr="009524EA">
      <w:instrText xml:space="preserve"> PAGE </w:instrText>
    </w:r>
    <w:r w:rsidRPr="009524EA">
      <w:fldChar w:fldCharType="separate"/>
    </w:r>
    <w:r w:rsidRPr="009524EA">
      <w:t>2</w:t>
    </w:r>
    <w:r w:rsidRPr="009524EA">
      <w:fldChar w:fldCharType="end"/>
    </w:r>
  </w:p>
  <w:p w:rsidR="00134686" w:rsidRPr="009524EA" w:rsidRDefault="0013468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H"/>
      <w:framePr w:w="8732" w:h="284" w:hRule="exact" w:hSpace="0" w:vSpace="0" w:wrap="around" w:xAlign="inside" w:y="13042" w:anchorLock="0"/>
    </w:pPr>
    <w:r w:rsidRPr="009524EA">
      <w:fldChar w:fldCharType="begin" w:fldLock="1"/>
    </w:r>
    <w:r w:rsidRPr="009524EA">
      <w:instrText xml:space="preserve"> PAGE </w:instrText>
    </w:r>
    <w:r w:rsidRPr="009524EA">
      <w:fldChar w:fldCharType="separate"/>
    </w:r>
    <w:r w:rsidRPr="009524EA">
      <w:t>3</w:t>
    </w:r>
    <w:r w:rsidRPr="009524EA">
      <w:fldChar w:fldCharType="end"/>
    </w:r>
  </w:p>
  <w:p w:rsidR="00134686" w:rsidRPr="009524EA" w:rsidRDefault="0013468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V"/>
      <w:framePr w:w="8732" w:h="284" w:hRule="exact" w:hSpace="0" w:vSpace="0" w:wrap="around" w:xAlign="inside" w:y="13042" w:anchorLock="0"/>
    </w:pPr>
    <w:r w:rsidRPr="009524EA">
      <w:fldChar w:fldCharType="begin" w:fldLock="1"/>
    </w:r>
    <w:r w:rsidRPr="009524EA">
      <w:instrText xml:space="preserve"> if </w:instrText>
    </w:r>
    <w:r w:rsidRPr="009524EA">
      <w:fldChar w:fldCharType="begin" w:fldLock="1"/>
    </w:r>
    <w:r w:rsidRPr="009524EA">
      <w:instrText xml:space="preserve"> = </w:instrText>
    </w:r>
    <w:r w:rsidRPr="009524EA">
      <w:fldChar w:fldCharType="begin" w:fldLock="1"/>
    </w:r>
    <w:r w:rsidRPr="009524EA">
      <w:instrText xml:space="preserve"> = </w:instrText>
    </w:r>
    <w:r w:rsidRPr="009524EA">
      <w:fldChar w:fldCharType="begin" w:fldLock="1"/>
    </w:r>
    <w:r w:rsidRPr="009524EA">
      <w:instrText xml:space="preserve"> page</w:instrText>
    </w:r>
    <w:r w:rsidRPr="009524EA">
      <w:fldChar w:fldCharType="separate"/>
    </w:r>
    <w:r w:rsidR="008513E8" w:rsidRPr="009524EA">
      <w:instrText>2</w:instrText>
    </w:r>
    <w:r w:rsidRPr="009524EA">
      <w:fldChar w:fldCharType="end"/>
    </w:r>
    <w:r w:rsidRPr="009524EA">
      <w:instrText xml:space="preserve">/2 </w:instrText>
    </w:r>
    <w:r w:rsidRPr="009524EA">
      <w:fldChar w:fldCharType="separate"/>
    </w:r>
    <w:r w:rsidR="008513E8" w:rsidRPr="009524EA">
      <w:instrText>1</w:instrText>
    </w:r>
    <w:r w:rsidRPr="009524EA">
      <w:fldChar w:fldCharType="end"/>
    </w:r>
    <w:r w:rsidRPr="009524EA">
      <w:instrText xml:space="preserve"> - </w:instrText>
    </w:r>
    <w:r w:rsidRPr="009524EA">
      <w:fldChar w:fldCharType="begin" w:fldLock="1"/>
    </w:r>
    <w:r w:rsidRPr="009524EA">
      <w:instrText xml:space="preserve"> = int(</w:instrText>
    </w:r>
    <w:r w:rsidRPr="009524EA">
      <w:fldChar w:fldCharType="begin" w:fldLock="1"/>
    </w:r>
    <w:r w:rsidRPr="009524EA">
      <w:instrText xml:space="preserve"> page</w:instrText>
    </w:r>
    <w:r w:rsidRPr="009524EA">
      <w:fldChar w:fldCharType="separate"/>
    </w:r>
    <w:r w:rsidR="008513E8" w:rsidRPr="009524EA">
      <w:instrText>2</w:instrText>
    </w:r>
    <w:r w:rsidRPr="009524EA">
      <w:fldChar w:fldCharType="end"/>
    </w:r>
    <w:r w:rsidRPr="009524EA">
      <w:instrText xml:space="preserve">/2) </w:instrText>
    </w:r>
    <w:r w:rsidRPr="009524EA">
      <w:fldChar w:fldCharType="separate"/>
    </w:r>
    <w:r w:rsidR="008513E8" w:rsidRPr="009524EA">
      <w:instrText>1</w:instrText>
    </w:r>
    <w:r w:rsidRPr="009524EA">
      <w:fldChar w:fldCharType="end"/>
    </w:r>
    <w:r w:rsidRPr="009524EA">
      <w:fldChar w:fldCharType="separate"/>
    </w:r>
    <w:r w:rsidR="008513E8" w:rsidRPr="009524EA">
      <w:instrText>0</w:instrText>
    </w:r>
    <w:r w:rsidRPr="009524EA">
      <w:fldChar w:fldCharType="end"/>
    </w:r>
    <w:r w:rsidRPr="009524EA">
      <w:instrText xml:space="preserve"> = 0 "</w:instrText>
    </w:r>
    <w:r w:rsidRPr="009524EA">
      <w:fldChar w:fldCharType="begin" w:fldLock="1"/>
    </w:r>
    <w:r w:rsidRPr="009524EA">
      <w:instrText xml:space="preserve"> PAGE </w:instrText>
    </w:r>
    <w:r w:rsidRPr="009524EA">
      <w:fldChar w:fldCharType="separate"/>
    </w:r>
    <w:r w:rsidR="008513E8" w:rsidRPr="009524EA">
      <w:instrText>2</w:instrText>
    </w:r>
    <w:r w:rsidRPr="009524EA">
      <w:fldChar w:fldCharType="end"/>
    </w:r>
  </w:p>
  <w:p w:rsidR="008513E8" w:rsidRPr="009524EA" w:rsidRDefault="00134686">
    <w:pPr>
      <w:pStyle w:val="SidfotV"/>
      <w:framePr w:w="8732" w:h="284" w:hRule="exact" w:hSpace="0" w:vSpace="0" w:wrap="around" w:xAlign="inside" w:y="13042" w:anchorLock="0"/>
    </w:pPr>
    <w:r w:rsidRPr="009524EA">
      <w:instrText>""</w:instrText>
    </w:r>
    <w:r w:rsidRPr="009524EA">
      <w:fldChar w:fldCharType="begin" w:fldLock="1"/>
    </w:r>
    <w:r w:rsidRPr="009524EA">
      <w:instrText xml:space="preserve"> PAGE </w:instrText>
    </w:r>
    <w:r w:rsidRPr="009524EA">
      <w:fldChar w:fldCharType="separate"/>
    </w:r>
    <w:r w:rsidRPr="009524EA">
      <w:instrText>3</w:instrText>
    </w:r>
    <w:r w:rsidRPr="009524EA">
      <w:fldChar w:fldCharType="end"/>
    </w:r>
    <w:r w:rsidRPr="009524EA">
      <w:instrText>"</w:instrText>
    </w:r>
    <w:r w:rsidRPr="009524EA">
      <w:fldChar w:fldCharType="separate"/>
    </w:r>
    <w:r w:rsidR="008513E8" w:rsidRPr="009524EA">
      <w:t>2</w:t>
    </w:r>
  </w:p>
  <w:p w:rsidR="00134686" w:rsidRPr="009524EA" w:rsidRDefault="00134686">
    <w:pPr>
      <w:pStyle w:val="SidfotH"/>
      <w:framePr w:w="8732" w:h="284" w:hRule="exact" w:hSpace="0" w:vSpace="0" w:wrap="around" w:xAlign="inside" w:y="13042" w:anchorLock="0"/>
    </w:pPr>
    <w:r w:rsidRPr="009524EA">
      <w:fldChar w:fldCharType="end"/>
    </w:r>
  </w:p>
  <w:p w:rsidR="00134686" w:rsidRPr="009524EA" w:rsidRDefault="0013468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V"/>
      <w:framePr w:w="8732" w:h="284" w:hRule="exact" w:hSpace="0" w:vSpace="0" w:wrap="around" w:xAlign="inside" w:y="13042" w:anchorLock="0"/>
    </w:pPr>
    <w:r w:rsidRPr="009524EA">
      <w:fldChar w:fldCharType="begin" w:fldLock="1"/>
    </w:r>
    <w:r w:rsidRPr="009524EA">
      <w:instrText xml:space="preserve"> PAGE </w:instrText>
    </w:r>
    <w:r w:rsidRPr="009524EA">
      <w:fldChar w:fldCharType="separate"/>
    </w:r>
    <w:r w:rsidRPr="009524EA">
      <w:t>2</w:t>
    </w:r>
    <w:r w:rsidRPr="009524EA">
      <w:fldChar w:fldCharType="end"/>
    </w:r>
  </w:p>
  <w:p w:rsidR="00134686" w:rsidRPr="009524EA" w:rsidRDefault="0013468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H"/>
      <w:framePr w:w="8732" w:h="284" w:hRule="exact" w:hSpace="0" w:vSpace="0" w:wrap="around" w:xAlign="inside" w:y="13042" w:anchorLock="0"/>
    </w:pPr>
    <w:r w:rsidRPr="009524EA">
      <w:fldChar w:fldCharType="begin" w:fldLock="1"/>
    </w:r>
    <w:r w:rsidRPr="009524EA">
      <w:instrText xml:space="preserve"> PAGE </w:instrText>
    </w:r>
    <w:r w:rsidRPr="009524EA">
      <w:fldChar w:fldCharType="separate"/>
    </w:r>
    <w:r w:rsidRPr="009524EA">
      <w:t>3</w:t>
    </w:r>
    <w:r w:rsidRPr="009524EA">
      <w:fldChar w:fldCharType="end"/>
    </w:r>
  </w:p>
  <w:p w:rsidR="00134686" w:rsidRPr="009524EA" w:rsidRDefault="0013468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fotV"/>
      <w:framePr w:w="8732" w:h="284" w:hRule="exact" w:hSpace="0" w:vSpace="0" w:wrap="around" w:xAlign="inside" w:y="13042" w:anchorLock="0"/>
    </w:pPr>
    <w:r w:rsidRPr="009524EA">
      <w:fldChar w:fldCharType="begin" w:fldLock="1"/>
    </w:r>
    <w:r w:rsidRPr="009524EA">
      <w:instrText xml:space="preserve"> if </w:instrText>
    </w:r>
    <w:r w:rsidRPr="009524EA">
      <w:fldChar w:fldCharType="begin" w:fldLock="1"/>
    </w:r>
    <w:r w:rsidRPr="009524EA">
      <w:instrText xml:space="preserve"> = </w:instrText>
    </w:r>
    <w:r w:rsidRPr="009524EA">
      <w:fldChar w:fldCharType="begin" w:fldLock="1"/>
    </w:r>
    <w:r w:rsidRPr="009524EA">
      <w:instrText xml:space="preserve"> = </w:instrText>
    </w:r>
    <w:r w:rsidRPr="009524EA">
      <w:fldChar w:fldCharType="begin" w:fldLock="1"/>
    </w:r>
    <w:r w:rsidRPr="009524EA">
      <w:instrText xml:space="preserve"> page</w:instrText>
    </w:r>
    <w:r w:rsidRPr="009524EA">
      <w:fldChar w:fldCharType="separate"/>
    </w:r>
    <w:r w:rsidR="008513E8" w:rsidRPr="009524EA">
      <w:instrText>3</w:instrText>
    </w:r>
    <w:r w:rsidRPr="009524EA">
      <w:fldChar w:fldCharType="end"/>
    </w:r>
    <w:r w:rsidRPr="009524EA">
      <w:instrText xml:space="preserve">/2 </w:instrText>
    </w:r>
    <w:r w:rsidRPr="009524EA">
      <w:fldChar w:fldCharType="separate"/>
    </w:r>
    <w:r w:rsidR="008513E8" w:rsidRPr="009524EA">
      <w:instrText>1,5</w:instrText>
    </w:r>
    <w:r w:rsidRPr="009524EA">
      <w:fldChar w:fldCharType="end"/>
    </w:r>
    <w:r w:rsidRPr="009524EA">
      <w:instrText xml:space="preserve"> - </w:instrText>
    </w:r>
    <w:r w:rsidRPr="009524EA">
      <w:fldChar w:fldCharType="begin" w:fldLock="1"/>
    </w:r>
    <w:r w:rsidRPr="009524EA">
      <w:instrText xml:space="preserve"> = int(</w:instrText>
    </w:r>
    <w:r w:rsidRPr="009524EA">
      <w:fldChar w:fldCharType="begin" w:fldLock="1"/>
    </w:r>
    <w:r w:rsidRPr="009524EA">
      <w:instrText xml:space="preserve"> page</w:instrText>
    </w:r>
    <w:r w:rsidRPr="009524EA">
      <w:fldChar w:fldCharType="separate"/>
    </w:r>
    <w:r w:rsidR="008513E8" w:rsidRPr="009524EA">
      <w:instrText>3</w:instrText>
    </w:r>
    <w:r w:rsidRPr="009524EA">
      <w:fldChar w:fldCharType="end"/>
    </w:r>
    <w:r w:rsidRPr="009524EA">
      <w:instrText xml:space="preserve">/2) </w:instrText>
    </w:r>
    <w:r w:rsidRPr="009524EA">
      <w:fldChar w:fldCharType="separate"/>
    </w:r>
    <w:r w:rsidR="008513E8" w:rsidRPr="009524EA">
      <w:instrText>1</w:instrText>
    </w:r>
    <w:r w:rsidRPr="009524EA">
      <w:fldChar w:fldCharType="end"/>
    </w:r>
    <w:r w:rsidRPr="009524EA">
      <w:fldChar w:fldCharType="separate"/>
    </w:r>
    <w:r w:rsidR="008513E8" w:rsidRPr="009524EA">
      <w:instrText>0,5</w:instrText>
    </w:r>
    <w:r w:rsidRPr="009524EA">
      <w:fldChar w:fldCharType="end"/>
    </w:r>
    <w:r w:rsidRPr="009524EA">
      <w:instrText xml:space="preserve"> = 0 "</w:instrText>
    </w:r>
    <w:r w:rsidRPr="009524EA">
      <w:fldChar w:fldCharType="begin" w:fldLock="1"/>
    </w:r>
    <w:r w:rsidRPr="009524EA">
      <w:instrText xml:space="preserve"> PAGE </w:instrText>
    </w:r>
    <w:r w:rsidRPr="009524EA">
      <w:fldChar w:fldCharType="separate"/>
    </w:r>
    <w:r w:rsidRPr="009524EA">
      <w:instrText>4</w:instrText>
    </w:r>
    <w:r w:rsidRPr="009524EA">
      <w:fldChar w:fldCharType="end"/>
    </w:r>
  </w:p>
  <w:p w:rsidR="00134686" w:rsidRPr="009524EA" w:rsidRDefault="00134686">
    <w:pPr>
      <w:pStyle w:val="SidfotH"/>
      <w:framePr w:w="8732" w:h="284" w:hRule="exact" w:hSpace="0" w:vSpace="0" w:wrap="around" w:xAlign="inside" w:y="13042" w:anchorLock="0"/>
    </w:pPr>
    <w:r w:rsidRPr="009524EA">
      <w:instrText>""</w:instrText>
    </w:r>
    <w:r w:rsidRPr="009524EA">
      <w:fldChar w:fldCharType="begin" w:fldLock="1"/>
    </w:r>
    <w:r w:rsidRPr="009524EA">
      <w:instrText xml:space="preserve"> PAGE </w:instrText>
    </w:r>
    <w:r w:rsidRPr="009524EA">
      <w:fldChar w:fldCharType="separate"/>
    </w:r>
    <w:r w:rsidR="008513E8" w:rsidRPr="009524EA">
      <w:instrText>3</w:instrText>
    </w:r>
    <w:r w:rsidRPr="009524EA">
      <w:fldChar w:fldCharType="end"/>
    </w:r>
    <w:r w:rsidRPr="009524EA">
      <w:instrText>"</w:instrText>
    </w:r>
    <w:r w:rsidRPr="009524EA">
      <w:fldChar w:fldCharType="separate"/>
    </w:r>
    <w:r w:rsidR="008513E8" w:rsidRPr="009524EA">
      <w:t>3</w:t>
    </w:r>
    <w:r w:rsidRPr="009524EA">
      <w:fldChar w:fldCharType="end"/>
    </w:r>
  </w:p>
  <w:p w:rsidR="00134686" w:rsidRPr="009524EA" w:rsidRDefault="001346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686" w:rsidRPr="009524EA" w:rsidRDefault="00134686">
      <w:pPr>
        <w:pStyle w:val="Sidfot"/>
      </w:pPr>
    </w:p>
  </w:footnote>
  <w:footnote w:type="continuationSeparator" w:id="0">
    <w:p w:rsidR="00134686" w:rsidRPr="009524EA" w:rsidRDefault="00134686">
      <w:pPr>
        <w:spacing w:before="0" w:line="240" w:lineRule="auto"/>
      </w:pPr>
      <w:r w:rsidRPr="009524EA">
        <w:continuationSeparator/>
      </w:r>
    </w:p>
  </w:footnote>
  <w:footnote w:id="1">
    <w:p w:rsidR="00134686" w:rsidRPr="009524EA" w:rsidRDefault="00134686" w:rsidP="0055172C">
      <w:pPr>
        <w:pStyle w:val="Fotnotstext"/>
      </w:pPr>
      <w:r w:rsidRPr="009524EA">
        <w:rPr>
          <w:rStyle w:val="Fotnotsreferens"/>
        </w:rPr>
        <w:footnoteRef/>
      </w:r>
      <w:r w:rsidRPr="009524EA">
        <w:t xml:space="preserve"> </w:t>
      </w:r>
      <w:r w:rsidRPr="009524EA">
        <w:rPr>
          <w:i/>
        </w:rPr>
        <w:t>En ny statlig myndighet för socialförsäkringens administration</w:t>
      </w:r>
      <w:r w:rsidRPr="009524EA">
        <w:t xml:space="preserve"> (prop. 2003/04:69).</w:t>
      </w:r>
    </w:p>
  </w:footnote>
  <w:footnote w:id="2">
    <w:p w:rsidR="00134686" w:rsidRPr="009524EA" w:rsidRDefault="00134686" w:rsidP="0055172C">
      <w:pPr>
        <w:pStyle w:val="Fotnotstext"/>
      </w:pPr>
      <w:r w:rsidRPr="009524EA">
        <w:rPr>
          <w:rStyle w:val="Fotnotsreferens"/>
        </w:rPr>
        <w:footnoteRef/>
      </w:r>
      <w:r w:rsidRPr="009524EA">
        <w:t xml:space="preserve"> Bet. 2003/04:SfU13, rskr. 2003/04:210.</w:t>
      </w:r>
    </w:p>
  </w:footnote>
  <w:footnote w:id="3">
    <w:p w:rsidR="00134686" w:rsidRPr="009524EA" w:rsidRDefault="00134686" w:rsidP="0055172C">
      <w:pPr>
        <w:pStyle w:val="Fotnotstext"/>
      </w:pPr>
      <w:r w:rsidRPr="009524EA">
        <w:rPr>
          <w:rStyle w:val="Fotnotsreferens"/>
        </w:rPr>
        <w:footnoteRef/>
      </w:r>
      <w:r w:rsidRPr="009524EA">
        <w:t xml:space="preserve"> </w:t>
      </w:r>
      <w:r w:rsidRPr="009524EA">
        <w:rPr>
          <w:i/>
        </w:rPr>
        <w:t>Det nya Skatteverket</w:t>
      </w:r>
      <w:r w:rsidRPr="009524EA">
        <w:t xml:space="preserve"> (prop. 2002/03:99).</w:t>
      </w:r>
    </w:p>
  </w:footnote>
  <w:footnote w:id="4">
    <w:p w:rsidR="00134686" w:rsidRPr="009524EA" w:rsidRDefault="00134686" w:rsidP="0055172C">
      <w:pPr>
        <w:pStyle w:val="Fotnotstext"/>
      </w:pPr>
      <w:r w:rsidRPr="009524EA">
        <w:rPr>
          <w:rStyle w:val="Fotnotsreferens"/>
        </w:rPr>
        <w:footnoteRef/>
      </w:r>
      <w:r w:rsidRPr="009524EA">
        <w:t xml:space="preserve"> Bet. 2003/04:SkU2, rskr. 2003/04:17.</w:t>
      </w:r>
    </w:p>
  </w:footnote>
  <w:footnote w:id="5">
    <w:p w:rsidR="00134686" w:rsidRPr="009524EA" w:rsidRDefault="00134686" w:rsidP="0055172C">
      <w:pPr>
        <w:pStyle w:val="Fotnotstext"/>
      </w:pPr>
      <w:r w:rsidRPr="009524EA">
        <w:rPr>
          <w:rStyle w:val="Fotnotsreferens"/>
        </w:rPr>
        <w:footnoteRef/>
      </w:r>
      <w:r w:rsidRPr="009524EA">
        <w:t xml:space="preserve"> </w:t>
      </w:r>
      <w:r w:rsidRPr="009524EA">
        <w:rPr>
          <w:i/>
        </w:rPr>
        <w:t xml:space="preserve">En ny åklagarorganisation </w:t>
      </w:r>
      <w:r w:rsidRPr="009524EA">
        <w:t>(prop. 2004/05:26).</w:t>
      </w:r>
    </w:p>
  </w:footnote>
  <w:footnote w:id="6">
    <w:p w:rsidR="00134686" w:rsidRPr="009524EA" w:rsidRDefault="00134686" w:rsidP="0055172C">
      <w:pPr>
        <w:pStyle w:val="Fotnotstext"/>
      </w:pPr>
      <w:r w:rsidRPr="009524EA">
        <w:rPr>
          <w:rStyle w:val="Fotnotsreferens"/>
        </w:rPr>
        <w:footnoteRef/>
      </w:r>
      <w:r w:rsidRPr="009524EA">
        <w:t xml:space="preserve"> Bet. 2004/05:JuU11, rskr. 2004/05:107.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huvudKantJmn"/>
      <w:framePr w:w="8732" w:h="567" w:hRule="exact" w:vSpace="0" w:wrap="around" w:vAnchor="page" w:y="341" w:anchorLock="0"/>
    </w:pPr>
    <w:r w:rsidRPr="009524EA">
      <w:rPr>
        <w:rStyle w:val="SidhuvudUtskott"/>
      </w:rPr>
      <w:fldChar w:fldCharType="begin" w:fldLock="1"/>
    </w:r>
    <w:r w:rsidRPr="009524EA">
      <w:rPr>
        <w:rStyle w:val="SidhuvudUtskott"/>
      </w:rPr>
      <w:instrText xml:space="preserve"> DOCPROPERTY BetänkandeÅr</w:instrText>
    </w:r>
    <w:r w:rsidRPr="009524EA">
      <w:rPr>
        <w:rStyle w:val="SidhuvudUtskott"/>
      </w:rPr>
      <w:fldChar w:fldCharType="separate"/>
    </w:r>
    <w:r w:rsidRPr="009524EA">
      <w:rPr>
        <w:rStyle w:val="SidhuvudUtskott"/>
      </w:rPr>
      <w:t>2009/10</w:t>
    </w:r>
    <w:r w:rsidRPr="009524EA">
      <w:rPr>
        <w:rStyle w:val="SidhuvudUtskott"/>
      </w:rPr>
      <w:fldChar w:fldCharType="end"/>
    </w:r>
    <w:r w:rsidRPr="009524EA">
      <w:rPr>
        <w:rStyle w:val="SidhuvudUtskott"/>
      </w:rPr>
      <w:t>:</w:t>
    </w:r>
    <w:r w:rsidRPr="009524EA">
      <w:rPr>
        <w:rStyle w:val="SidhuvudUtskott"/>
      </w:rPr>
      <w:fldChar w:fldCharType="begin" w:fldLock="1"/>
    </w:r>
    <w:r w:rsidRPr="009524EA">
      <w:rPr>
        <w:rStyle w:val="SidhuvudUtskott"/>
      </w:rPr>
      <w:instrText xml:space="preserve"> DOCPROPERTY Utskott</w:instrText>
    </w:r>
    <w:r w:rsidRPr="009524EA">
      <w:rPr>
        <w:rStyle w:val="SidhuvudUtskott"/>
      </w:rPr>
      <w:fldChar w:fldCharType="separate"/>
    </w:r>
    <w:r w:rsidRPr="009524EA">
      <w:rPr>
        <w:rStyle w:val="SidhuvudUtskott"/>
      </w:rPr>
      <w:t>RRS</w: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BetänkandeNr</w:instrText>
    </w:r>
    <w:r w:rsidRPr="009524EA">
      <w:rPr>
        <w:rStyle w:val="SidhuvudUtskott"/>
      </w:rPr>
      <w:fldChar w:fldCharType="separate"/>
    </w:r>
    <w:r w:rsidRPr="009524EA">
      <w:rPr>
        <w:rStyle w:val="SidhuvudUtskott"/>
      </w:rPr>
      <w:t>30</w:t>
    </w:r>
    <w:r w:rsidRPr="009524EA">
      <w:rPr>
        <w:rStyle w:val="SidhuvudUtskott"/>
      </w:rPr>
      <w:fldChar w:fldCharType="end"/>
    </w:r>
    <w:r w:rsidRPr="009524EA">
      <w:t xml:space="preserve">     </w:t>
    </w:r>
    <w:r w:rsidRPr="009524EA">
      <w:rPr>
        <w:rStyle w:val="SidhuvudBilaga"/>
      </w:rPr>
      <w:t xml:space="preserve"> </w:t>
    </w:r>
    <w:r w:rsidRPr="009524EA">
      <w:rPr>
        <w:rStyle w:val="SidhuvudRubrikReferens"/>
      </w:rPr>
      <w:fldChar w:fldCharType="begin" w:fldLock="1"/>
    </w:r>
    <w:r w:rsidRPr="009524EA">
      <w:rPr>
        <w:rStyle w:val="SidhuvudRubrikReferens"/>
      </w:rPr>
      <w:instrText xml:space="preserve"> StyleREF "Rubrik 1" </w:instrText>
    </w:r>
    <w:r w:rsidRPr="009524EA">
      <w:rPr>
        <w:rStyle w:val="SidhuvudRubrikReferens"/>
      </w:rPr>
      <w:fldChar w:fldCharType="separate"/>
    </w:r>
    <w:r w:rsidRPr="009524EA">
      <w:rPr>
        <w:rStyle w:val="SidhuvudRubrikReferens"/>
      </w:rPr>
      <w:t>Sammanfattning</w:t>
    </w:r>
    <w:r w:rsidRPr="009524EA">
      <w:rPr>
        <w:rStyle w:val="SidhuvudRubrikReferens"/>
      </w:rPr>
      <w:fldChar w:fldCharType="end"/>
    </w:r>
  </w:p>
  <w:p w:rsidR="00134686" w:rsidRPr="009524EA" w:rsidRDefault="00134686">
    <w:pPr>
      <w:pStyle w:val="SidhuvudKantJmn"/>
      <w:framePr w:w="8732" w:h="567" w:hRule="exact" w:vSpace="0" w:wrap="around" w:vAnchor="page" w:y="341" w:anchorLock="0"/>
    </w:pPr>
    <w:r w:rsidRPr="009524EA">
      <w:rPr>
        <w:rStyle w:val="SidhuvudUtskott"/>
      </w:rPr>
      <w:fldChar w:fldCharType="begin" w:fldLock="1"/>
    </w:r>
    <w:r w:rsidRPr="009524EA">
      <w:rPr>
        <w:rStyle w:val="SidhuvudUtskott"/>
      </w:rPr>
      <w:instrText xml:space="preserve"> DOCPROPERTY Status</w:instrText>
    </w:r>
    <w:r w:rsidRPr="009524EA">
      <w:rPr>
        <w:rStyle w:val="SidhuvudUtskott"/>
      </w:rPr>
      <w:fldChar w:fldCharType="end"/>
    </w:r>
    <w:r w:rsidRPr="009524EA">
      <w:rPr>
        <w:rStyle w:val="SidhuvudUtskott"/>
      </w:rPr>
      <w:fldChar w:fldCharType="begin" w:fldLock="1"/>
    </w:r>
    <w:r w:rsidRPr="009524EA">
      <w:rPr>
        <w:rStyle w:val="SidhuvudUtskott"/>
      </w:rPr>
      <w:instrText xml:space="preserve"> if </w:instrText>
    </w:r>
    <w:r w:rsidRPr="009524EA">
      <w:rPr>
        <w:rStyle w:val="SidhuvudUtskott"/>
      </w:rPr>
      <w:fldChar w:fldCharType="begin" w:fldLock="1"/>
    </w:r>
    <w:r w:rsidRPr="009524EA">
      <w:rPr>
        <w:rStyle w:val="SidhuvudUtskott"/>
      </w:rPr>
      <w:instrText xml:space="preserve"> DOCPROPERTY "UtkastDatum"</w:instrText>
    </w:r>
    <w:r w:rsidRPr="009524EA">
      <w:rPr>
        <w:rStyle w:val="SidhuvudUtskott"/>
      </w:rPr>
      <w:fldChar w:fldCharType="separate"/>
    </w:r>
    <w:r w:rsidRPr="009524EA">
      <w:rPr>
        <w:rStyle w:val="SidhuvudUtskott"/>
      </w:rPr>
      <w:instrText>Nej</w:instrText>
    </w:r>
    <w:r w:rsidRPr="009524EA">
      <w:rPr>
        <w:rStyle w:val="SidhuvudUtskott"/>
      </w:rPr>
      <w:fldChar w:fldCharType="end"/>
    </w:r>
    <w:r w:rsidRPr="009524EA">
      <w:rPr>
        <w:rStyle w:val="SidhuvudUtskott"/>
      </w:rPr>
      <w:instrText xml:space="preserve"> = "Ja" "    </w:instrText>
    </w:r>
    <w:r w:rsidRPr="009524EA">
      <w:rPr>
        <w:rStyle w:val="SidhuvudUtskott"/>
      </w:rPr>
      <w:fldChar w:fldCharType="begin" w:fldLock="1"/>
    </w:r>
    <w:r w:rsidRPr="009524EA">
      <w:rPr>
        <w:rStyle w:val="SidhuvudUtskott"/>
      </w:rPr>
      <w:instrText xml:space="preserve"> PRINTDATE \@ "yyyy-MM-dd HH.mm" </w:instrText>
    </w:r>
    <w:r w:rsidRPr="009524EA">
      <w:rPr>
        <w:rStyle w:val="SidhuvudUtskott"/>
      </w:rPr>
      <w:fldChar w:fldCharType="separate"/>
    </w:r>
    <w:r w:rsidRPr="009524EA">
      <w:rPr>
        <w:rStyle w:val="SidhuvudUtskott"/>
      </w:rPr>
      <w:instrText>2000-08-11 16.42</w:instrText>
    </w:r>
    <w:r w:rsidRPr="009524EA">
      <w:rPr>
        <w:rStyle w:val="SidhuvudUtskott"/>
      </w:rPr>
      <w:fldChar w:fldCharType="end"/>
    </w:r>
    <w:r w:rsidRPr="009524EA">
      <w:rPr>
        <w:rStyle w:val="SidhuvudUtskott"/>
      </w:rPr>
      <w:instrText xml:space="preserve">" </w:instrText>
    </w:r>
    <w:r w:rsidRPr="009524EA">
      <w:rPr>
        <w:rStyle w:val="SidhuvudUtskott"/>
      </w:rPr>
      <w:fldChar w:fldCharType="end"/>
    </w:r>
  </w:p>
  <w:p w:rsidR="00134686" w:rsidRPr="009524EA" w:rsidRDefault="0013468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huvudKantJmn"/>
      <w:framePr w:w="8732" w:h="567" w:hRule="exact" w:vSpace="0" w:wrap="around" w:vAnchor="page" w:y="341" w:anchorLock="0"/>
    </w:pPr>
    <w:r w:rsidRPr="009524EA">
      <w:rPr>
        <w:rStyle w:val="SidhuvudUtskott"/>
      </w:rPr>
      <w:t>2009/10:RRS30</w:t>
    </w:r>
    <w:r w:rsidRPr="009524EA">
      <w:t xml:space="preserve">     </w:t>
    </w:r>
    <w:r w:rsidRPr="009524EA">
      <w:rPr>
        <w:rStyle w:val="SidhuvudBilaga"/>
      </w:rPr>
      <w:t xml:space="preserve"> </w:t>
    </w:r>
    <w:r w:rsidR="008513E8" w:rsidRPr="009524EA">
      <w:rPr>
        <w:rStyle w:val="SidhuvudRubrikReferens"/>
      </w:rPr>
      <w:t>Riksrevisionens granskning</w:t>
    </w:r>
  </w:p>
  <w:p w:rsidR="00134686" w:rsidRPr="009524EA" w:rsidRDefault="00134686">
    <w:pPr>
      <w:pStyle w:val="SidhuvudKantJmn"/>
      <w:framePr w:w="8732" w:h="567" w:hRule="exact" w:vSpace="0" w:wrap="around" w:vAnchor="page" w:y="341" w:anchorLock="0"/>
    </w:pPr>
  </w:p>
  <w:p w:rsidR="00134686" w:rsidRPr="009524EA" w:rsidRDefault="0013468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8513E8">
    <w:pPr>
      <w:pStyle w:val="SidhuvudKantUdda"/>
      <w:framePr w:w="8732" w:h="567" w:hRule="exact" w:vSpace="0" w:wrap="around" w:vAnchor="page" w:y="341" w:anchorLock="0"/>
    </w:pPr>
    <w:r w:rsidRPr="009524EA">
      <w:rPr>
        <w:rStyle w:val="SidhuvudRubrikReferens"/>
      </w:rPr>
      <w:t>Riksrevisionens granskning</w:t>
    </w:r>
    <w:r w:rsidR="00134686" w:rsidRPr="009524EA">
      <w:rPr>
        <w:rStyle w:val="SidhuvudBilaga"/>
      </w:rPr>
      <w:t xml:space="preserve"> </w:t>
    </w:r>
    <w:r w:rsidR="00134686" w:rsidRPr="009524EA">
      <w:t xml:space="preserve">     </w:t>
    </w:r>
    <w:r w:rsidR="00134686" w:rsidRPr="009524EA">
      <w:rPr>
        <w:rStyle w:val="SidhuvudUtskott"/>
      </w:rPr>
      <w:t>2009/10:RRS30</w:t>
    </w:r>
  </w:p>
  <w:p w:rsidR="00134686" w:rsidRPr="009524EA" w:rsidRDefault="00134686">
    <w:pPr>
      <w:pStyle w:val="SidhuvudKantUdda"/>
      <w:framePr w:w="8732" w:h="567" w:hRule="exact" w:vSpace="0" w:wrap="around" w:vAnchor="page" w:y="341" w:anchorLock="0"/>
    </w:pPr>
  </w:p>
  <w:p w:rsidR="00134686" w:rsidRPr="009524EA" w:rsidRDefault="0013468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3E8" w:rsidRPr="009524EA" w:rsidRDefault="008513E8">
    <w:pPr>
      <w:pStyle w:val="SidhuvudKantJmn"/>
      <w:framePr w:w="8732" w:h="567" w:hRule="exact" w:vSpace="0" w:wrap="around" w:vAnchor="page" w:y="341" w:anchorLock="0"/>
    </w:pPr>
    <w:r w:rsidRPr="009524EA">
      <w:rPr>
        <w:rStyle w:val="SidhuvudUtskott"/>
      </w:rPr>
      <w:t>2009/10:RRS30</w:t>
    </w:r>
    <w:r w:rsidRPr="009524EA">
      <w:t xml:space="preserve">    </w:t>
    </w:r>
  </w:p>
  <w:p w:rsidR="008513E8" w:rsidRPr="009524EA" w:rsidRDefault="008513E8">
    <w:pPr>
      <w:pStyle w:val="SidhuvudKantJmn"/>
      <w:framePr w:w="8732" w:h="567" w:hRule="exact" w:vSpace="0" w:wrap="around" w:vAnchor="page" w:y="341" w:anchorLock="0"/>
    </w:pPr>
  </w:p>
  <w:p w:rsidR="00134686" w:rsidRPr="009524EA" w:rsidRDefault="008513E8">
    <w:pPr>
      <w:pStyle w:val="SidhuvudKantUdda"/>
      <w:framePr w:w="8732" w:h="567" w:hRule="exact" w:vSpace="0" w:wrap="around" w:vAnchor="page" w:y="341" w:anchorLock="0"/>
    </w:pPr>
    <w:r w:rsidRPr="009524EA">
      <w:rPr>
        <w:rStyle w:val="SidhuvudRubrikReferens"/>
        <w:smallCaps w:val="0"/>
        <w:spacing w:val="0"/>
        <w:sz w:val="19"/>
      </w:rPr>
      <w:t xml:space="preserve"> </w:t>
    </w:r>
  </w:p>
  <w:p w:rsidR="00134686" w:rsidRPr="009524EA" w:rsidRDefault="0013468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huvudKantUdda"/>
      <w:framePr w:w="8732" w:h="567" w:hRule="exact" w:vSpace="0" w:wrap="around" w:vAnchor="page" w:y="341" w:anchorLock="0"/>
    </w:pPr>
    <w:r w:rsidRPr="009524EA">
      <w:rPr>
        <w:rStyle w:val="SidhuvudRubrikReferens"/>
      </w:rPr>
      <w:fldChar w:fldCharType="begin" w:fldLock="1"/>
    </w:r>
    <w:r w:rsidRPr="009524EA">
      <w:rPr>
        <w:rStyle w:val="SidhuvudRubrikReferens"/>
      </w:rPr>
      <w:instrText xml:space="preserve"> StyleREF "Rubrik 1" </w:instrText>
    </w:r>
    <w:r w:rsidRPr="009524EA">
      <w:rPr>
        <w:rStyle w:val="SidhuvudRubrikReferens"/>
      </w:rPr>
      <w:fldChar w:fldCharType="separate"/>
    </w:r>
    <w:r w:rsidRPr="009524EA">
      <w:rPr>
        <w:rStyle w:val="SidhuvudRubrikReferens"/>
      </w:rPr>
      <w:t>Sammanfattning</w:t>
    </w:r>
    <w:r w:rsidRPr="009524EA">
      <w:rPr>
        <w:rStyle w:val="SidhuvudRubrikReferens"/>
      </w:rPr>
      <w:fldChar w:fldCharType="end"/>
    </w:r>
    <w:r w:rsidRPr="009524EA">
      <w:rPr>
        <w:rStyle w:val="SidhuvudBilaga"/>
      </w:rPr>
      <w:t xml:space="preserve"> </w:t>
    </w:r>
    <w:r w:rsidRPr="009524EA">
      <w:t xml:space="preserve">     </w:t>
    </w:r>
    <w:r w:rsidRPr="009524EA">
      <w:rPr>
        <w:rStyle w:val="SidhuvudUtskott"/>
      </w:rPr>
      <w:fldChar w:fldCharType="begin" w:fldLock="1"/>
    </w:r>
    <w:r w:rsidRPr="009524EA">
      <w:rPr>
        <w:rStyle w:val="SidhuvudUtskott"/>
      </w:rPr>
      <w:instrText xml:space="preserve"> DOCPROPERTY BetänkandeÅr</w:instrText>
    </w:r>
    <w:r w:rsidRPr="009524EA">
      <w:rPr>
        <w:rStyle w:val="SidhuvudUtskott"/>
      </w:rPr>
      <w:fldChar w:fldCharType="separate"/>
    </w:r>
    <w:r w:rsidRPr="009524EA">
      <w:rPr>
        <w:rStyle w:val="SidhuvudUtskott"/>
      </w:rPr>
      <w:t>2009/10</w:t>
    </w:r>
    <w:r w:rsidRPr="009524EA">
      <w:rPr>
        <w:rStyle w:val="SidhuvudUtskott"/>
      </w:rPr>
      <w:fldChar w:fldCharType="end"/>
    </w:r>
    <w:r w:rsidRPr="009524EA">
      <w:rPr>
        <w:rStyle w:val="SidhuvudUtskott"/>
      </w:rPr>
      <w:t>:</w:t>
    </w:r>
    <w:r w:rsidRPr="009524EA">
      <w:rPr>
        <w:rStyle w:val="SidhuvudUtskott"/>
      </w:rPr>
      <w:fldChar w:fldCharType="begin" w:fldLock="1"/>
    </w:r>
    <w:r w:rsidRPr="009524EA">
      <w:rPr>
        <w:rStyle w:val="SidhuvudUtskott"/>
      </w:rPr>
      <w:instrText xml:space="preserve"> DOCPROPERTY</w:instrText>
    </w:r>
    <w:r w:rsidRPr="009524EA">
      <w:instrText xml:space="preserve"> </w:instrText>
    </w:r>
    <w:r w:rsidRPr="009524EA">
      <w:rPr>
        <w:rStyle w:val="SidhuvudUtskott"/>
      </w:rPr>
      <w:instrText>Utskott</w:instrText>
    </w:r>
    <w:r w:rsidRPr="009524EA">
      <w:rPr>
        <w:rStyle w:val="SidhuvudUtskott"/>
      </w:rPr>
      <w:fldChar w:fldCharType="separate"/>
    </w:r>
    <w:r w:rsidRPr="009524EA">
      <w:rPr>
        <w:rStyle w:val="SidhuvudUtskott"/>
      </w:rPr>
      <w:t>RRS</w: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BetänkandeNr</w:instrText>
    </w:r>
    <w:r w:rsidRPr="009524EA">
      <w:rPr>
        <w:rStyle w:val="SidhuvudUtskott"/>
      </w:rPr>
      <w:fldChar w:fldCharType="separate"/>
    </w:r>
    <w:r w:rsidRPr="009524EA">
      <w:rPr>
        <w:rStyle w:val="SidhuvudUtskott"/>
      </w:rPr>
      <w:t>30</w:t>
    </w:r>
    <w:r w:rsidRPr="009524EA">
      <w:rPr>
        <w:rStyle w:val="SidhuvudUtskott"/>
      </w:rPr>
      <w:fldChar w:fldCharType="end"/>
    </w:r>
  </w:p>
  <w:p w:rsidR="00134686" w:rsidRPr="009524EA" w:rsidRDefault="00134686">
    <w:pPr>
      <w:pStyle w:val="SidhuvudKantUdda"/>
      <w:framePr w:w="8732" w:h="567" w:hRule="exact" w:vSpace="0" w:wrap="around" w:vAnchor="page" w:y="341" w:anchorLock="0"/>
    </w:pPr>
    <w:r w:rsidRPr="009524EA">
      <w:rPr>
        <w:rStyle w:val="SidhuvudUtskott"/>
      </w:rPr>
      <w:fldChar w:fldCharType="begin" w:fldLock="1"/>
    </w:r>
    <w:r w:rsidRPr="009524EA">
      <w:rPr>
        <w:rStyle w:val="SidhuvudUtskott"/>
      </w:rPr>
      <w:instrText xml:space="preserve"> if </w:instrText>
    </w:r>
    <w:r w:rsidRPr="009524EA">
      <w:rPr>
        <w:rStyle w:val="SidhuvudUtskott"/>
      </w:rPr>
      <w:fldChar w:fldCharType="begin" w:fldLock="1"/>
    </w:r>
    <w:r w:rsidRPr="009524EA">
      <w:rPr>
        <w:rStyle w:val="SidhuvudUtskott"/>
      </w:rPr>
      <w:instrText xml:space="preserve"> DOCPROPERTY "UtkastDatum"</w:instrText>
    </w:r>
    <w:r w:rsidRPr="009524EA">
      <w:rPr>
        <w:rStyle w:val="SidhuvudUtskott"/>
      </w:rPr>
      <w:fldChar w:fldCharType="separate"/>
    </w:r>
    <w:r w:rsidRPr="009524EA">
      <w:rPr>
        <w:rStyle w:val="SidhuvudUtskott"/>
      </w:rPr>
      <w:instrText>Nej</w:instrText>
    </w:r>
    <w:r w:rsidRPr="009524EA">
      <w:rPr>
        <w:rStyle w:val="SidhuvudUtskott"/>
      </w:rPr>
      <w:fldChar w:fldCharType="end"/>
    </w:r>
    <w:r w:rsidRPr="009524EA">
      <w:rPr>
        <w:rStyle w:val="SidhuvudUtskott"/>
      </w:rPr>
      <w:instrText xml:space="preserve"> = "Ja" "</w:instrText>
    </w:r>
    <w:r w:rsidRPr="009524EA">
      <w:rPr>
        <w:rStyle w:val="SidhuvudUtskott"/>
      </w:rPr>
      <w:fldChar w:fldCharType="begin" w:fldLock="1"/>
    </w:r>
    <w:r w:rsidRPr="009524EA">
      <w:rPr>
        <w:rStyle w:val="SidhuvudUtskott"/>
      </w:rPr>
      <w:instrText xml:space="preserve"> PRINTDATE \@ "yyyy-MM-dd HH.mm    " </w:instrText>
    </w:r>
    <w:r w:rsidRPr="009524EA">
      <w:rPr>
        <w:rStyle w:val="SidhuvudUtskott"/>
      </w:rPr>
      <w:fldChar w:fldCharType="separate"/>
    </w:r>
    <w:r w:rsidRPr="009524EA">
      <w:rPr>
        <w:rStyle w:val="SidhuvudUtskott"/>
      </w:rPr>
      <w:instrText>2000-08-11 16.42</w:instrText>
    </w:r>
    <w:r w:rsidRPr="009524EA">
      <w:rPr>
        <w:rStyle w:val="SidhuvudUtskott"/>
      </w:rPr>
      <w:fldChar w:fldCharType="end"/>
    </w:r>
    <w:r w:rsidRPr="009524EA">
      <w:rPr>
        <w:rStyle w:val="SidhuvudUtskott"/>
      </w:rPr>
      <w:instrText xml:space="preserve">" </w:instrTex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Status</w:instrText>
    </w:r>
    <w:r w:rsidRPr="009524EA">
      <w:rPr>
        <w:rStyle w:val="SidhuvudUtskott"/>
      </w:rPr>
      <w:fldChar w:fldCharType="end"/>
    </w:r>
  </w:p>
  <w:p w:rsidR="00134686" w:rsidRPr="009524EA" w:rsidRDefault="0013468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8513E8">
    <w:pPr>
      <w:pStyle w:val="SidhuvudKantUdda"/>
      <w:framePr w:w="8732" w:h="567" w:hRule="exact" w:vSpace="0" w:wrap="around" w:vAnchor="page" w:y="341" w:anchorLock="0"/>
    </w:pPr>
    <w:r w:rsidRPr="009524EA">
      <w:t xml:space="preserve"> </w:t>
    </w:r>
  </w:p>
  <w:p w:rsidR="00134686" w:rsidRPr="009524EA" w:rsidRDefault="0013468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huvudKantJmn"/>
      <w:framePr w:w="8732" w:h="567" w:hRule="exact" w:vSpace="0" w:wrap="around" w:vAnchor="page" w:y="341" w:anchorLock="0"/>
    </w:pPr>
    <w:r w:rsidRPr="009524EA">
      <w:rPr>
        <w:rStyle w:val="SidhuvudUtskott"/>
      </w:rPr>
      <w:fldChar w:fldCharType="begin" w:fldLock="1"/>
    </w:r>
    <w:r w:rsidRPr="009524EA">
      <w:rPr>
        <w:rStyle w:val="SidhuvudUtskott"/>
      </w:rPr>
      <w:instrText xml:space="preserve"> DOCPROPERTY BetänkandeÅr</w:instrText>
    </w:r>
    <w:r w:rsidRPr="009524EA">
      <w:rPr>
        <w:rStyle w:val="SidhuvudUtskott"/>
      </w:rPr>
      <w:fldChar w:fldCharType="separate"/>
    </w:r>
    <w:r w:rsidRPr="009524EA">
      <w:rPr>
        <w:rStyle w:val="SidhuvudUtskott"/>
      </w:rPr>
      <w:t>2009/10</w:t>
    </w:r>
    <w:r w:rsidRPr="009524EA">
      <w:rPr>
        <w:rStyle w:val="SidhuvudUtskott"/>
      </w:rPr>
      <w:fldChar w:fldCharType="end"/>
    </w:r>
    <w:r w:rsidRPr="009524EA">
      <w:rPr>
        <w:rStyle w:val="SidhuvudUtskott"/>
      </w:rPr>
      <w:t>:</w:t>
    </w:r>
    <w:r w:rsidRPr="009524EA">
      <w:rPr>
        <w:rStyle w:val="SidhuvudUtskott"/>
      </w:rPr>
      <w:fldChar w:fldCharType="begin" w:fldLock="1"/>
    </w:r>
    <w:r w:rsidRPr="009524EA">
      <w:rPr>
        <w:rStyle w:val="SidhuvudUtskott"/>
      </w:rPr>
      <w:instrText xml:space="preserve"> DOCPROPERTY Utskott</w:instrText>
    </w:r>
    <w:r w:rsidRPr="009524EA">
      <w:rPr>
        <w:rStyle w:val="SidhuvudUtskott"/>
      </w:rPr>
      <w:fldChar w:fldCharType="separate"/>
    </w:r>
    <w:r w:rsidRPr="009524EA">
      <w:rPr>
        <w:rStyle w:val="SidhuvudUtskott"/>
      </w:rPr>
      <w:t>RRS</w: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BetänkandeNr</w:instrText>
    </w:r>
    <w:r w:rsidRPr="009524EA">
      <w:rPr>
        <w:rStyle w:val="SidhuvudUtskott"/>
      </w:rPr>
      <w:fldChar w:fldCharType="separate"/>
    </w:r>
    <w:r w:rsidRPr="009524EA">
      <w:rPr>
        <w:rStyle w:val="SidhuvudUtskott"/>
      </w:rPr>
      <w:t>30</w:t>
    </w:r>
    <w:r w:rsidRPr="009524EA">
      <w:rPr>
        <w:rStyle w:val="SidhuvudUtskott"/>
      </w:rPr>
      <w:fldChar w:fldCharType="end"/>
    </w:r>
    <w:r w:rsidRPr="009524EA">
      <w:t xml:space="preserve">     </w:t>
    </w:r>
    <w:r w:rsidRPr="009524EA">
      <w:rPr>
        <w:rStyle w:val="SidhuvudBilaga"/>
      </w:rPr>
      <w:t xml:space="preserve"> </w:t>
    </w:r>
    <w:r w:rsidRPr="009524EA">
      <w:rPr>
        <w:rStyle w:val="SidhuvudRubrikReferens"/>
      </w:rPr>
      <w:fldChar w:fldCharType="begin" w:fldLock="1"/>
    </w:r>
    <w:r w:rsidRPr="009524EA">
      <w:rPr>
        <w:rStyle w:val="SidhuvudRubrikReferens"/>
      </w:rPr>
      <w:instrText xml:space="preserve"> StyleREF "Rubrik 1" </w:instrText>
    </w:r>
    <w:r w:rsidRPr="009524EA">
      <w:rPr>
        <w:rStyle w:val="SidhuvudRubrikReferens"/>
      </w:rPr>
      <w:fldChar w:fldCharType="separate"/>
    </w:r>
    <w:r w:rsidRPr="009524EA">
      <w:rPr>
        <w:rStyle w:val="SidhuvudRubrikReferens"/>
      </w:rPr>
      <w:t>Sammanfattning</w:t>
    </w:r>
    <w:r w:rsidRPr="009524EA">
      <w:rPr>
        <w:rStyle w:val="SidhuvudRubrikReferens"/>
      </w:rPr>
      <w:fldChar w:fldCharType="end"/>
    </w:r>
  </w:p>
  <w:p w:rsidR="00134686" w:rsidRPr="009524EA" w:rsidRDefault="00134686">
    <w:pPr>
      <w:pStyle w:val="SidhuvudKantJmn"/>
      <w:framePr w:w="8732" w:h="567" w:hRule="exact" w:vSpace="0" w:wrap="around" w:vAnchor="page" w:y="341" w:anchorLock="0"/>
    </w:pPr>
    <w:r w:rsidRPr="009524EA">
      <w:rPr>
        <w:rStyle w:val="SidhuvudUtskott"/>
      </w:rPr>
      <w:fldChar w:fldCharType="begin" w:fldLock="1"/>
    </w:r>
    <w:r w:rsidRPr="009524EA">
      <w:rPr>
        <w:rStyle w:val="SidhuvudUtskott"/>
      </w:rPr>
      <w:instrText xml:space="preserve"> DOCPROPERTY Status</w:instrText>
    </w:r>
    <w:r w:rsidRPr="009524EA">
      <w:rPr>
        <w:rStyle w:val="SidhuvudUtskott"/>
      </w:rPr>
      <w:fldChar w:fldCharType="end"/>
    </w:r>
    <w:r w:rsidRPr="009524EA">
      <w:rPr>
        <w:rStyle w:val="SidhuvudUtskott"/>
      </w:rPr>
      <w:fldChar w:fldCharType="begin" w:fldLock="1"/>
    </w:r>
    <w:r w:rsidRPr="009524EA">
      <w:rPr>
        <w:rStyle w:val="SidhuvudUtskott"/>
      </w:rPr>
      <w:instrText xml:space="preserve"> if </w:instrText>
    </w:r>
    <w:r w:rsidRPr="009524EA">
      <w:rPr>
        <w:rStyle w:val="SidhuvudUtskott"/>
      </w:rPr>
      <w:fldChar w:fldCharType="begin" w:fldLock="1"/>
    </w:r>
    <w:r w:rsidRPr="009524EA">
      <w:rPr>
        <w:rStyle w:val="SidhuvudUtskott"/>
      </w:rPr>
      <w:instrText xml:space="preserve"> DOCPROPERTY "UtkastDatum"</w:instrText>
    </w:r>
    <w:r w:rsidRPr="009524EA">
      <w:rPr>
        <w:rStyle w:val="SidhuvudUtskott"/>
      </w:rPr>
      <w:fldChar w:fldCharType="separate"/>
    </w:r>
    <w:r w:rsidRPr="009524EA">
      <w:rPr>
        <w:rStyle w:val="SidhuvudUtskott"/>
      </w:rPr>
      <w:instrText>Nej</w:instrText>
    </w:r>
    <w:r w:rsidRPr="009524EA">
      <w:rPr>
        <w:rStyle w:val="SidhuvudUtskott"/>
      </w:rPr>
      <w:fldChar w:fldCharType="end"/>
    </w:r>
    <w:r w:rsidRPr="009524EA">
      <w:rPr>
        <w:rStyle w:val="SidhuvudUtskott"/>
      </w:rPr>
      <w:instrText xml:space="preserve"> = "Ja" "    </w:instrText>
    </w:r>
    <w:r w:rsidRPr="009524EA">
      <w:rPr>
        <w:rStyle w:val="SidhuvudUtskott"/>
      </w:rPr>
      <w:fldChar w:fldCharType="begin" w:fldLock="1"/>
    </w:r>
    <w:r w:rsidRPr="009524EA">
      <w:rPr>
        <w:rStyle w:val="SidhuvudUtskott"/>
      </w:rPr>
      <w:instrText xml:space="preserve"> PRINTDATE \@ "yyyy-MM-dd HH.mm" </w:instrText>
    </w:r>
    <w:r w:rsidRPr="009524EA">
      <w:rPr>
        <w:rStyle w:val="SidhuvudUtskott"/>
      </w:rPr>
      <w:fldChar w:fldCharType="separate"/>
    </w:r>
    <w:r w:rsidRPr="009524EA">
      <w:rPr>
        <w:rStyle w:val="SidhuvudUtskott"/>
      </w:rPr>
      <w:instrText>2000-08-11 16.42</w:instrText>
    </w:r>
    <w:r w:rsidRPr="009524EA">
      <w:rPr>
        <w:rStyle w:val="SidhuvudUtskott"/>
      </w:rPr>
      <w:fldChar w:fldCharType="end"/>
    </w:r>
    <w:r w:rsidRPr="009524EA">
      <w:rPr>
        <w:rStyle w:val="SidhuvudUtskott"/>
      </w:rPr>
      <w:instrText xml:space="preserve">" </w:instrText>
    </w:r>
    <w:r w:rsidRPr="009524EA">
      <w:rPr>
        <w:rStyle w:val="SidhuvudUtskott"/>
      </w:rPr>
      <w:fldChar w:fldCharType="end"/>
    </w:r>
  </w:p>
  <w:p w:rsidR="00134686" w:rsidRPr="009524EA" w:rsidRDefault="0013468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huvudKantUdda"/>
      <w:framePr w:w="8732" w:h="567" w:hRule="exact" w:vSpace="0" w:wrap="around" w:vAnchor="page" w:y="341" w:anchorLock="0"/>
    </w:pPr>
    <w:r w:rsidRPr="009524EA">
      <w:rPr>
        <w:rStyle w:val="SidhuvudRubrikReferens"/>
      </w:rPr>
      <w:fldChar w:fldCharType="begin" w:fldLock="1"/>
    </w:r>
    <w:r w:rsidRPr="009524EA">
      <w:rPr>
        <w:rStyle w:val="SidhuvudRubrikReferens"/>
      </w:rPr>
      <w:instrText xml:space="preserve"> StyleREF "Rubrik 1" </w:instrText>
    </w:r>
    <w:r w:rsidRPr="009524EA">
      <w:rPr>
        <w:rStyle w:val="SidhuvudRubrikReferens"/>
      </w:rPr>
      <w:fldChar w:fldCharType="separate"/>
    </w:r>
    <w:r w:rsidRPr="009524EA">
      <w:rPr>
        <w:rStyle w:val="SidhuvudRubrikReferens"/>
      </w:rPr>
      <w:t>Sammanfattning</w:t>
    </w:r>
    <w:r w:rsidRPr="009524EA">
      <w:rPr>
        <w:rStyle w:val="SidhuvudRubrikReferens"/>
      </w:rPr>
      <w:fldChar w:fldCharType="end"/>
    </w:r>
    <w:r w:rsidRPr="009524EA">
      <w:rPr>
        <w:rStyle w:val="SidhuvudBilaga"/>
      </w:rPr>
      <w:t xml:space="preserve"> </w:t>
    </w:r>
    <w:r w:rsidRPr="009524EA">
      <w:t xml:space="preserve">     </w:t>
    </w:r>
    <w:r w:rsidRPr="009524EA">
      <w:rPr>
        <w:rStyle w:val="SidhuvudUtskott"/>
      </w:rPr>
      <w:fldChar w:fldCharType="begin" w:fldLock="1"/>
    </w:r>
    <w:r w:rsidRPr="009524EA">
      <w:rPr>
        <w:rStyle w:val="SidhuvudUtskott"/>
      </w:rPr>
      <w:instrText xml:space="preserve"> DOCPROPERTY BetänkandeÅr</w:instrText>
    </w:r>
    <w:r w:rsidRPr="009524EA">
      <w:rPr>
        <w:rStyle w:val="SidhuvudUtskott"/>
      </w:rPr>
      <w:fldChar w:fldCharType="separate"/>
    </w:r>
    <w:r w:rsidRPr="009524EA">
      <w:rPr>
        <w:rStyle w:val="SidhuvudUtskott"/>
      </w:rPr>
      <w:t>2009/10</w:t>
    </w:r>
    <w:r w:rsidRPr="009524EA">
      <w:rPr>
        <w:rStyle w:val="SidhuvudUtskott"/>
      </w:rPr>
      <w:fldChar w:fldCharType="end"/>
    </w:r>
    <w:r w:rsidRPr="009524EA">
      <w:rPr>
        <w:rStyle w:val="SidhuvudUtskott"/>
      </w:rPr>
      <w:t>:</w:t>
    </w:r>
    <w:r w:rsidRPr="009524EA">
      <w:rPr>
        <w:rStyle w:val="SidhuvudUtskott"/>
      </w:rPr>
      <w:fldChar w:fldCharType="begin" w:fldLock="1"/>
    </w:r>
    <w:r w:rsidRPr="009524EA">
      <w:rPr>
        <w:rStyle w:val="SidhuvudUtskott"/>
      </w:rPr>
      <w:instrText xml:space="preserve"> DOCPROPERTY</w:instrText>
    </w:r>
    <w:r w:rsidRPr="009524EA">
      <w:instrText xml:space="preserve"> </w:instrText>
    </w:r>
    <w:r w:rsidRPr="009524EA">
      <w:rPr>
        <w:rStyle w:val="SidhuvudUtskott"/>
      </w:rPr>
      <w:instrText>Utskott</w:instrText>
    </w:r>
    <w:r w:rsidRPr="009524EA">
      <w:rPr>
        <w:rStyle w:val="SidhuvudUtskott"/>
      </w:rPr>
      <w:fldChar w:fldCharType="separate"/>
    </w:r>
    <w:r w:rsidRPr="009524EA">
      <w:rPr>
        <w:rStyle w:val="SidhuvudUtskott"/>
      </w:rPr>
      <w:t>RRS</w: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BetänkandeNr</w:instrText>
    </w:r>
    <w:r w:rsidRPr="009524EA">
      <w:rPr>
        <w:rStyle w:val="SidhuvudUtskott"/>
      </w:rPr>
      <w:fldChar w:fldCharType="separate"/>
    </w:r>
    <w:r w:rsidRPr="009524EA">
      <w:rPr>
        <w:rStyle w:val="SidhuvudUtskott"/>
      </w:rPr>
      <w:t>30</w:t>
    </w:r>
    <w:r w:rsidRPr="009524EA">
      <w:rPr>
        <w:rStyle w:val="SidhuvudUtskott"/>
      </w:rPr>
      <w:fldChar w:fldCharType="end"/>
    </w:r>
  </w:p>
  <w:p w:rsidR="00134686" w:rsidRPr="009524EA" w:rsidRDefault="00134686">
    <w:pPr>
      <w:pStyle w:val="SidhuvudKantUdda"/>
      <w:framePr w:w="8732" w:h="567" w:hRule="exact" w:vSpace="0" w:wrap="around" w:vAnchor="page" w:y="341" w:anchorLock="0"/>
    </w:pPr>
    <w:r w:rsidRPr="009524EA">
      <w:rPr>
        <w:rStyle w:val="SidhuvudUtskott"/>
      </w:rPr>
      <w:fldChar w:fldCharType="begin" w:fldLock="1"/>
    </w:r>
    <w:r w:rsidRPr="009524EA">
      <w:rPr>
        <w:rStyle w:val="SidhuvudUtskott"/>
      </w:rPr>
      <w:instrText xml:space="preserve"> if </w:instrText>
    </w:r>
    <w:r w:rsidRPr="009524EA">
      <w:rPr>
        <w:rStyle w:val="SidhuvudUtskott"/>
      </w:rPr>
      <w:fldChar w:fldCharType="begin" w:fldLock="1"/>
    </w:r>
    <w:r w:rsidRPr="009524EA">
      <w:rPr>
        <w:rStyle w:val="SidhuvudUtskott"/>
      </w:rPr>
      <w:instrText xml:space="preserve"> DOCPROPERTY "UtkastDatum"</w:instrText>
    </w:r>
    <w:r w:rsidRPr="009524EA">
      <w:rPr>
        <w:rStyle w:val="SidhuvudUtskott"/>
      </w:rPr>
      <w:fldChar w:fldCharType="separate"/>
    </w:r>
    <w:r w:rsidRPr="009524EA">
      <w:rPr>
        <w:rStyle w:val="SidhuvudUtskott"/>
      </w:rPr>
      <w:instrText>Nej</w:instrText>
    </w:r>
    <w:r w:rsidRPr="009524EA">
      <w:rPr>
        <w:rStyle w:val="SidhuvudUtskott"/>
      </w:rPr>
      <w:fldChar w:fldCharType="end"/>
    </w:r>
    <w:r w:rsidRPr="009524EA">
      <w:rPr>
        <w:rStyle w:val="SidhuvudUtskott"/>
      </w:rPr>
      <w:instrText xml:space="preserve"> = "Ja" "</w:instrText>
    </w:r>
    <w:r w:rsidRPr="009524EA">
      <w:rPr>
        <w:rStyle w:val="SidhuvudUtskott"/>
      </w:rPr>
      <w:fldChar w:fldCharType="begin" w:fldLock="1"/>
    </w:r>
    <w:r w:rsidRPr="009524EA">
      <w:rPr>
        <w:rStyle w:val="SidhuvudUtskott"/>
      </w:rPr>
      <w:instrText xml:space="preserve"> PRINTDATE \@ "yyyy-MM-dd HH.mm    " </w:instrText>
    </w:r>
    <w:r w:rsidRPr="009524EA">
      <w:rPr>
        <w:rStyle w:val="SidhuvudUtskott"/>
      </w:rPr>
      <w:fldChar w:fldCharType="separate"/>
    </w:r>
    <w:r w:rsidRPr="009524EA">
      <w:rPr>
        <w:rStyle w:val="SidhuvudUtskott"/>
      </w:rPr>
      <w:instrText>2000-08-11 16.42</w:instrText>
    </w:r>
    <w:r w:rsidRPr="009524EA">
      <w:rPr>
        <w:rStyle w:val="SidhuvudUtskott"/>
      </w:rPr>
      <w:fldChar w:fldCharType="end"/>
    </w:r>
    <w:r w:rsidRPr="009524EA">
      <w:rPr>
        <w:rStyle w:val="SidhuvudUtskott"/>
      </w:rPr>
      <w:instrText xml:space="preserve">" </w:instrTex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Status</w:instrText>
    </w:r>
    <w:r w:rsidRPr="009524EA">
      <w:rPr>
        <w:rStyle w:val="SidhuvudUtskott"/>
      </w:rPr>
      <w:fldChar w:fldCharType="end"/>
    </w:r>
  </w:p>
  <w:p w:rsidR="00134686" w:rsidRPr="009524EA" w:rsidRDefault="0013468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3E8" w:rsidRPr="009524EA" w:rsidRDefault="008513E8">
    <w:pPr>
      <w:pStyle w:val="SidhuvudKantJmn"/>
      <w:framePr w:w="8732" w:h="567" w:hRule="exact" w:vSpace="0" w:wrap="around" w:vAnchor="page" w:y="341" w:anchorLock="0"/>
    </w:pPr>
    <w:r w:rsidRPr="009524EA">
      <w:rPr>
        <w:rStyle w:val="SidhuvudUtskott"/>
      </w:rPr>
      <w:t>2009/10:RRS30</w:t>
    </w:r>
    <w:r w:rsidRPr="009524EA">
      <w:t xml:space="preserve">    </w:t>
    </w:r>
  </w:p>
  <w:p w:rsidR="008513E8" w:rsidRPr="009524EA" w:rsidRDefault="008513E8">
    <w:pPr>
      <w:pStyle w:val="SidhuvudKantJmn"/>
      <w:framePr w:w="8732" w:h="567" w:hRule="exact" w:vSpace="0" w:wrap="around" w:vAnchor="page" w:y="341" w:anchorLock="0"/>
    </w:pPr>
  </w:p>
  <w:p w:rsidR="00134686" w:rsidRPr="009524EA" w:rsidRDefault="008513E8">
    <w:pPr>
      <w:pStyle w:val="SidhuvudKantUdda"/>
      <w:framePr w:w="8732" w:h="567" w:hRule="exact" w:vSpace="0" w:wrap="around" w:vAnchor="page" w:y="341" w:anchorLock="0"/>
    </w:pPr>
    <w:r w:rsidRPr="009524EA">
      <w:rPr>
        <w:rStyle w:val="SidhuvudRubrikReferens"/>
        <w:smallCaps w:val="0"/>
        <w:spacing w:val="0"/>
        <w:sz w:val="19"/>
      </w:rPr>
      <w:t xml:space="preserve"> </w:t>
    </w:r>
  </w:p>
  <w:p w:rsidR="00134686" w:rsidRPr="009524EA" w:rsidRDefault="0013468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huvudKantJmn"/>
      <w:framePr w:w="8732" w:h="567" w:hRule="exact" w:vSpace="0" w:wrap="around" w:vAnchor="page" w:y="341" w:anchorLock="0"/>
    </w:pPr>
    <w:r w:rsidRPr="009524EA">
      <w:rPr>
        <w:rStyle w:val="SidhuvudUtskott"/>
      </w:rPr>
      <w:fldChar w:fldCharType="begin" w:fldLock="1"/>
    </w:r>
    <w:r w:rsidRPr="009524EA">
      <w:rPr>
        <w:rStyle w:val="SidhuvudUtskott"/>
      </w:rPr>
      <w:instrText xml:space="preserve"> DOCPROPERTY BetänkandeÅr</w:instrText>
    </w:r>
    <w:r w:rsidRPr="009524EA">
      <w:rPr>
        <w:rStyle w:val="SidhuvudUtskott"/>
      </w:rPr>
      <w:fldChar w:fldCharType="separate"/>
    </w:r>
    <w:r w:rsidRPr="009524EA">
      <w:rPr>
        <w:rStyle w:val="SidhuvudUtskott"/>
      </w:rPr>
      <w:t>2009/10</w:t>
    </w:r>
    <w:r w:rsidRPr="009524EA">
      <w:rPr>
        <w:rStyle w:val="SidhuvudUtskott"/>
      </w:rPr>
      <w:fldChar w:fldCharType="end"/>
    </w:r>
    <w:r w:rsidRPr="009524EA">
      <w:rPr>
        <w:rStyle w:val="SidhuvudUtskott"/>
      </w:rPr>
      <w:t>:</w:t>
    </w:r>
    <w:r w:rsidRPr="009524EA">
      <w:rPr>
        <w:rStyle w:val="SidhuvudUtskott"/>
      </w:rPr>
      <w:fldChar w:fldCharType="begin" w:fldLock="1"/>
    </w:r>
    <w:r w:rsidRPr="009524EA">
      <w:rPr>
        <w:rStyle w:val="SidhuvudUtskott"/>
      </w:rPr>
      <w:instrText xml:space="preserve"> DOCPROPERTY Utskott</w:instrText>
    </w:r>
    <w:r w:rsidRPr="009524EA">
      <w:rPr>
        <w:rStyle w:val="SidhuvudUtskott"/>
      </w:rPr>
      <w:fldChar w:fldCharType="separate"/>
    </w:r>
    <w:r w:rsidRPr="009524EA">
      <w:rPr>
        <w:rStyle w:val="SidhuvudUtskott"/>
      </w:rPr>
      <w:t>RRS</w: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BetänkandeNr</w:instrText>
    </w:r>
    <w:r w:rsidRPr="009524EA">
      <w:rPr>
        <w:rStyle w:val="SidhuvudUtskott"/>
      </w:rPr>
      <w:fldChar w:fldCharType="separate"/>
    </w:r>
    <w:r w:rsidRPr="009524EA">
      <w:rPr>
        <w:rStyle w:val="SidhuvudUtskott"/>
      </w:rPr>
      <w:t>30</w:t>
    </w:r>
    <w:r w:rsidRPr="009524EA">
      <w:rPr>
        <w:rStyle w:val="SidhuvudUtskott"/>
      </w:rPr>
      <w:fldChar w:fldCharType="end"/>
    </w:r>
    <w:r w:rsidRPr="009524EA">
      <w:t xml:space="preserve">     </w:t>
    </w:r>
    <w:r w:rsidRPr="009524EA">
      <w:rPr>
        <w:rStyle w:val="SidhuvudBilaga"/>
      </w:rPr>
      <w:t xml:space="preserve"> </w:t>
    </w:r>
    <w:r w:rsidRPr="009524EA">
      <w:rPr>
        <w:rStyle w:val="SidhuvudRubrikReferens"/>
      </w:rPr>
      <w:fldChar w:fldCharType="begin" w:fldLock="1"/>
    </w:r>
    <w:r w:rsidRPr="009524EA">
      <w:rPr>
        <w:rStyle w:val="SidhuvudRubrikReferens"/>
      </w:rPr>
      <w:instrText xml:space="preserve"> StyleREF "Rubrik 1" </w:instrText>
    </w:r>
    <w:r w:rsidRPr="009524EA">
      <w:rPr>
        <w:rStyle w:val="SidhuvudRubrikReferens"/>
      </w:rPr>
      <w:fldChar w:fldCharType="separate"/>
    </w:r>
    <w:r w:rsidRPr="009524EA">
      <w:rPr>
        <w:rStyle w:val="SidhuvudRubrikReferens"/>
      </w:rPr>
      <w:t>Innehållsförteckning</w:t>
    </w:r>
    <w:r w:rsidRPr="009524EA">
      <w:rPr>
        <w:rStyle w:val="SidhuvudRubrikReferens"/>
      </w:rPr>
      <w:fldChar w:fldCharType="end"/>
    </w:r>
  </w:p>
  <w:p w:rsidR="00134686" w:rsidRPr="009524EA" w:rsidRDefault="00134686">
    <w:pPr>
      <w:pStyle w:val="SidhuvudKantJmn"/>
      <w:framePr w:w="8732" w:h="567" w:hRule="exact" w:vSpace="0" w:wrap="around" w:vAnchor="page" w:y="341" w:anchorLock="0"/>
    </w:pPr>
    <w:r w:rsidRPr="009524EA">
      <w:rPr>
        <w:rStyle w:val="SidhuvudUtskott"/>
      </w:rPr>
      <w:fldChar w:fldCharType="begin" w:fldLock="1"/>
    </w:r>
    <w:r w:rsidRPr="009524EA">
      <w:rPr>
        <w:rStyle w:val="SidhuvudUtskott"/>
      </w:rPr>
      <w:instrText xml:space="preserve"> DOCPROPERTY Status</w:instrText>
    </w:r>
    <w:r w:rsidRPr="009524EA">
      <w:rPr>
        <w:rStyle w:val="SidhuvudUtskott"/>
      </w:rPr>
      <w:fldChar w:fldCharType="end"/>
    </w:r>
    <w:r w:rsidRPr="009524EA">
      <w:rPr>
        <w:rStyle w:val="SidhuvudUtskott"/>
      </w:rPr>
      <w:fldChar w:fldCharType="begin" w:fldLock="1"/>
    </w:r>
    <w:r w:rsidRPr="009524EA">
      <w:rPr>
        <w:rStyle w:val="SidhuvudUtskott"/>
      </w:rPr>
      <w:instrText xml:space="preserve"> if </w:instrText>
    </w:r>
    <w:r w:rsidRPr="009524EA">
      <w:rPr>
        <w:rStyle w:val="SidhuvudUtskott"/>
      </w:rPr>
      <w:fldChar w:fldCharType="begin" w:fldLock="1"/>
    </w:r>
    <w:r w:rsidRPr="009524EA">
      <w:rPr>
        <w:rStyle w:val="SidhuvudUtskott"/>
      </w:rPr>
      <w:instrText xml:space="preserve"> DOCPROPERTY "UtkastDatum"</w:instrText>
    </w:r>
    <w:r w:rsidRPr="009524EA">
      <w:rPr>
        <w:rStyle w:val="SidhuvudUtskott"/>
      </w:rPr>
      <w:fldChar w:fldCharType="separate"/>
    </w:r>
    <w:r w:rsidRPr="009524EA">
      <w:rPr>
        <w:rStyle w:val="SidhuvudUtskott"/>
      </w:rPr>
      <w:instrText>Nej</w:instrText>
    </w:r>
    <w:r w:rsidRPr="009524EA">
      <w:rPr>
        <w:rStyle w:val="SidhuvudUtskott"/>
      </w:rPr>
      <w:fldChar w:fldCharType="end"/>
    </w:r>
    <w:r w:rsidRPr="009524EA">
      <w:rPr>
        <w:rStyle w:val="SidhuvudUtskott"/>
      </w:rPr>
      <w:instrText xml:space="preserve"> = "Ja" "    </w:instrText>
    </w:r>
    <w:r w:rsidRPr="009524EA">
      <w:rPr>
        <w:rStyle w:val="SidhuvudUtskott"/>
      </w:rPr>
      <w:fldChar w:fldCharType="begin" w:fldLock="1"/>
    </w:r>
    <w:r w:rsidRPr="009524EA">
      <w:rPr>
        <w:rStyle w:val="SidhuvudUtskott"/>
      </w:rPr>
      <w:instrText xml:space="preserve"> PRINTDATE \@ "yyyy-MM-dd HH.mm" </w:instrText>
    </w:r>
    <w:r w:rsidRPr="009524EA">
      <w:rPr>
        <w:rStyle w:val="SidhuvudUtskott"/>
      </w:rPr>
      <w:fldChar w:fldCharType="separate"/>
    </w:r>
    <w:r w:rsidRPr="009524EA">
      <w:rPr>
        <w:rStyle w:val="SidhuvudUtskott"/>
      </w:rPr>
      <w:instrText>2000-08-11 16.42</w:instrText>
    </w:r>
    <w:r w:rsidRPr="009524EA">
      <w:rPr>
        <w:rStyle w:val="SidhuvudUtskott"/>
      </w:rPr>
      <w:fldChar w:fldCharType="end"/>
    </w:r>
    <w:r w:rsidRPr="009524EA">
      <w:rPr>
        <w:rStyle w:val="SidhuvudUtskott"/>
      </w:rPr>
      <w:instrText xml:space="preserve">" </w:instrText>
    </w:r>
    <w:r w:rsidRPr="009524EA">
      <w:rPr>
        <w:rStyle w:val="SidhuvudUtskott"/>
      </w:rPr>
      <w:fldChar w:fldCharType="end"/>
    </w:r>
  </w:p>
  <w:p w:rsidR="00134686" w:rsidRPr="009524EA" w:rsidRDefault="0013468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86" w:rsidRPr="009524EA" w:rsidRDefault="00134686">
    <w:pPr>
      <w:pStyle w:val="SidhuvudKantUdda"/>
      <w:framePr w:w="8732" w:h="567" w:hRule="exact" w:vSpace="0" w:wrap="around" w:vAnchor="page" w:y="341" w:anchorLock="0"/>
    </w:pPr>
    <w:r w:rsidRPr="009524EA">
      <w:rPr>
        <w:rStyle w:val="SidhuvudRubrikReferens"/>
      </w:rPr>
      <w:fldChar w:fldCharType="begin" w:fldLock="1"/>
    </w:r>
    <w:r w:rsidRPr="009524EA">
      <w:rPr>
        <w:rStyle w:val="SidhuvudRubrikReferens"/>
      </w:rPr>
      <w:instrText xml:space="preserve"> StyleREF "Rubrik 1" </w:instrText>
    </w:r>
    <w:r w:rsidRPr="009524EA">
      <w:rPr>
        <w:rStyle w:val="SidhuvudRubrikReferens"/>
      </w:rPr>
      <w:fldChar w:fldCharType="separate"/>
    </w:r>
    <w:r w:rsidRPr="009524EA">
      <w:rPr>
        <w:rStyle w:val="SidhuvudRubrikReferens"/>
      </w:rPr>
      <w:t>Innehållsförteckning</w:t>
    </w:r>
    <w:r w:rsidRPr="009524EA">
      <w:rPr>
        <w:rStyle w:val="SidhuvudRubrikReferens"/>
      </w:rPr>
      <w:fldChar w:fldCharType="end"/>
    </w:r>
    <w:r w:rsidRPr="009524EA">
      <w:rPr>
        <w:rStyle w:val="SidhuvudBilaga"/>
      </w:rPr>
      <w:t xml:space="preserve"> </w:t>
    </w:r>
    <w:r w:rsidRPr="009524EA">
      <w:t xml:space="preserve">     </w:t>
    </w:r>
    <w:r w:rsidRPr="009524EA">
      <w:rPr>
        <w:rStyle w:val="SidhuvudUtskott"/>
      </w:rPr>
      <w:fldChar w:fldCharType="begin" w:fldLock="1"/>
    </w:r>
    <w:r w:rsidRPr="009524EA">
      <w:rPr>
        <w:rStyle w:val="SidhuvudUtskott"/>
      </w:rPr>
      <w:instrText xml:space="preserve"> DOCPROPERTY BetänkandeÅr</w:instrText>
    </w:r>
    <w:r w:rsidRPr="009524EA">
      <w:rPr>
        <w:rStyle w:val="SidhuvudUtskott"/>
      </w:rPr>
      <w:fldChar w:fldCharType="separate"/>
    </w:r>
    <w:r w:rsidRPr="009524EA">
      <w:rPr>
        <w:rStyle w:val="SidhuvudUtskott"/>
      </w:rPr>
      <w:t>2009/10</w:t>
    </w:r>
    <w:r w:rsidRPr="009524EA">
      <w:rPr>
        <w:rStyle w:val="SidhuvudUtskott"/>
      </w:rPr>
      <w:fldChar w:fldCharType="end"/>
    </w:r>
    <w:r w:rsidRPr="009524EA">
      <w:rPr>
        <w:rStyle w:val="SidhuvudUtskott"/>
      </w:rPr>
      <w:t>:</w:t>
    </w:r>
    <w:r w:rsidRPr="009524EA">
      <w:rPr>
        <w:rStyle w:val="SidhuvudUtskott"/>
      </w:rPr>
      <w:fldChar w:fldCharType="begin" w:fldLock="1"/>
    </w:r>
    <w:r w:rsidRPr="009524EA">
      <w:rPr>
        <w:rStyle w:val="SidhuvudUtskott"/>
      </w:rPr>
      <w:instrText xml:space="preserve"> DOCPROPERTY</w:instrText>
    </w:r>
    <w:r w:rsidRPr="009524EA">
      <w:instrText xml:space="preserve"> </w:instrText>
    </w:r>
    <w:r w:rsidRPr="009524EA">
      <w:rPr>
        <w:rStyle w:val="SidhuvudUtskott"/>
      </w:rPr>
      <w:instrText>Utskott</w:instrText>
    </w:r>
    <w:r w:rsidRPr="009524EA">
      <w:rPr>
        <w:rStyle w:val="SidhuvudUtskott"/>
      </w:rPr>
      <w:fldChar w:fldCharType="separate"/>
    </w:r>
    <w:r w:rsidRPr="009524EA">
      <w:rPr>
        <w:rStyle w:val="SidhuvudUtskott"/>
      </w:rPr>
      <w:t>RRS</w: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BetänkandeNr</w:instrText>
    </w:r>
    <w:r w:rsidRPr="009524EA">
      <w:rPr>
        <w:rStyle w:val="SidhuvudUtskott"/>
      </w:rPr>
      <w:fldChar w:fldCharType="separate"/>
    </w:r>
    <w:r w:rsidRPr="009524EA">
      <w:rPr>
        <w:rStyle w:val="SidhuvudUtskott"/>
      </w:rPr>
      <w:t>30</w:t>
    </w:r>
    <w:r w:rsidRPr="009524EA">
      <w:rPr>
        <w:rStyle w:val="SidhuvudUtskott"/>
      </w:rPr>
      <w:fldChar w:fldCharType="end"/>
    </w:r>
  </w:p>
  <w:p w:rsidR="00134686" w:rsidRPr="009524EA" w:rsidRDefault="00134686">
    <w:pPr>
      <w:pStyle w:val="SidhuvudKantUdda"/>
      <w:framePr w:w="8732" w:h="567" w:hRule="exact" w:vSpace="0" w:wrap="around" w:vAnchor="page" w:y="341" w:anchorLock="0"/>
    </w:pPr>
    <w:r w:rsidRPr="009524EA">
      <w:rPr>
        <w:rStyle w:val="SidhuvudUtskott"/>
      </w:rPr>
      <w:fldChar w:fldCharType="begin" w:fldLock="1"/>
    </w:r>
    <w:r w:rsidRPr="009524EA">
      <w:rPr>
        <w:rStyle w:val="SidhuvudUtskott"/>
      </w:rPr>
      <w:instrText xml:space="preserve"> if </w:instrText>
    </w:r>
    <w:r w:rsidRPr="009524EA">
      <w:rPr>
        <w:rStyle w:val="SidhuvudUtskott"/>
      </w:rPr>
      <w:fldChar w:fldCharType="begin" w:fldLock="1"/>
    </w:r>
    <w:r w:rsidRPr="009524EA">
      <w:rPr>
        <w:rStyle w:val="SidhuvudUtskott"/>
      </w:rPr>
      <w:instrText xml:space="preserve"> DOCPROPERTY "UtkastDatum"</w:instrText>
    </w:r>
    <w:r w:rsidRPr="009524EA">
      <w:rPr>
        <w:rStyle w:val="SidhuvudUtskott"/>
      </w:rPr>
      <w:fldChar w:fldCharType="separate"/>
    </w:r>
    <w:r w:rsidRPr="009524EA">
      <w:rPr>
        <w:rStyle w:val="SidhuvudUtskott"/>
      </w:rPr>
      <w:instrText>Nej</w:instrText>
    </w:r>
    <w:r w:rsidRPr="009524EA">
      <w:rPr>
        <w:rStyle w:val="SidhuvudUtskott"/>
      </w:rPr>
      <w:fldChar w:fldCharType="end"/>
    </w:r>
    <w:r w:rsidRPr="009524EA">
      <w:rPr>
        <w:rStyle w:val="SidhuvudUtskott"/>
      </w:rPr>
      <w:instrText xml:space="preserve"> = "Ja" "</w:instrText>
    </w:r>
    <w:r w:rsidRPr="009524EA">
      <w:rPr>
        <w:rStyle w:val="SidhuvudUtskott"/>
      </w:rPr>
      <w:fldChar w:fldCharType="begin" w:fldLock="1"/>
    </w:r>
    <w:r w:rsidRPr="009524EA">
      <w:rPr>
        <w:rStyle w:val="SidhuvudUtskott"/>
      </w:rPr>
      <w:instrText xml:space="preserve"> PRINTDATE \@ "yyyy-MM-dd HH.mm    " </w:instrText>
    </w:r>
    <w:r w:rsidRPr="009524EA">
      <w:rPr>
        <w:rStyle w:val="SidhuvudUtskott"/>
      </w:rPr>
      <w:fldChar w:fldCharType="separate"/>
    </w:r>
    <w:r w:rsidRPr="009524EA">
      <w:rPr>
        <w:rStyle w:val="SidhuvudUtskott"/>
      </w:rPr>
      <w:instrText>2000-08-11 16.42</w:instrText>
    </w:r>
    <w:r w:rsidRPr="009524EA">
      <w:rPr>
        <w:rStyle w:val="SidhuvudUtskott"/>
      </w:rPr>
      <w:fldChar w:fldCharType="end"/>
    </w:r>
    <w:r w:rsidRPr="009524EA">
      <w:rPr>
        <w:rStyle w:val="SidhuvudUtskott"/>
      </w:rPr>
      <w:instrText xml:space="preserve">" </w:instrText>
    </w:r>
    <w:r w:rsidRPr="009524EA">
      <w:rPr>
        <w:rStyle w:val="SidhuvudUtskott"/>
      </w:rPr>
      <w:fldChar w:fldCharType="end"/>
    </w:r>
    <w:r w:rsidRPr="009524EA">
      <w:rPr>
        <w:rStyle w:val="SidhuvudUtskott"/>
      </w:rPr>
      <w:fldChar w:fldCharType="begin" w:fldLock="1"/>
    </w:r>
    <w:r w:rsidRPr="009524EA">
      <w:rPr>
        <w:rStyle w:val="SidhuvudUtskott"/>
      </w:rPr>
      <w:instrText xml:space="preserve"> DOCPROPERTY Status</w:instrText>
    </w:r>
    <w:r w:rsidRPr="009524EA">
      <w:rPr>
        <w:rStyle w:val="SidhuvudUtskott"/>
      </w:rPr>
      <w:fldChar w:fldCharType="end"/>
    </w:r>
  </w:p>
  <w:p w:rsidR="00134686" w:rsidRPr="009524EA" w:rsidRDefault="0013468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3E8" w:rsidRPr="009524EA" w:rsidRDefault="008513E8">
    <w:pPr>
      <w:pStyle w:val="SidhuvudKantUdda"/>
      <w:framePr w:w="8732" w:h="567" w:hRule="exact" w:vSpace="0" w:wrap="around" w:vAnchor="page" w:y="341" w:anchorLock="0"/>
    </w:pPr>
    <w:r w:rsidRPr="009524EA">
      <w:t xml:space="preserve">  </w:t>
    </w:r>
    <w:r w:rsidRPr="009524EA">
      <w:rPr>
        <w:rStyle w:val="SidhuvudUtskott"/>
      </w:rPr>
      <w:t>2009/10:RRS30</w:t>
    </w:r>
  </w:p>
  <w:p w:rsidR="00134686" w:rsidRPr="009524EA" w:rsidRDefault="00134686">
    <w:pPr>
      <w:pStyle w:val="SidhuvudKantUdda"/>
      <w:framePr w:w="8732" w:h="567" w:hRule="exact" w:vSpace="0" w:wrap="around" w:vAnchor="page" w:y="341" w:anchorLock="0"/>
    </w:pPr>
  </w:p>
  <w:p w:rsidR="00134686" w:rsidRPr="009524EA" w:rsidRDefault="0013468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F403C14"/>
    <w:multiLevelType w:val="hybridMultilevel"/>
    <w:tmpl w:val="75001B5A"/>
    <w:lvl w:ilvl="0" w:tplc="8FC4E81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757E86"/>
    <w:multiLevelType w:val="hybridMultilevel"/>
    <w:tmpl w:val="75EC4C90"/>
    <w:lvl w:ilvl="0" w:tplc="F6E658AE">
      <w:start w:val="1"/>
      <w:numFmt w:val="bullet"/>
      <w:lvlText w:val=""/>
      <w:lvlJc w:val="left"/>
      <w:pPr>
        <w:ind w:left="360" w:hanging="360"/>
      </w:pPr>
      <w:rPr>
        <w:rFonts w:ascii="Symbol" w:hAnsi="Symbol" w:hint="default"/>
      </w:rPr>
    </w:lvl>
    <w:lvl w:ilvl="1" w:tplc="041D0003">
      <w:start w:val="1"/>
      <w:numFmt w:val="decimal"/>
      <w:lvlText w:val="%2."/>
      <w:lvlJc w:val="left"/>
      <w:pPr>
        <w:tabs>
          <w:tab w:val="num" w:pos="1298"/>
        </w:tabs>
        <w:ind w:left="1298" w:hanging="360"/>
      </w:pPr>
    </w:lvl>
    <w:lvl w:ilvl="2" w:tplc="041D0005">
      <w:start w:val="1"/>
      <w:numFmt w:val="decimal"/>
      <w:lvlText w:val="%3."/>
      <w:lvlJc w:val="left"/>
      <w:pPr>
        <w:tabs>
          <w:tab w:val="num" w:pos="2018"/>
        </w:tabs>
        <w:ind w:left="2018" w:hanging="360"/>
      </w:pPr>
    </w:lvl>
    <w:lvl w:ilvl="3" w:tplc="041D0001">
      <w:start w:val="1"/>
      <w:numFmt w:val="decimal"/>
      <w:lvlText w:val="%4."/>
      <w:lvlJc w:val="left"/>
      <w:pPr>
        <w:tabs>
          <w:tab w:val="num" w:pos="2738"/>
        </w:tabs>
        <w:ind w:left="2738" w:hanging="360"/>
      </w:pPr>
    </w:lvl>
    <w:lvl w:ilvl="4" w:tplc="041D0003">
      <w:start w:val="1"/>
      <w:numFmt w:val="decimal"/>
      <w:lvlText w:val="%5."/>
      <w:lvlJc w:val="left"/>
      <w:pPr>
        <w:tabs>
          <w:tab w:val="num" w:pos="3458"/>
        </w:tabs>
        <w:ind w:left="3458" w:hanging="360"/>
      </w:pPr>
    </w:lvl>
    <w:lvl w:ilvl="5" w:tplc="041D0005">
      <w:start w:val="1"/>
      <w:numFmt w:val="decimal"/>
      <w:lvlText w:val="%6."/>
      <w:lvlJc w:val="left"/>
      <w:pPr>
        <w:tabs>
          <w:tab w:val="num" w:pos="4178"/>
        </w:tabs>
        <w:ind w:left="4178" w:hanging="360"/>
      </w:pPr>
    </w:lvl>
    <w:lvl w:ilvl="6" w:tplc="041D0001">
      <w:start w:val="1"/>
      <w:numFmt w:val="decimal"/>
      <w:lvlText w:val="%7."/>
      <w:lvlJc w:val="left"/>
      <w:pPr>
        <w:tabs>
          <w:tab w:val="num" w:pos="4898"/>
        </w:tabs>
        <w:ind w:left="4898" w:hanging="360"/>
      </w:pPr>
    </w:lvl>
    <w:lvl w:ilvl="7" w:tplc="041D0003">
      <w:start w:val="1"/>
      <w:numFmt w:val="decimal"/>
      <w:lvlText w:val="%8."/>
      <w:lvlJc w:val="left"/>
      <w:pPr>
        <w:tabs>
          <w:tab w:val="num" w:pos="5618"/>
        </w:tabs>
        <w:ind w:left="5618" w:hanging="360"/>
      </w:pPr>
    </w:lvl>
    <w:lvl w:ilvl="8" w:tplc="041D0005">
      <w:start w:val="1"/>
      <w:numFmt w:val="decimal"/>
      <w:lvlText w:val="%9."/>
      <w:lvlJc w:val="left"/>
      <w:pPr>
        <w:tabs>
          <w:tab w:val="num" w:pos="6338"/>
        </w:tabs>
        <w:ind w:left="6338" w:hanging="360"/>
      </w:pPr>
    </w:lvl>
  </w:abstractNum>
  <w:abstractNum w:abstractNumId="4" w15:restartNumberingAfterBreak="0">
    <w:nsid w:val="40DF6F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2672C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2E21C2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06B78CF"/>
    <w:multiLevelType w:val="hybridMultilevel"/>
    <w:tmpl w:val="D59A28D6"/>
    <w:lvl w:ilvl="0" w:tplc="F6E658AE">
      <w:start w:val="1"/>
      <w:numFmt w:val="bullet"/>
      <w:lvlText w:val=""/>
      <w:lvlJc w:val="left"/>
      <w:pPr>
        <w:ind w:left="360" w:hanging="360"/>
      </w:pPr>
      <w:rPr>
        <w:rFonts w:ascii="Symbol" w:hAnsi="Symbol" w:hint="default"/>
      </w:rPr>
    </w:lvl>
    <w:lvl w:ilvl="1" w:tplc="041D0003">
      <w:start w:val="1"/>
      <w:numFmt w:val="decimal"/>
      <w:lvlText w:val="%2."/>
      <w:lvlJc w:val="left"/>
      <w:pPr>
        <w:tabs>
          <w:tab w:val="num" w:pos="1080"/>
        </w:tabs>
        <w:ind w:left="1080" w:hanging="360"/>
      </w:pPr>
    </w:lvl>
    <w:lvl w:ilvl="2" w:tplc="041D0005">
      <w:start w:val="1"/>
      <w:numFmt w:val="decimal"/>
      <w:lvlText w:val="%3."/>
      <w:lvlJc w:val="left"/>
      <w:pPr>
        <w:tabs>
          <w:tab w:val="num" w:pos="1800"/>
        </w:tabs>
        <w:ind w:left="1800" w:hanging="360"/>
      </w:pPr>
    </w:lvl>
    <w:lvl w:ilvl="3" w:tplc="041D0001">
      <w:start w:val="1"/>
      <w:numFmt w:val="decimal"/>
      <w:lvlText w:val="%4."/>
      <w:lvlJc w:val="left"/>
      <w:pPr>
        <w:tabs>
          <w:tab w:val="num" w:pos="2520"/>
        </w:tabs>
        <w:ind w:left="2520" w:hanging="360"/>
      </w:pPr>
    </w:lvl>
    <w:lvl w:ilvl="4" w:tplc="041D0003">
      <w:start w:val="1"/>
      <w:numFmt w:val="decimal"/>
      <w:lvlText w:val="%5."/>
      <w:lvlJc w:val="left"/>
      <w:pPr>
        <w:tabs>
          <w:tab w:val="num" w:pos="3240"/>
        </w:tabs>
        <w:ind w:left="3240" w:hanging="360"/>
      </w:pPr>
    </w:lvl>
    <w:lvl w:ilvl="5" w:tplc="041D0005">
      <w:start w:val="1"/>
      <w:numFmt w:val="decimal"/>
      <w:lvlText w:val="%6."/>
      <w:lvlJc w:val="left"/>
      <w:pPr>
        <w:tabs>
          <w:tab w:val="num" w:pos="3960"/>
        </w:tabs>
        <w:ind w:left="3960" w:hanging="360"/>
      </w:pPr>
    </w:lvl>
    <w:lvl w:ilvl="6" w:tplc="041D0001">
      <w:start w:val="1"/>
      <w:numFmt w:val="decimal"/>
      <w:lvlText w:val="%7."/>
      <w:lvlJc w:val="left"/>
      <w:pPr>
        <w:tabs>
          <w:tab w:val="num" w:pos="4680"/>
        </w:tabs>
        <w:ind w:left="4680" w:hanging="360"/>
      </w:pPr>
    </w:lvl>
    <w:lvl w:ilvl="7" w:tplc="041D0003">
      <w:start w:val="1"/>
      <w:numFmt w:val="decimal"/>
      <w:lvlText w:val="%8."/>
      <w:lvlJc w:val="left"/>
      <w:pPr>
        <w:tabs>
          <w:tab w:val="num" w:pos="5400"/>
        </w:tabs>
        <w:ind w:left="5400" w:hanging="360"/>
      </w:pPr>
    </w:lvl>
    <w:lvl w:ilvl="8" w:tplc="041D0005">
      <w:start w:val="1"/>
      <w:numFmt w:val="decimal"/>
      <w:lvlText w:val="%9."/>
      <w:lvlJc w:val="left"/>
      <w:pPr>
        <w:tabs>
          <w:tab w:val="num" w:pos="6120"/>
        </w:tabs>
        <w:ind w:left="6120" w:hanging="360"/>
      </w:pPr>
    </w:lvl>
  </w:abstractNum>
  <w:abstractNum w:abstractNumId="9" w15:restartNumberingAfterBreak="0">
    <w:nsid w:val="77F3670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96078018">
    <w:abstractNumId w:val="1"/>
  </w:num>
  <w:num w:numId="2" w16cid:durableId="1538346992">
    <w:abstractNumId w:val="7"/>
  </w:num>
  <w:num w:numId="3" w16cid:durableId="1955791680">
    <w:abstractNumId w:val="0"/>
  </w:num>
  <w:num w:numId="4" w16cid:durableId="1481574480">
    <w:abstractNumId w:val="10"/>
  </w:num>
  <w:num w:numId="5" w16cid:durableId="461268245">
    <w:abstractNumId w:val="8"/>
  </w:num>
  <w:num w:numId="6" w16cid:durableId="467821099">
    <w:abstractNumId w:val="3"/>
  </w:num>
  <w:num w:numId="7" w16cid:durableId="1719552174">
    <w:abstractNumId w:val="4"/>
  </w:num>
  <w:num w:numId="8" w16cid:durableId="35587084">
    <w:abstractNumId w:val="2"/>
  </w:num>
  <w:num w:numId="9" w16cid:durableId="1581519000">
    <w:abstractNumId w:val="9"/>
  </w:num>
  <w:num w:numId="10" w16cid:durableId="1317997071">
    <w:abstractNumId w:val="5"/>
  </w:num>
  <w:num w:numId="11" w16cid:durableId="274362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55172C"/>
    <w:rsid w:val="0000600B"/>
    <w:rsid w:val="00007428"/>
    <w:rsid w:val="00037057"/>
    <w:rsid w:val="00064B25"/>
    <w:rsid w:val="00074909"/>
    <w:rsid w:val="000827F1"/>
    <w:rsid w:val="000930EA"/>
    <w:rsid w:val="000957ED"/>
    <w:rsid w:val="000B31BA"/>
    <w:rsid w:val="000C6E9C"/>
    <w:rsid w:val="000D1F7C"/>
    <w:rsid w:val="000D751A"/>
    <w:rsid w:val="000F0B95"/>
    <w:rsid w:val="000F6EF9"/>
    <w:rsid w:val="00134686"/>
    <w:rsid w:val="001348B2"/>
    <w:rsid w:val="00186955"/>
    <w:rsid w:val="001B59E4"/>
    <w:rsid w:val="001C278C"/>
    <w:rsid w:val="001C4C4D"/>
    <w:rsid w:val="001E264E"/>
    <w:rsid w:val="0020634B"/>
    <w:rsid w:val="00250D7B"/>
    <w:rsid w:val="002520E5"/>
    <w:rsid w:val="00256004"/>
    <w:rsid w:val="00257C45"/>
    <w:rsid w:val="00262702"/>
    <w:rsid w:val="002A1381"/>
    <w:rsid w:val="002B7DC8"/>
    <w:rsid w:val="002C0F3C"/>
    <w:rsid w:val="002D461D"/>
    <w:rsid w:val="002F0A87"/>
    <w:rsid w:val="002F4D5B"/>
    <w:rsid w:val="003278A8"/>
    <w:rsid w:val="0038560C"/>
    <w:rsid w:val="003A5C6B"/>
    <w:rsid w:val="003A799F"/>
    <w:rsid w:val="003B4CCD"/>
    <w:rsid w:val="003D79D8"/>
    <w:rsid w:val="00401AF7"/>
    <w:rsid w:val="00407C67"/>
    <w:rsid w:val="004164B0"/>
    <w:rsid w:val="0042022C"/>
    <w:rsid w:val="00423258"/>
    <w:rsid w:val="004276FE"/>
    <w:rsid w:val="0043617E"/>
    <w:rsid w:val="0043658A"/>
    <w:rsid w:val="004512C4"/>
    <w:rsid w:val="00453E95"/>
    <w:rsid w:val="00471647"/>
    <w:rsid w:val="004800A5"/>
    <w:rsid w:val="004B09C6"/>
    <w:rsid w:val="004B3D47"/>
    <w:rsid w:val="004E5118"/>
    <w:rsid w:val="004F16D6"/>
    <w:rsid w:val="00502961"/>
    <w:rsid w:val="00511BE8"/>
    <w:rsid w:val="00520580"/>
    <w:rsid w:val="00532326"/>
    <w:rsid w:val="0055172C"/>
    <w:rsid w:val="005A0984"/>
    <w:rsid w:val="005A2C00"/>
    <w:rsid w:val="005A3425"/>
    <w:rsid w:val="005C4F1F"/>
    <w:rsid w:val="005E2860"/>
    <w:rsid w:val="005F4B96"/>
    <w:rsid w:val="0060228E"/>
    <w:rsid w:val="00606830"/>
    <w:rsid w:val="00607C54"/>
    <w:rsid w:val="00640FD6"/>
    <w:rsid w:val="00647003"/>
    <w:rsid w:val="006826BB"/>
    <w:rsid w:val="00685477"/>
    <w:rsid w:val="006D0187"/>
    <w:rsid w:val="007208B0"/>
    <w:rsid w:val="007A624F"/>
    <w:rsid w:val="007B1C73"/>
    <w:rsid w:val="007F1AAF"/>
    <w:rsid w:val="0081176A"/>
    <w:rsid w:val="00826B13"/>
    <w:rsid w:val="0083721E"/>
    <w:rsid w:val="008513E8"/>
    <w:rsid w:val="00853C16"/>
    <w:rsid w:val="008603A2"/>
    <w:rsid w:val="00860A96"/>
    <w:rsid w:val="0087428A"/>
    <w:rsid w:val="00893319"/>
    <w:rsid w:val="008C5787"/>
    <w:rsid w:val="009020EC"/>
    <w:rsid w:val="0090510E"/>
    <w:rsid w:val="00931551"/>
    <w:rsid w:val="00936142"/>
    <w:rsid w:val="00951650"/>
    <w:rsid w:val="009524EA"/>
    <w:rsid w:val="0095495F"/>
    <w:rsid w:val="00957027"/>
    <w:rsid w:val="00974257"/>
    <w:rsid w:val="009848B9"/>
    <w:rsid w:val="00985CC9"/>
    <w:rsid w:val="009B2681"/>
    <w:rsid w:val="009C701B"/>
    <w:rsid w:val="009D1D48"/>
    <w:rsid w:val="009D25BD"/>
    <w:rsid w:val="009D57C8"/>
    <w:rsid w:val="00A062F9"/>
    <w:rsid w:val="00A44154"/>
    <w:rsid w:val="00A44926"/>
    <w:rsid w:val="00A478F8"/>
    <w:rsid w:val="00A57745"/>
    <w:rsid w:val="00A660C7"/>
    <w:rsid w:val="00AA7ADB"/>
    <w:rsid w:val="00B11FC6"/>
    <w:rsid w:val="00B16948"/>
    <w:rsid w:val="00B370DE"/>
    <w:rsid w:val="00B421DE"/>
    <w:rsid w:val="00B4672D"/>
    <w:rsid w:val="00B55C9F"/>
    <w:rsid w:val="00B709AB"/>
    <w:rsid w:val="00BA0C3B"/>
    <w:rsid w:val="00BD37CC"/>
    <w:rsid w:val="00BE4B5C"/>
    <w:rsid w:val="00BE5B10"/>
    <w:rsid w:val="00BF26A9"/>
    <w:rsid w:val="00BF2F5B"/>
    <w:rsid w:val="00BF31D2"/>
    <w:rsid w:val="00BF4551"/>
    <w:rsid w:val="00C1366D"/>
    <w:rsid w:val="00C359AA"/>
    <w:rsid w:val="00C374AE"/>
    <w:rsid w:val="00C61DED"/>
    <w:rsid w:val="00C6357C"/>
    <w:rsid w:val="00C659B0"/>
    <w:rsid w:val="00C66162"/>
    <w:rsid w:val="00CA57AD"/>
    <w:rsid w:val="00CD347C"/>
    <w:rsid w:val="00CD37F0"/>
    <w:rsid w:val="00D203FA"/>
    <w:rsid w:val="00D43BC5"/>
    <w:rsid w:val="00D510F8"/>
    <w:rsid w:val="00D623A0"/>
    <w:rsid w:val="00DA3EFE"/>
    <w:rsid w:val="00DB20B0"/>
    <w:rsid w:val="00DC4401"/>
    <w:rsid w:val="00DC47EB"/>
    <w:rsid w:val="00DC7B60"/>
    <w:rsid w:val="00DD2FCA"/>
    <w:rsid w:val="00DE4913"/>
    <w:rsid w:val="00E442E6"/>
    <w:rsid w:val="00E46740"/>
    <w:rsid w:val="00E547AD"/>
    <w:rsid w:val="00EC0748"/>
    <w:rsid w:val="00EE5AB2"/>
    <w:rsid w:val="00EE7CA1"/>
    <w:rsid w:val="00EF1F67"/>
    <w:rsid w:val="00F159E5"/>
    <w:rsid w:val="00F3417B"/>
    <w:rsid w:val="00F44958"/>
    <w:rsid w:val="00F52C62"/>
    <w:rsid w:val="00F7409D"/>
    <w:rsid w:val="00F76A81"/>
    <w:rsid w:val="00F849C8"/>
    <w:rsid w:val="00F94A3E"/>
    <w:rsid w:val="00FA0C3F"/>
    <w:rsid w:val="00FB0E32"/>
    <w:rsid w:val="00FB1984"/>
    <w:rsid w:val="00FC08F2"/>
    <w:rsid w:val="00FC0EC9"/>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09D74B-7F85-455F-A46E-453D7F24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F52C62"/>
    <w:pPr>
      <w:spacing w:before="62" w:line="250" w:lineRule="atLeast"/>
      <w:jc w:val="both"/>
    </w:pPr>
    <w:rPr>
      <w:sz w:val="19"/>
      <w:lang w:val="sv-SE" w:eastAsia="sv-SE"/>
    </w:rPr>
  </w:style>
  <w:style w:type="paragraph" w:styleId="Rubrik1">
    <w:name w:val="heading 1"/>
    <w:basedOn w:val="Normal"/>
    <w:next w:val="Normal"/>
    <w:qFormat/>
    <w:rsid w:val="00F52C62"/>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F52C62"/>
    <w:pPr>
      <w:spacing w:before="500" w:after="62"/>
      <w:outlineLvl w:val="1"/>
    </w:pPr>
    <w:rPr>
      <w:noProof w:val="0"/>
      <w:sz w:val="27"/>
    </w:rPr>
  </w:style>
  <w:style w:type="paragraph" w:styleId="Rubrik3">
    <w:name w:val="heading 3"/>
    <w:basedOn w:val="Rubrik1"/>
    <w:next w:val="Normal"/>
    <w:qFormat/>
    <w:rsid w:val="00F52C62"/>
    <w:pPr>
      <w:spacing w:before="360" w:after="0" w:line="250" w:lineRule="exact"/>
      <w:outlineLvl w:val="2"/>
    </w:pPr>
    <w:rPr>
      <w:b/>
      <w:sz w:val="21"/>
    </w:rPr>
  </w:style>
  <w:style w:type="paragraph" w:styleId="Rubrik4">
    <w:name w:val="heading 4"/>
    <w:basedOn w:val="Rubrik3"/>
    <w:next w:val="Normal"/>
    <w:qFormat/>
    <w:rsid w:val="00F52C62"/>
    <w:pPr>
      <w:spacing w:before="250"/>
      <w:outlineLvl w:val="3"/>
    </w:pPr>
    <w:rPr>
      <w:b w:val="0"/>
      <w:i/>
    </w:rPr>
  </w:style>
  <w:style w:type="paragraph" w:styleId="Rubrik5">
    <w:name w:val="heading 5"/>
    <w:basedOn w:val="Rubrik3"/>
    <w:next w:val="Normal"/>
    <w:qFormat/>
    <w:rsid w:val="00F52C62"/>
    <w:pPr>
      <w:pBdr>
        <w:bottom w:val="single" w:sz="4" w:space="3" w:color="auto"/>
      </w:pBdr>
      <w:outlineLvl w:val="4"/>
    </w:pPr>
    <w:rPr>
      <w:b w:val="0"/>
      <w:sz w:val="19"/>
    </w:rPr>
  </w:style>
  <w:style w:type="paragraph" w:styleId="Rubrik6">
    <w:name w:val="heading 6"/>
    <w:basedOn w:val="Normal"/>
    <w:next w:val="Normal"/>
    <w:qFormat/>
    <w:rsid w:val="00F52C62"/>
    <w:pPr>
      <w:keepNext/>
      <w:spacing w:before="250" w:line="200" w:lineRule="atLeast"/>
      <w:jc w:val="left"/>
      <w:outlineLvl w:val="5"/>
    </w:pPr>
    <w:rPr>
      <w:sz w:val="16"/>
    </w:rPr>
  </w:style>
  <w:style w:type="paragraph" w:styleId="Rubrik7">
    <w:name w:val="heading 7"/>
    <w:basedOn w:val="Rubrik6"/>
    <w:next w:val="Normal"/>
    <w:qFormat/>
    <w:rsid w:val="00F52C62"/>
    <w:pPr>
      <w:spacing w:line="240" w:lineRule="auto"/>
      <w:outlineLvl w:val="6"/>
    </w:pPr>
    <w:rPr>
      <w:sz w:val="14"/>
    </w:rPr>
  </w:style>
  <w:style w:type="paragraph" w:styleId="Rubrik8">
    <w:name w:val="heading 8"/>
    <w:basedOn w:val="Rubrik7"/>
    <w:next w:val="Normal"/>
    <w:qFormat/>
    <w:rsid w:val="00F52C62"/>
    <w:pPr>
      <w:outlineLvl w:val="7"/>
    </w:pPr>
    <w:rPr>
      <w:i/>
    </w:rPr>
  </w:style>
  <w:style w:type="paragraph" w:styleId="Rubrik9">
    <w:name w:val="heading 9"/>
    <w:basedOn w:val="Normal"/>
    <w:next w:val="Normal"/>
    <w:qFormat/>
    <w:rsid w:val="00F52C62"/>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52C62"/>
    <w:pPr>
      <w:spacing w:before="0"/>
      <w:ind w:firstLine="227"/>
    </w:pPr>
  </w:style>
  <w:style w:type="paragraph" w:customStyle="1" w:styleId="HuvudRubrik">
    <w:name w:val="HuvudRubrik"/>
    <w:basedOn w:val="Normal"/>
    <w:rsid w:val="00F52C62"/>
    <w:pPr>
      <w:keepNext/>
      <w:keepLines/>
      <w:suppressAutoHyphens/>
      <w:spacing w:before="0" w:line="320" w:lineRule="exact"/>
      <w:jc w:val="left"/>
    </w:pPr>
    <w:rPr>
      <w:sz w:val="32"/>
    </w:rPr>
  </w:style>
  <w:style w:type="paragraph" w:customStyle="1" w:styleId="StatusSida1">
    <w:name w:val="Status Sida1"/>
    <w:basedOn w:val="Normal"/>
    <w:rsid w:val="00F52C62"/>
    <w:pPr>
      <w:spacing w:before="0" w:line="240" w:lineRule="auto"/>
      <w:jc w:val="center"/>
    </w:pPr>
    <w:rPr>
      <w:sz w:val="24"/>
    </w:rPr>
  </w:style>
  <w:style w:type="paragraph" w:customStyle="1" w:styleId="UtskriftsdatumSida1">
    <w:name w:val="Utskriftsdatum Sida1"/>
    <w:basedOn w:val="SidhuvudKant"/>
    <w:rsid w:val="00F52C62"/>
    <w:pPr>
      <w:framePr w:wrap="around"/>
      <w:spacing w:line="240" w:lineRule="auto"/>
      <w:jc w:val="center"/>
    </w:pPr>
  </w:style>
  <w:style w:type="paragraph" w:customStyle="1" w:styleId="SidhuvudKant">
    <w:name w:val="SidhuvudKant"/>
    <w:basedOn w:val="Sidhuvud"/>
    <w:rsid w:val="00F52C62"/>
    <w:pPr>
      <w:framePr w:w="8789" w:vSpace="142" w:wrap="around" w:vAnchor="text" w:hAnchor="page" w:xAlign="inside" w:y="1" w:anchorLock="1"/>
      <w:ind w:left="0"/>
    </w:pPr>
  </w:style>
  <w:style w:type="paragraph" w:styleId="Sidhuvud">
    <w:name w:val="header"/>
    <w:basedOn w:val="Normal"/>
    <w:rsid w:val="00F52C62"/>
    <w:pPr>
      <w:tabs>
        <w:tab w:val="center" w:pos="4252"/>
        <w:tab w:val="right" w:pos="8504"/>
      </w:tabs>
      <w:spacing w:before="0"/>
      <w:ind w:left="-851"/>
      <w:jc w:val="left"/>
    </w:pPr>
  </w:style>
  <w:style w:type="paragraph" w:customStyle="1" w:styleId="Yrkanden">
    <w:name w:val="Yrkanden"/>
    <w:basedOn w:val="Normal"/>
    <w:rsid w:val="00F52C62"/>
    <w:pPr>
      <w:ind w:left="227" w:hanging="227"/>
    </w:pPr>
  </w:style>
  <w:style w:type="paragraph" w:customStyle="1" w:styleId="Tabelltextsiffror">
    <w:name w:val="Tabelltext siffror"/>
    <w:basedOn w:val="Tabelltext"/>
    <w:rsid w:val="00F52C62"/>
    <w:pPr>
      <w:jc w:val="right"/>
    </w:pPr>
  </w:style>
  <w:style w:type="paragraph" w:styleId="Citat">
    <w:name w:val="Quote"/>
    <w:basedOn w:val="Normal"/>
    <w:next w:val="CitatIndrag"/>
    <w:qFormat/>
    <w:rsid w:val="00F52C62"/>
    <w:pPr>
      <w:spacing w:before="0" w:line="200" w:lineRule="exact"/>
      <w:ind w:left="340"/>
    </w:pPr>
  </w:style>
  <w:style w:type="paragraph" w:customStyle="1" w:styleId="CitatIndrag">
    <w:name w:val="CitatIndrag"/>
    <w:basedOn w:val="Citat"/>
    <w:rsid w:val="00F52C62"/>
    <w:pPr>
      <w:ind w:firstLine="227"/>
    </w:pPr>
  </w:style>
  <w:style w:type="paragraph" w:customStyle="1" w:styleId="Deltagare">
    <w:name w:val="Deltagare"/>
    <w:basedOn w:val="Normal"/>
    <w:next w:val="Normal"/>
    <w:rsid w:val="00F52C62"/>
    <w:pPr>
      <w:keepLines/>
      <w:spacing w:before="500" w:line="200" w:lineRule="exact"/>
    </w:pPr>
    <w:rPr>
      <w:noProof/>
    </w:rPr>
  </w:style>
  <w:style w:type="paragraph" w:styleId="Fotnotstext">
    <w:name w:val="footnote text"/>
    <w:basedOn w:val="Normal"/>
    <w:next w:val="Fotnotstextindrag"/>
    <w:semiHidden/>
    <w:rsid w:val="00F52C62"/>
    <w:pPr>
      <w:spacing w:before="0" w:line="170" w:lineRule="exact"/>
    </w:pPr>
    <w:rPr>
      <w:sz w:val="17"/>
    </w:rPr>
  </w:style>
  <w:style w:type="paragraph" w:customStyle="1" w:styleId="Innehll">
    <w:name w:val="Innehåll"/>
    <w:basedOn w:val="Rubrik1"/>
    <w:next w:val="Normal"/>
    <w:rsid w:val="00F52C62"/>
  </w:style>
  <w:style w:type="paragraph" w:styleId="Innehll1">
    <w:name w:val="toc 1"/>
    <w:basedOn w:val="Normal"/>
    <w:uiPriority w:val="39"/>
    <w:rsid w:val="00F52C62"/>
    <w:pPr>
      <w:tabs>
        <w:tab w:val="right" w:leader="dot" w:pos="5954"/>
      </w:tabs>
      <w:spacing w:before="0"/>
      <w:ind w:right="567"/>
      <w:jc w:val="left"/>
    </w:pPr>
  </w:style>
  <w:style w:type="paragraph" w:styleId="Innehll2">
    <w:name w:val="toc 2"/>
    <w:basedOn w:val="Innehll1"/>
    <w:uiPriority w:val="39"/>
    <w:rsid w:val="00F52C62"/>
    <w:pPr>
      <w:ind w:left="568" w:hanging="284"/>
    </w:pPr>
  </w:style>
  <w:style w:type="paragraph" w:styleId="Innehll3">
    <w:name w:val="toc 3"/>
    <w:basedOn w:val="Innehll1"/>
    <w:uiPriority w:val="39"/>
    <w:rsid w:val="00F52C62"/>
    <w:pPr>
      <w:ind w:left="851" w:hanging="284"/>
    </w:pPr>
  </w:style>
  <w:style w:type="paragraph" w:styleId="Innehll4">
    <w:name w:val="toc 4"/>
    <w:basedOn w:val="Innehll1"/>
    <w:semiHidden/>
    <w:rsid w:val="00F52C62"/>
    <w:pPr>
      <w:ind w:left="1135" w:hanging="284"/>
    </w:pPr>
  </w:style>
  <w:style w:type="paragraph" w:styleId="Innehll5">
    <w:name w:val="toc 5"/>
    <w:basedOn w:val="Innehll4"/>
    <w:next w:val="Normal"/>
    <w:semiHidden/>
    <w:rsid w:val="00F52C62"/>
    <w:pPr>
      <w:ind w:left="907"/>
    </w:pPr>
  </w:style>
  <w:style w:type="paragraph" w:styleId="Innehll6">
    <w:name w:val="toc 6"/>
    <w:basedOn w:val="Innehll5"/>
    <w:next w:val="Normal"/>
    <w:semiHidden/>
    <w:rsid w:val="00F52C62"/>
    <w:pPr>
      <w:ind w:left="1134"/>
    </w:pPr>
  </w:style>
  <w:style w:type="paragraph" w:styleId="Innehll7">
    <w:name w:val="toc 7"/>
    <w:basedOn w:val="Innehll6"/>
    <w:next w:val="Normal"/>
    <w:semiHidden/>
    <w:rsid w:val="00F52C62"/>
    <w:pPr>
      <w:ind w:left="1361"/>
    </w:pPr>
  </w:style>
  <w:style w:type="paragraph" w:styleId="Innehll8">
    <w:name w:val="toc 8"/>
    <w:basedOn w:val="Innehll7"/>
    <w:next w:val="Normal"/>
    <w:semiHidden/>
    <w:rsid w:val="00F52C62"/>
    <w:pPr>
      <w:ind w:left="1588"/>
    </w:pPr>
  </w:style>
  <w:style w:type="paragraph" w:styleId="Innehll9">
    <w:name w:val="toc 9"/>
    <w:basedOn w:val="Normal"/>
    <w:next w:val="Normal"/>
    <w:semiHidden/>
    <w:rsid w:val="00F52C62"/>
    <w:pPr>
      <w:tabs>
        <w:tab w:val="right" w:leader="dot" w:pos="5896"/>
      </w:tabs>
      <w:spacing w:before="0"/>
      <w:ind w:left="1814"/>
    </w:pPr>
  </w:style>
  <w:style w:type="character" w:styleId="Kommentarsreferens">
    <w:name w:val="annotation reference"/>
    <w:basedOn w:val="Standardstycketeckensnitt"/>
    <w:semiHidden/>
    <w:rsid w:val="00F52C62"/>
    <w:rPr>
      <w:sz w:val="16"/>
    </w:rPr>
  </w:style>
  <w:style w:type="paragraph" w:customStyle="1" w:styleId="Lagtext">
    <w:name w:val="Lagtext"/>
    <w:basedOn w:val="Normal"/>
    <w:rsid w:val="00F52C62"/>
    <w:pPr>
      <w:spacing w:before="0" w:line="220" w:lineRule="exact"/>
    </w:pPr>
  </w:style>
  <w:style w:type="paragraph" w:customStyle="1" w:styleId="LagtextIndrag">
    <w:name w:val="LagtextIndrag"/>
    <w:basedOn w:val="Lagtext"/>
    <w:rsid w:val="00F52C62"/>
    <w:pPr>
      <w:ind w:firstLine="170"/>
    </w:pPr>
  </w:style>
  <w:style w:type="paragraph" w:styleId="Makrotext">
    <w:name w:val="macro"/>
    <w:semiHidden/>
    <w:rsid w:val="00F52C62"/>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F52C62"/>
    <w:rPr>
      <w:smallCaps/>
      <w:spacing w:val="14"/>
      <w:sz w:val="16"/>
    </w:rPr>
  </w:style>
  <w:style w:type="character" w:customStyle="1" w:styleId="SidhuvudRubrikReferens">
    <w:name w:val="SidhuvudRubrikReferens"/>
    <w:basedOn w:val="Standardstycketeckensnitt"/>
    <w:rsid w:val="00F52C62"/>
    <w:rPr>
      <w:smallCaps/>
      <w:spacing w:val="14"/>
      <w:sz w:val="16"/>
    </w:rPr>
  </w:style>
  <w:style w:type="paragraph" w:customStyle="1" w:styleId="R1">
    <w:name w:val="R1"/>
    <w:basedOn w:val="Normal"/>
    <w:next w:val="Normal"/>
    <w:rsid w:val="00F52C62"/>
    <w:pPr>
      <w:keepNext/>
      <w:keepLines/>
      <w:suppressAutoHyphens/>
      <w:spacing w:before="0" w:after="555"/>
      <w:jc w:val="left"/>
    </w:pPr>
    <w:rPr>
      <w:sz w:val="32"/>
    </w:rPr>
  </w:style>
  <w:style w:type="paragraph" w:customStyle="1" w:styleId="R2">
    <w:name w:val="R2"/>
    <w:basedOn w:val="Normal"/>
    <w:next w:val="Normal"/>
    <w:rsid w:val="00F52C62"/>
    <w:pPr>
      <w:keepNext/>
      <w:keepLines/>
      <w:suppressAutoHyphens/>
      <w:spacing w:before="500" w:after="62"/>
      <w:jc w:val="left"/>
    </w:pPr>
    <w:rPr>
      <w:sz w:val="27"/>
    </w:rPr>
  </w:style>
  <w:style w:type="paragraph" w:customStyle="1" w:styleId="R3">
    <w:name w:val="R3"/>
    <w:basedOn w:val="Normal"/>
    <w:next w:val="Normal"/>
    <w:rsid w:val="00F52C62"/>
    <w:pPr>
      <w:keepNext/>
      <w:keepLines/>
      <w:suppressAutoHyphens/>
      <w:spacing w:before="360" w:line="250" w:lineRule="exact"/>
      <w:jc w:val="left"/>
    </w:pPr>
    <w:rPr>
      <w:b/>
      <w:sz w:val="21"/>
    </w:rPr>
  </w:style>
  <w:style w:type="paragraph" w:customStyle="1" w:styleId="R4">
    <w:name w:val="R4"/>
    <w:basedOn w:val="Normal"/>
    <w:next w:val="Normal"/>
    <w:rsid w:val="00F52C62"/>
    <w:pPr>
      <w:keepNext/>
      <w:keepLines/>
      <w:suppressAutoHyphens/>
      <w:spacing w:before="250" w:line="250" w:lineRule="exact"/>
      <w:jc w:val="left"/>
    </w:pPr>
    <w:rPr>
      <w:i/>
      <w:sz w:val="21"/>
    </w:rPr>
  </w:style>
  <w:style w:type="paragraph" w:styleId="Sidfot">
    <w:name w:val="footer"/>
    <w:basedOn w:val="Normal"/>
    <w:rsid w:val="00F52C62"/>
    <w:pPr>
      <w:tabs>
        <w:tab w:val="center" w:pos="4703"/>
        <w:tab w:val="right" w:pos="9406"/>
      </w:tabs>
      <w:spacing w:before="0"/>
    </w:pPr>
  </w:style>
  <w:style w:type="paragraph" w:customStyle="1" w:styleId="SidfotH">
    <w:name w:val="SidfotH"/>
    <w:basedOn w:val="Normal"/>
    <w:rsid w:val="00F52C62"/>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F52C62"/>
    <w:pPr>
      <w:framePr w:wrap="around"/>
      <w:jc w:val="left"/>
    </w:pPr>
  </w:style>
  <w:style w:type="paragraph" w:customStyle="1" w:styleId="Pxx-utskottetsvgnar">
    <w:name w:val="På xx-utskottets vägnar"/>
    <w:basedOn w:val="Normal"/>
    <w:next w:val="Ordfranden"/>
    <w:rsid w:val="00F52C62"/>
    <w:pPr>
      <w:keepNext/>
      <w:spacing w:before="250"/>
    </w:pPr>
  </w:style>
  <w:style w:type="paragraph" w:customStyle="1" w:styleId="Ordfranden">
    <w:name w:val="Ordföranden"/>
    <w:basedOn w:val="Normal"/>
    <w:next w:val="Deltagare"/>
    <w:rsid w:val="00F52C62"/>
    <w:pPr>
      <w:keepNext/>
      <w:spacing w:before="500"/>
    </w:pPr>
    <w:rPr>
      <w:i/>
      <w:noProof/>
    </w:rPr>
  </w:style>
  <w:style w:type="character" w:styleId="Sidnummer">
    <w:name w:val="page number"/>
    <w:basedOn w:val="Standardstycketeckensnitt"/>
    <w:rsid w:val="00F52C62"/>
    <w:rPr>
      <w:rFonts w:ascii="Times New Roman" w:hAnsi="Times New Roman"/>
      <w:sz w:val="19"/>
    </w:rPr>
  </w:style>
  <w:style w:type="paragraph" w:customStyle="1" w:styleId="Tryckort">
    <w:name w:val="Tryckort"/>
    <w:basedOn w:val="Normal"/>
    <w:rsid w:val="00F52C62"/>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F52C62"/>
  </w:style>
  <w:style w:type="paragraph" w:customStyle="1" w:styleId="LagtextRubrik">
    <w:name w:val="LagtextRubrik"/>
    <w:basedOn w:val="Normal"/>
    <w:next w:val="LagtextIndrag"/>
    <w:rsid w:val="00F52C62"/>
    <w:pPr>
      <w:spacing w:before="0" w:after="220" w:line="220" w:lineRule="exact"/>
    </w:pPr>
    <w:rPr>
      <w:i/>
    </w:rPr>
  </w:style>
  <w:style w:type="character" w:styleId="Fotnotsreferens">
    <w:name w:val="footnote reference"/>
    <w:basedOn w:val="Standardstycketeckensnitt"/>
    <w:semiHidden/>
    <w:rsid w:val="00F52C62"/>
    <w:rPr>
      <w:vertAlign w:val="superscript"/>
    </w:rPr>
  </w:style>
  <w:style w:type="paragraph" w:customStyle="1" w:styleId="SidhuvudKantJmn">
    <w:name w:val="SidhuvudKantJämn"/>
    <w:basedOn w:val="SidhuvudKant"/>
    <w:rsid w:val="00F52C62"/>
    <w:pPr>
      <w:framePr w:wrap="around"/>
    </w:pPr>
  </w:style>
  <w:style w:type="character" w:customStyle="1" w:styleId="SidhuvudUtskott">
    <w:name w:val="SidhuvudUtskott"/>
    <w:basedOn w:val="Standardstycketeckensnitt"/>
    <w:rsid w:val="00F52C62"/>
    <w:rPr>
      <w:spacing w:val="14"/>
      <w:sz w:val="16"/>
    </w:rPr>
  </w:style>
  <w:style w:type="paragraph" w:customStyle="1" w:styleId="SidhuvudKantUdda">
    <w:name w:val="SidhuvudKantUdda"/>
    <w:basedOn w:val="SidhuvudKant"/>
    <w:rsid w:val="00F52C62"/>
    <w:pPr>
      <w:framePr w:wrap="around"/>
      <w:jc w:val="right"/>
    </w:pPr>
  </w:style>
  <w:style w:type="paragraph" w:styleId="Dokumentversikt">
    <w:name w:val="Document Map"/>
    <w:basedOn w:val="Normal"/>
    <w:semiHidden/>
    <w:rsid w:val="00F52C62"/>
    <w:pPr>
      <w:shd w:val="clear" w:color="auto" w:fill="000080"/>
    </w:pPr>
    <w:rPr>
      <w:rFonts w:ascii="Tahoma" w:hAnsi="Tahoma"/>
    </w:rPr>
  </w:style>
  <w:style w:type="paragraph" w:customStyle="1" w:styleId="OrtochDatum">
    <w:name w:val="Ort och Datum"/>
    <w:basedOn w:val="Normal"/>
    <w:next w:val="Normal"/>
    <w:rsid w:val="00F52C62"/>
    <w:pPr>
      <w:keepNext/>
      <w:spacing w:before="0"/>
    </w:pPr>
  </w:style>
  <w:style w:type="paragraph" w:customStyle="1" w:styleId="Bilaga">
    <w:name w:val="Bilaga"/>
    <w:basedOn w:val="Rubrik2"/>
    <w:rsid w:val="00F52C62"/>
    <w:pPr>
      <w:spacing w:before="0" w:after="40" w:line="190" w:lineRule="exact"/>
      <w:outlineLvl w:val="9"/>
    </w:pPr>
    <w:rPr>
      <w:caps/>
      <w:sz w:val="19"/>
      <w:u w:val="single"/>
    </w:rPr>
  </w:style>
  <w:style w:type="paragraph" w:customStyle="1" w:styleId="DokumentRubrik">
    <w:name w:val="DokumentRubrik"/>
    <w:basedOn w:val="Normal"/>
    <w:rsid w:val="00F52C62"/>
    <w:pPr>
      <w:spacing w:before="0" w:after="20" w:line="240" w:lineRule="atLeast"/>
      <w:jc w:val="left"/>
    </w:pPr>
    <w:rPr>
      <w:noProof/>
      <w:sz w:val="40"/>
    </w:rPr>
  </w:style>
  <w:style w:type="paragraph" w:customStyle="1" w:styleId="Frslagspunkt">
    <w:name w:val="Förslagspunkt"/>
    <w:basedOn w:val="Rubrik3"/>
    <w:rsid w:val="00F52C62"/>
    <w:pPr>
      <w:spacing w:before="250"/>
      <w:ind w:left="340" w:hanging="340"/>
      <w:outlineLvl w:val="9"/>
    </w:pPr>
  </w:style>
  <w:style w:type="paragraph" w:customStyle="1" w:styleId="Frslagstext">
    <w:name w:val="Förslagstext"/>
    <w:basedOn w:val="Normal"/>
    <w:rsid w:val="00F52C62"/>
    <w:pPr>
      <w:spacing w:before="0"/>
      <w:ind w:left="340"/>
    </w:pPr>
  </w:style>
  <w:style w:type="paragraph" w:styleId="Kommentarer">
    <w:name w:val="annotation text"/>
    <w:basedOn w:val="Normal"/>
    <w:semiHidden/>
    <w:rsid w:val="00F52C62"/>
    <w:pPr>
      <w:spacing w:before="0"/>
    </w:pPr>
    <w:rPr>
      <w:sz w:val="20"/>
    </w:rPr>
  </w:style>
  <w:style w:type="paragraph" w:customStyle="1" w:styleId="Reservanter">
    <w:name w:val="Reservanter"/>
    <w:basedOn w:val="Normaltindrag"/>
    <w:rsid w:val="00F52C62"/>
    <w:pPr>
      <w:ind w:left="340" w:firstLine="0"/>
    </w:pPr>
  </w:style>
  <w:style w:type="paragraph" w:customStyle="1" w:styleId="Reservantfrslag">
    <w:name w:val="Reservantförslag"/>
    <w:basedOn w:val="Normal"/>
    <w:rsid w:val="00F52C62"/>
    <w:pPr>
      <w:spacing w:before="0"/>
    </w:pPr>
  </w:style>
  <w:style w:type="paragraph" w:customStyle="1" w:styleId="Reservationshnvisning">
    <w:name w:val="Reservationshänvisning"/>
    <w:basedOn w:val="Normal"/>
    <w:rsid w:val="00F52C62"/>
    <w:pPr>
      <w:spacing w:before="0"/>
      <w:jc w:val="right"/>
    </w:pPr>
    <w:rPr>
      <w:i/>
    </w:rPr>
  </w:style>
  <w:style w:type="paragraph" w:customStyle="1" w:styleId="Reservationspunkt">
    <w:name w:val="Reservationspunkt"/>
    <w:basedOn w:val="Frslagspunkt"/>
    <w:next w:val="Reservanter"/>
    <w:rsid w:val="00F52C62"/>
    <w:pPr>
      <w:spacing w:before="360"/>
      <w:outlineLvl w:val="1"/>
    </w:pPr>
  </w:style>
  <w:style w:type="paragraph" w:customStyle="1" w:styleId="Rubrik1b">
    <w:name w:val="Rubrik 1b"/>
    <w:basedOn w:val="Rubrik2"/>
    <w:rsid w:val="00F52C62"/>
    <w:rPr>
      <w:b/>
    </w:rPr>
  </w:style>
  <w:style w:type="paragraph" w:customStyle="1" w:styleId="Rubrik2b">
    <w:name w:val="Rubrik 2b"/>
    <w:basedOn w:val="Rubrik2"/>
    <w:rsid w:val="00F52C62"/>
    <w:pPr>
      <w:spacing w:before="360" w:after="0"/>
    </w:pPr>
    <w:rPr>
      <w:sz w:val="25"/>
    </w:rPr>
  </w:style>
  <w:style w:type="paragraph" w:customStyle="1" w:styleId="Rubrik2c">
    <w:name w:val="Rubrik 2c"/>
    <w:basedOn w:val="Rubrik2b"/>
    <w:rsid w:val="00F52C62"/>
    <w:pPr>
      <w:pBdr>
        <w:bottom w:val="single" w:sz="4" w:space="3" w:color="auto"/>
      </w:pBdr>
    </w:pPr>
    <w:rPr>
      <w:i/>
      <w:sz w:val="23"/>
    </w:rPr>
  </w:style>
  <w:style w:type="paragraph" w:customStyle="1" w:styleId="Utskottsfrslagikorthet-Text">
    <w:name w:val="Utskottsförslag i korthet - Text"/>
    <w:basedOn w:val="Normal"/>
    <w:rsid w:val="00F52C62"/>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F52C62"/>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F52C62"/>
    <w:pPr>
      <w:pBdr>
        <w:top w:val="single" w:sz="4" w:space="1" w:color="auto"/>
        <w:bottom w:val="single" w:sz="4" w:space="1" w:color="auto"/>
      </w:pBdr>
    </w:pPr>
  </w:style>
  <w:style w:type="paragraph" w:customStyle="1" w:styleId="Utskriftsdatum">
    <w:name w:val="Utskriftsdatum"/>
    <w:basedOn w:val="Normal"/>
    <w:next w:val="Normal"/>
    <w:rsid w:val="00F52C62"/>
    <w:pPr>
      <w:keepNext/>
      <w:spacing w:before="0" w:after="125"/>
    </w:pPr>
  </w:style>
  <w:style w:type="paragraph" w:customStyle="1" w:styleId="Utskottetsvervganden-RubrikFrslagspunkt">
    <w:name w:val="Utskottets överväganden - Rubrik Förslagspunkt"/>
    <w:basedOn w:val="Rubrik2"/>
    <w:next w:val="Utskottsfrslagikorthet-Rubrik"/>
    <w:rsid w:val="00F52C62"/>
    <w:pPr>
      <w:spacing w:after="0"/>
    </w:pPr>
  </w:style>
  <w:style w:type="paragraph" w:customStyle="1" w:styleId="Motioner">
    <w:name w:val="Motioner"/>
    <w:basedOn w:val="Normal"/>
    <w:rsid w:val="00F52C62"/>
    <w:pPr>
      <w:spacing w:before="188"/>
      <w:jc w:val="left"/>
    </w:pPr>
    <w:rPr>
      <w:i/>
    </w:rPr>
  </w:style>
  <w:style w:type="paragraph" w:customStyle="1" w:styleId="Tabellrubrik">
    <w:name w:val="Tabellrubrik"/>
    <w:basedOn w:val="Normal"/>
    <w:next w:val="Tabelltext"/>
    <w:rsid w:val="00F52C62"/>
    <w:pPr>
      <w:spacing w:before="250" w:line="200" w:lineRule="atLeast"/>
      <w:ind w:left="851" w:hanging="851"/>
      <w:jc w:val="left"/>
    </w:pPr>
    <w:rPr>
      <w:caps/>
      <w:spacing w:val="8"/>
      <w:sz w:val="14"/>
    </w:rPr>
  </w:style>
  <w:style w:type="paragraph" w:customStyle="1" w:styleId="Bildrubrik">
    <w:name w:val="Bildrubrik"/>
    <w:basedOn w:val="Tabellrubrik"/>
    <w:next w:val="Normal"/>
    <w:rsid w:val="00F52C62"/>
  </w:style>
  <w:style w:type="paragraph" w:customStyle="1" w:styleId="Diagramrubrik">
    <w:name w:val="Diagramrubrik"/>
    <w:basedOn w:val="Tabellrubrik"/>
    <w:next w:val="Normal"/>
    <w:rsid w:val="00F52C62"/>
  </w:style>
  <w:style w:type="paragraph" w:styleId="Figurfrteckning">
    <w:name w:val="table of figures"/>
    <w:basedOn w:val="Normal"/>
    <w:next w:val="Normal"/>
    <w:semiHidden/>
    <w:rsid w:val="00F52C62"/>
    <w:pPr>
      <w:ind w:left="380" w:hanging="380"/>
    </w:pPr>
  </w:style>
  <w:style w:type="paragraph" w:styleId="Oformateradtext">
    <w:name w:val="Plain Text"/>
    <w:basedOn w:val="Normal"/>
    <w:rsid w:val="00F52C62"/>
    <w:pPr>
      <w:widowControl w:val="0"/>
      <w:spacing w:line="240" w:lineRule="auto"/>
      <w:jc w:val="left"/>
    </w:pPr>
    <w:rPr>
      <w:rFonts w:ascii="Courier New" w:hAnsi="Courier New"/>
      <w:sz w:val="20"/>
    </w:rPr>
  </w:style>
  <w:style w:type="character" w:styleId="Radnummer">
    <w:name w:val="line number"/>
    <w:basedOn w:val="Standardstycketeckensnitt"/>
    <w:rsid w:val="00F52C62"/>
  </w:style>
  <w:style w:type="paragraph" w:customStyle="1" w:styleId="RubrikBetNrDeldokument">
    <w:name w:val="Rubrik BetNr Deldokument"/>
    <w:basedOn w:val="Normal"/>
    <w:rsid w:val="00F52C62"/>
    <w:pPr>
      <w:spacing w:before="0" w:line="240" w:lineRule="auto"/>
      <w:jc w:val="left"/>
    </w:pPr>
    <w:rPr>
      <w:sz w:val="28"/>
    </w:rPr>
  </w:style>
  <w:style w:type="paragraph" w:customStyle="1" w:styleId="Tabelltext">
    <w:name w:val="Tabelltext"/>
    <w:basedOn w:val="Normal"/>
    <w:rsid w:val="00F52C62"/>
    <w:pPr>
      <w:spacing w:before="0" w:line="200" w:lineRule="exact"/>
      <w:jc w:val="left"/>
    </w:pPr>
    <w:rPr>
      <w:sz w:val="16"/>
    </w:rPr>
  </w:style>
  <w:style w:type="paragraph" w:customStyle="1" w:styleId="TabellNot">
    <w:name w:val="TabellNot"/>
    <w:basedOn w:val="Tabelltext"/>
    <w:rsid w:val="00F52C62"/>
    <w:rPr>
      <w:sz w:val="12"/>
    </w:rPr>
  </w:style>
  <w:style w:type="paragraph" w:customStyle="1" w:styleId="Formatmall1">
    <w:name w:val="Formatmall1"/>
    <w:basedOn w:val="Reservationspunkt"/>
    <w:next w:val="Reservanter"/>
    <w:rsid w:val="00F52C62"/>
  </w:style>
  <w:style w:type="paragraph" w:customStyle="1" w:styleId="Fotnotstextindrag">
    <w:name w:val="Fotnotstext indrag"/>
    <w:basedOn w:val="Fotnotstext"/>
    <w:rsid w:val="00F52C62"/>
    <w:pPr>
      <w:ind w:left="113"/>
    </w:pPr>
  </w:style>
  <w:style w:type="paragraph" w:customStyle="1" w:styleId="Yttrandepunkt">
    <w:name w:val="Yttrandepunkt"/>
    <w:basedOn w:val="Reservationspunkt"/>
    <w:next w:val="Reservanter"/>
    <w:rsid w:val="00F52C62"/>
  </w:style>
  <w:style w:type="paragraph" w:styleId="Liststycke">
    <w:name w:val="List Paragraph"/>
    <w:basedOn w:val="Normal"/>
    <w:uiPriority w:val="34"/>
    <w:qFormat/>
    <w:rsid w:val="00256004"/>
    <w:pPr>
      <w:ind w:left="720"/>
      <w:contextualSpacing/>
    </w:pPr>
  </w:style>
  <w:style w:type="paragraph" w:styleId="Ballongtext">
    <w:name w:val="Balloon Text"/>
    <w:basedOn w:val="Normal"/>
    <w:link w:val="BallongtextChar"/>
    <w:uiPriority w:val="99"/>
    <w:semiHidden/>
    <w:unhideWhenUsed/>
    <w:rsid w:val="000B31BA"/>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B3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3967</Words>
  <Characters>27142</Characters>
  <Application>Microsoft Office Word</Application>
  <DocSecurity>4</DocSecurity>
  <Lines>521</Lines>
  <Paragraphs>157</Paragraphs>
  <ScaleCrop>false</ScaleCrop>
  <HeadingPairs>
    <vt:vector size="6" baseType="variant">
      <vt:variant>
        <vt:lpstr>Rubrik</vt:lpstr>
      </vt:variant>
      <vt:variant>
        <vt:i4>1</vt:i4>
      </vt:variant>
      <vt:variant>
        <vt:lpstr>Rubriker</vt:lpstr>
      </vt:variant>
      <vt:variant>
        <vt:i4>22</vt:i4>
      </vt:variant>
      <vt:variant>
        <vt:lpstr>Title</vt:lpstr>
      </vt:variant>
      <vt:variant>
        <vt:i4>1</vt:i4>
      </vt:variant>
    </vt:vector>
  </HeadingPairs>
  <TitlesOfParts>
    <vt:vector size="24" baseType="lpstr">
      <vt:lpstr>1999/2000:T1</vt:lpstr>
      <vt:lpstr>Sammanfattning</vt:lpstr>
      <vt:lpstr>Innehållsförteckning</vt:lpstr>
      <vt:lpstr>Styrelsens förslag</vt:lpstr>
      <vt:lpstr>Riksrevisionens granskning</vt:lpstr>
      <vt:lpstr>    Bakgrund </vt:lpstr>
      <vt:lpstr>    Syfte och revisionsfrågor</vt:lpstr>
      <vt:lpstr>    Sammanslagningarna</vt:lpstr>
      <vt:lpstr>        Försäkringskassan </vt:lpstr>
      <vt:lpstr>        Skatteverket</vt:lpstr>
      <vt:lpstr>        Åklagarmyndigheten</vt:lpstr>
      <vt:lpstr>    Riksrevisionens iakttagelser och slutsatser</vt:lpstr>
      <vt:lpstr>        Vad har myndigheterna gjort?</vt:lpstr>
      <vt:lpstr>        Har enhetligheten ökat?</vt:lpstr>
      <vt:lpstr>        Vad vet myndigheterna och regeringen om måluppfyllelsen?</vt:lpstr>
      <vt:lpstr>        Kostnads- och produktivitetsutvecklingen vid myndigheterna</vt:lpstr>
      <vt:lpstr>        Baksidan av sammanslagningar</vt:lpstr>
      <vt:lpstr>    Riksrevisionens rekommendationer</vt:lpstr>
      <vt:lpstr>        Riksrevisionen rekommenderar berörda myndigheter att </vt:lpstr>
      <vt:lpstr>        Riksrevisionen rekommenderar regeringen att </vt:lpstr>
      <vt:lpstr>Styrelsens överväganden</vt:lpstr>
      <vt:lpstr>    Återrapportering till riksdagen</vt:lpstr>
      <vt:lpstr>    Styrelsens förslag </vt:lpstr>
      <vt:lpstr/>
    </vt:vector>
  </TitlesOfParts>
  <Company>Riksdagen</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2010-05-05T13:58:00Z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30</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