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376A39"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376A39">
        <w:tc>
          <w:tcPr>
            <w:tcW w:w="9141" w:type="dxa"/>
          </w:tcPr>
          <w:p w:rsidR="00177FF8" w:rsidRPr="00376A39" w:rsidRDefault="00177FF8">
            <w:pPr>
              <w:rPr>
                <w:sz w:val="22"/>
                <w:szCs w:val="22"/>
              </w:rPr>
            </w:pPr>
            <w:r w:rsidRPr="00376A39">
              <w:rPr>
                <w:sz w:val="22"/>
                <w:szCs w:val="22"/>
              </w:rPr>
              <w:t>RIKSDAGEN</w:t>
            </w:r>
          </w:p>
          <w:p w:rsidR="00177FF8" w:rsidRPr="00376A39" w:rsidRDefault="00177FF8">
            <w:pPr>
              <w:rPr>
                <w:sz w:val="22"/>
                <w:szCs w:val="22"/>
              </w:rPr>
            </w:pPr>
            <w:r w:rsidRPr="00376A39">
              <w:rPr>
                <w:sz w:val="22"/>
                <w:szCs w:val="22"/>
              </w:rPr>
              <w:t>MILJÖ- OCH JORDBRUKSUTSKOTTET</w:t>
            </w:r>
          </w:p>
        </w:tc>
      </w:tr>
    </w:tbl>
    <w:p w:rsidR="00177FF8" w:rsidRPr="00376A39" w:rsidRDefault="00177FF8">
      <w:pPr>
        <w:rPr>
          <w:sz w:val="22"/>
          <w:szCs w:val="22"/>
        </w:rPr>
      </w:pPr>
    </w:p>
    <w:p w:rsidR="00177FF8" w:rsidRPr="00376A39"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376A39">
        <w:trPr>
          <w:cantSplit/>
          <w:trHeight w:val="742"/>
        </w:trPr>
        <w:tc>
          <w:tcPr>
            <w:tcW w:w="1985" w:type="dxa"/>
          </w:tcPr>
          <w:p w:rsidR="00177FF8" w:rsidRPr="00376A39" w:rsidRDefault="00177FF8">
            <w:pPr>
              <w:rPr>
                <w:b/>
                <w:sz w:val="22"/>
                <w:szCs w:val="22"/>
              </w:rPr>
            </w:pPr>
            <w:r w:rsidRPr="00376A39">
              <w:rPr>
                <w:b/>
                <w:sz w:val="22"/>
                <w:szCs w:val="22"/>
              </w:rPr>
              <w:t xml:space="preserve">PROTOKOLL </w:t>
            </w:r>
          </w:p>
        </w:tc>
        <w:tc>
          <w:tcPr>
            <w:tcW w:w="6463" w:type="dxa"/>
          </w:tcPr>
          <w:p w:rsidR="00177FF8" w:rsidRPr="00376A39" w:rsidRDefault="00626575">
            <w:pPr>
              <w:rPr>
                <w:b/>
                <w:sz w:val="22"/>
                <w:szCs w:val="22"/>
              </w:rPr>
            </w:pPr>
            <w:r w:rsidRPr="00376A39">
              <w:rPr>
                <w:b/>
                <w:sz w:val="22"/>
                <w:szCs w:val="22"/>
              </w:rPr>
              <w:t>UTSKOTTSSAMMANTRÄDE 201</w:t>
            </w:r>
            <w:r w:rsidR="00DC48A8" w:rsidRPr="00376A39">
              <w:rPr>
                <w:b/>
                <w:sz w:val="22"/>
                <w:szCs w:val="22"/>
              </w:rPr>
              <w:t>8</w:t>
            </w:r>
            <w:r w:rsidR="0003479D" w:rsidRPr="00376A39">
              <w:rPr>
                <w:b/>
                <w:sz w:val="22"/>
                <w:szCs w:val="22"/>
              </w:rPr>
              <w:t>/1</w:t>
            </w:r>
            <w:r w:rsidR="00DC48A8" w:rsidRPr="00376A39">
              <w:rPr>
                <w:b/>
                <w:sz w:val="22"/>
                <w:szCs w:val="22"/>
              </w:rPr>
              <w:t>9</w:t>
            </w:r>
            <w:r w:rsidR="0003479D" w:rsidRPr="00376A39">
              <w:rPr>
                <w:b/>
                <w:sz w:val="22"/>
                <w:szCs w:val="22"/>
              </w:rPr>
              <w:t>:</w:t>
            </w:r>
            <w:r w:rsidR="009A6092" w:rsidRPr="00376A39">
              <w:rPr>
                <w:b/>
                <w:sz w:val="22"/>
                <w:szCs w:val="22"/>
              </w:rPr>
              <w:t>5</w:t>
            </w:r>
          </w:p>
          <w:p w:rsidR="00177FF8" w:rsidRPr="00376A39" w:rsidRDefault="00177FF8">
            <w:pPr>
              <w:rPr>
                <w:b/>
                <w:sz w:val="22"/>
                <w:szCs w:val="22"/>
              </w:rPr>
            </w:pPr>
          </w:p>
        </w:tc>
      </w:tr>
      <w:tr w:rsidR="00177FF8" w:rsidRPr="00376A39">
        <w:tc>
          <w:tcPr>
            <w:tcW w:w="1985" w:type="dxa"/>
          </w:tcPr>
          <w:p w:rsidR="00177FF8" w:rsidRPr="00376A39" w:rsidRDefault="00177FF8">
            <w:pPr>
              <w:rPr>
                <w:sz w:val="22"/>
                <w:szCs w:val="22"/>
              </w:rPr>
            </w:pPr>
            <w:r w:rsidRPr="00376A39">
              <w:rPr>
                <w:sz w:val="22"/>
                <w:szCs w:val="22"/>
              </w:rPr>
              <w:t>DATUM</w:t>
            </w:r>
          </w:p>
        </w:tc>
        <w:tc>
          <w:tcPr>
            <w:tcW w:w="6463" w:type="dxa"/>
          </w:tcPr>
          <w:p w:rsidR="00177FF8" w:rsidRPr="00376A39" w:rsidRDefault="00626575" w:rsidP="00DC48A8">
            <w:pPr>
              <w:rPr>
                <w:sz w:val="22"/>
                <w:szCs w:val="22"/>
              </w:rPr>
            </w:pPr>
            <w:r w:rsidRPr="00376A39">
              <w:rPr>
                <w:sz w:val="22"/>
                <w:szCs w:val="22"/>
              </w:rPr>
              <w:t>201</w:t>
            </w:r>
            <w:r w:rsidR="004E0E27" w:rsidRPr="00376A39">
              <w:rPr>
                <w:sz w:val="22"/>
                <w:szCs w:val="22"/>
              </w:rPr>
              <w:t>8</w:t>
            </w:r>
            <w:r w:rsidR="008C2D5B" w:rsidRPr="00376A39">
              <w:rPr>
                <w:sz w:val="22"/>
                <w:szCs w:val="22"/>
              </w:rPr>
              <w:t>-</w:t>
            </w:r>
            <w:r w:rsidR="00E44E30" w:rsidRPr="00376A39">
              <w:rPr>
                <w:sz w:val="22"/>
                <w:szCs w:val="22"/>
              </w:rPr>
              <w:t>10</w:t>
            </w:r>
            <w:r w:rsidR="00A746E4" w:rsidRPr="00376A39">
              <w:rPr>
                <w:sz w:val="22"/>
                <w:szCs w:val="22"/>
              </w:rPr>
              <w:t>-</w:t>
            </w:r>
            <w:r w:rsidR="00E44E30" w:rsidRPr="00376A39">
              <w:rPr>
                <w:sz w:val="22"/>
                <w:szCs w:val="22"/>
              </w:rPr>
              <w:t>1</w:t>
            </w:r>
            <w:r w:rsidR="00E117FD">
              <w:rPr>
                <w:sz w:val="22"/>
                <w:szCs w:val="22"/>
              </w:rPr>
              <w:t>8</w:t>
            </w:r>
          </w:p>
        </w:tc>
      </w:tr>
      <w:tr w:rsidR="00177FF8" w:rsidRPr="00376A39">
        <w:tc>
          <w:tcPr>
            <w:tcW w:w="1985" w:type="dxa"/>
          </w:tcPr>
          <w:p w:rsidR="00177FF8" w:rsidRPr="00376A39" w:rsidRDefault="00177FF8">
            <w:pPr>
              <w:rPr>
                <w:sz w:val="22"/>
                <w:szCs w:val="22"/>
              </w:rPr>
            </w:pPr>
            <w:r w:rsidRPr="00376A39">
              <w:rPr>
                <w:sz w:val="22"/>
                <w:szCs w:val="22"/>
              </w:rPr>
              <w:t>TID</w:t>
            </w:r>
          </w:p>
        </w:tc>
        <w:tc>
          <w:tcPr>
            <w:tcW w:w="6463" w:type="dxa"/>
          </w:tcPr>
          <w:p w:rsidR="00177FF8" w:rsidRPr="00376A39" w:rsidRDefault="00E44E30" w:rsidP="00231475">
            <w:pPr>
              <w:rPr>
                <w:sz w:val="22"/>
                <w:szCs w:val="22"/>
              </w:rPr>
            </w:pPr>
            <w:r w:rsidRPr="00376A39">
              <w:rPr>
                <w:sz w:val="22"/>
                <w:szCs w:val="22"/>
              </w:rPr>
              <w:t>10</w:t>
            </w:r>
            <w:r w:rsidR="00B54A57" w:rsidRPr="00376A39">
              <w:rPr>
                <w:sz w:val="22"/>
                <w:szCs w:val="22"/>
              </w:rPr>
              <w:t>.</w:t>
            </w:r>
            <w:r w:rsidR="0021176A" w:rsidRPr="00376A39">
              <w:rPr>
                <w:sz w:val="22"/>
                <w:szCs w:val="22"/>
              </w:rPr>
              <w:t>0</w:t>
            </w:r>
            <w:r w:rsidR="00B5691D" w:rsidRPr="00376A39">
              <w:rPr>
                <w:sz w:val="22"/>
                <w:szCs w:val="22"/>
              </w:rPr>
              <w:t>0</w:t>
            </w:r>
            <w:r w:rsidR="00762508" w:rsidRPr="00376A39">
              <w:rPr>
                <w:sz w:val="22"/>
                <w:szCs w:val="22"/>
              </w:rPr>
              <w:t xml:space="preserve"> </w:t>
            </w:r>
            <w:r w:rsidR="00302EBE" w:rsidRPr="00376A39">
              <w:rPr>
                <w:sz w:val="22"/>
                <w:szCs w:val="22"/>
              </w:rPr>
              <w:t>–</w:t>
            </w:r>
            <w:r w:rsidR="00DA5AAC" w:rsidRPr="00376A39">
              <w:rPr>
                <w:sz w:val="22"/>
                <w:szCs w:val="22"/>
              </w:rPr>
              <w:t xml:space="preserve"> </w:t>
            </w:r>
            <w:r w:rsidR="00A33C3D">
              <w:rPr>
                <w:sz w:val="22"/>
                <w:szCs w:val="22"/>
              </w:rPr>
              <w:t>10.20</w:t>
            </w:r>
          </w:p>
        </w:tc>
      </w:tr>
      <w:tr w:rsidR="00177FF8" w:rsidRPr="00376A39">
        <w:tc>
          <w:tcPr>
            <w:tcW w:w="1985" w:type="dxa"/>
          </w:tcPr>
          <w:p w:rsidR="00177FF8" w:rsidRPr="00376A39" w:rsidRDefault="00177FF8">
            <w:pPr>
              <w:rPr>
                <w:sz w:val="22"/>
                <w:szCs w:val="22"/>
              </w:rPr>
            </w:pPr>
            <w:r w:rsidRPr="00376A39">
              <w:rPr>
                <w:sz w:val="22"/>
                <w:szCs w:val="22"/>
              </w:rPr>
              <w:t>NÄRVARANDE</w:t>
            </w:r>
          </w:p>
        </w:tc>
        <w:tc>
          <w:tcPr>
            <w:tcW w:w="6463" w:type="dxa"/>
          </w:tcPr>
          <w:p w:rsidR="00177FF8" w:rsidRPr="00376A39" w:rsidRDefault="00177FF8">
            <w:pPr>
              <w:rPr>
                <w:sz w:val="22"/>
                <w:szCs w:val="22"/>
              </w:rPr>
            </w:pPr>
            <w:r w:rsidRPr="00376A39">
              <w:rPr>
                <w:sz w:val="22"/>
                <w:szCs w:val="22"/>
              </w:rPr>
              <w:t>Se bilaga 1</w:t>
            </w:r>
          </w:p>
        </w:tc>
      </w:tr>
    </w:tbl>
    <w:p w:rsidR="00177FF8" w:rsidRPr="00376A39" w:rsidRDefault="00177FF8">
      <w:pPr>
        <w:rPr>
          <w:sz w:val="22"/>
          <w:szCs w:val="22"/>
        </w:rPr>
      </w:pPr>
    </w:p>
    <w:p w:rsidR="00177FF8" w:rsidRPr="00376A39" w:rsidRDefault="00177FF8">
      <w:pPr>
        <w:tabs>
          <w:tab w:val="left" w:pos="1701"/>
        </w:tabs>
        <w:rPr>
          <w:snapToGrid w:val="0"/>
          <w:color w:val="000000"/>
          <w:sz w:val="22"/>
          <w:szCs w:val="22"/>
        </w:rPr>
      </w:pPr>
    </w:p>
    <w:p w:rsidR="00177FF8" w:rsidRPr="00376A39"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376A39" w:rsidTr="002241EF">
        <w:tc>
          <w:tcPr>
            <w:tcW w:w="567" w:type="dxa"/>
          </w:tcPr>
          <w:p w:rsidR="00177FF8" w:rsidRPr="00376A39" w:rsidRDefault="00177FF8">
            <w:pPr>
              <w:tabs>
                <w:tab w:val="left" w:pos="1701"/>
              </w:tabs>
              <w:rPr>
                <w:b/>
                <w:snapToGrid w:val="0"/>
                <w:sz w:val="22"/>
                <w:szCs w:val="22"/>
              </w:rPr>
            </w:pPr>
            <w:r w:rsidRPr="00376A39">
              <w:rPr>
                <w:b/>
                <w:snapToGrid w:val="0"/>
                <w:sz w:val="22"/>
                <w:szCs w:val="22"/>
              </w:rPr>
              <w:t>§ 1</w:t>
            </w:r>
          </w:p>
        </w:tc>
        <w:tc>
          <w:tcPr>
            <w:tcW w:w="6946" w:type="dxa"/>
            <w:gridSpan w:val="2"/>
          </w:tcPr>
          <w:p w:rsidR="00DC48A8" w:rsidRPr="00376A39" w:rsidRDefault="006049C7" w:rsidP="006049C7">
            <w:pPr>
              <w:rPr>
                <w:snapToGrid w:val="0"/>
                <w:sz w:val="22"/>
                <w:szCs w:val="22"/>
              </w:rPr>
            </w:pPr>
            <w:r>
              <w:rPr>
                <w:b/>
                <w:snapToGrid w:val="0"/>
                <w:sz w:val="22"/>
                <w:szCs w:val="22"/>
              </w:rPr>
              <w:t>N</w:t>
            </w:r>
            <w:r w:rsidR="00AE1E2C">
              <w:rPr>
                <w:b/>
                <w:snapToGrid w:val="0"/>
                <w:sz w:val="22"/>
                <w:szCs w:val="22"/>
              </w:rPr>
              <w:t>ya suppleanter</w:t>
            </w:r>
            <w:r w:rsidR="00AE1E2C">
              <w:rPr>
                <w:b/>
                <w:snapToGrid w:val="0"/>
                <w:sz w:val="22"/>
                <w:szCs w:val="22"/>
              </w:rPr>
              <w:br/>
            </w:r>
            <w:r w:rsidR="00AE1E2C">
              <w:rPr>
                <w:b/>
                <w:snapToGrid w:val="0"/>
                <w:sz w:val="22"/>
                <w:szCs w:val="22"/>
              </w:rPr>
              <w:br/>
            </w:r>
            <w:r w:rsidRPr="00D765F9">
              <w:rPr>
                <w:snapToGrid w:val="0"/>
                <w:sz w:val="22"/>
                <w:szCs w:val="22"/>
              </w:rPr>
              <w:t xml:space="preserve">Ordförande hälsade </w:t>
            </w:r>
            <w:r>
              <w:rPr>
                <w:snapToGrid w:val="0"/>
                <w:sz w:val="22"/>
                <w:szCs w:val="22"/>
              </w:rPr>
              <w:t xml:space="preserve">Joar Forsell (L) och Magnus Ek (C) </w:t>
            </w:r>
            <w:r w:rsidRPr="00D765F9">
              <w:rPr>
                <w:snapToGrid w:val="0"/>
                <w:sz w:val="22"/>
                <w:szCs w:val="22"/>
              </w:rPr>
              <w:t>välkomna som nya suppleanter i utskottet.</w:t>
            </w:r>
            <w:r w:rsidR="00AE1E2C">
              <w:rPr>
                <w:b/>
                <w:snapToGrid w:val="0"/>
                <w:sz w:val="22"/>
                <w:szCs w:val="22"/>
              </w:rPr>
              <w:br/>
            </w:r>
          </w:p>
        </w:tc>
      </w:tr>
      <w:tr w:rsidR="00AE1E2C" w:rsidRPr="00376A39" w:rsidTr="002241EF">
        <w:tc>
          <w:tcPr>
            <w:tcW w:w="567" w:type="dxa"/>
          </w:tcPr>
          <w:p w:rsidR="00AE1E2C" w:rsidRPr="00376A39" w:rsidRDefault="00AE1E2C">
            <w:pPr>
              <w:tabs>
                <w:tab w:val="left" w:pos="1701"/>
              </w:tabs>
              <w:rPr>
                <w:b/>
                <w:snapToGrid w:val="0"/>
                <w:sz w:val="22"/>
                <w:szCs w:val="22"/>
              </w:rPr>
            </w:pPr>
            <w:r w:rsidRPr="00376A39">
              <w:rPr>
                <w:b/>
                <w:snapToGrid w:val="0"/>
                <w:sz w:val="22"/>
                <w:szCs w:val="22"/>
              </w:rPr>
              <w:t xml:space="preserve">§ </w:t>
            </w:r>
            <w:r>
              <w:rPr>
                <w:b/>
                <w:snapToGrid w:val="0"/>
                <w:sz w:val="22"/>
                <w:szCs w:val="22"/>
              </w:rPr>
              <w:t>2</w:t>
            </w:r>
          </w:p>
        </w:tc>
        <w:tc>
          <w:tcPr>
            <w:tcW w:w="6946" w:type="dxa"/>
            <w:gridSpan w:val="2"/>
          </w:tcPr>
          <w:p w:rsidR="00AE1E2C" w:rsidRPr="00376A39" w:rsidRDefault="00AE1E2C" w:rsidP="00AE1E2C">
            <w:pPr>
              <w:rPr>
                <w:snapToGrid w:val="0"/>
                <w:sz w:val="22"/>
                <w:szCs w:val="22"/>
              </w:rPr>
            </w:pPr>
            <w:r w:rsidRPr="00376A39">
              <w:rPr>
                <w:b/>
                <w:snapToGrid w:val="0"/>
                <w:sz w:val="22"/>
                <w:szCs w:val="22"/>
              </w:rPr>
              <w:t>Justering av protokoll</w:t>
            </w:r>
            <w:r w:rsidRPr="00376A39">
              <w:rPr>
                <w:b/>
                <w:snapToGrid w:val="0"/>
                <w:sz w:val="22"/>
                <w:szCs w:val="22"/>
              </w:rPr>
              <w:br/>
            </w:r>
          </w:p>
          <w:p w:rsidR="00AE1E2C" w:rsidRPr="00376A39" w:rsidRDefault="00AE1E2C" w:rsidP="00AE1E2C">
            <w:pPr>
              <w:rPr>
                <w:snapToGrid w:val="0"/>
                <w:sz w:val="22"/>
                <w:szCs w:val="22"/>
              </w:rPr>
            </w:pPr>
            <w:r w:rsidRPr="00376A39">
              <w:rPr>
                <w:snapToGrid w:val="0"/>
                <w:sz w:val="22"/>
                <w:szCs w:val="22"/>
              </w:rPr>
              <w:t>Utskottet justerade protokoll 2018/19:3</w:t>
            </w:r>
          </w:p>
          <w:p w:rsidR="00AE1E2C" w:rsidRDefault="00AE1E2C" w:rsidP="00335938">
            <w:pPr>
              <w:rPr>
                <w:b/>
                <w:snapToGrid w:val="0"/>
                <w:sz w:val="22"/>
                <w:szCs w:val="22"/>
              </w:rPr>
            </w:pPr>
          </w:p>
        </w:tc>
      </w:tr>
      <w:tr w:rsidR="00CC5952" w:rsidRPr="00376A39" w:rsidTr="002241EF">
        <w:tc>
          <w:tcPr>
            <w:tcW w:w="567" w:type="dxa"/>
          </w:tcPr>
          <w:p w:rsidR="00CC5952" w:rsidRPr="00376A39" w:rsidRDefault="00CC5952">
            <w:pPr>
              <w:tabs>
                <w:tab w:val="left" w:pos="1701"/>
              </w:tabs>
              <w:rPr>
                <w:b/>
                <w:snapToGrid w:val="0"/>
                <w:sz w:val="22"/>
                <w:szCs w:val="22"/>
              </w:rPr>
            </w:pPr>
            <w:r w:rsidRPr="00376A39">
              <w:rPr>
                <w:b/>
                <w:snapToGrid w:val="0"/>
                <w:sz w:val="22"/>
                <w:szCs w:val="22"/>
              </w:rPr>
              <w:t xml:space="preserve">§ </w:t>
            </w:r>
            <w:r w:rsidR="00AE1E2C">
              <w:rPr>
                <w:b/>
                <w:snapToGrid w:val="0"/>
                <w:sz w:val="22"/>
                <w:szCs w:val="22"/>
              </w:rPr>
              <w:t>3</w:t>
            </w:r>
          </w:p>
        </w:tc>
        <w:tc>
          <w:tcPr>
            <w:tcW w:w="6946" w:type="dxa"/>
            <w:gridSpan w:val="2"/>
          </w:tcPr>
          <w:p w:rsidR="00B522EE" w:rsidRPr="00AF004C" w:rsidRDefault="006B3611" w:rsidP="00B522EE">
            <w:pPr>
              <w:tabs>
                <w:tab w:val="left" w:pos="1701"/>
              </w:tabs>
              <w:rPr>
                <w:rFonts w:eastAsiaTheme="minorHAnsi"/>
                <w:color w:val="000000"/>
                <w:sz w:val="22"/>
                <w:szCs w:val="22"/>
                <w:lang w:eastAsia="en-US"/>
              </w:rPr>
            </w:pPr>
            <w:r w:rsidRPr="00376A39">
              <w:rPr>
                <w:b/>
                <w:bCs/>
                <w:color w:val="000000"/>
                <w:sz w:val="22"/>
                <w:szCs w:val="22"/>
              </w:rPr>
              <w:t xml:space="preserve">Extra ändringsbudget </w:t>
            </w:r>
            <w:r w:rsidR="004412EA">
              <w:rPr>
                <w:b/>
                <w:bCs/>
                <w:color w:val="000000"/>
                <w:sz w:val="22"/>
                <w:szCs w:val="22"/>
              </w:rPr>
              <w:t xml:space="preserve">för 2018 </w:t>
            </w:r>
            <w:r w:rsidRPr="00376A39">
              <w:rPr>
                <w:b/>
                <w:bCs/>
                <w:color w:val="000000"/>
                <w:sz w:val="22"/>
                <w:szCs w:val="22"/>
              </w:rPr>
              <w:t>- Stöd till djurägare inom lantbruket som drabbats av torkan 2018 (MJU1y)</w:t>
            </w:r>
            <w:r w:rsidR="00AE1E2C">
              <w:rPr>
                <w:b/>
                <w:bCs/>
                <w:color w:val="000000"/>
                <w:sz w:val="22"/>
                <w:szCs w:val="22"/>
              </w:rPr>
              <w:br/>
            </w:r>
            <w:r w:rsidR="00AE1E2C">
              <w:rPr>
                <w:b/>
                <w:bCs/>
                <w:color w:val="000000"/>
                <w:sz w:val="22"/>
                <w:szCs w:val="22"/>
              </w:rPr>
              <w:br/>
            </w:r>
            <w:r w:rsidR="00B522EE" w:rsidRPr="00AF004C">
              <w:rPr>
                <w:color w:val="000000"/>
                <w:sz w:val="22"/>
                <w:szCs w:val="22"/>
              </w:rPr>
              <w:t>Utskottet</w:t>
            </w:r>
            <w:r w:rsidR="008B29ED">
              <w:rPr>
                <w:color w:val="000000"/>
                <w:sz w:val="22"/>
                <w:szCs w:val="22"/>
              </w:rPr>
              <w:t xml:space="preserve"> fortsatte behandlingen av</w:t>
            </w:r>
            <w:r w:rsidR="00B522EE" w:rsidRPr="00AF004C">
              <w:rPr>
                <w:color w:val="000000"/>
                <w:sz w:val="22"/>
                <w:szCs w:val="22"/>
              </w:rPr>
              <w:t xml:space="preserve"> frågan om yttrande till finansutskottet över proposition 2017/18:</w:t>
            </w:r>
            <w:r w:rsidR="00B522EE">
              <w:rPr>
                <w:color w:val="000000"/>
                <w:sz w:val="22"/>
                <w:szCs w:val="22"/>
              </w:rPr>
              <w:t>30</w:t>
            </w:r>
            <w:r w:rsidR="00B522EE" w:rsidRPr="00AF004C">
              <w:rPr>
                <w:color w:val="000000"/>
                <w:sz w:val="22"/>
                <w:szCs w:val="22"/>
              </w:rPr>
              <w:t>1</w:t>
            </w:r>
            <w:r w:rsidR="008B29ED">
              <w:rPr>
                <w:color w:val="000000"/>
                <w:sz w:val="22"/>
                <w:szCs w:val="22"/>
              </w:rPr>
              <w:t>.</w:t>
            </w:r>
            <w:r w:rsidR="008B29ED">
              <w:rPr>
                <w:color w:val="000000"/>
                <w:sz w:val="22"/>
                <w:szCs w:val="22"/>
              </w:rPr>
              <w:br/>
            </w:r>
            <w:r w:rsidR="008B29ED" w:rsidRPr="00AF004C">
              <w:rPr>
                <w:color w:val="000000"/>
                <w:sz w:val="22"/>
                <w:szCs w:val="22"/>
              </w:rPr>
              <w:t xml:space="preserve"> </w:t>
            </w:r>
            <w:r w:rsidR="00B522EE" w:rsidRPr="00AF004C">
              <w:rPr>
                <w:color w:val="000000"/>
                <w:sz w:val="22"/>
                <w:szCs w:val="22"/>
              </w:rPr>
              <w:br/>
            </w:r>
            <w:r w:rsidR="00B522EE" w:rsidRPr="00AF004C">
              <w:rPr>
                <w:rFonts w:eastAsiaTheme="minorHAnsi"/>
                <w:color w:val="000000"/>
                <w:sz w:val="22"/>
                <w:szCs w:val="22"/>
                <w:lang w:eastAsia="en-US"/>
              </w:rPr>
              <w:t>Utskot</w:t>
            </w:r>
            <w:r w:rsidR="008B29ED">
              <w:rPr>
                <w:rFonts w:eastAsiaTheme="minorHAnsi"/>
                <w:color w:val="000000"/>
                <w:sz w:val="22"/>
                <w:szCs w:val="22"/>
                <w:lang w:eastAsia="en-US"/>
              </w:rPr>
              <w:t>tet justerade yttrande 2018/19:</w:t>
            </w:r>
            <w:r w:rsidR="00B522EE" w:rsidRPr="00AF004C">
              <w:rPr>
                <w:rFonts w:eastAsiaTheme="minorHAnsi"/>
                <w:color w:val="000000"/>
                <w:sz w:val="22"/>
                <w:szCs w:val="22"/>
                <w:lang w:eastAsia="en-US"/>
              </w:rPr>
              <w:t>MJU1y efter vissa ändringar.</w:t>
            </w:r>
            <w:r w:rsidR="008B29ED">
              <w:rPr>
                <w:rFonts w:eastAsiaTheme="minorHAnsi"/>
                <w:color w:val="000000"/>
                <w:sz w:val="22"/>
                <w:szCs w:val="22"/>
                <w:lang w:eastAsia="en-US"/>
              </w:rPr>
              <w:br/>
            </w:r>
            <w:r w:rsidR="008B29ED">
              <w:rPr>
                <w:rFonts w:eastAsiaTheme="minorHAnsi"/>
                <w:color w:val="000000"/>
                <w:sz w:val="22"/>
                <w:szCs w:val="22"/>
                <w:lang w:eastAsia="en-US"/>
              </w:rPr>
              <w:br/>
              <w:t>M-, SD-, C-, KD-, och L-ledamöterna anmälde avvikande meningar.</w:t>
            </w:r>
          </w:p>
          <w:p w:rsidR="00D87D66" w:rsidRPr="00376A39" w:rsidRDefault="00D87D66" w:rsidP="002A14AC">
            <w:pPr>
              <w:tabs>
                <w:tab w:val="left" w:pos="1701"/>
              </w:tabs>
              <w:rPr>
                <w:b/>
                <w:snapToGrid w:val="0"/>
                <w:sz w:val="22"/>
                <w:szCs w:val="22"/>
              </w:rPr>
            </w:pPr>
          </w:p>
        </w:tc>
      </w:tr>
      <w:tr w:rsidR="006B3611" w:rsidRPr="00376A39" w:rsidTr="00C5706E">
        <w:tc>
          <w:tcPr>
            <w:tcW w:w="567" w:type="dxa"/>
          </w:tcPr>
          <w:p w:rsidR="006B3611" w:rsidRPr="00376A39" w:rsidRDefault="006B3611" w:rsidP="006B3611">
            <w:pPr>
              <w:tabs>
                <w:tab w:val="left" w:pos="1701"/>
              </w:tabs>
              <w:rPr>
                <w:b/>
                <w:snapToGrid w:val="0"/>
                <w:sz w:val="22"/>
                <w:szCs w:val="22"/>
              </w:rPr>
            </w:pPr>
            <w:r w:rsidRPr="00376A39">
              <w:rPr>
                <w:b/>
                <w:snapToGrid w:val="0"/>
                <w:sz w:val="22"/>
                <w:szCs w:val="22"/>
              </w:rPr>
              <w:t xml:space="preserve">§ </w:t>
            </w:r>
            <w:r w:rsidR="00AE1E2C">
              <w:rPr>
                <w:b/>
                <w:snapToGrid w:val="0"/>
                <w:sz w:val="22"/>
                <w:szCs w:val="22"/>
              </w:rPr>
              <w:t>4</w:t>
            </w:r>
          </w:p>
        </w:tc>
        <w:tc>
          <w:tcPr>
            <w:tcW w:w="6946" w:type="dxa"/>
            <w:gridSpan w:val="2"/>
          </w:tcPr>
          <w:p w:rsidR="006B3611" w:rsidRPr="00376A39" w:rsidRDefault="006B3611" w:rsidP="006B3611">
            <w:pPr>
              <w:tabs>
                <w:tab w:val="left" w:pos="1701"/>
              </w:tabs>
              <w:rPr>
                <w:rFonts w:eastAsiaTheme="minorHAnsi"/>
                <w:b/>
                <w:bCs/>
                <w:color w:val="000000"/>
                <w:sz w:val="22"/>
                <w:szCs w:val="22"/>
                <w:lang w:eastAsia="en-US"/>
              </w:rPr>
            </w:pPr>
            <w:r w:rsidRPr="00376A39">
              <w:rPr>
                <w:rFonts w:eastAsiaTheme="minorHAnsi"/>
                <w:b/>
                <w:bCs/>
                <w:color w:val="000000"/>
                <w:sz w:val="22"/>
                <w:szCs w:val="22"/>
                <w:lang w:eastAsia="en-US"/>
              </w:rPr>
              <w:t>Inkomna EU-dokument</w:t>
            </w:r>
            <w:r w:rsidRPr="00376A39">
              <w:rPr>
                <w:rFonts w:eastAsiaTheme="minorHAnsi"/>
                <w:b/>
                <w:bCs/>
                <w:color w:val="000000"/>
                <w:sz w:val="22"/>
                <w:szCs w:val="22"/>
                <w:lang w:eastAsia="en-US"/>
              </w:rPr>
              <w:br/>
            </w:r>
          </w:p>
          <w:p w:rsidR="00F11B12" w:rsidRPr="0055255C" w:rsidRDefault="00F11B12" w:rsidP="00F11B12">
            <w:pPr>
              <w:tabs>
                <w:tab w:val="left" w:pos="1701"/>
              </w:tabs>
              <w:rPr>
                <w:snapToGrid w:val="0"/>
                <w:sz w:val="22"/>
                <w:szCs w:val="22"/>
              </w:rPr>
            </w:pPr>
            <w:r w:rsidRPr="0055255C">
              <w:rPr>
                <w:snapToGrid w:val="0"/>
                <w:sz w:val="22"/>
                <w:szCs w:val="22"/>
              </w:rPr>
              <w:t>Inkomna EU-dokument m.m. enligt bilaga 2 anmäldes.</w:t>
            </w:r>
          </w:p>
          <w:p w:rsidR="00F11B12" w:rsidRPr="0055255C" w:rsidRDefault="00F11B12" w:rsidP="00F11B12">
            <w:pPr>
              <w:tabs>
                <w:tab w:val="left" w:pos="1701"/>
              </w:tabs>
              <w:rPr>
                <w:snapToGrid w:val="0"/>
                <w:sz w:val="22"/>
                <w:szCs w:val="22"/>
              </w:rPr>
            </w:pPr>
          </w:p>
          <w:p w:rsidR="00F11B12" w:rsidRPr="0055255C" w:rsidRDefault="00F11B12" w:rsidP="00F11B12">
            <w:pPr>
              <w:tabs>
                <w:tab w:val="left" w:pos="1701"/>
              </w:tabs>
              <w:rPr>
                <w:snapToGrid w:val="0"/>
                <w:sz w:val="22"/>
                <w:szCs w:val="22"/>
              </w:rPr>
            </w:pPr>
            <w:r w:rsidRPr="0055255C">
              <w:rPr>
                <w:snapToGrid w:val="0"/>
                <w:sz w:val="22"/>
                <w:szCs w:val="22"/>
              </w:rPr>
              <w:t>Utskottet beslutade enligt 7 kap. 12 § RO att begära överläggning med regeringen</w:t>
            </w:r>
            <w:r>
              <w:rPr>
                <w:snapToGrid w:val="0"/>
                <w:sz w:val="22"/>
                <w:szCs w:val="22"/>
              </w:rPr>
              <w:t xml:space="preserve">, </w:t>
            </w:r>
            <w:r w:rsidRPr="0055255C">
              <w:rPr>
                <w:snapToGrid w:val="0"/>
                <w:sz w:val="22"/>
                <w:szCs w:val="22"/>
              </w:rPr>
              <w:t>Näringsdepartementet</w:t>
            </w:r>
            <w:r>
              <w:rPr>
                <w:snapToGrid w:val="0"/>
                <w:sz w:val="22"/>
                <w:szCs w:val="22"/>
              </w:rPr>
              <w:t>, om</w:t>
            </w:r>
          </w:p>
          <w:p w:rsidR="00F11B12" w:rsidRPr="0055255C" w:rsidRDefault="00F11B12" w:rsidP="00F11B12">
            <w:pPr>
              <w:tabs>
                <w:tab w:val="left" w:pos="1701"/>
              </w:tabs>
              <w:rPr>
                <w:snapToGrid w:val="0"/>
                <w:sz w:val="22"/>
                <w:szCs w:val="22"/>
              </w:rPr>
            </w:pPr>
          </w:p>
          <w:p w:rsidR="00F11B12" w:rsidRDefault="00F11B12" w:rsidP="00F11B12">
            <w:pPr>
              <w:rPr>
                <w:sz w:val="22"/>
                <w:szCs w:val="22"/>
              </w:rPr>
            </w:pPr>
            <w:r>
              <w:rPr>
                <w:snapToGrid w:val="0"/>
                <w:sz w:val="22"/>
                <w:szCs w:val="22"/>
              </w:rPr>
              <w:t>KOM(2018</w:t>
            </w:r>
            <w:r w:rsidRPr="0055255C">
              <w:rPr>
                <w:snapToGrid w:val="0"/>
                <w:sz w:val="22"/>
                <w:szCs w:val="22"/>
              </w:rPr>
              <w:t>)</w:t>
            </w:r>
            <w:r>
              <w:rPr>
                <w:snapToGrid w:val="0"/>
                <w:sz w:val="22"/>
                <w:szCs w:val="22"/>
              </w:rPr>
              <w:t xml:space="preserve"> 677</w:t>
            </w:r>
            <w:r w:rsidRPr="0055255C">
              <w:rPr>
                <w:snapToGrid w:val="0"/>
                <w:sz w:val="22"/>
                <w:szCs w:val="22"/>
              </w:rPr>
              <w:t xml:space="preserve"> </w:t>
            </w:r>
            <w:r w:rsidRPr="008054A7">
              <w:rPr>
                <w:sz w:val="22"/>
                <w:szCs w:val="22"/>
              </w:rPr>
              <w:t xml:space="preserve">Förslag till RÅDETS FÖRORDNING om </w:t>
            </w:r>
            <w:r>
              <w:rPr>
                <w:sz w:val="22"/>
                <w:szCs w:val="22"/>
              </w:rPr>
              <w:t>undertecknande, på unionen vägnar, av partnerskap om hållbart fiske mellan Europeiska unionen och Konungariket Marocko, dess genomförandeprotokoll och den skriftväxling som åtföljer avtalet</w:t>
            </w:r>
            <w:r>
              <w:rPr>
                <w:sz w:val="22"/>
                <w:szCs w:val="22"/>
              </w:rPr>
              <w:br/>
            </w:r>
            <w:r>
              <w:rPr>
                <w:sz w:val="22"/>
                <w:szCs w:val="22"/>
              </w:rPr>
              <w:br/>
            </w:r>
            <w:r>
              <w:rPr>
                <w:snapToGrid w:val="0"/>
                <w:sz w:val="22"/>
                <w:szCs w:val="22"/>
              </w:rPr>
              <w:t>KOM(2018</w:t>
            </w:r>
            <w:r w:rsidRPr="0055255C">
              <w:rPr>
                <w:snapToGrid w:val="0"/>
                <w:sz w:val="22"/>
                <w:szCs w:val="22"/>
              </w:rPr>
              <w:t>)</w:t>
            </w:r>
            <w:r>
              <w:rPr>
                <w:snapToGrid w:val="0"/>
                <w:sz w:val="22"/>
                <w:szCs w:val="22"/>
              </w:rPr>
              <w:t xml:space="preserve"> 678</w:t>
            </w:r>
            <w:r w:rsidRPr="0055255C">
              <w:rPr>
                <w:snapToGrid w:val="0"/>
                <w:sz w:val="22"/>
                <w:szCs w:val="22"/>
              </w:rPr>
              <w:t xml:space="preserve"> </w:t>
            </w:r>
            <w:r w:rsidRPr="008054A7">
              <w:rPr>
                <w:sz w:val="22"/>
                <w:szCs w:val="22"/>
              </w:rPr>
              <w:t xml:space="preserve">Förslag till RÅDETS FÖRORDNING om </w:t>
            </w:r>
            <w:r>
              <w:rPr>
                <w:sz w:val="22"/>
                <w:szCs w:val="22"/>
              </w:rPr>
              <w:t>ingående, på unionen vägnar, av partnerskap om hållbart fiske mellan Europeiska unionen och Konungariket Marocko, dess genomförandeprotokoll och den skriftväxling som åtföljer avtalet</w:t>
            </w:r>
          </w:p>
          <w:p w:rsidR="00F11B12" w:rsidRDefault="00F11B12" w:rsidP="00F11B12">
            <w:pPr>
              <w:rPr>
                <w:sz w:val="22"/>
                <w:szCs w:val="22"/>
              </w:rPr>
            </w:pPr>
          </w:p>
          <w:p w:rsidR="00F11B12" w:rsidRDefault="00F11B12" w:rsidP="00F11B12">
            <w:pPr>
              <w:rPr>
                <w:sz w:val="22"/>
                <w:szCs w:val="22"/>
              </w:rPr>
            </w:pPr>
            <w:r>
              <w:rPr>
                <w:snapToGrid w:val="0"/>
                <w:sz w:val="22"/>
                <w:szCs w:val="22"/>
              </w:rPr>
              <w:t>KOM(2018</w:t>
            </w:r>
            <w:r w:rsidRPr="0055255C">
              <w:rPr>
                <w:snapToGrid w:val="0"/>
                <w:sz w:val="22"/>
                <w:szCs w:val="22"/>
              </w:rPr>
              <w:t>)</w:t>
            </w:r>
            <w:r>
              <w:rPr>
                <w:snapToGrid w:val="0"/>
                <w:sz w:val="22"/>
                <w:szCs w:val="22"/>
              </w:rPr>
              <w:t xml:space="preserve"> 679</w:t>
            </w:r>
            <w:r w:rsidRPr="0055255C">
              <w:rPr>
                <w:snapToGrid w:val="0"/>
                <w:sz w:val="22"/>
                <w:szCs w:val="22"/>
              </w:rPr>
              <w:t xml:space="preserve"> </w:t>
            </w:r>
            <w:r w:rsidRPr="008054A7">
              <w:rPr>
                <w:sz w:val="22"/>
                <w:szCs w:val="22"/>
              </w:rPr>
              <w:t xml:space="preserve">Förslag till RÅDETS FÖRORDNING om </w:t>
            </w:r>
            <w:r>
              <w:rPr>
                <w:sz w:val="22"/>
                <w:szCs w:val="22"/>
              </w:rPr>
              <w:t>fördelning, på unionen vägnar, av partnerskap om hållbart fiske mellan Europeiska unionen och Konungariket Marocko, dess genomförandeprotokoll och den skriftväxling som åtföljer avtalet</w:t>
            </w:r>
          </w:p>
          <w:p w:rsidR="00F11B12" w:rsidRDefault="00F11B12" w:rsidP="00F11B12">
            <w:pPr>
              <w:rPr>
                <w:sz w:val="22"/>
                <w:szCs w:val="22"/>
              </w:rPr>
            </w:pPr>
          </w:p>
          <w:p w:rsidR="00F11B12" w:rsidRPr="0055255C" w:rsidRDefault="00F11B12" w:rsidP="00F11B12">
            <w:pPr>
              <w:tabs>
                <w:tab w:val="left" w:pos="1701"/>
              </w:tabs>
              <w:rPr>
                <w:snapToGrid w:val="0"/>
                <w:sz w:val="22"/>
                <w:szCs w:val="22"/>
              </w:rPr>
            </w:pPr>
            <w:r>
              <w:rPr>
                <w:snapToGrid w:val="0"/>
                <w:sz w:val="22"/>
                <w:szCs w:val="22"/>
              </w:rPr>
              <w:t>Ö</w:t>
            </w:r>
            <w:r w:rsidRPr="0055255C">
              <w:rPr>
                <w:snapToGrid w:val="0"/>
                <w:sz w:val="22"/>
                <w:szCs w:val="22"/>
              </w:rPr>
              <w:t>vriga EU-dokument lades till handlingarna.</w:t>
            </w:r>
          </w:p>
          <w:p w:rsidR="00F11B12" w:rsidRPr="0055255C" w:rsidRDefault="00F11B12" w:rsidP="00F11B12">
            <w:pPr>
              <w:tabs>
                <w:tab w:val="left" w:pos="1701"/>
              </w:tabs>
              <w:rPr>
                <w:snapToGrid w:val="0"/>
                <w:sz w:val="22"/>
                <w:szCs w:val="22"/>
              </w:rPr>
            </w:pPr>
          </w:p>
          <w:p w:rsidR="00F11B12" w:rsidRPr="0055255C" w:rsidRDefault="00F11B12" w:rsidP="00F11B12">
            <w:pPr>
              <w:tabs>
                <w:tab w:val="left" w:pos="1701"/>
              </w:tabs>
              <w:rPr>
                <w:snapToGrid w:val="0"/>
                <w:sz w:val="22"/>
                <w:szCs w:val="22"/>
              </w:rPr>
            </w:pPr>
            <w:r w:rsidRPr="0055255C">
              <w:rPr>
                <w:sz w:val="22"/>
                <w:szCs w:val="22"/>
              </w:rPr>
              <w:t>Denna paragraf förklarades omedelbart justerad.</w:t>
            </w:r>
          </w:p>
          <w:p w:rsidR="006B3611" w:rsidRPr="00376A39" w:rsidRDefault="006B3611" w:rsidP="006B3611">
            <w:pPr>
              <w:tabs>
                <w:tab w:val="left" w:pos="1701"/>
              </w:tabs>
              <w:rPr>
                <w:rFonts w:eastAsiaTheme="minorHAnsi"/>
                <w:b/>
                <w:bCs/>
                <w:color w:val="000000"/>
                <w:sz w:val="22"/>
                <w:szCs w:val="22"/>
                <w:lang w:eastAsia="en-US"/>
              </w:rPr>
            </w:pPr>
          </w:p>
        </w:tc>
      </w:tr>
      <w:tr w:rsidR="00707262" w:rsidRPr="00376A39" w:rsidTr="00C5706E">
        <w:tc>
          <w:tcPr>
            <w:tcW w:w="567" w:type="dxa"/>
          </w:tcPr>
          <w:p w:rsidR="00707262" w:rsidRPr="00376A39" w:rsidRDefault="00707262" w:rsidP="006B3611">
            <w:pPr>
              <w:tabs>
                <w:tab w:val="left" w:pos="1701"/>
              </w:tabs>
              <w:rPr>
                <w:b/>
                <w:snapToGrid w:val="0"/>
                <w:sz w:val="22"/>
                <w:szCs w:val="22"/>
              </w:rPr>
            </w:pPr>
            <w:r>
              <w:rPr>
                <w:b/>
                <w:snapToGrid w:val="0"/>
                <w:sz w:val="22"/>
                <w:szCs w:val="22"/>
              </w:rPr>
              <w:t>§ 5</w:t>
            </w:r>
          </w:p>
        </w:tc>
        <w:tc>
          <w:tcPr>
            <w:tcW w:w="6946" w:type="dxa"/>
            <w:gridSpan w:val="2"/>
          </w:tcPr>
          <w:p w:rsidR="00707262" w:rsidRDefault="00707262" w:rsidP="006B3611">
            <w:pPr>
              <w:tabs>
                <w:tab w:val="left" w:pos="1701"/>
              </w:tabs>
              <w:rPr>
                <w:rFonts w:eastAsiaTheme="minorHAnsi"/>
                <w:b/>
                <w:bCs/>
                <w:color w:val="000000"/>
                <w:sz w:val="22"/>
                <w:szCs w:val="22"/>
                <w:lang w:eastAsia="en-US"/>
              </w:rPr>
            </w:pPr>
            <w:r>
              <w:rPr>
                <w:rFonts w:eastAsiaTheme="minorHAnsi"/>
                <w:b/>
                <w:bCs/>
                <w:color w:val="000000"/>
                <w:sz w:val="22"/>
                <w:szCs w:val="22"/>
                <w:lang w:eastAsia="en-US"/>
              </w:rPr>
              <w:t>Beslut om närvaro</w:t>
            </w:r>
          </w:p>
          <w:p w:rsidR="00707262" w:rsidRDefault="00707262" w:rsidP="006B3611">
            <w:pPr>
              <w:tabs>
                <w:tab w:val="left" w:pos="1701"/>
              </w:tabs>
              <w:rPr>
                <w:rFonts w:eastAsiaTheme="minorHAnsi"/>
                <w:b/>
                <w:bCs/>
                <w:color w:val="000000"/>
                <w:sz w:val="22"/>
                <w:szCs w:val="22"/>
                <w:lang w:eastAsia="en-US"/>
              </w:rPr>
            </w:pPr>
          </w:p>
          <w:p w:rsidR="00707262" w:rsidRPr="009375D5" w:rsidRDefault="00707262" w:rsidP="00707262">
            <w:pPr>
              <w:tabs>
                <w:tab w:val="left" w:pos="1701"/>
              </w:tabs>
              <w:rPr>
                <w:bCs/>
                <w:color w:val="000000"/>
                <w:sz w:val="22"/>
                <w:szCs w:val="22"/>
              </w:rPr>
            </w:pPr>
            <w:r w:rsidRPr="009375D5">
              <w:rPr>
                <w:bCs/>
                <w:color w:val="000000"/>
                <w:sz w:val="22"/>
                <w:szCs w:val="22"/>
              </w:rPr>
              <w:t>Utskottet beslutade att</w:t>
            </w:r>
            <w:r>
              <w:rPr>
                <w:bCs/>
                <w:color w:val="000000"/>
                <w:sz w:val="22"/>
                <w:szCs w:val="22"/>
              </w:rPr>
              <w:t xml:space="preserve"> Thomas Larue</w:t>
            </w:r>
            <w:r w:rsidR="005D663E">
              <w:rPr>
                <w:bCs/>
                <w:color w:val="000000"/>
                <w:sz w:val="22"/>
                <w:szCs w:val="22"/>
              </w:rPr>
              <w:t>, sekretariatschef på</w:t>
            </w:r>
            <w:r>
              <w:rPr>
                <w:bCs/>
                <w:color w:val="000000"/>
                <w:sz w:val="22"/>
                <w:szCs w:val="22"/>
              </w:rPr>
              <w:t xml:space="preserve"> </w:t>
            </w:r>
            <w:r w:rsidR="004412EA">
              <w:rPr>
                <w:bCs/>
                <w:color w:val="000000"/>
                <w:sz w:val="22"/>
                <w:szCs w:val="22"/>
              </w:rPr>
              <w:t>u</w:t>
            </w:r>
            <w:r w:rsidRPr="009375D5">
              <w:rPr>
                <w:bCs/>
                <w:color w:val="000000"/>
                <w:sz w:val="22"/>
                <w:szCs w:val="22"/>
              </w:rPr>
              <w:t xml:space="preserve">tvärderings- och </w:t>
            </w:r>
            <w:r w:rsidRPr="009375D5">
              <w:rPr>
                <w:bCs/>
                <w:color w:val="000000"/>
                <w:sz w:val="22"/>
                <w:szCs w:val="22"/>
              </w:rPr>
              <w:lastRenderedPageBreak/>
              <w:t>forskningssekretariatet</w:t>
            </w:r>
            <w:r>
              <w:rPr>
                <w:bCs/>
                <w:color w:val="000000"/>
                <w:sz w:val="22"/>
                <w:szCs w:val="22"/>
              </w:rPr>
              <w:t xml:space="preserve"> fick delta under punkten 6.</w:t>
            </w:r>
          </w:p>
          <w:p w:rsidR="00707262" w:rsidRPr="00376A39" w:rsidRDefault="00707262" w:rsidP="006B3611">
            <w:pPr>
              <w:tabs>
                <w:tab w:val="left" w:pos="1701"/>
              </w:tabs>
              <w:rPr>
                <w:rFonts w:eastAsiaTheme="minorHAnsi"/>
                <w:b/>
                <w:bCs/>
                <w:color w:val="000000"/>
                <w:sz w:val="22"/>
                <w:szCs w:val="22"/>
                <w:lang w:eastAsia="en-US"/>
              </w:rPr>
            </w:pPr>
          </w:p>
        </w:tc>
      </w:tr>
      <w:tr w:rsidR="006B3611" w:rsidRPr="00376A39" w:rsidTr="00C5706E">
        <w:tc>
          <w:tcPr>
            <w:tcW w:w="567" w:type="dxa"/>
          </w:tcPr>
          <w:p w:rsidR="006B3611" w:rsidRPr="00376A39" w:rsidRDefault="00707262" w:rsidP="006B3611">
            <w:pPr>
              <w:tabs>
                <w:tab w:val="left" w:pos="1701"/>
              </w:tabs>
              <w:rPr>
                <w:b/>
                <w:snapToGrid w:val="0"/>
                <w:sz w:val="22"/>
                <w:szCs w:val="22"/>
              </w:rPr>
            </w:pPr>
            <w:r>
              <w:rPr>
                <w:b/>
                <w:snapToGrid w:val="0"/>
                <w:sz w:val="22"/>
                <w:szCs w:val="22"/>
              </w:rPr>
              <w:lastRenderedPageBreak/>
              <w:t>§ 6</w:t>
            </w:r>
            <w:r w:rsidR="006B3611" w:rsidRPr="00376A39">
              <w:rPr>
                <w:b/>
                <w:snapToGrid w:val="0"/>
                <w:sz w:val="22"/>
                <w:szCs w:val="22"/>
              </w:rPr>
              <w:t xml:space="preserve"> </w:t>
            </w:r>
          </w:p>
        </w:tc>
        <w:tc>
          <w:tcPr>
            <w:tcW w:w="6946" w:type="dxa"/>
            <w:gridSpan w:val="2"/>
          </w:tcPr>
          <w:p w:rsidR="006B3611" w:rsidRPr="00A65389" w:rsidRDefault="006B3611" w:rsidP="006B3611">
            <w:pPr>
              <w:rPr>
                <w:rFonts w:eastAsiaTheme="minorHAnsi"/>
                <w:bCs/>
                <w:color w:val="000000"/>
                <w:sz w:val="22"/>
                <w:szCs w:val="22"/>
                <w:lang w:eastAsia="en-US"/>
              </w:rPr>
            </w:pPr>
            <w:r w:rsidRPr="00376A39">
              <w:rPr>
                <w:b/>
                <w:bCs/>
                <w:color w:val="000000"/>
                <w:sz w:val="22"/>
                <w:szCs w:val="22"/>
              </w:rPr>
              <w:t>Utskottets arbete med uppföljning och utvärdering</w:t>
            </w:r>
            <w:r w:rsidRPr="00376A39">
              <w:rPr>
                <w:b/>
                <w:bCs/>
                <w:color w:val="000000"/>
                <w:sz w:val="22"/>
                <w:szCs w:val="22"/>
              </w:rPr>
              <w:br/>
            </w:r>
          </w:p>
          <w:p w:rsidR="00AB4B5E" w:rsidRDefault="00707262" w:rsidP="00707262">
            <w:pPr>
              <w:tabs>
                <w:tab w:val="left" w:pos="1701"/>
              </w:tabs>
              <w:rPr>
                <w:bCs/>
                <w:color w:val="FF0000"/>
                <w:sz w:val="22"/>
                <w:szCs w:val="22"/>
              </w:rPr>
            </w:pPr>
            <w:r w:rsidRPr="00AB4B5E">
              <w:rPr>
                <w:bCs/>
                <w:sz w:val="22"/>
                <w:szCs w:val="22"/>
              </w:rPr>
              <w:t>Tho</w:t>
            </w:r>
            <w:r w:rsidR="004412EA">
              <w:rPr>
                <w:bCs/>
                <w:sz w:val="22"/>
                <w:szCs w:val="22"/>
              </w:rPr>
              <w:t>mas Larue, sekretariatschef på u</w:t>
            </w:r>
            <w:r w:rsidRPr="00AB4B5E">
              <w:rPr>
                <w:bCs/>
                <w:sz w:val="22"/>
                <w:szCs w:val="22"/>
              </w:rPr>
              <w:t>tvärderings- och forskningssekretariatet</w:t>
            </w:r>
            <w:r w:rsidR="00AB4B5E" w:rsidRPr="00AB4B5E">
              <w:rPr>
                <w:bCs/>
                <w:sz w:val="22"/>
                <w:szCs w:val="22"/>
              </w:rPr>
              <w:t xml:space="preserve"> informerade om sekretariatets arbete</w:t>
            </w:r>
            <w:r w:rsidR="004412EA">
              <w:rPr>
                <w:bCs/>
                <w:sz w:val="22"/>
                <w:szCs w:val="22"/>
              </w:rPr>
              <w:t>.</w:t>
            </w:r>
            <w:r w:rsidRPr="00707262">
              <w:rPr>
                <w:bCs/>
                <w:color w:val="FF0000"/>
                <w:sz w:val="22"/>
                <w:szCs w:val="22"/>
              </w:rPr>
              <w:t xml:space="preserve"> </w:t>
            </w:r>
          </w:p>
          <w:p w:rsidR="00AB4B5E" w:rsidRDefault="00AB4B5E" w:rsidP="00707262">
            <w:pPr>
              <w:tabs>
                <w:tab w:val="left" w:pos="1701"/>
              </w:tabs>
              <w:rPr>
                <w:bCs/>
                <w:color w:val="FF0000"/>
                <w:sz w:val="22"/>
                <w:szCs w:val="22"/>
              </w:rPr>
            </w:pPr>
          </w:p>
          <w:p w:rsidR="00707262" w:rsidRPr="0055198D" w:rsidRDefault="00707262" w:rsidP="00707262">
            <w:pPr>
              <w:tabs>
                <w:tab w:val="left" w:pos="1701"/>
              </w:tabs>
              <w:rPr>
                <w:bCs/>
                <w:color w:val="000000"/>
                <w:sz w:val="22"/>
                <w:szCs w:val="22"/>
              </w:rPr>
            </w:pPr>
            <w:r w:rsidRPr="0055198D">
              <w:rPr>
                <w:bCs/>
                <w:color w:val="000000"/>
                <w:sz w:val="22"/>
                <w:szCs w:val="22"/>
              </w:rPr>
              <w:t>Utskottet beslutade att uppföljnings- och utvärderingsgruppen ska ha följande sammansättning:</w:t>
            </w:r>
            <w:r>
              <w:rPr>
                <w:bCs/>
                <w:color w:val="000000"/>
                <w:sz w:val="22"/>
                <w:szCs w:val="22"/>
              </w:rPr>
              <w:t xml:space="preserve"> Malin Larsson (S), Tina Acketoft (L),</w:t>
            </w:r>
            <w:r>
              <w:rPr>
                <w:bCs/>
                <w:color w:val="000000"/>
                <w:sz w:val="22"/>
                <w:szCs w:val="22"/>
              </w:rPr>
              <w:br/>
              <w:t>Elin Segerlind (V), Kjell-Arne Ottosson (KD), Betty Malmberg (M),</w:t>
            </w:r>
            <w:r>
              <w:rPr>
                <w:bCs/>
                <w:color w:val="000000"/>
                <w:sz w:val="22"/>
                <w:szCs w:val="22"/>
              </w:rPr>
              <w:br/>
              <w:t>Staffan Eklöf (SD), Ulrika Heie (C) och Maria Gardfjell (MP).</w:t>
            </w:r>
          </w:p>
          <w:p w:rsidR="006B3611" w:rsidRPr="00376A39" w:rsidRDefault="006B3611" w:rsidP="006B3611">
            <w:pPr>
              <w:rPr>
                <w:rFonts w:eastAsiaTheme="minorHAnsi"/>
                <w:b/>
                <w:bCs/>
                <w:color w:val="000000"/>
                <w:sz w:val="22"/>
                <w:szCs w:val="22"/>
                <w:lang w:eastAsia="en-US"/>
              </w:rPr>
            </w:pPr>
          </w:p>
        </w:tc>
      </w:tr>
      <w:tr w:rsidR="006B3611" w:rsidRPr="00376A39" w:rsidTr="00C5706E">
        <w:tc>
          <w:tcPr>
            <w:tcW w:w="567" w:type="dxa"/>
          </w:tcPr>
          <w:p w:rsidR="006B3611" w:rsidRPr="00376A39" w:rsidRDefault="006B3611" w:rsidP="006B3611">
            <w:pPr>
              <w:tabs>
                <w:tab w:val="left" w:pos="1701"/>
              </w:tabs>
              <w:rPr>
                <w:b/>
                <w:snapToGrid w:val="0"/>
                <w:sz w:val="22"/>
                <w:szCs w:val="22"/>
              </w:rPr>
            </w:pPr>
            <w:r w:rsidRPr="00376A39">
              <w:rPr>
                <w:b/>
                <w:snapToGrid w:val="0"/>
                <w:sz w:val="22"/>
                <w:szCs w:val="22"/>
              </w:rPr>
              <w:t xml:space="preserve">§ </w:t>
            </w:r>
            <w:r w:rsidR="00707262">
              <w:rPr>
                <w:b/>
                <w:snapToGrid w:val="0"/>
                <w:sz w:val="22"/>
                <w:szCs w:val="22"/>
              </w:rPr>
              <w:t>7</w:t>
            </w:r>
          </w:p>
        </w:tc>
        <w:tc>
          <w:tcPr>
            <w:tcW w:w="6946" w:type="dxa"/>
            <w:gridSpan w:val="2"/>
          </w:tcPr>
          <w:p w:rsidR="006B3611" w:rsidRPr="00376A39" w:rsidRDefault="006B3611" w:rsidP="006B3611">
            <w:pPr>
              <w:tabs>
                <w:tab w:val="left" w:pos="1701"/>
              </w:tabs>
              <w:rPr>
                <w:rFonts w:eastAsiaTheme="minorHAnsi"/>
                <w:b/>
                <w:bCs/>
                <w:color w:val="000000"/>
                <w:sz w:val="22"/>
                <w:szCs w:val="22"/>
                <w:lang w:eastAsia="en-US"/>
              </w:rPr>
            </w:pPr>
            <w:r w:rsidRPr="00376A39">
              <w:rPr>
                <w:rFonts w:eastAsiaTheme="minorHAnsi"/>
                <w:b/>
                <w:bCs/>
                <w:color w:val="000000"/>
                <w:sz w:val="22"/>
                <w:szCs w:val="22"/>
                <w:lang w:eastAsia="en-US"/>
              </w:rPr>
              <w:t>Inkomna skrivelser</w:t>
            </w:r>
          </w:p>
          <w:p w:rsidR="006B3611" w:rsidRPr="00376A39" w:rsidRDefault="006B3611" w:rsidP="006B3611">
            <w:pPr>
              <w:tabs>
                <w:tab w:val="left" w:pos="2459"/>
              </w:tabs>
              <w:rPr>
                <w:rFonts w:eastAsiaTheme="minorHAnsi"/>
                <w:bCs/>
                <w:color w:val="000000"/>
                <w:sz w:val="22"/>
                <w:szCs w:val="22"/>
                <w:lang w:eastAsia="en-US"/>
              </w:rPr>
            </w:pPr>
            <w:r w:rsidRPr="00376A39">
              <w:rPr>
                <w:rFonts w:eastAsiaTheme="minorHAnsi"/>
                <w:b/>
                <w:bCs/>
                <w:color w:val="000000"/>
                <w:sz w:val="22"/>
                <w:szCs w:val="22"/>
                <w:lang w:eastAsia="en-US"/>
              </w:rPr>
              <w:tab/>
            </w:r>
          </w:p>
          <w:p w:rsidR="006B3611" w:rsidRPr="00376A39" w:rsidRDefault="006B3611" w:rsidP="006B3611">
            <w:pPr>
              <w:tabs>
                <w:tab w:val="left" w:pos="1701"/>
              </w:tabs>
              <w:rPr>
                <w:rFonts w:eastAsiaTheme="minorHAnsi"/>
                <w:bCs/>
                <w:color w:val="000000"/>
                <w:sz w:val="22"/>
                <w:szCs w:val="22"/>
                <w:lang w:eastAsia="en-US"/>
              </w:rPr>
            </w:pPr>
            <w:r w:rsidRPr="00376A39">
              <w:rPr>
                <w:rFonts w:eastAsiaTheme="minorHAnsi"/>
                <w:bCs/>
                <w:color w:val="000000"/>
                <w:sz w:val="22"/>
                <w:szCs w:val="22"/>
                <w:lang w:eastAsia="en-US"/>
              </w:rPr>
              <w:t xml:space="preserve">En inkommen skrivelse </w:t>
            </w:r>
            <w:r w:rsidRPr="00376A39">
              <w:rPr>
                <w:snapToGrid w:val="0"/>
                <w:sz w:val="22"/>
                <w:szCs w:val="22"/>
              </w:rPr>
              <w:t xml:space="preserve">enligt bilaga 3 anmäldes </w:t>
            </w:r>
            <w:r w:rsidRPr="00376A39">
              <w:rPr>
                <w:rFonts w:eastAsiaTheme="minorHAnsi"/>
                <w:bCs/>
                <w:color w:val="000000"/>
                <w:sz w:val="22"/>
                <w:szCs w:val="22"/>
                <w:lang w:eastAsia="en-US"/>
              </w:rPr>
              <w:t>och lades till handlingarna.</w:t>
            </w:r>
          </w:p>
          <w:p w:rsidR="006B3611" w:rsidRPr="00376A39" w:rsidRDefault="006B3611" w:rsidP="006B3611">
            <w:pPr>
              <w:tabs>
                <w:tab w:val="left" w:pos="2459"/>
              </w:tabs>
              <w:rPr>
                <w:rFonts w:eastAsiaTheme="minorHAnsi"/>
                <w:b/>
                <w:bCs/>
                <w:color w:val="000000"/>
                <w:sz w:val="22"/>
                <w:szCs w:val="22"/>
                <w:lang w:eastAsia="en-US"/>
              </w:rPr>
            </w:pPr>
          </w:p>
        </w:tc>
      </w:tr>
      <w:tr w:rsidR="006B3611" w:rsidRPr="00376A39" w:rsidTr="002241EF">
        <w:tc>
          <w:tcPr>
            <w:tcW w:w="567" w:type="dxa"/>
          </w:tcPr>
          <w:p w:rsidR="006B3611" w:rsidRPr="00376A39" w:rsidRDefault="006B3611" w:rsidP="006B3611">
            <w:pPr>
              <w:tabs>
                <w:tab w:val="left" w:pos="1701"/>
              </w:tabs>
              <w:rPr>
                <w:b/>
                <w:snapToGrid w:val="0"/>
                <w:sz w:val="22"/>
                <w:szCs w:val="22"/>
              </w:rPr>
            </w:pPr>
            <w:r w:rsidRPr="00376A39">
              <w:rPr>
                <w:b/>
                <w:snapToGrid w:val="0"/>
                <w:sz w:val="22"/>
                <w:szCs w:val="22"/>
              </w:rPr>
              <w:t xml:space="preserve">§ </w:t>
            </w:r>
            <w:r w:rsidR="004F5D48">
              <w:rPr>
                <w:b/>
                <w:snapToGrid w:val="0"/>
                <w:sz w:val="22"/>
                <w:szCs w:val="22"/>
              </w:rPr>
              <w:t>8</w:t>
            </w:r>
          </w:p>
        </w:tc>
        <w:tc>
          <w:tcPr>
            <w:tcW w:w="6946" w:type="dxa"/>
            <w:gridSpan w:val="2"/>
          </w:tcPr>
          <w:p w:rsidR="006B3611" w:rsidRPr="00376A39" w:rsidRDefault="006B3611" w:rsidP="006B3611">
            <w:pPr>
              <w:tabs>
                <w:tab w:val="left" w:pos="1701"/>
              </w:tabs>
              <w:rPr>
                <w:rFonts w:eastAsiaTheme="minorHAnsi"/>
                <w:b/>
                <w:bCs/>
                <w:color w:val="000000"/>
                <w:sz w:val="22"/>
                <w:szCs w:val="22"/>
                <w:lang w:eastAsia="en-US"/>
              </w:rPr>
            </w:pPr>
            <w:r w:rsidRPr="00376A39">
              <w:rPr>
                <w:rFonts w:eastAsiaTheme="minorHAnsi"/>
                <w:b/>
                <w:bCs/>
                <w:color w:val="000000"/>
                <w:sz w:val="22"/>
                <w:szCs w:val="22"/>
                <w:lang w:eastAsia="en-US"/>
              </w:rPr>
              <w:t>Nästa sammanträde</w:t>
            </w:r>
          </w:p>
          <w:p w:rsidR="006B3611" w:rsidRPr="00376A39" w:rsidRDefault="006B3611" w:rsidP="006B3611">
            <w:pPr>
              <w:tabs>
                <w:tab w:val="left" w:pos="1701"/>
              </w:tabs>
              <w:rPr>
                <w:rFonts w:eastAsiaTheme="minorHAnsi"/>
                <w:b/>
                <w:bCs/>
                <w:color w:val="000000"/>
                <w:sz w:val="22"/>
                <w:szCs w:val="22"/>
                <w:lang w:eastAsia="en-US"/>
              </w:rPr>
            </w:pPr>
          </w:p>
          <w:p w:rsidR="006B3611" w:rsidRPr="00376A39" w:rsidRDefault="006B3611" w:rsidP="00FB68C6">
            <w:pPr>
              <w:tabs>
                <w:tab w:val="left" w:pos="1701"/>
              </w:tabs>
              <w:rPr>
                <w:rFonts w:eastAsiaTheme="minorHAnsi"/>
                <w:b/>
                <w:bCs/>
                <w:color w:val="000000"/>
                <w:sz w:val="22"/>
                <w:szCs w:val="22"/>
                <w:lang w:eastAsia="en-US"/>
              </w:rPr>
            </w:pPr>
            <w:r w:rsidRPr="00376A39">
              <w:rPr>
                <w:snapToGrid w:val="0"/>
                <w:sz w:val="22"/>
                <w:szCs w:val="22"/>
              </w:rPr>
              <w:t>Nästa sammanträde äger rum</w:t>
            </w:r>
            <w:r w:rsidR="00376A39">
              <w:rPr>
                <w:snapToGrid w:val="0"/>
                <w:sz w:val="22"/>
                <w:szCs w:val="22"/>
              </w:rPr>
              <w:t xml:space="preserve"> t</w:t>
            </w:r>
            <w:r w:rsidR="00FB68C6">
              <w:rPr>
                <w:snapToGrid w:val="0"/>
                <w:sz w:val="22"/>
                <w:szCs w:val="22"/>
              </w:rPr>
              <w:t>or</w:t>
            </w:r>
            <w:r w:rsidR="00376A39">
              <w:rPr>
                <w:snapToGrid w:val="0"/>
                <w:sz w:val="22"/>
                <w:szCs w:val="22"/>
              </w:rPr>
              <w:t>s</w:t>
            </w:r>
            <w:r w:rsidRPr="00376A39">
              <w:rPr>
                <w:snapToGrid w:val="0"/>
                <w:sz w:val="22"/>
                <w:szCs w:val="22"/>
              </w:rPr>
              <w:t>dagen den</w:t>
            </w:r>
            <w:r w:rsidR="00707262">
              <w:rPr>
                <w:snapToGrid w:val="0"/>
                <w:sz w:val="22"/>
                <w:szCs w:val="22"/>
              </w:rPr>
              <w:t xml:space="preserve"> 25</w:t>
            </w:r>
            <w:r w:rsidR="004412EA">
              <w:rPr>
                <w:snapToGrid w:val="0"/>
                <w:sz w:val="22"/>
                <w:szCs w:val="22"/>
              </w:rPr>
              <w:t xml:space="preserve"> </w:t>
            </w:r>
            <w:r w:rsidR="00707262">
              <w:rPr>
                <w:snapToGrid w:val="0"/>
                <w:sz w:val="22"/>
                <w:szCs w:val="22"/>
              </w:rPr>
              <w:t>oktober</w:t>
            </w:r>
            <w:r w:rsidRPr="00376A39">
              <w:rPr>
                <w:snapToGrid w:val="0"/>
                <w:sz w:val="22"/>
                <w:szCs w:val="22"/>
              </w:rPr>
              <w:t xml:space="preserve"> 201</w:t>
            </w:r>
            <w:r w:rsidR="00707262">
              <w:rPr>
                <w:snapToGrid w:val="0"/>
                <w:sz w:val="22"/>
                <w:szCs w:val="22"/>
              </w:rPr>
              <w:t>8 kl. 08.15</w:t>
            </w:r>
            <w:r w:rsidRPr="00376A39">
              <w:rPr>
                <w:snapToGrid w:val="0"/>
                <w:sz w:val="22"/>
                <w:szCs w:val="22"/>
              </w:rPr>
              <w:t>.</w:t>
            </w:r>
          </w:p>
        </w:tc>
      </w:tr>
      <w:tr w:rsidR="006B3611" w:rsidRPr="00376A39" w:rsidTr="002241EF">
        <w:trPr>
          <w:gridAfter w:val="1"/>
          <w:wAfter w:w="357" w:type="dxa"/>
        </w:trPr>
        <w:tc>
          <w:tcPr>
            <w:tcW w:w="7156" w:type="dxa"/>
            <w:gridSpan w:val="2"/>
          </w:tcPr>
          <w:p w:rsidR="006B3611" w:rsidRPr="00376A39" w:rsidRDefault="006B3611" w:rsidP="006B3611">
            <w:pPr>
              <w:tabs>
                <w:tab w:val="left" w:pos="1701"/>
              </w:tabs>
              <w:rPr>
                <w:sz w:val="22"/>
                <w:szCs w:val="22"/>
              </w:rPr>
            </w:pPr>
          </w:p>
          <w:p w:rsidR="006B3611" w:rsidRPr="00376A39" w:rsidRDefault="006B3611" w:rsidP="006B3611">
            <w:pPr>
              <w:tabs>
                <w:tab w:val="left" w:pos="1701"/>
              </w:tabs>
              <w:rPr>
                <w:sz w:val="22"/>
                <w:szCs w:val="22"/>
              </w:rPr>
            </w:pPr>
            <w:r w:rsidRPr="00376A39">
              <w:rPr>
                <w:sz w:val="22"/>
                <w:szCs w:val="22"/>
              </w:rPr>
              <w:t>Vid protokollet</w:t>
            </w:r>
          </w:p>
          <w:p w:rsidR="006B3611" w:rsidRPr="00376A39" w:rsidRDefault="006B3611" w:rsidP="006B3611">
            <w:pPr>
              <w:tabs>
                <w:tab w:val="left" w:pos="1701"/>
              </w:tabs>
              <w:rPr>
                <w:sz w:val="22"/>
                <w:szCs w:val="22"/>
              </w:rPr>
            </w:pPr>
          </w:p>
          <w:p w:rsidR="006B3611" w:rsidRPr="00376A39" w:rsidRDefault="006B3611" w:rsidP="006B3611">
            <w:pPr>
              <w:tabs>
                <w:tab w:val="left" w:pos="1701"/>
              </w:tabs>
              <w:rPr>
                <w:sz w:val="22"/>
                <w:szCs w:val="22"/>
              </w:rPr>
            </w:pPr>
            <w:bookmarkStart w:id="0" w:name="_GoBack"/>
            <w:bookmarkEnd w:id="0"/>
          </w:p>
          <w:p w:rsidR="006B3611" w:rsidRPr="00376A39" w:rsidRDefault="006B3611" w:rsidP="006B3611">
            <w:pPr>
              <w:tabs>
                <w:tab w:val="left" w:pos="1701"/>
              </w:tabs>
              <w:rPr>
                <w:sz w:val="22"/>
                <w:szCs w:val="22"/>
              </w:rPr>
            </w:pPr>
            <w:r w:rsidRPr="00376A39">
              <w:rPr>
                <w:sz w:val="22"/>
                <w:szCs w:val="22"/>
              </w:rPr>
              <w:t xml:space="preserve">Justeras den </w:t>
            </w:r>
            <w:r w:rsidR="00A33C3D">
              <w:rPr>
                <w:sz w:val="22"/>
                <w:szCs w:val="22"/>
              </w:rPr>
              <w:t>25 oktober</w:t>
            </w:r>
            <w:r w:rsidRPr="00376A39">
              <w:rPr>
                <w:sz w:val="22"/>
                <w:szCs w:val="22"/>
              </w:rPr>
              <w:t xml:space="preserve"> 2018</w:t>
            </w:r>
          </w:p>
          <w:p w:rsidR="006B3611" w:rsidRPr="00376A39" w:rsidRDefault="006B3611" w:rsidP="006B3611">
            <w:pPr>
              <w:tabs>
                <w:tab w:val="left" w:pos="1701"/>
              </w:tabs>
              <w:rPr>
                <w:b/>
                <w:sz w:val="22"/>
                <w:szCs w:val="22"/>
              </w:rPr>
            </w:pPr>
          </w:p>
          <w:p w:rsidR="006B3611" w:rsidRPr="00376A39" w:rsidRDefault="006B3611" w:rsidP="006B3611">
            <w:pPr>
              <w:tabs>
                <w:tab w:val="left" w:pos="1701"/>
              </w:tabs>
              <w:rPr>
                <w:sz w:val="22"/>
                <w:szCs w:val="22"/>
              </w:rPr>
            </w:pPr>
          </w:p>
          <w:p w:rsidR="006F5B88" w:rsidRPr="006F5B88" w:rsidRDefault="006F5B88" w:rsidP="006B3611">
            <w:pPr>
              <w:tabs>
                <w:tab w:val="left" w:pos="1701"/>
              </w:tabs>
              <w:rPr>
                <w:sz w:val="22"/>
                <w:szCs w:val="22"/>
              </w:rPr>
            </w:pPr>
            <w:r>
              <w:rPr>
                <w:sz w:val="22"/>
                <w:szCs w:val="22"/>
              </w:rPr>
              <w:t>Kristina Yngwe</w:t>
            </w:r>
          </w:p>
        </w:tc>
      </w:tr>
    </w:tbl>
    <w:p w:rsidR="00177FF8" w:rsidRPr="00376A39" w:rsidRDefault="00177FF8">
      <w:pPr>
        <w:tabs>
          <w:tab w:val="left" w:pos="1701"/>
        </w:tabs>
        <w:rPr>
          <w:sz w:val="22"/>
          <w:szCs w:val="22"/>
        </w:rPr>
      </w:pPr>
    </w:p>
    <w:p w:rsidR="00B96E81" w:rsidRPr="00376A39" w:rsidRDefault="00B96E81" w:rsidP="001806D9">
      <w:pPr>
        <w:pStyle w:val="Brdtext"/>
        <w:rPr>
          <w:sz w:val="22"/>
          <w:szCs w:val="22"/>
        </w:rPr>
      </w:pPr>
    </w:p>
    <w:p w:rsidR="002851E5" w:rsidRPr="00376A39" w:rsidRDefault="002851E5" w:rsidP="001806D9">
      <w:pPr>
        <w:pStyle w:val="Brdtext"/>
        <w:rPr>
          <w:sz w:val="22"/>
          <w:szCs w:val="22"/>
        </w:rPr>
      </w:pPr>
    </w:p>
    <w:p w:rsidR="002851E5" w:rsidRPr="00376A39" w:rsidRDefault="002851E5" w:rsidP="001806D9">
      <w:pPr>
        <w:pStyle w:val="Brdtext"/>
        <w:rPr>
          <w:sz w:val="22"/>
          <w:szCs w:val="22"/>
        </w:rPr>
      </w:pPr>
    </w:p>
    <w:p w:rsidR="002851E5" w:rsidRPr="00376A39" w:rsidRDefault="002851E5" w:rsidP="001806D9">
      <w:pPr>
        <w:pStyle w:val="Brdtext"/>
        <w:rPr>
          <w:sz w:val="22"/>
          <w:szCs w:val="22"/>
        </w:rPr>
      </w:pPr>
    </w:p>
    <w:p w:rsidR="002851E5" w:rsidRPr="00376A39" w:rsidRDefault="002851E5" w:rsidP="001806D9">
      <w:pPr>
        <w:pStyle w:val="Brdtext"/>
        <w:rPr>
          <w:sz w:val="22"/>
          <w:szCs w:val="22"/>
        </w:rPr>
      </w:pPr>
    </w:p>
    <w:p w:rsidR="002851E5" w:rsidRPr="00376A39" w:rsidRDefault="002851E5" w:rsidP="001806D9">
      <w:pPr>
        <w:pStyle w:val="Brdtext"/>
        <w:rPr>
          <w:sz w:val="22"/>
          <w:szCs w:val="22"/>
        </w:rPr>
      </w:pPr>
    </w:p>
    <w:p w:rsidR="002851E5" w:rsidRDefault="002851E5"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4F5D48" w:rsidRDefault="004F5D48" w:rsidP="001806D9">
      <w:pPr>
        <w:pStyle w:val="Brdtext"/>
        <w:rPr>
          <w:sz w:val="22"/>
          <w:szCs w:val="22"/>
        </w:rPr>
      </w:pPr>
    </w:p>
    <w:p w:rsidR="004F5D48" w:rsidRDefault="004F5D48"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p w:rsidR="00F960AC" w:rsidRDefault="00F960AC" w:rsidP="001806D9">
      <w:pPr>
        <w:pStyle w:val="Brdtext"/>
        <w:rPr>
          <w:sz w:val="22"/>
          <w:szCs w:val="22"/>
        </w:r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15"/>
        <w:gridCol w:w="1885"/>
        <w:gridCol w:w="650"/>
        <w:gridCol w:w="725"/>
        <w:gridCol w:w="425"/>
        <w:gridCol w:w="425"/>
        <w:gridCol w:w="426"/>
        <w:gridCol w:w="425"/>
        <w:gridCol w:w="425"/>
        <w:gridCol w:w="71"/>
        <w:gridCol w:w="354"/>
        <w:gridCol w:w="426"/>
        <w:gridCol w:w="283"/>
        <w:gridCol w:w="142"/>
        <w:gridCol w:w="425"/>
        <w:gridCol w:w="213"/>
        <w:gridCol w:w="212"/>
        <w:gridCol w:w="425"/>
        <w:gridCol w:w="426"/>
        <w:gridCol w:w="142"/>
        <w:gridCol w:w="496"/>
        <w:gridCol w:w="992"/>
        <w:gridCol w:w="72"/>
      </w:tblGrid>
      <w:tr w:rsidR="0086226D" w:rsidRPr="005249C1" w:rsidTr="00F960AC">
        <w:trPr>
          <w:gridAfter w:val="4"/>
          <w:wAfter w:w="1702" w:type="dxa"/>
        </w:trPr>
        <w:tc>
          <w:tcPr>
            <w:tcW w:w="3969" w:type="dxa"/>
            <w:gridSpan w:val="5"/>
            <w:tcBorders>
              <w:top w:val="nil"/>
              <w:left w:val="nil"/>
              <w:bottom w:val="nil"/>
              <w:right w:val="nil"/>
            </w:tcBorders>
          </w:tcPr>
          <w:p w:rsidR="0086226D" w:rsidRPr="005249C1" w:rsidRDefault="0086226D" w:rsidP="004C11F5">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9"/>
            <w:tcBorders>
              <w:top w:val="nil"/>
              <w:left w:val="nil"/>
              <w:bottom w:val="nil"/>
              <w:right w:val="nil"/>
            </w:tcBorders>
          </w:tcPr>
          <w:p w:rsidR="0086226D" w:rsidRPr="005249C1" w:rsidRDefault="0086226D" w:rsidP="004C11F5">
            <w:pPr>
              <w:tabs>
                <w:tab w:val="left" w:pos="1701"/>
              </w:tabs>
              <w:rPr>
                <w:b/>
                <w:sz w:val="22"/>
                <w:szCs w:val="22"/>
              </w:rPr>
            </w:pPr>
            <w:r w:rsidRPr="005249C1">
              <w:rPr>
                <w:b/>
                <w:sz w:val="22"/>
                <w:szCs w:val="22"/>
              </w:rPr>
              <w:t>NÄRVAROFÖRTECKNING</w:t>
            </w:r>
          </w:p>
        </w:tc>
        <w:tc>
          <w:tcPr>
            <w:tcW w:w="1843" w:type="dxa"/>
            <w:gridSpan w:val="6"/>
            <w:tcBorders>
              <w:top w:val="nil"/>
              <w:left w:val="nil"/>
              <w:bottom w:val="nil"/>
              <w:right w:val="nil"/>
            </w:tcBorders>
          </w:tcPr>
          <w:p w:rsidR="0086226D" w:rsidRPr="005249C1" w:rsidRDefault="0086226D" w:rsidP="004C11F5">
            <w:pPr>
              <w:tabs>
                <w:tab w:val="left" w:pos="1701"/>
              </w:tabs>
              <w:rPr>
                <w:sz w:val="22"/>
                <w:szCs w:val="22"/>
              </w:rPr>
            </w:pPr>
            <w:r w:rsidRPr="005249C1">
              <w:rPr>
                <w:b/>
                <w:sz w:val="22"/>
                <w:szCs w:val="22"/>
              </w:rPr>
              <w:t xml:space="preserve">Bilaga 1 </w:t>
            </w:r>
            <w:r w:rsidRPr="005249C1">
              <w:rPr>
                <w:sz w:val="22"/>
                <w:szCs w:val="22"/>
              </w:rPr>
              <w:t xml:space="preserve">till </w:t>
            </w:r>
          </w:p>
          <w:p w:rsidR="0086226D" w:rsidRPr="005249C1" w:rsidRDefault="0086226D" w:rsidP="004C11F5">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F960AC">
              <w:rPr>
                <w:sz w:val="22"/>
                <w:szCs w:val="22"/>
              </w:rPr>
              <w:t>5</w:t>
            </w: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cantSplit/>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86226D" w:rsidRPr="00F960AC"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b/>
                <w:color w:val="FF0000"/>
                <w:sz w:val="22"/>
                <w:szCs w:val="22"/>
              </w:rPr>
            </w:pPr>
            <w:r w:rsidRPr="005249C1">
              <w:rPr>
                <w:sz w:val="22"/>
                <w:szCs w:val="22"/>
              </w:rPr>
              <w:t xml:space="preserve">§ </w:t>
            </w:r>
            <w:r w:rsidR="00F960AC">
              <w:rPr>
                <w:sz w:val="22"/>
                <w:szCs w:val="22"/>
              </w:rPr>
              <w:t>1 –</w:t>
            </w:r>
            <w:r w:rsidR="004F5D48">
              <w:rPr>
                <w:sz w:val="22"/>
                <w:szCs w:val="22"/>
              </w:rPr>
              <w:t xml:space="preserve"> 8</w:t>
            </w:r>
          </w:p>
        </w:tc>
        <w:tc>
          <w:tcPr>
            <w:tcW w:w="851"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850" w:type="dxa"/>
            <w:gridSpan w:val="3"/>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3"/>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w:t>
            </w:r>
            <w:proofErr w:type="spellStart"/>
            <w:r w:rsidRPr="005249C1">
              <w:rPr>
                <w:color w:val="000000"/>
                <w:sz w:val="22"/>
                <w:szCs w:val="22"/>
                <w:lang w:val="en-US"/>
              </w:rPr>
              <w:t>ordf</w:t>
            </w:r>
            <w:proofErr w:type="spellEnd"/>
            <w:r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spacing w:line="256" w:lineRule="auto"/>
              <w:rPr>
                <w:sz w:val="22"/>
                <w:szCs w:val="22"/>
                <w:lang w:eastAsia="en-US"/>
              </w:rPr>
            </w:pPr>
            <w:r w:rsidRPr="00EF4B6A">
              <w:rPr>
                <w:sz w:val="22"/>
                <w:szCs w:val="22"/>
                <w:lang w:val="en-US" w:eastAsia="en-US"/>
              </w:rPr>
              <w:t>Hanna West</w:t>
            </w:r>
            <w:r>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sidRPr="005249C1">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86226D" w:rsidRPr="00EF4B6A"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EF4B6A" w:rsidRDefault="0086226D" w:rsidP="004C11F5">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sidRPr="005249C1">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EF4B6A" w:rsidRDefault="0086226D" w:rsidP="004C11F5">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EF4B6A" w:rsidRDefault="0086226D" w:rsidP="004C11F5">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Pr>
                <w:sz w:val="22"/>
                <w:szCs w:val="22"/>
                <w:lang w:eastAsia="en-US"/>
              </w:rPr>
              <w:t>Betty Malmberg</w:t>
            </w:r>
            <w:r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85A8C"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A85A8C" w:rsidRDefault="00A85A8C" w:rsidP="004C11F5">
            <w:pPr>
              <w:spacing w:line="256" w:lineRule="auto"/>
              <w:rPr>
                <w:sz w:val="22"/>
                <w:szCs w:val="22"/>
                <w:lang w:eastAsia="en-US"/>
              </w:rPr>
            </w:pPr>
            <w:r>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A85A8C"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85A8C"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lang w:eastAsia="en-US"/>
              </w:rPr>
            </w:pPr>
            <w:r>
              <w:rPr>
                <w:sz w:val="22"/>
                <w:szCs w:val="22"/>
                <w:lang w:eastAsia="en-US"/>
              </w:rPr>
              <w:t>Marléne Lund Kopparklint</w:t>
            </w:r>
            <w:r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lang w:eastAsia="en-US"/>
              </w:rPr>
            </w:pPr>
            <w:r>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Height w:val="65"/>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EF4B6A"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Pr>
                <w:sz w:val="22"/>
                <w:szCs w:val="22"/>
                <w:lang w:eastAsia="en-US"/>
              </w:rPr>
              <w:t xml:space="preserve">Tomas </w:t>
            </w:r>
            <w:proofErr w:type="spellStart"/>
            <w:r>
              <w:rPr>
                <w:sz w:val="22"/>
                <w:szCs w:val="22"/>
                <w:lang w:eastAsia="en-US"/>
              </w:rPr>
              <w:t>Kronstål</w:t>
            </w:r>
            <w:proofErr w:type="spellEnd"/>
            <w:r>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F960A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2268"/>
                <w:tab w:val="left" w:pos="2977"/>
                <w:tab w:val="left" w:pos="4536"/>
              </w:tabs>
              <w:spacing w:line="256" w:lineRule="auto"/>
              <w:rPr>
                <w:sz w:val="22"/>
                <w:szCs w:val="22"/>
              </w:rPr>
            </w:pPr>
            <w:r>
              <w:rPr>
                <w:sz w:val="22"/>
                <w:szCs w:val="22"/>
              </w:rPr>
              <w:t>Amanda Palmstierna (MP)</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A85A8C"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02" w:type="dxa"/>
        </w:trPr>
        <w:tc>
          <w:tcPr>
            <w:tcW w:w="3969" w:type="dxa"/>
            <w:gridSpan w:val="5"/>
            <w:tcBorders>
              <w:top w:val="single" w:sz="6" w:space="0" w:color="auto"/>
              <w:left w:val="single" w:sz="6" w:space="0" w:color="auto"/>
              <w:bottom w:val="single" w:sz="6" w:space="0" w:color="auto"/>
              <w:right w:val="single" w:sz="6" w:space="0" w:color="auto"/>
            </w:tcBorders>
          </w:tcPr>
          <w:p w:rsidR="0086226D" w:rsidRDefault="0086226D" w:rsidP="004C11F5">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0" w:type="dxa"/>
          <w:trHeight w:val="263"/>
        </w:trPr>
        <w:tc>
          <w:tcPr>
            <w:tcW w:w="3969" w:type="dxa"/>
            <w:gridSpan w:val="5"/>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6"/>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0" w:type="dxa"/>
          <w:trHeight w:val="262"/>
        </w:trPr>
        <w:tc>
          <w:tcPr>
            <w:tcW w:w="3969" w:type="dxa"/>
            <w:gridSpan w:val="5"/>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6"/>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r w:rsidR="0086226D"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60" w:type="dxa"/>
          <w:trHeight w:val="262"/>
        </w:trPr>
        <w:tc>
          <w:tcPr>
            <w:tcW w:w="3969" w:type="dxa"/>
            <w:gridSpan w:val="5"/>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6"/>
          </w:tcPr>
          <w:p w:rsidR="0086226D" w:rsidRPr="005249C1" w:rsidRDefault="0086226D" w:rsidP="004C11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D6A2B"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709" w:type="dxa"/>
          <w:wAfter w:w="1064" w:type="dxa"/>
        </w:trPr>
        <w:tc>
          <w:tcPr>
            <w:tcW w:w="5457" w:type="dxa"/>
            <w:gridSpan w:val="9"/>
          </w:tcPr>
          <w:p w:rsidR="00ED6A2B" w:rsidRPr="005249C1" w:rsidRDefault="00ED6A2B" w:rsidP="0039251E">
            <w:pPr>
              <w:tabs>
                <w:tab w:val="left" w:pos="1276"/>
              </w:tabs>
              <w:rPr>
                <w:sz w:val="22"/>
                <w:szCs w:val="22"/>
              </w:rPr>
            </w:pPr>
            <w:r w:rsidRPr="005249C1">
              <w:rPr>
                <w:sz w:val="22"/>
                <w:szCs w:val="22"/>
              </w:rPr>
              <w:br w:type="page"/>
              <w:t>MILJÖ- OCH JORDBRUKSUTSKOTTET</w:t>
            </w:r>
          </w:p>
        </w:tc>
        <w:tc>
          <w:tcPr>
            <w:tcW w:w="1843" w:type="dxa"/>
            <w:gridSpan w:val="6"/>
          </w:tcPr>
          <w:p w:rsidR="00ED6A2B" w:rsidRPr="005249C1" w:rsidRDefault="00ED6A2B" w:rsidP="0039251E">
            <w:pPr>
              <w:tabs>
                <w:tab w:val="left" w:pos="1276"/>
              </w:tabs>
              <w:rPr>
                <w:sz w:val="22"/>
                <w:szCs w:val="22"/>
              </w:rPr>
            </w:pPr>
          </w:p>
        </w:tc>
        <w:tc>
          <w:tcPr>
            <w:tcW w:w="1701" w:type="dxa"/>
            <w:gridSpan w:val="5"/>
          </w:tcPr>
          <w:p w:rsidR="00ED6A2B" w:rsidRPr="005249C1" w:rsidRDefault="00ED6A2B" w:rsidP="0039251E">
            <w:pPr>
              <w:tabs>
                <w:tab w:val="left" w:pos="1276"/>
              </w:tabs>
              <w:ind w:right="-212"/>
              <w:rPr>
                <w:b/>
                <w:sz w:val="22"/>
                <w:szCs w:val="22"/>
              </w:rPr>
            </w:pPr>
            <w:r>
              <w:rPr>
                <w:b/>
                <w:sz w:val="22"/>
                <w:szCs w:val="22"/>
              </w:rPr>
              <w:t>Bilaga 2</w:t>
            </w:r>
          </w:p>
          <w:p w:rsidR="00ED6A2B" w:rsidRPr="005249C1" w:rsidRDefault="00ED6A2B" w:rsidP="0039251E">
            <w:pPr>
              <w:tabs>
                <w:tab w:val="left" w:pos="1276"/>
              </w:tabs>
              <w:ind w:right="-212"/>
              <w:rPr>
                <w:sz w:val="22"/>
                <w:szCs w:val="22"/>
              </w:rPr>
            </w:pPr>
            <w:r w:rsidRPr="005249C1">
              <w:rPr>
                <w:sz w:val="22"/>
                <w:szCs w:val="22"/>
              </w:rPr>
              <w:t>till protokoll</w:t>
            </w:r>
          </w:p>
          <w:p w:rsidR="00ED6A2B" w:rsidRPr="005249C1" w:rsidRDefault="00ED6A2B" w:rsidP="0039251E">
            <w:pPr>
              <w:tabs>
                <w:tab w:val="left" w:pos="1276"/>
              </w:tabs>
              <w:ind w:right="-212"/>
              <w:rPr>
                <w:b/>
                <w:sz w:val="22"/>
                <w:szCs w:val="22"/>
              </w:rPr>
            </w:pPr>
            <w:r>
              <w:rPr>
                <w:sz w:val="22"/>
                <w:szCs w:val="22"/>
              </w:rPr>
              <w:lastRenderedPageBreak/>
              <w:t>2018</w:t>
            </w:r>
            <w:r w:rsidRPr="005249C1">
              <w:rPr>
                <w:sz w:val="22"/>
                <w:szCs w:val="22"/>
              </w:rPr>
              <w:t>/1</w:t>
            </w:r>
            <w:r>
              <w:rPr>
                <w:sz w:val="22"/>
                <w:szCs w:val="22"/>
              </w:rPr>
              <w:t>9</w:t>
            </w:r>
            <w:r w:rsidRPr="005249C1">
              <w:rPr>
                <w:sz w:val="22"/>
                <w:szCs w:val="22"/>
              </w:rPr>
              <w:t>:</w:t>
            </w:r>
            <w:r w:rsidR="00C87FA2">
              <w:rPr>
                <w:sz w:val="22"/>
                <w:szCs w:val="22"/>
              </w:rPr>
              <w:t>5</w:t>
            </w:r>
          </w:p>
        </w:tc>
      </w:tr>
      <w:tr w:rsidR="00ED6A2B"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09" w:type="dxa"/>
          <w:wAfter w:w="72" w:type="dxa"/>
          <w:trHeight w:val="450"/>
        </w:trPr>
        <w:tc>
          <w:tcPr>
            <w:tcW w:w="9993" w:type="dxa"/>
            <w:gridSpan w:val="21"/>
            <w:tcBorders>
              <w:left w:val="nil"/>
              <w:bottom w:val="single" w:sz="4" w:space="0" w:color="A9A9A9"/>
              <w:right w:val="nil"/>
            </w:tcBorders>
            <w:shd w:val="clear" w:color="auto" w:fill="auto"/>
            <w:vAlign w:val="bottom"/>
          </w:tcPr>
          <w:p w:rsidR="00ED6A2B" w:rsidRPr="005249C1" w:rsidRDefault="00ED6A2B" w:rsidP="003F2BA4">
            <w:pPr>
              <w:widowControl/>
              <w:rPr>
                <w:rFonts w:ascii="Arial" w:hAnsi="Arial" w:cs="Arial"/>
                <w:b/>
                <w:bCs/>
                <w:sz w:val="22"/>
                <w:szCs w:val="22"/>
              </w:rPr>
            </w:pPr>
            <w:r w:rsidRPr="005249C1">
              <w:rPr>
                <w:rFonts w:ascii="Arial" w:hAnsi="Arial" w:cs="Arial"/>
                <w:b/>
                <w:bCs/>
                <w:sz w:val="22"/>
                <w:szCs w:val="22"/>
              </w:rPr>
              <w:lastRenderedPageBreak/>
              <w:t xml:space="preserve">Till MJU inkomna EU-dokument m.m. </w:t>
            </w:r>
            <w:r w:rsidR="003F2BA4">
              <w:rPr>
                <w:rFonts w:ascii="Arial" w:hAnsi="Arial" w:cs="Arial"/>
                <w:b/>
                <w:bCs/>
                <w:sz w:val="22"/>
                <w:szCs w:val="22"/>
              </w:rPr>
              <w:t>1 – 15 oktober</w:t>
            </w:r>
            <w:r w:rsidRPr="005249C1">
              <w:rPr>
                <w:rFonts w:ascii="Arial" w:hAnsi="Arial" w:cs="Arial"/>
                <w:b/>
                <w:bCs/>
                <w:sz w:val="22"/>
                <w:szCs w:val="22"/>
              </w:rPr>
              <w:t xml:space="preserve"> 201</w:t>
            </w:r>
            <w:r>
              <w:rPr>
                <w:rFonts w:ascii="Arial" w:hAnsi="Arial" w:cs="Arial"/>
                <w:b/>
                <w:bCs/>
                <w:sz w:val="22"/>
                <w:szCs w:val="22"/>
              </w:rPr>
              <w:t>8</w:t>
            </w:r>
          </w:p>
        </w:tc>
      </w:tr>
      <w:tr w:rsidR="00ED6A2B"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09" w:type="dxa"/>
          <w:wAfter w:w="72" w:type="dxa"/>
          <w:trHeight w:val="315"/>
        </w:trPr>
        <w:tc>
          <w:tcPr>
            <w:tcW w:w="2535" w:type="dxa"/>
            <w:gridSpan w:val="2"/>
            <w:tcBorders>
              <w:top w:val="single" w:sz="4" w:space="0" w:color="A9A9A9"/>
              <w:left w:val="single" w:sz="4" w:space="0" w:color="A9A9A9"/>
              <w:bottom w:val="single" w:sz="4" w:space="0" w:color="A9A9A9"/>
              <w:right w:val="single" w:sz="4" w:space="0" w:color="A9A9A9"/>
            </w:tcBorders>
            <w:shd w:val="clear" w:color="auto" w:fill="auto"/>
            <w:vAlign w:val="center"/>
          </w:tcPr>
          <w:p w:rsidR="00ED6A2B" w:rsidRPr="005249C1" w:rsidRDefault="00ED6A2B" w:rsidP="0039251E">
            <w:pPr>
              <w:widowControl/>
              <w:rPr>
                <w:b/>
                <w:bCs/>
                <w:sz w:val="22"/>
                <w:szCs w:val="22"/>
              </w:rPr>
            </w:pPr>
            <w:r w:rsidRPr="005249C1">
              <w:rPr>
                <w:b/>
                <w:bCs/>
                <w:sz w:val="22"/>
                <w:szCs w:val="22"/>
              </w:rPr>
              <w:t>Beteckning</w:t>
            </w:r>
          </w:p>
        </w:tc>
        <w:tc>
          <w:tcPr>
            <w:tcW w:w="7458" w:type="dxa"/>
            <w:gridSpan w:val="19"/>
            <w:tcBorders>
              <w:top w:val="single" w:sz="4" w:space="0" w:color="A9A9A9"/>
              <w:left w:val="nil"/>
              <w:bottom w:val="single" w:sz="4" w:space="0" w:color="A9A9A9"/>
              <w:right w:val="single" w:sz="4" w:space="0" w:color="A9A9A9"/>
            </w:tcBorders>
            <w:shd w:val="clear" w:color="auto" w:fill="auto"/>
            <w:vAlign w:val="center"/>
          </w:tcPr>
          <w:p w:rsidR="00ED6A2B" w:rsidRPr="005249C1" w:rsidRDefault="00ED6A2B" w:rsidP="0039251E">
            <w:pPr>
              <w:widowControl/>
              <w:rPr>
                <w:b/>
                <w:bCs/>
                <w:sz w:val="22"/>
                <w:szCs w:val="22"/>
              </w:rPr>
            </w:pPr>
            <w:r w:rsidRPr="005249C1">
              <w:rPr>
                <w:b/>
                <w:bCs/>
                <w:sz w:val="22"/>
                <w:szCs w:val="22"/>
              </w:rPr>
              <w:t>Rubrik</w:t>
            </w:r>
          </w:p>
        </w:tc>
      </w:tr>
      <w:tr w:rsidR="00ED6A2B" w:rsidRPr="005249C1" w:rsidTr="00F9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09" w:type="dxa"/>
          <w:wAfter w:w="72" w:type="dxa"/>
          <w:trHeight w:val="745"/>
        </w:trPr>
        <w:tc>
          <w:tcPr>
            <w:tcW w:w="9993" w:type="dxa"/>
            <w:gridSpan w:val="21"/>
            <w:tcBorders>
              <w:top w:val="single" w:sz="4" w:space="0" w:color="A9A9A9"/>
              <w:left w:val="single" w:sz="4" w:space="0" w:color="A9A9A9"/>
              <w:bottom w:val="single" w:sz="4" w:space="0" w:color="A9A9A9"/>
              <w:right w:val="single" w:sz="4" w:space="0" w:color="A9A9A9"/>
            </w:tcBorders>
            <w:shd w:val="clear" w:color="auto" w:fill="auto"/>
            <w:vAlign w:val="center"/>
          </w:tcPr>
          <w:p w:rsidR="00ED6A2B" w:rsidRPr="005249C1" w:rsidRDefault="00ED6A2B" w:rsidP="0039251E">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ED6A2B" w:rsidRPr="00A64BD8" w:rsidTr="00F960AC">
        <w:trPr>
          <w:gridBefore w:val="1"/>
          <w:wBefore w:w="694" w:type="dxa"/>
          <w:trHeight w:val="315"/>
          <w:tblHeader/>
        </w:trPr>
        <w:tc>
          <w:tcPr>
            <w:tcW w:w="1900" w:type="dxa"/>
            <w:gridSpan w:val="2"/>
            <w:shd w:val="clear" w:color="auto" w:fill="auto"/>
            <w:vAlign w:val="center"/>
          </w:tcPr>
          <w:p w:rsidR="00ED6A2B" w:rsidRPr="00A64BD8" w:rsidRDefault="00ED6A2B" w:rsidP="0039251E">
            <w:pPr>
              <w:rPr>
                <w:b/>
                <w:bCs/>
                <w:sz w:val="22"/>
                <w:szCs w:val="22"/>
              </w:rPr>
            </w:pPr>
            <w:r w:rsidRPr="00A64BD8">
              <w:rPr>
                <w:b/>
                <w:bCs/>
                <w:sz w:val="22"/>
                <w:szCs w:val="22"/>
              </w:rPr>
              <w:t>Beteckning</w:t>
            </w:r>
          </w:p>
        </w:tc>
        <w:tc>
          <w:tcPr>
            <w:tcW w:w="8180" w:type="dxa"/>
            <w:gridSpan w:val="21"/>
            <w:shd w:val="clear" w:color="auto" w:fill="auto"/>
            <w:vAlign w:val="center"/>
          </w:tcPr>
          <w:p w:rsidR="00ED6A2B" w:rsidRPr="00A64BD8" w:rsidRDefault="00ED6A2B" w:rsidP="0039251E">
            <w:pPr>
              <w:rPr>
                <w:b/>
                <w:bCs/>
                <w:sz w:val="22"/>
                <w:szCs w:val="22"/>
              </w:rPr>
            </w:pPr>
            <w:r w:rsidRPr="00A64BD8">
              <w:rPr>
                <w:b/>
                <w:bCs/>
                <w:sz w:val="22"/>
                <w:szCs w:val="22"/>
              </w:rPr>
              <w:t>Rubrik</w:t>
            </w:r>
          </w:p>
        </w:tc>
      </w:tr>
      <w:tr w:rsidR="00ED6A2B" w:rsidRPr="00A64BD8" w:rsidTr="00F960AC">
        <w:trPr>
          <w:gridBefore w:val="1"/>
          <w:wBefore w:w="694" w:type="dxa"/>
          <w:trHeight w:val="729"/>
        </w:trPr>
        <w:tc>
          <w:tcPr>
            <w:tcW w:w="1900" w:type="dxa"/>
            <w:gridSpan w:val="2"/>
            <w:shd w:val="clear" w:color="auto" w:fill="auto"/>
            <w:vAlign w:val="center"/>
          </w:tcPr>
          <w:p w:rsidR="00ED6A2B" w:rsidRDefault="00ED6A2B" w:rsidP="00ED6A2B">
            <w:pPr>
              <w:rPr>
                <w:b/>
                <w:bCs/>
                <w:sz w:val="22"/>
                <w:szCs w:val="22"/>
              </w:rPr>
            </w:pPr>
            <w:r>
              <w:rPr>
                <w:bCs/>
                <w:sz w:val="22"/>
                <w:szCs w:val="22"/>
              </w:rPr>
              <w:t>COM(2018) 668</w:t>
            </w:r>
          </w:p>
        </w:tc>
        <w:tc>
          <w:tcPr>
            <w:tcW w:w="8180" w:type="dxa"/>
            <w:gridSpan w:val="21"/>
            <w:shd w:val="clear" w:color="auto" w:fill="auto"/>
            <w:vAlign w:val="center"/>
          </w:tcPr>
          <w:p w:rsidR="00ED6A2B" w:rsidRPr="00AC0651" w:rsidRDefault="00ED6A2B" w:rsidP="00ED6A2B">
            <w:pPr>
              <w:rPr>
                <w:bCs/>
                <w:sz w:val="22"/>
                <w:szCs w:val="22"/>
              </w:rPr>
            </w:pPr>
            <w:r w:rsidRPr="00AC0651">
              <w:rPr>
                <w:bCs/>
                <w:sz w:val="22"/>
                <w:szCs w:val="22"/>
              </w:rPr>
              <w:t xml:space="preserve">RAPPORT FRÅN KOMMISSIONEN TILL EUROPAPARLAMENTET OCH RÅDET Europaparlamentets och rådets förordning (EU) nr 995/2010 av den 20 oktober 2010 om fastställande av skyldigheter för verksamhetsutövare som släpper ut timmer och trävaror på marknaden (EU:s timmerförordning) Tvåårsrapport för perioden mars 2015–februari 2017 </w:t>
            </w:r>
          </w:p>
          <w:p w:rsidR="00ED6A2B" w:rsidRPr="00A64BD8" w:rsidRDefault="00ED6A2B" w:rsidP="00940255">
            <w:pPr>
              <w:rPr>
                <w:color w:val="FF0000"/>
                <w:sz w:val="22"/>
                <w:szCs w:val="22"/>
              </w:rPr>
            </w:pPr>
          </w:p>
        </w:tc>
      </w:tr>
      <w:tr w:rsidR="00ED6A2B" w:rsidRPr="004D35C5" w:rsidTr="00F960AC">
        <w:trPr>
          <w:gridBefore w:val="1"/>
          <w:wBefore w:w="694" w:type="dxa"/>
          <w:trHeight w:val="729"/>
        </w:trPr>
        <w:tc>
          <w:tcPr>
            <w:tcW w:w="1900" w:type="dxa"/>
            <w:gridSpan w:val="2"/>
            <w:shd w:val="clear" w:color="auto" w:fill="auto"/>
            <w:vAlign w:val="center"/>
          </w:tcPr>
          <w:p w:rsidR="00ED6A2B" w:rsidRDefault="00ED6A2B" w:rsidP="00ED6A2B">
            <w:pPr>
              <w:rPr>
                <w:b/>
                <w:bCs/>
                <w:sz w:val="22"/>
                <w:szCs w:val="22"/>
              </w:rPr>
            </w:pPr>
            <w:r>
              <w:rPr>
                <w:bCs/>
                <w:sz w:val="22"/>
                <w:szCs w:val="22"/>
              </w:rPr>
              <w:t>COM(2018) 676</w:t>
            </w:r>
          </w:p>
        </w:tc>
        <w:tc>
          <w:tcPr>
            <w:tcW w:w="8180" w:type="dxa"/>
            <w:gridSpan w:val="21"/>
            <w:shd w:val="clear" w:color="auto" w:fill="auto"/>
            <w:vAlign w:val="center"/>
          </w:tcPr>
          <w:p w:rsidR="00ED6A2B" w:rsidRPr="009169AF" w:rsidRDefault="00ED6A2B" w:rsidP="00ED6A2B">
            <w:pPr>
              <w:rPr>
                <w:bCs/>
                <w:sz w:val="22"/>
                <w:szCs w:val="22"/>
              </w:rPr>
            </w:pPr>
            <w:r w:rsidRPr="009169AF">
              <w:rPr>
                <w:bCs/>
                <w:sz w:val="22"/>
                <w:szCs w:val="22"/>
              </w:rPr>
              <w:t>Förslag till RÅDETS FÖRORDNING om fastställande av fiskemöjligheterna för unions</w:t>
            </w:r>
            <w:r>
              <w:rPr>
                <w:bCs/>
                <w:sz w:val="22"/>
                <w:szCs w:val="22"/>
              </w:rPr>
              <w:t>-</w:t>
            </w:r>
            <w:r w:rsidRPr="009169AF">
              <w:rPr>
                <w:bCs/>
                <w:sz w:val="22"/>
                <w:szCs w:val="22"/>
              </w:rPr>
              <w:t>fiskefartyg med avseende på vissa</w:t>
            </w:r>
            <w:r>
              <w:rPr>
                <w:bCs/>
                <w:sz w:val="22"/>
                <w:szCs w:val="22"/>
              </w:rPr>
              <w:t xml:space="preserve"> </w:t>
            </w:r>
            <w:r w:rsidRPr="009169AF">
              <w:rPr>
                <w:bCs/>
                <w:sz w:val="22"/>
                <w:szCs w:val="22"/>
              </w:rPr>
              <w:t>djuphavsbestånd för 2019 och 2020</w:t>
            </w:r>
          </w:p>
          <w:p w:rsidR="00ED6A2B" w:rsidRPr="00AC0651" w:rsidRDefault="00ED6A2B" w:rsidP="00940255">
            <w:pPr>
              <w:rPr>
                <w:bCs/>
                <w:sz w:val="22"/>
                <w:szCs w:val="22"/>
              </w:rPr>
            </w:pPr>
          </w:p>
        </w:tc>
      </w:tr>
      <w:tr w:rsidR="00ED6A2B" w:rsidRPr="009B3E20" w:rsidTr="00F960AC">
        <w:trPr>
          <w:gridBefore w:val="1"/>
          <w:wBefore w:w="694" w:type="dxa"/>
          <w:trHeight w:val="729"/>
        </w:trPr>
        <w:tc>
          <w:tcPr>
            <w:tcW w:w="1900" w:type="dxa"/>
            <w:gridSpan w:val="2"/>
            <w:shd w:val="clear" w:color="auto" w:fill="auto"/>
            <w:vAlign w:val="center"/>
          </w:tcPr>
          <w:p w:rsidR="00ED6A2B" w:rsidRPr="00542A1A" w:rsidRDefault="00ED6A2B" w:rsidP="00ED6A2B">
            <w:pPr>
              <w:rPr>
                <w:b/>
                <w:bCs/>
                <w:sz w:val="22"/>
                <w:szCs w:val="22"/>
              </w:rPr>
            </w:pPr>
            <w:r w:rsidRPr="00542A1A">
              <w:rPr>
                <w:bCs/>
                <w:sz w:val="22"/>
                <w:szCs w:val="22"/>
              </w:rPr>
              <w:t>COM(2018) 677</w:t>
            </w:r>
          </w:p>
        </w:tc>
        <w:tc>
          <w:tcPr>
            <w:tcW w:w="8180" w:type="dxa"/>
            <w:gridSpan w:val="21"/>
            <w:shd w:val="clear" w:color="auto" w:fill="auto"/>
            <w:vAlign w:val="center"/>
          </w:tcPr>
          <w:p w:rsidR="00ED6A2B" w:rsidRPr="00542A1A" w:rsidRDefault="00ED6A2B" w:rsidP="00ED6A2B">
            <w:pPr>
              <w:rPr>
                <w:bCs/>
                <w:sz w:val="22"/>
                <w:szCs w:val="22"/>
              </w:rPr>
            </w:pPr>
            <w:r w:rsidRPr="00542A1A">
              <w:rPr>
                <w:bCs/>
                <w:sz w:val="22"/>
                <w:szCs w:val="22"/>
              </w:rPr>
              <w:t xml:space="preserve">Förslag till RÅDETS BESLUT om undertecknande, på unionens vägnar, av partnerskapsavtalet om hållbart fiske mellan Europeiska unionen och Konungariket Marocko, dess genomförandeprotokoll och den skriftväxling som åtföljer det avtalet </w:t>
            </w:r>
          </w:p>
          <w:p w:rsidR="00ED6A2B" w:rsidRPr="00542A1A" w:rsidRDefault="00ED6A2B" w:rsidP="00940255">
            <w:pPr>
              <w:rPr>
                <w:bCs/>
                <w:sz w:val="22"/>
                <w:szCs w:val="22"/>
              </w:rPr>
            </w:pPr>
          </w:p>
        </w:tc>
      </w:tr>
      <w:tr w:rsidR="00ED6A2B" w:rsidRPr="009B3E20" w:rsidTr="00F960AC">
        <w:trPr>
          <w:gridBefore w:val="1"/>
          <w:wBefore w:w="694" w:type="dxa"/>
          <w:trHeight w:val="729"/>
        </w:trPr>
        <w:tc>
          <w:tcPr>
            <w:tcW w:w="1900" w:type="dxa"/>
            <w:gridSpan w:val="2"/>
            <w:shd w:val="clear" w:color="auto" w:fill="auto"/>
            <w:vAlign w:val="center"/>
          </w:tcPr>
          <w:p w:rsidR="00ED6A2B" w:rsidRPr="00542A1A" w:rsidRDefault="00ED6A2B" w:rsidP="00ED6A2B">
            <w:pPr>
              <w:rPr>
                <w:b/>
                <w:bCs/>
                <w:sz w:val="22"/>
                <w:szCs w:val="22"/>
              </w:rPr>
            </w:pPr>
            <w:r w:rsidRPr="00542A1A">
              <w:rPr>
                <w:bCs/>
                <w:sz w:val="22"/>
                <w:szCs w:val="22"/>
              </w:rPr>
              <w:t>COM(2018) 678</w:t>
            </w:r>
          </w:p>
        </w:tc>
        <w:tc>
          <w:tcPr>
            <w:tcW w:w="8180" w:type="dxa"/>
            <w:gridSpan w:val="21"/>
            <w:shd w:val="clear" w:color="auto" w:fill="auto"/>
            <w:vAlign w:val="center"/>
          </w:tcPr>
          <w:p w:rsidR="00ED6A2B" w:rsidRPr="00542A1A" w:rsidRDefault="00ED6A2B" w:rsidP="00ED6A2B">
            <w:pPr>
              <w:rPr>
                <w:sz w:val="22"/>
                <w:szCs w:val="22"/>
              </w:rPr>
            </w:pPr>
            <w:r w:rsidRPr="00542A1A">
              <w:rPr>
                <w:sz w:val="22"/>
                <w:szCs w:val="22"/>
              </w:rPr>
              <w:t xml:space="preserve">Förslag till RÅDETS BESLUT om ingående, på unionens vägnar, av partnerskapsavtalet om fiske mellan Europeiska unionen och Konungariket Marocko, dess genomförandeprotokoll och den skriftväxling som åtföljer det avtalet </w:t>
            </w:r>
          </w:p>
          <w:p w:rsidR="00ED6A2B" w:rsidRPr="00542A1A" w:rsidRDefault="00ED6A2B" w:rsidP="00940255">
            <w:pPr>
              <w:rPr>
                <w:sz w:val="22"/>
                <w:szCs w:val="22"/>
              </w:rPr>
            </w:pPr>
          </w:p>
        </w:tc>
      </w:tr>
      <w:tr w:rsidR="00ED6A2B" w:rsidRPr="00183480" w:rsidTr="00F960AC">
        <w:trPr>
          <w:gridBefore w:val="1"/>
          <w:wBefore w:w="694" w:type="dxa"/>
          <w:trHeight w:val="729"/>
        </w:trPr>
        <w:tc>
          <w:tcPr>
            <w:tcW w:w="1900" w:type="dxa"/>
            <w:gridSpan w:val="2"/>
            <w:shd w:val="clear" w:color="auto" w:fill="auto"/>
            <w:vAlign w:val="center"/>
          </w:tcPr>
          <w:p w:rsidR="00ED6A2B" w:rsidRPr="00542A1A" w:rsidRDefault="00ED6A2B" w:rsidP="00ED6A2B">
            <w:pPr>
              <w:rPr>
                <w:b/>
                <w:bCs/>
                <w:sz w:val="22"/>
                <w:szCs w:val="22"/>
              </w:rPr>
            </w:pPr>
            <w:r w:rsidRPr="00542A1A">
              <w:rPr>
                <w:bCs/>
                <w:sz w:val="22"/>
                <w:szCs w:val="22"/>
              </w:rPr>
              <w:t>COM(2018) 679</w:t>
            </w:r>
          </w:p>
        </w:tc>
        <w:tc>
          <w:tcPr>
            <w:tcW w:w="8180" w:type="dxa"/>
            <w:gridSpan w:val="21"/>
            <w:shd w:val="clear" w:color="auto" w:fill="auto"/>
            <w:vAlign w:val="center"/>
          </w:tcPr>
          <w:p w:rsidR="00ED6A2B" w:rsidRPr="00542A1A" w:rsidRDefault="00ED6A2B" w:rsidP="00ED6A2B">
            <w:pPr>
              <w:rPr>
                <w:sz w:val="22"/>
                <w:szCs w:val="22"/>
              </w:rPr>
            </w:pPr>
            <w:r w:rsidRPr="00542A1A">
              <w:rPr>
                <w:sz w:val="22"/>
                <w:szCs w:val="22"/>
              </w:rPr>
              <w:t xml:space="preserve">Förslag till RÅDETS FÖRORDNING om fördelning av fiskemöjligheterna inom ramen för partnerskapsavtalet om hållbart fiske mellan Europeiska unionen och Konungariket Marocko och dess genomförandeprotokoll </w:t>
            </w:r>
          </w:p>
          <w:p w:rsidR="00ED6A2B" w:rsidRPr="009B3E20" w:rsidRDefault="00ED6A2B" w:rsidP="00940255">
            <w:pPr>
              <w:rPr>
                <w:sz w:val="22"/>
                <w:szCs w:val="22"/>
              </w:rPr>
            </w:pPr>
          </w:p>
        </w:tc>
      </w:tr>
      <w:tr w:rsidR="00ED6A2B" w:rsidRPr="00A64BD8" w:rsidTr="00F960AC">
        <w:trPr>
          <w:gridBefore w:val="1"/>
          <w:wBefore w:w="694" w:type="dxa"/>
          <w:trHeight w:val="729"/>
        </w:trPr>
        <w:tc>
          <w:tcPr>
            <w:tcW w:w="10080" w:type="dxa"/>
            <w:gridSpan w:val="23"/>
            <w:shd w:val="clear" w:color="auto" w:fill="auto"/>
            <w:vAlign w:val="center"/>
          </w:tcPr>
          <w:p w:rsidR="00ED6A2B" w:rsidRPr="001E044B" w:rsidRDefault="00ED6A2B" w:rsidP="0039251E">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ED6A2B" w:rsidRPr="001D7D60" w:rsidTr="00F960AC">
        <w:trPr>
          <w:gridBefore w:val="1"/>
          <w:wBefore w:w="694" w:type="dxa"/>
          <w:trHeight w:val="518"/>
        </w:trPr>
        <w:tc>
          <w:tcPr>
            <w:tcW w:w="1900" w:type="dxa"/>
            <w:gridSpan w:val="2"/>
            <w:tcBorders>
              <w:top w:val="single" w:sz="4" w:space="0" w:color="auto"/>
            </w:tcBorders>
            <w:shd w:val="clear" w:color="auto" w:fill="auto"/>
            <w:vAlign w:val="center"/>
          </w:tcPr>
          <w:p w:rsidR="00ED6A2B" w:rsidRPr="001D7D60" w:rsidRDefault="00ED6A2B" w:rsidP="0039251E">
            <w:pPr>
              <w:rPr>
                <w:b/>
                <w:bCs/>
                <w:sz w:val="22"/>
                <w:szCs w:val="22"/>
              </w:rPr>
            </w:pPr>
            <w:r w:rsidRPr="001D7D60">
              <w:rPr>
                <w:b/>
                <w:bCs/>
                <w:sz w:val="22"/>
                <w:szCs w:val="22"/>
              </w:rPr>
              <w:t>Beteckning</w:t>
            </w:r>
          </w:p>
        </w:tc>
        <w:tc>
          <w:tcPr>
            <w:tcW w:w="8180" w:type="dxa"/>
            <w:gridSpan w:val="21"/>
            <w:tcBorders>
              <w:top w:val="single" w:sz="4" w:space="0" w:color="auto"/>
            </w:tcBorders>
            <w:shd w:val="clear" w:color="auto" w:fill="auto"/>
            <w:vAlign w:val="center"/>
          </w:tcPr>
          <w:p w:rsidR="00ED6A2B" w:rsidRPr="001D7D60" w:rsidRDefault="00ED6A2B" w:rsidP="0039251E">
            <w:pPr>
              <w:rPr>
                <w:b/>
                <w:sz w:val="22"/>
                <w:szCs w:val="22"/>
              </w:rPr>
            </w:pPr>
            <w:r>
              <w:rPr>
                <w:b/>
                <w:sz w:val="22"/>
                <w:szCs w:val="22"/>
              </w:rPr>
              <w:t>Rubrik</w:t>
            </w:r>
          </w:p>
        </w:tc>
      </w:tr>
      <w:tr w:rsidR="00940255" w:rsidRPr="005A3276"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Pr>
                <w:bCs/>
                <w:sz w:val="22"/>
                <w:szCs w:val="22"/>
              </w:rPr>
              <w:t>C(2018) 5470</w:t>
            </w:r>
          </w:p>
        </w:tc>
        <w:tc>
          <w:tcPr>
            <w:tcW w:w="8180" w:type="dxa"/>
            <w:gridSpan w:val="21"/>
            <w:shd w:val="clear" w:color="auto" w:fill="auto"/>
            <w:vAlign w:val="center"/>
          </w:tcPr>
          <w:p w:rsidR="00940255" w:rsidRPr="00C718CB" w:rsidRDefault="00940255" w:rsidP="00940255">
            <w:pPr>
              <w:rPr>
                <w:sz w:val="22"/>
                <w:szCs w:val="22"/>
              </w:rPr>
            </w:pPr>
            <w:r w:rsidRPr="00C718CB">
              <w:rPr>
                <w:sz w:val="22"/>
                <w:szCs w:val="22"/>
              </w:rPr>
              <w:t xml:space="preserve">KOMMISSIONENS GENOMFÖRANDEBESLUT av den 9.10.2018 om ändring av genomförandebeslut 2014/150/EU om anordnande av ett tidsbegränsat försök med vissa undantag avseende saluföring av populationer av växtarterna vete, korn, havre och majs i enlighet med rådets direktiv 66/402/EEG </w:t>
            </w:r>
          </w:p>
          <w:p w:rsidR="00940255" w:rsidRDefault="00940255" w:rsidP="00940255">
            <w:pPr>
              <w:rPr>
                <w:b/>
                <w:sz w:val="22"/>
                <w:szCs w:val="22"/>
              </w:rPr>
            </w:pPr>
          </w:p>
        </w:tc>
      </w:tr>
      <w:tr w:rsidR="00940255"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Pr>
                <w:bCs/>
                <w:sz w:val="22"/>
                <w:szCs w:val="22"/>
              </w:rPr>
              <w:t>C(2018) 6291</w:t>
            </w:r>
          </w:p>
        </w:tc>
        <w:tc>
          <w:tcPr>
            <w:tcW w:w="8180" w:type="dxa"/>
            <w:gridSpan w:val="21"/>
            <w:shd w:val="clear" w:color="auto" w:fill="auto"/>
            <w:vAlign w:val="center"/>
          </w:tcPr>
          <w:p w:rsidR="00940255" w:rsidRPr="00762E6B" w:rsidRDefault="00940255" w:rsidP="00940255">
            <w:pPr>
              <w:rPr>
                <w:sz w:val="22"/>
                <w:szCs w:val="22"/>
              </w:rPr>
            </w:pPr>
            <w:r w:rsidRPr="00762E6B">
              <w:rPr>
                <w:sz w:val="22"/>
                <w:szCs w:val="22"/>
              </w:rPr>
              <w:t xml:space="preserve">KOMMISSIONENS GENOMFÖRANDEBESLUT av den 2.10.2018 om bestämmelserna och villkoren i de godkännanden av biocidprodukter innehållande </w:t>
            </w:r>
            <w:proofErr w:type="spellStart"/>
            <w:r w:rsidRPr="00762E6B">
              <w:rPr>
                <w:sz w:val="22"/>
                <w:szCs w:val="22"/>
              </w:rPr>
              <w:t>etylbutylacetylaminopropionat</w:t>
            </w:r>
            <w:proofErr w:type="spellEnd"/>
            <w:r w:rsidRPr="00762E6B">
              <w:rPr>
                <w:sz w:val="22"/>
                <w:szCs w:val="22"/>
              </w:rPr>
              <w:t xml:space="preserve"> som hänskjutits av Belgien i enlighet med artikel 36 i Europaparlamentets och rådets förordning (EU) nr 528/2012</w:t>
            </w:r>
          </w:p>
          <w:p w:rsidR="00940255" w:rsidRPr="00A64BD8" w:rsidRDefault="00940255" w:rsidP="00940255">
            <w:pPr>
              <w:rPr>
                <w:sz w:val="22"/>
                <w:szCs w:val="22"/>
              </w:rPr>
            </w:pPr>
          </w:p>
        </w:tc>
      </w:tr>
      <w:tr w:rsidR="00940255" w:rsidRPr="00694581"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sidRPr="00694581">
              <w:rPr>
                <w:bCs/>
                <w:sz w:val="22"/>
                <w:szCs w:val="22"/>
              </w:rPr>
              <w:t>C</w:t>
            </w:r>
            <w:r>
              <w:rPr>
                <w:bCs/>
                <w:sz w:val="22"/>
                <w:szCs w:val="22"/>
              </w:rPr>
              <w:t xml:space="preserve">(2018) 6292  </w:t>
            </w:r>
          </w:p>
        </w:tc>
        <w:tc>
          <w:tcPr>
            <w:tcW w:w="8180" w:type="dxa"/>
            <w:gridSpan w:val="21"/>
            <w:shd w:val="clear" w:color="auto" w:fill="auto"/>
            <w:vAlign w:val="center"/>
          </w:tcPr>
          <w:p w:rsidR="00940255" w:rsidRPr="00C74A78" w:rsidRDefault="00940255" w:rsidP="00940255">
            <w:pPr>
              <w:rPr>
                <w:sz w:val="22"/>
                <w:szCs w:val="22"/>
              </w:rPr>
            </w:pPr>
            <w:r w:rsidRPr="00C74A78">
              <w:rPr>
                <w:sz w:val="22"/>
                <w:szCs w:val="22"/>
              </w:rPr>
              <w:t>KOMMISSIONENS GENOMFÖRANDEBESLUT</w:t>
            </w:r>
          </w:p>
          <w:p w:rsidR="00940255" w:rsidRPr="00BA3AD2" w:rsidRDefault="00940255" w:rsidP="00940255">
            <w:pPr>
              <w:rPr>
                <w:sz w:val="22"/>
                <w:szCs w:val="22"/>
              </w:rPr>
            </w:pPr>
            <w:r w:rsidRPr="00C74A78">
              <w:rPr>
                <w:sz w:val="22"/>
                <w:szCs w:val="22"/>
              </w:rPr>
              <w:t>av den 27.9.2018 om fastställande av schablonbelopp för finansiering av utgifter som uppstår från och med den 1 oktober 2018 för materiella transaktioner till följd av offentlig lagring av jordbruksprodukter</w:t>
            </w:r>
            <w:r>
              <w:rPr>
                <w:sz w:val="22"/>
                <w:szCs w:val="22"/>
              </w:rPr>
              <w:br/>
            </w:r>
          </w:p>
        </w:tc>
      </w:tr>
      <w:tr w:rsidR="00940255" w:rsidRPr="00BA3AD2"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Pr>
                <w:bCs/>
                <w:sz w:val="22"/>
                <w:szCs w:val="22"/>
              </w:rPr>
              <w:t>C(2018) 6293</w:t>
            </w:r>
          </w:p>
        </w:tc>
        <w:tc>
          <w:tcPr>
            <w:tcW w:w="8180" w:type="dxa"/>
            <w:gridSpan w:val="21"/>
            <w:shd w:val="clear" w:color="auto" w:fill="auto"/>
            <w:vAlign w:val="center"/>
          </w:tcPr>
          <w:p w:rsidR="00940255" w:rsidRPr="00161868" w:rsidRDefault="00940255" w:rsidP="00940255">
            <w:pPr>
              <w:pStyle w:val="Oformateradtext"/>
              <w:rPr>
                <w:rFonts w:ascii="Times New Roman" w:eastAsia="Times New Roman" w:hAnsi="Times New Roman"/>
                <w:lang w:eastAsia="sv-SE"/>
              </w:rPr>
            </w:pPr>
            <w:r w:rsidRPr="00161868">
              <w:rPr>
                <w:rFonts w:ascii="Times New Roman" w:eastAsia="Times New Roman" w:hAnsi="Times New Roman"/>
                <w:lang w:eastAsia="sv-SE"/>
              </w:rPr>
              <w:t xml:space="preserve">KOMMISSIONENS GENOMFÖRANDEBESLUT av den 1.10.2018 om att tillåta Belgien, Tjeckien, Irland, Grekland, Frankrike, Kroatien, Italien, Lettland, Litauen, Luxemburg, Ungern, Polen, Portugal, Rumänien, Finland, Sverige och Förenade kungariket att göra undantag från artikel 75.1 tredje stycket i Europaparlamentets och rådets förordning (EU) nr 1306/2013 för </w:t>
            </w:r>
            <w:proofErr w:type="spellStart"/>
            <w:r w:rsidRPr="00161868">
              <w:rPr>
                <w:rFonts w:ascii="Times New Roman" w:eastAsia="Times New Roman" w:hAnsi="Times New Roman"/>
                <w:lang w:eastAsia="sv-SE"/>
              </w:rPr>
              <w:t>ansökningsår</w:t>
            </w:r>
            <w:proofErr w:type="spellEnd"/>
            <w:r w:rsidRPr="00161868">
              <w:rPr>
                <w:rFonts w:ascii="Times New Roman" w:eastAsia="Times New Roman" w:hAnsi="Times New Roman"/>
                <w:lang w:eastAsia="sv-SE"/>
              </w:rPr>
              <w:t xml:space="preserve"> 2018 vad gäller nivån på förhandsbetalningar av direktstöd och stödåtgärder med avseende på jordbruksarealer och djurhållning</w:t>
            </w:r>
          </w:p>
          <w:p w:rsidR="00940255" w:rsidRPr="005A3276" w:rsidRDefault="00940255" w:rsidP="00940255">
            <w:pPr>
              <w:pStyle w:val="Oformateradtext"/>
              <w:rPr>
                <w:rFonts w:ascii="Times New Roman" w:eastAsia="Times New Roman" w:hAnsi="Times New Roman"/>
                <w:lang w:eastAsia="sv-SE"/>
              </w:rPr>
            </w:pPr>
          </w:p>
        </w:tc>
      </w:tr>
      <w:tr w:rsidR="00940255" w:rsidRPr="00BA3AD2"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Pr>
                <w:bCs/>
                <w:sz w:val="22"/>
                <w:szCs w:val="22"/>
              </w:rPr>
              <w:lastRenderedPageBreak/>
              <w:t>C(2018) 6447</w:t>
            </w:r>
          </w:p>
        </w:tc>
        <w:tc>
          <w:tcPr>
            <w:tcW w:w="8180" w:type="dxa"/>
            <w:gridSpan w:val="21"/>
            <w:shd w:val="clear" w:color="auto" w:fill="auto"/>
            <w:vAlign w:val="center"/>
          </w:tcPr>
          <w:p w:rsidR="00940255" w:rsidRPr="00E16B72" w:rsidRDefault="00940255" w:rsidP="00940255">
            <w:pPr>
              <w:pStyle w:val="Oformateradtext"/>
              <w:rPr>
                <w:rFonts w:ascii="Times New Roman" w:eastAsia="Times New Roman" w:hAnsi="Times New Roman"/>
                <w:lang w:eastAsia="sv-SE"/>
              </w:rPr>
            </w:pPr>
            <w:r w:rsidRPr="009169AF">
              <w:rPr>
                <w:rFonts w:ascii="Times New Roman" w:eastAsia="Times New Roman" w:hAnsi="Times New Roman"/>
                <w:lang w:eastAsia="sv-SE"/>
              </w:rPr>
              <w:t xml:space="preserve">KOMMISSIONENS GENOMFÖRANDEBESLUT av den 8.10.2018 om åtgärder för att förhindra introduktion i och spridning inom unionen av </w:t>
            </w:r>
            <w:proofErr w:type="spellStart"/>
            <w:r w:rsidRPr="009169AF">
              <w:rPr>
                <w:rFonts w:ascii="Times New Roman" w:eastAsia="Times New Roman" w:hAnsi="Times New Roman"/>
                <w:lang w:eastAsia="sv-SE"/>
              </w:rPr>
              <w:t>Aromia</w:t>
            </w:r>
            <w:proofErr w:type="spellEnd"/>
            <w:r w:rsidRPr="009169AF">
              <w:rPr>
                <w:rFonts w:ascii="Times New Roman" w:eastAsia="Times New Roman" w:hAnsi="Times New Roman"/>
                <w:lang w:eastAsia="sv-SE"/>
              </w:rPr>
              <w:t xml:space="preserve"> </w:t>
            </w:r>
            <w:proofErr w:type="spellStart"/>
            <w:r w:rsidRPr="009169AF">
              <w:rPr>
                <w:rFonts w:ascii="Times New Roman" w:eastAsia="Times New Roman" w:hAnsi="Times New Roman"/>
                <w:lang w:eastAsia="sv-SE"/>
              </w:rPr>
              <w:t>bungii</w:t>
            </w:r>
            <w:proofErr w:type="spellEnd"/>
            <w:r w:rsidRPr="009169AF">
              <w:rPr>
                <w:rFonts w:ascii="Times New Roman" w:eastAsia="Times New Roman" w:hAnsi="Times New Roman"/>
                <w:lang w:eastAsia="sv-SE"/>
              </w:rPr>
              <w:t xml:space="preserve"> (</w:t>
            </w:r>
            <w:proofErr w:type="spellStart"/>
            <w:r w:rsidRPr="009169AF">
              <w:rPr>
                <w:rFonts w:ascii="Times New Roman" w:eastAsia="Times New Roman" w:hAnsi="Times New Roman"/>
                <w:lang w:eastAsia="sv-SE"/>
              </w:rPr>
              <w:t>Faldermann</w:t>
            </w:r>
            <w:proofErr w:type="spellEnd"/>
            <w:r w:rsidRPr="009169AF">
              <w:rPr>
                <w:rFonts w:ascii="Times New Roman" w:eastAsia="Times New Roman" w:hAnsi="Times New Roman"/>
                <w:lang w:eastAsia="sv-SE"/>
              </w:rPr>
              <w:t>)</w:t>
            </w:r>
            <w:r>
              <w:rPr>
                <w:rFonts w:ascii="Times New Roman" w:eastAsia="Times New Roman" w:hAnsi="Times New Roman"/>
                <w:lang w:eastAsia="sv-SE"/>
              </w:rPr>
              <w:br/>
            </w:r>
            <w:r w:rsidRPr="00E16B72">
              <w:rPr>
                <w:rFonts w:ascii="Times New Roman" w:eastAsia="Times New Roman" w:hAnsi="Times New Roman"/>
                <w:lang w:eastAsia="sv-SE"/>
              </w:rPr>
              <w:t xml:space="preserve"> </w:t>
            </w:r>
          </w:p>
        </w:tc>
      </w:tr>
      <w:tr w:rsidR="00940255" w:rsidRPr="00BA3AD2"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Pr>
                <w:bCs/>
                <w:sz w:val="22"/>
                <w:szCs w:val="22"/>
              </w:rPr>
              <w:t>C(2018) 6452</w:t>
            </w:r>
          </w:p>
        </w:tc>
        <w:tc>
          <w:tcPr>
            <w:tcW w:w="8180" w:type="dxa"/>
            <w:gridSpan w:val="21"/>
            <w:shd w:val="clear" w:color="auto" w:fill="auto"/>
            <w:vAlign w:val="center"/>
          </w:tcPr>
          <w:p w:rsidR="00940255" w:rsidRPr="00F412FB" w:rsidRDefault="00940255" w:rsidP="00940255">
            <w:pPr>
              <w:pStyle w:val="Oformateradtext"/>
              <w:rPr>
                <w:rFonts w:ascii="Times New Roman" w:eastAsia="Times New Roman" w:hAnsi="Times New Roman"/>
                <w:lang w:eastAsia="sv-SE"/>
              </w:rPr>
            </w:pPr>
            <w:r w:rsidRPr="00F412FB">
              <w:rPr>
                <w:rFonts w:ascii="Times New Roman" w:eastAsia="Times New Roman" w:hAnsi="Times New Roman"/>
                <w:lang w:eastAsia="sv-SE"/>
              </w:rPr>
              <w:t xml:space="preserve">KOMMISSIONENS GENOMFÖRANDEBESLUT av den 9.10.2018 om ändring av genomförandebeslut (EU) 2015/789 om åtgärder för att förhindra introduktion i och spridning inom unionen av </w:t>
            </w:r>
            <w:proofErr w:type="spellStart"/>
            <w:r w:rsidRPr="00F412FB">
              <w:rPr>
                <w:rFonts w:ascii="Times New Roman" w:eastAsia="Times New Roman" w:hAnsi="Times New Roman"/>
                <w:lang w:eastAsia="sv-SE"/>
              </w:rPr>
              <w:t>Xylella</w:t>
            </w:r>
            <w:proofErr w:type="spellEnd"/>
            <w:r w:rsidRPr="00F412FB">
              <w:rPr>
                <w:rFonts w:ascii="Times New Roman" w:eastAsia="Times New Roman" w:hAnsi="Times New Roman"/>
                <w:lang w:eastAsia="sv-SE"/>
              </w:rPr>
              <w:t xml:space="preserve"> </w:t>
            </w:r>
            <w:proofErr w:type="spellStart"/>
            <w:r w:rsidRPr="00F412FB">
              <w:rPr>
                <w:rFonts w:ascii="Times New Roman" w:eastAsia="Times New Roman" w:hAnsi="Times New Roman"/>
                <w:lang w:eastAsia="sv-SE"/>
              </w:rPr>
              <w:t>fastidiosa</w:t>
            </w:r>
            <w:proofErr w:type="spellEnd"/>
            <w:r w:rsidRPr="00F412FB">
              <w:rPr>
                <w:rFonts w:ascii="Times New Roman" w:eastAsia="Times New Roman" w:hAnsi="Times New Roman"/>
                <w:lang w:eastAsia="sv-SE"/>
              </w:rPr>
              <w:t xml:space="preserve"> (Wells et al.)</w:t>
            </w:r>
          </w:p>
          <w:p w:rsidR="00940255" w:rsidRPr="009169AF" w:rsidRDefault="00940255" w:rsidP="00940255">
            <w:pPr>
              <w:pStyle w:val="Oformateradtext"/>
              <w:rPr>
                <w:rFonts w:ascii="Times New Roman" w:eastAsia="Times New Roman" w:hAnsi="Times New Roman"/>
                <w:lang w:eastAsia="sv-SE"/>
              </w:rPr>
            </w:pPr>
          </w:p>
        </w:tc>
      </w:tr>
      <w:tr w:rsidR="00940255" w:rsidRPr="00BA3AD2"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Pr>
                <w:bCs/>
                <w:sz w:val="22"/>
                <w:szCs w:val="22"/>
              </w:rPr>
              <w:t>C(2018) 6761</w:t>
            </w:r>
          </w:p>
        </w:tc>
        <w:tc>
          <w:tcPr>
            <w:tcW w:w="8180" w:type="dxa"/>
            <w:gridSpan w:val="21"/>
            <w:shd w:val="clear" w:color="auto" w:fill="auto"/>
            <w:vAlign w:val="center"/>
          </w:tcPr>
          <w:p w:rsidR="00940255" w:rsidRPr="00460FE3" w:rsidRDefault="00940255" w:rsidP="00940255">
            <w:pPr>
              <w:pStyle w:val="Oformateradtext"/>
              <w:rPr>
                <w:rFonts w:ascii="Times New Roman" w:eastAsia="Times New Roman" w:hAnsi="Times New Roman"/>
                <w:lang w:eastAsia="sv-SE"/>
              </w:rPr>
            </w:pPr>
            <w:r w:rsidRPr="00460FE3">
              <w:rPr>
                <w:rFonts w:ascii="Times New Roman" w:eastAsia="Times New Roman" w:hAnsi="Times New Roman"/>
                <w:lang w:eastAsia="sv-SE"/>
              </w:rPr>
              <w:t>KOMMISSIONENS GENOMFÖRANDEBESLUT av den 10.10.2018 om ändring av bilagan till genomförandebeslut 2014/709/EU om djurhälsoåtgärder för att bekämpa afrikansk svinpest i vissa medlemsstater</w:t>
            </w:r>
          </w:p>
          <w:p w:rsidR="00940255" w:rsidRPr="009169AF" w:rsidRDefault="00940255" w:rsidP="00940255">
            <w:pPr>
              <w:pStyle w:val="Oformateradtext"/>
              <w:rPr>
                <w:rFonts w:ascii="Times New Roman" w:eastAsia="Times New Roman" w:hAnsi="Times New Roman"/>
                <w:lang w:eastAsia="sv-SE"/>
              </w:rPr>
            </w:pPr>
          </w:p>
        </w:tc>
      </w:tr>
      <w:tr w:rsidR="00940255" w:rsidRPr="00BA3AD2" w:rsidTr="00F960AC">
        <w:trPr>
          <w:gridBefore w:val="1"/>
          <w:wBefore w:w="694" w:type="dxa"/>
          <w:trHeight w:val="729"/>
        </w:trPr>
        <w:tc>
          <w:tcPr>
            <w:tcW w:w="1900" w:type="dxa"/>
            <w:gridSpan w:val="2"/>
            <w:shd w:val="clear" w:color="auto" w:fill="auto"/>
            <w:vAlign w:val="center"/>
          </w:tcPr>
          <w:p w:rsidR="00940255" w:rsidRPr="00940255" w:rsidRDefault="00940255" w:rsidP="00940255">
            <w:pPr>
              <w:rPr>
                <w:b/>
                <w:bCs/>
                <w:sz w:val="22"/>
                <w:szCs w:val="22"/>
              </w:rPr>
            </w:pPr>
            <w:r>
              <w:rPr>
                <w:b/>
                <w:bCs/>
                <w:sz w:val="22"/>
                <w:szCs w:val="22"/>
              </w:rPr>
              <w:t>Fakta-PM</w:t>
            </w:r>
          </w:p>
        </w:tc>
        <w:tc>
          <w:tcPr>
            <w:tcW w:w="8180" w:type="dxa"/>
            <w:gridSpan w:val="21"/>
            <w:shd w:val="clear" w:color="auto" w:fill="auto"/>
            <w:vAlign w:val="center"/>
          </w:tcPr>
          <w:p w:rsidR="00940255" w:rsidRPr="00460FE3" w:rsidRDefault="00940255" w:rsidP="00940255">
            <w:pPr>
              <w:pStyle w:val="Oformateradtext"/>
              <w:rPr>
                <w:rFonts w:ascii="Times New Roman" w:eastAsia="Times New Roman" w:hAnsi="Times New Roman"/>
                <w:lang w:eastAsia="sv-SE"/>
              </w:rPr>
            </w:pPr>
          </w:p>
        </w:tc>
      </w:tr>
      <w:tr w:rsidR="00940255" w:rsidRPr="00BA3AD2" w:rsidTr="00F960AC">
        <w:trPr>
          <w:gridBefore w:val="1"/>
          <w:wBefore w:w="694" w:type="dxa"/>
          <w:trHeight w:val="729"/>
        </w:trPr>
        <w:tc>
          <w:tcPr>
            <w:tcW w:w="1900" w:type="dxa"/>
            <w:gridSpan w:val="2"/>
            <w:shd w:val="clear" w:color="auto" w:fill="auto"/>
            <w:vAlign w:val="center"/>
          </w:tcPr>
          <w:p w:rsidR="00940255" w:rsidRPr="00694581" w:rsidRDefault="00940255" w:rsidP="00940255">
            <w:pPr>
              <w:rPr>
                <w:bCs/>
                <w:sz w:val="22"/>
                <w:szCs w:val="22"/>
              </w:rPr>
            </w:pPr>
            <w:r w:rsidRPr="00B037C3">
              <w:rPr>
                <w:bCs/>
                <w:sz w:val="22"/>
                <w:szCs w:val="22"/>
              </w:rPr>
              <w:t>2018/19:FPM1</w:t>
            </w:r>
          </w:p>
        </w:tc>
        <w:tc>
          <w:tcPr>
            <w:tcW w:w="8180" w:type="dxa"/>
            <w:gridSpan w:val="21"/>
            <w:shd w:val="clear" w:color="auto" w:fill="auto"/>
            <w:vAlign w:val="center"/>
          </w:tcPr>
          <w:p w:rsidR="00940255" w:rsidRPr="00B037C3" w:rsidRDefault="00940255" w:rsidP="00940255">
            <w:pPr>
              <w:pStyle w:val="Oformateradtext"/>
              <w:rPr>
                <w:rFonts w:ascii="Times New Roman" w:eastAsia="Times New Roman" w:hAnsi="Times New Roman"/>
                <w:lang w:eastAsia="sv-SE"/>
              </w:rPr>
            </w:pPr>
            <w:r w:rsidRPr="00B037C3">
              <w:rPr>
                <w:rFonts w:ascii="Times New Roman" w:eastAsia="Times New Roman" w:hAnsi="Times New Roman"/>
                <w:lang w:eastAsia="sv-SE"/>
              </w:rPr>
              <w:t>Förordning om fiskemöjligheter i Östersjön 2019</w:t>
            </w:r>
          </w:p>
          <w:p w:rsidR="00940255" w:rsidRPr="003470EA" w:rsidRDefault="00940255" w:rsidP="00940255">
            <w:pPr>
              <w:pStyle w:val="Oformateradtext"/>
              <w:rPr>
                <w:rFonts w:ascii="Times New Roman" w:eastAsia="Times New Roman" w:hAnsi="Times New Roman"/>
                <w:lang w:eastAsia="sv-SE"/>
              </w:rPr>
            </w:pPr>
          </w:p>
        </w:tc>
      </w:tr>
      <w:tr w:rsidR="00940255" w:rsidRPr="00BA3AD2" w:rsidTr="00F960AC">
        <w:trPr>
          <w:gridBefore w:val="1"/>
          <w:wBefore w:w="694" w:type="dxa"/>
          <w:trHeight w:val="729"/>
        </w:trPr>
        <w:tc>
          <w:tcPr>
            <w:tcW w:w="1900" w:type="dxa"/>
            <w:gridSpan w:val="2"/>
            <w:shd w:val="clear" w:color="auto" w:fill="auto"/>
            <w:vAlign w:val="center"/>
          </w:tcPr>
          <w:p w:rsidR="00940255" w:rsidRPr="00B037C3" w:rsidRDefault="00940255" w:rsidP="00940255">
            <w:pPr>
              <w:rPr>
                <w:bCs/>
                <w:sz w:val="22"/>
                <w:szCs w:val="22"/>
              </w:rPr>
            </w:pPr>
            <w:r>
              <w:rPr>
                <w:bCs/>
                <w:sz w:val="22"/>
                <w:szCs w:val="22"/>
              </w:rPr>
              <w:t>2018/19:FPM3</w:t>
            </w:r>
          </w:p>
        </w:tc>
        <w:tc>
          <w:tcPr>
            <w:tcW w:w="8180" w:type="dxa"/>
            <w:gridSpan w:val="21"/>
            <w:shd w:val="clear" w:color="auto" w:fill="auto"/>
            <w:vAlign w:val="center"/>
          </w:tcPr>
          <w:p w:rsidR="00940255" w:rsidRPr="002C45BD" w:rsidRDefault="00940255" w:rsidP="00940255">
            <w:pPr>
              <w:pStyle w:val="Oformateradtext"/>
              <w:rPr>
                <w:rFonts w:ascii="Times New Roman" w:eastAsia="Times New Roman" w:hAnsi="Times New Roman"/>
                <w:lang w:eastAsia="sv-SE"/>
              </w:rPr>
            </w:pPr>
            <w:r w:rsidRPr="002C45BD">
              <w:rPr>
                <w:rFonts w:ascii="Times New Roman" w:eastAsia="Times New Roman" w:hAnsi="Times New Roman"/>
                <w:lang w:eastAsia="sv-SE"/>
              </w:rPr>
              <w:t>Rådsbeslut om förhandlingsmandat för kommissionen att med USA omförhandla importkvoten för nötkött från djur som inte behandlats med vissa tillväxtbefrämjande hormoner</w:t>
            </w:r>
          </w:p>
          <w:p w:rsidR="00940255" w:rsidRPr="00B037C3" w:rsidRDefault="00940255" w:rsidP="00940255">
            <w:pPr>
              <w:pStyle w:val="Oformateradtext"/>
              <w:rPr>
                <w:rFonts w:ascii="Times New Roman" w:eastAsia="Times New Roman" w:hAnsi="Times New Roman"/>
                <w:lang w:eastAsia="sv-SE"/>
              </w:rPr>
            </w:pPr>
          </w:p>
        </w:tc>
      </w:tr>
      <w:tr w:rsidR="00940255" w:rsidRPr="003470EA" w:rsidTr="00F960AC">
        <w:trPr>
          <w:gridBefore w:val="1"/>
          <w:wBefore w:w="694" w:type="dxa"/>
          <w:trHeight w:val="729"/>
        </w:trPr>
        <w:tc>
          <w:tcPr>
            <w:tcW w:w="10080" w:type="dxa"/>
            <w:gridSpan w:val="23"/>
            <w:shd w:val="clear" w:color="auto" w:fill="auto"/>
            <w:vAlign w:val="center"/>
          </w:tcPr>
          <w:p w:rsidR="00940255" w:rsidRPr="006112FB" w:rsidRDefault="00940255" w:rsidP="00940255">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940255" w:rsidTr="00F960AC">
        <w:trPr>
          <w:gridBefore w:val="1"/>
          <w:wBefore w:w="694" w:type="dxa"/>
          <w:trHeight w:val="729"/>
        </w:trPr>
        <w:tc>
          <w:tcPr>
            <w:tcW w:w="1900" w:type="dxa"/>
            <w:gridSpan w:val="2"/>
            <w:shd w:val="clear" w:color="auto" w:fill="auto"/>
            <w:vAlign w:val="center"/>
          </w:tcPr>
          <w:p w:rsidR="00940255" w:rsidRPr="00B70BE7" w:rsidRDefault="00940255" w:rsidP="00940255">
            <w:pPr>
              <w:rPr>
                <w:b/>
                <w:bCs/>
                <w:sz w:val="22"/>
                <w:szCs w:val="22"/>
              </w:rPr>
            </w:pPr>
            <w:r>
              <w:rPr>
                <w:b/>
                <w:bCs/>
                <w:sz w:val="22"/>
                <w:szCs w:val="22"/>
              </w:rPr>
              <w:t>Yttranden från andra nationella parlament</w:t>
            </w:r>
          </w:p>
        </w:tc>
        <w:tc>
          <w:tcPr>
            <w:tcW w:w="8180" w:type="dxa"/>
            <w:gridSpan w:val="21"/>
            <w:shd w:val="clear" w:color="auto" w:fill="auto"/>
            <w:vAlign w:val="center"/>
          </w:tcPr>
          <w:p w:rsidR="00940255" w:rsidRDefault="00940255" w:rsidP="00940255">
            <w:pPr>
              <w:rPr>
                <w:sz w:val="22"/>
                <w:szCs w:val="22"/>
              </w:rPr>
            </w:pPr>
          </w:p>
        </w:tc>
      </w:tr>
      <w:tr w:rsidR="00940255" w:rsidRPr="006F5B88" w:rsidTr="00F960AC">
        <w:trPr>
          <w:gridBefore w:val="1"/>
          <w:wBefore w:w="694" w:type="dxa"/>
          <w:trHeight w:val="729"/>
        </w:trPr>
        <w:tc>
          <w:tcPr>
            <w:tcW w:w="1900" w:type="dxa"/>
            <w:gridSpan w:val="2"/>
            <w:tcBorders>
              <w:bottom w:val="single" w:sz="4" w:space="0" w:color="auto"/>
            </w:tcBorders>
            <w:shd w:val="clear" w:color="auto" w:fill="auto"/>
            <w:vAlign w:val="center"/>
          </w:tcPr>
          <w:p w:rsidR="00940255" w:rsidRPr="004E7855" w:rsidRDefault="00940255" w:rsidP="00940255">
            <w:pPr>
              <w:rPr>
                <w:bCs/>
                <w:sz w:val="22"/>
                <w:szCs w:val="22"/>
              </w:rPr>
            </w:pPr>
            <w:r>
              <w:t>12829</w:t>
            </w:r>
            <w:r w:rsidRPr="000F6A55">
              <w:rPr>
                <w:bCs/>
                <w:sz w:val="22"/>
                <w:szCs w:val="22"/>
              </w:rPr>
              <w:t>/18</w:t>
            </w:r>
          </w:p>
        </w:tc>
        <w:tc>
          <w:tcPr>
            <w:tcW w:w="8180" w:type="dxa"/>
            <w:gridSpan w:val="21"/>
            <w:tcBorders>
              <w:bottom w:val="single" w:sz="4" w:space="0" w:color="auto"/>
            </w:tcBorders>
            <w:shd w:val="clear" w:color="auto" w:fill="auto"/>
            <w:vAlign w:val="center"/>
          </w:tcPr>
          <w:p w:rsidR="00940255" w:rsidRPr="00D96B59" w:rsidRDefault="00940255" w:rsidP="00940255">
            <w:pPr>
              <w:rPr>
                <w:sz w:val="22"/>
                <w:szCs w:val="22"/>
                <w:lang w:val="en-US"/>
              </w:rPr>
            </w:pPr>
            <w:r w:rsidRPr="00D96B59">
              <w:rPr>
                <w:sz w:val="22"/>
                <w:szCs w:val="22"/>
                <w:lang w:val="en-US"/>
              </w:rPr>
              <w:t xml:space="preserve">Proposal for a REGULATION OF THE EUROPEAN PARLIAMENT AND OF THE COUNCIL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[doc. 9645/18 - COM (2018) 392] Proposal for a REGULATION OF THE EUROPEAN PARLIAMENT AND OF THE COUNCIL on the financing, management and monitoring of the common agricultural policy and repealing Regulation (EU) No 1306/2013 [doc. 9634/18 - COM (2018) 393] Proposal for a REGULATION OF THE EUROPEAN PARLIAMENT AND OF THE COUNCIL amending Regulations (EU) No 1308/2013 establishing a common </w:t>
            </w:r>
            <w:proofErr w:type="spellStart"/>
            <w:r w:rsidRPr="00D96B59">
              <w:rPr>
                <w:sz w:val="22"/>
                <w:szCs w:val="22"/>
                <w:lang w:val="en-US"/>
              </w:rPr>
              <w:t>organisation</w:t>
            </w:r>
            <w:proofErr w:type="spellEnd"/>
            <w:r w:rsidRPr="00D96B59">
              <w:rPr>
                <w:sz w:val="22"/>
                <w:szCs w:val="22"/>
                <w:lang w:val="en-US"/>
              </w:rPr>
              <w:t xml:space="preserve"> of the markets in agricultural products, (EU) No 1151/2012 on quality schemes for agricultural products and foodstuffs, (EU) No 251/2014 on the definition, ...</w:t>
            </w:r>
          </w:p>
          <w:p w:rsidR="00940255" w:rsidRPr="00D96B59" w:rsidRDefault="00940255" w:rsidP="00940255">
            <w:pPr>
              <w:rPr>
                <w:sz w:val="22"/>
                <w:szCs w:val="22"/>
                <w:lang w:val="en-US"/>
              </w:rPr>
            </w:pPr>
          </w:p>
        </w:tc>
      </w:tr>
      <w:tr w:rsidR="00940255" w:rsidRPr="006F5B88" w:rsidTr="00F960AC">
        <w:trPr>
          <w:gridBefore w:val="1"/>
          <w:wBefore w:w="694" w:type="dxa"/>
          <w:trHeight w:val="729"/>
        </w:trPr>
        <w:tc>
          <w:tcPr>
            <w:tcW w:w="1900" w:type="dxa"/>
            <w:gridSpan w:val="2"/>
            <w:tcBorders>
              <w:bottom w:val="single" w:sz="4" w:space="0" w:color="auto"/>
            </w:tcBorders>
            <w:shd w:val="clear" w:color="auto" w:fill="auto"/>
            <w:vAlign w:val="center"/>
          </w:tcPr>
          <w:p w:rsidR="00940255" w:rsidRPr="004E7855" w:rsidRDefault="00940255" w:rsidP="00940255">
            <w:pPr>
              <w:rPr>
                <w:bCs/>
                <w:sz w:val="22"/>
                <w:szCs w:val="22"/>
              </w:rPr>
            </w:pPr>
            <w:r w:rsidRPr="000F6A55">
              <w:rPr>
                <w:bCs/>
                <w:sz w:val="22"/>
                <w:szCs w:val="22"/>
              </w:rPr>
              <w:t>13131/18</w:t>
            </w:r>
          </w:p>
        </w:tc>
        <w:tc>
          <w:tcPr>
            <w:tcW w:w="8180" w:type="dxa"/>
            <w:gridSpan w:val="21"/>
            <w:tcBorders>
              <w:bottom w:val="single" w:sz="4" w:space="0" w:color="auto"/>
            </w:tcBorders>
            <w:shd w:val="clear" w:color="auto" w:fill="auto"/>
            <w:vAlign w:val="center"/>
          </w:tcPr>
          <w:p w:rsidR="00940255" w:rsidRPr="00940255" w:rsidRDefault="00940255" w:rsidP="00940255">
            <w:pPr>
              <w:pStyle w:val="Oformateradtext"/>
              <w:rPr>
                <w:rFonts w:ascii="Times New Roman" w:eastAsia="Times New Roman" w:hAnsi="Times New Roman"/>
                <w:lang w:val="en-US" w:eastAsia="sv-SE"/>
              </w:rPr>
            </w:pPr>
            <w:r w:rsidRPr="00940255">
              <w:rPr>
                <w:rFonts w:ascii="Times New Roman" w:eastAsia="Times New Roman" w:hAnsi="Times New Roman"/>
                <w:lang w:val="en-US" w:eastAsia="sv-SE"/>
              </w:rPr>
              <w:t xml:space="preserve">Proposal for a REGULATION OF THE EUROPEAN PARLIAMENT AND OF THE COUNCIL amending Regulations (EU) No 1308/2013 establishing a common </w:t>
            </w:r>
            <w:proofErr w:type="spellStart"/>
            <w:r w:rsidRPr="00940255">
              <w:rPr>
                <w:rFonts w:ascii="Times New Roman" w:eastAsia="Times New Roman" w:hAnsi="Times New Roman"/>
                <w:lang w:val="en-US" w:eastAsia="sv-SE"/>
              </w:rPr>
              <w:t>organisation</w:t>
            </w:r>
            <w:proofErr w:type="spellEnd"/>
            <w:r w:rsidRPr="00940255">
              <w:rPr>
                <w:rFonts w:ascii="Times New Roman" w:eastAsia="Times New Roman" w:hAnsi="Times New Roman"/>
                <w:lang w:val="en-US" w:eastAsia="sv-SE"/>
              </w:rPr>
              <w:t xml:space="preserve"> of the markets in agricultural products, (EU) No 1151/2012 on quality schemes for agricultural products and foodstuffs, (EU) No 251/2014 on the definition, description, presentation, labelling and the protection of geographical indications of </w:t>
            </w:r>
            <w:proofErr w:type="spellStart"/>
            <w:r w:rsidRPr="00940255">
              <w:rPr>
                <w:rFonts w:ascii="Times New Roman" w:eastAsia="Times New Roman" w:hAnsi="Times New Roman"/>
                <w:lang w:val="en-US" w:eastAsia="sv-SE"/>
              </w:rPr>
              <w:t>aromatised</w:t>
            </w:r>
            <w:proofErr w:type="spellEnd"/>
            <w:r w:rsidRPr="00940255">
              <w:rPr>
                <w:rFonts w:ascii="Times New Roman" w:eastAsia="Times New Roman" w:hAnsi="Times New Roman"/>
                <w:lang w:val="en-US" w:eastAsia="sv-SE"/>
              </w:rPr>
              <w:t xml:space="preserve"> wine products, (EU) No 228/2013 laying down specific measures for agriculture in the outermost regions of the Union and (EU) No 229/2013 laying down specific measures for agriculture in </w:t>
            </w:r>
            <w:proofErr w:type="spellStart"/>
            <w:r w:rsidRPr="00940255">
              <w:rPr>
                <w:rFonts w:ascii="Times New Roman" w:eastAsia="Times New Roman" w:hAnsi="Times New Roman"/>
                <w:lang w:val="en-US" w:eastAsia="sv-SE"/>
              </w:rPr>
              <w:t>favour</w:t>
            </w:r>
            <w:proofErr w:type="spellEnd"/>
            <w:r w:rsidRPr="00940255">
              <w:rPr>
                <w:rFonts w:ascii="Times New Roman" w:eastAsia="Times New Roman" w:hAnsi="Times New Roman"/>
                <w:lang w:val="en-US" w:eastAsia="sv-SE"/>
              </w:rPr>
              <w:t xml:space="preserve"> of the smaller Aegean islands [9556/18 + REV 1+ COR 1 - COM(2018) 394 final/2] - Opinion on the application of the Principles of Subsidiarity and Proportionality- the </w:t>
            </w:r>
            <w:proofErr w:type="spellStart"/>
            <w:r w:rsidRPr="00940255">
              <w:rPr>
                <w:rFonts w:ascii="Times New Roman" w:eastAsia="Times New Roman" w:hAnsi="Times New Roman"/>
                <w:lang w:val="en-US" w:eastAsia="sv-SE"/>
              </w:rPr>
              <w:t>portuguese</w:t>
            </w:r>
            <w:proofErr w:type="spellEnd"/>
            <w:r w:rsidRPr="00940255">
              <w:rPr>
                <w:rFonts w:ascii="Times New Roman" w:eastAsia="Times New Roman" w:hAnsi="Times New Roman"/>
                <w:lang w:val="en-US" w:eastAsia="sv-SE"/>
              </w:rPr>
              <w:t xml:space="preserve"> Parliament</w:t>
            </w:r>
          </w:p>
          <w:p w:rsidR="00940255" w:rsidRPr="00940255" w:rsidRDefault="00940255" w:rsidP="00940255">
            <w:pPr>
              <w:rPr>
                <w:rStyle w:val="Hyperlnk"/>
                <w:sz w:val="22"/>
                <w:szCs w:val="22"/>
                <w:lang w:val="en-US"/>
              </w:rPr>
            </w:pPr>
          </w:p>
        </w:tc>
      </w:tr>
    </w:tbl>
    <w:p w:rsidR="00AB1421" w:rsidRDefault="00AB1421" w:rsidP="001806D9">
      <w:pPr>
        <w:pStyle w:val="Brdtext"/>
        <w:rPr>
          <w:sz w:val="22"/>
          <w:szCs w:val="22"/>
          <w:lang w:val="en-US"/>
        </w:rPr>
      </w:pPr>
    </w:p>
    <w:p w:rsidR="00BD0122" w:rsidRPr="00940255" w:rsidRDefault="00BD0122" w:rsidP="001806D9">
      <w:pPr>
        <w:pStyle w:val="Brdtext"/>
        <w:rPr>
          <w:sz w:val="22"/>
          <w:szCs w:val="22"/>
          <w:lang w:val="en-US"/>
        </w:rPr>
      </w:pPr>
    </w:p>
    <w:p w:rsidR="00BE1EBF" w:rsidRDefault="00BE1EBF" w:rsidP="001806D9">
      <w:pPr>
        <w:pStyle w:val="Brdtext"/>
        <w:rPr>
          <w:sz w:val="22"/>
          <w:szCs w:val="22"/>
          <w:lang w:val="en-US"/>
        </w:rPr>
      </w:pPr>
    </w:p>
    <w:p w:rsidR="00177FF8" w:rsidRPr="00376A39" w:rsidRDefault="00177FF8" w:rsidP="00CC5952">
      <w:pPr>
        <w:tabs>
          <w:tab w:val="left" w:pos="426"/>
          <w:tab w:val="left" w:pos="3261"/>
          <w:tab w:val="left" w:pos="6804"/>
        </w:tabs>
        <w:rPr>
          <w:sz w:val="22"/>
          <w:szCs w:val="22"/>
        </w:rPr>
      </w:pPr>
    </w:p>
    <w:sectPr w:rsidR="00177FF8" w:rsidRPr="00376A39"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28FF">
      <w:rPr>
        <w:rStyle w:val="Sidnummer"/>
        <w:noProof/>
      </w:rPr>
      <w:t>5</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7569DE"/>
    <w:multiLevelType w:val="hybridMultilevel"/>
    <w:tmpl w:val="FBB02018"/>
    <w:lvl w:ilvl="0" w:tplc="CB9826F6">
      <w:start w:val="1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76BDD"/>
    <w:rsid w:val="00091EA6"/>
    <w:rsid w:val="000A29E4"/>
    <w:rsid w:val="000E402E"/>
    <w:rsid w:val="000F6792"/>
    <w:rsid w:val="000F7D9B"/>
    <w:rsid w:val="00102D5B"/>
    <w:rsid w:val="001107C9"/>
    <w:rsid w:val="001201A1"/>
    <w:rsid w:val="0014421B"/>
    <w:rsid w:val="00154537"/>
    <w:rsid w:val="001576B4"/>
    <w:rsid w:val="00157C48"/>
    <w:rsid w:val="00157E3A"/>
    <w:rsid w:val="00161710"/>
    <w:rsid w:val="00164491"/>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6C70"/>
    <w:rsid w:val="002241EF"/>
    <w:rsid w:val="0023053D"/>
    <w:rsid w:val="00231475"/>
    <w:rsid w:val="002378CC"/>
    <w:rsid w:val="0025203B"/>
    <w:rsid w:val="00254C5A"/>
    <w:rsid w:val="0025725D"/>
    <w:rsid w:val="00267A73"/>
    <w:rsid w:val="002830F4"/>
    <w:rsid w:val="002851E5"/>
    <w:rsid w:val="00286C79"/>
    <w:rsid w:val="00287223"/>
    <w:rsid w:val="002968EE"/>
    <w:rsid w:val="002A14AC"/>
    <w:rsid w:val="002A3C5F"/>
    <w:rsid w:val="002C1D92"/>
    <w:rsid w:val="002C5FED"/>
    <w:rsid w:val="002D06F9"/>
    <w:rsid w:val="002D20B8"/>
    <w:rsid w:val="002D5CC4"/>
    <w:rsid w:val="002F25FD"/>
    <w:rsid w:val="00302EBE"/>
    <w:rsid w:val="003100F5"/>
    <w:rsid w:val="003127B4"/>
    <w:rsid w:val="003220D7"/>
    <w:rsid w:val="00322167"/>
    <w:rsid w:val="00335837"/>
    <w:rsid w:val="00335938"/>
    <w:rsid w:val="00342CC6"/>
    <w:rsid w:val="003443ED"/>
    <w:rsid w:val="00376A39"/>
    <w:rsid w:val="00381298"/>
    <w:rsid w:val="00387440"/>
    <w:rsid w:val="003941CA"/>
    <w:rsid w:val="00396766"/>
    <w:rsid w:val="003E21B4"/>
    <w:rsid w:val="003E2DA5"/>
    <w:rsid w:val="003F2BA4"/>
    <w:rsid w:val="003F5018"/>
    <w:rsid w:val="003F7963"/>
    <w:rsid w:val="00402A6F"/>
    <w:rsid w:val="00416E51"/>
    <w:rsid w:val="00417CF8"/>
    <w:rsid w:val="00420D39"/>
    <w:rsid w:val="004310CA"/>
    <w:rsid w:val="00440E5D"/>
    <w:rsid w:val="004412EA"/>
    <w:rsid w:val="00463E6E"/>
    <w:rsid w:val="00470F4B"/>
    <w:rsid w:val="004763AE"/>
    <w:rsid w:val="0047654D"/>
    <w:rsid w:val="00476F24"/>
    <w:rsid w:val="00481A80"/>
    <w:rsid w:val="00481AE3"/>
    <w:rsid w:val="00482D9A"/>
    <w:rsid w:val="00485C5B"/>
    <w:rsid w:val="004945A7"/>
    <w:rsid w:val="004B1E7E"/>
    <w:rsid w:val="004C58F4"/>
    <w:rsid w:val="004D6725"/>
    <w:rsid w:val="004E030E"/>
    <w:rsid w:val="004E0E27"/>
    <w:rsid w:val="004E4C8B"/>
    <w:rsid w:val="004E7DCE"/>
    <w:rsid w:val="004F5D48"/>
    <w:rsid w:val="00501F97"/>
    <w:rsid w:val="005118EF"/>
    <w:rsid w:val="005249C1"/>
    <w:rsid w:val="00530BD4"/>
    <w:rsid w:val="00556DC9"/>
    <w:rsid w:val="005628FF"/>
    <w:rsid w:val="00573E17"/>
    <w:rsid w:val="00573F9E"/>
    <w:rsid w:val="005855D5"/>
    <w:rsid w:val="00585B79"/>
    <w:rsid w:val="005A3E8B"/>
    <w:rsid w:val="005B1B2C"/>
    <w:rsid w:val="005D663E"/>
    <w:rsid w:val="005E6A1F"/>
    <w:rsid w:val="005F6C39"/>
    <w:rsid w:val="0060083A"/>
    <w:rsid w:val="006049C7"/>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A63A7"/>
    <w:rsid w:val="006B3611"/>
    <w:rsid w:val="006D05CF"/>
    <w:rsid w:val="006E15D9"/>
    <w:rsid w:val="006F4672"/>
    <w:rsid w:val="006F5B88"/>
    <w:rsid w:val="00707262"/>
    <w:rsid w:val="00716686"/>
    <w:rsid w:val="00721C53"/>
    <w:rsid w:val="007453FF"/>
    <w:rsid w:val="00754C4A"/>
    <w:rsid w:val="00762508"/>
    <w:rsid w:val="007719E4"/>
    <w:rsid w:val="00796426"/>
    <w:rsid w:val="007B1F72"/>
    <w:rsid w:val="007B26F0"/>
    <w:rsid w:val="007E14E2"/>
    <w:rsid w:val="007F12BB"/>
    <w:rsid w:val="007F2DF2"/>
    <w:rsid w:val="008032FE"/>
    <w:rsid w:val="008072FF"/>
    <w:rsid w:val="008124A2"/>
    <w:rsid w:val="00821792"/>
    <w:rsid w:val="00834E22"/>
    <w:rsid w:val="0084464A"/>
    <w:rsid w:val="008458B4"/>
    <w:rsid w:val="008504EB"/>
    <w:rsid w:val="00856389"/>
    <w:rsid w:val="0086226D"/>
    <w:rsid w:val="00865C85"/>
    <w:rsid w:val="008856C5"/>
    <w:rsid w:val="00886349"/>
    <w:rsid w:val="00894936"/>
    <w:rsid w:val="0089673E"/>
    <w:rsid w:val="008A28BD"/>
    <w:rsid w:val="008B29ED"/>
    <w:rsid w:val="008B5472"/>
    <w:rsid w:val="008B5D35"/>
    <w:rsid w:val="008B7CC5"/>
    <w:rsid w:val="008C0FEE"/>
    <w:rsid w:val="008C2D5B"/>
    <w:rsid w:val="008D692B"/>
    <w:rsid w:val="008F4883"/>
    <w:rsid w:val="008F4D6D"/>
    <w:rsid w:val="00911B90"/>
    <w:rsid w:val="00914C38"/>
    <w:rsid w:val="00921E40"/>
    <w:rsid w:val="009222A6"/>
    <w:rsid w:val="00922EB0"/>
    <w:rsid w:val="00940255"/>
    <w:rsid w:val="009442D4"/>
    <w:rsid w:val="00952893"/>
    <w:rsid w:val="00955CA2"/>
    <w:rsid w:val="009653D4"/>
    <w:rsid w:val="00980A86"/>
    <w:rsid w:val="009823FA"/>
    <w:rsid w:val="009843D0"/>
    <w:rsid w:val="00994906"/>
    <w:rsid w:val="009A2BC6"/>
    <w:rsid w:val="009A6092"/>
    <w:rsid w:val="009B0A47"/>
    <w:rsid w:val="009B1CDF"/>
    <w:rsid w:val="009B1EEE"/>
    <w:rsid w:val="009C0C9D"/>
    <w:rsid w:val="009D4D1A"/>
    <w:rsid w:val="009D6236"/>
    <w:rsid w:val="009E0D7F"/>
    <w:rsid w:val="009E2FEF"/>
    <w:rsid w:val="009E3810"/>
    <w:rsid w:val="009F0FB5"/>
    <w:rsid w:val="009F1689"/>
    <w:rsid w:val="00A03943"/>
    <w:rsid w:val="00A25D52"/>
    <w:rsid w:val="00A33C3D"/>
    <w:rsid w:val="00A34130"/>
    <w:rsid w:val="00A375CF"/>
    <w:rsid w:val="00A37731"/>
    <w:rsid w:val="00A51307"/>
    <w:rsid w:val="00A645AD"/>
    <w:rsid w:val="00A64CA0"/>
    <w:rsid w:val="00A65389"/>
    <w:rsid w:val="00A6580E"/>
    <w:rsid w:val="00A65C53"/>
    <w:rsid w:val="00A702BD"/>
    <w:rsid w:val="00A71AF0"/>
    <w:rsid w:val="00A746E4"/>
    <w:rsid w:val="00A83ACB"/>
    <w:rsid w:val="00A846AA"/>
    <w:rsid w:val="00A85A8C"/>
    <w:rsid w:val="00AB1421"/>
    <w:rsid w:val="00AB2883"/>
    <w:rsid w:val="00AB4B5E"/>
    <w:rsid w:val="00AC0C85"/>
    <w:rsid w:val="00AD2143"/>
    <w:rsid w:val="00AD2B50"/>
    <w:rsid w:val="00AD4D95"/>
    <w:rsid w:val="00AE0071"/>
    <w:rsid w:val="00AE1E2C"/>
    <w:rsid w:val="00AE6FBC"/>
    <w:rsid w:val="00B02783"/>
    <w:rsid w:val="00B0296A"/>
    <w:rsid w:val="00B03D1F"/>
    <w:rsid w:val="00B04E15"/>
    <w:rsid w:val="00B10BE1"/>
    <w:rsid w:val="00B16C18"/>
    <w:rsid w:val="00B22F3B"/>
    <w:rsid w:val="00B26D29"/>
    <w:rsid w:val="00B3182D"/>
    <w:rsid w:val="00B35D41"/>
    <w:rsid w:val="00B419CA"/>
    <w:rsid w:val="00B522EE"/>
    <w:rsid w:val="00B54A57"/>
    <w:rsid w:val="00B5691D"/>
    <w:rsid w:val="00B62905"/>
    <w:rsid w:val="00B7289B"/>
    <w:rsid w:val="00B80318"/>
    <w:rsid w:val="00B86868"/>
    <w:rsid w:val="00B96E81"/>
    <w:rsid w:val="00BA4937"/>
    <w:rsid w:val="00BA55CE"/>
    <w:rsid w:val="00BB34FC"/>
    <w:rsid w:val="00BB375E"/>
    <w:rsid w:val="00BB59A8"/>
    <w:rsid w:val="00BB5D88"/>
    <w:rsid w:val="00BC03D5"/>
    <w:rsid w:val="00BD0122"/>
    <w:rsid w:val="00BD314A"/>
    <w:rsid w:val="00BD374B"/>
    <w:rsid w:val="00BE1EBF"/>
    <w:rsid w:val="00BF0D09"/>
    <w:rsid w:val="00C11E5F"/>
    <w:rsid w:val="00C20B9F"/>
    <w:rsid w:val="00C20F78"/>
    <w:rsid w:val="00C55553"/>
    <w:rsid w:val="00C65F27"/>
    <w:rsid w:val="00C6697A"/>
    <w:rsid w:val="00C674DC"/>
    <w:rsid w:val="00C80EBD"/>
    <w:rsid w:val="00C87FA2"/>
    <w:rsid w:val="00CA60EE"/>
    <w:rsid w:val="00CA677B"/>
    <w:rsid w:val="00CA75B8"/>
    <w:rsid w:val="00CB2E80"/>
    <w:rsid w:val="00CB5973"/>
    <w:rsid w:val="00CC5952"/>
    <w:rsid w:val="00CD3F55"/>
    <w:rsid w:val="00CE0E61"/>
    <w:rsid w:val="00CE3494"/>
    <w:rsid w:val="00CE39E2"/>
    <w:rsid w:val="00CF0661"/>
    <w:rsid w:val="00CF0B50"/>
    <w:rsid w:val="00CF4403"/>
    <w:rsid w:val="00D0483C"/>
    <w:rsid w:val="00D048DB"/>
    <w:rsid w:val="00D06FDE"/>
    <w:rsid w:val="00D11D2D"/>
    <w:rsid w:val="00D139CC"/>
    <w:rsid w:val="00D27454"/>
    <w:rsid w:val="00D27A57"/>
    <w:rsid w:val="00D30A97"/>
    <w:rsid w:val="00D46465"/>
    <w:rsid w:val="00D5250E"/>
    <w:rsid w:val="00D75A18"/>
    <w:rsid w:val="00D830E6"/>
    <w:rsid w:val="00D87D66"/>
    <w:rsid w:val="00D94F64"/>
    <w:rsid w:val="00DA2C47"/>
    <w:rsid w:val="00DA34F3"/>
    <w:rsid w:val="00DA5AAC"/>
    <w:rsid w:val="00DB491C"/>
    <w:rsid w:val="00DC46BF"/>
    <w:rsid w:val="00DC48A8"/>
    <w:rsid w:val="00DD3932"/>
    <w:rsid w:val="00DD5B50"/>
    <w:rsid w:val="00DD7DD7"/>
    <w:rsid w:val="00DE45E6"/>
    <w:rsid w:val="00DF1920"/>
    <w:rsid w:val="00DF2A5B"/>
    <w:rsid w:val="00DF4E44"/>
    <w:rsid w:val="00DF69C9"/>
    <w:rsid w:val="00E117FD"/>
    <w:rsid w:val="00E1579E"/>
    <w:rsid w:val="00E2386B"/>
    <w:rsid w:val="00E32CDB"/>
    <w:rsid w:val="00E43C72"/>
    <w:rsid w:val="00E44E30"/>
    <w:rsid w:val="00E47577"/>
    <w:rsid w:val="00E53E73"/>
    <w:rsid w:val="00E54E79"/>
    <w:rsid w:val="00E60AE8"/>
    <w:rsid w:val="00E80885"/>
    <w:rsid w:val="00EA5C1E"/>
    <w:rsid w:val="00EB5801"/>
    <w:rsid w:val="00EC7E9B"/>
    <w:rsid w:val="00ED6A2B"/>
    <w:rsid w:val="00EE0B35"/>
    <w:rsid w:val="00EE0BF7"/>
    <w:rsid w:val="00EE6E7B"/>
    <w:rsid w:val="00EF1B0A"/>
    <w:rsid w:val="00EF4ADF"/>
    <w:rsid w:val="00EF4B6A"/>
    <w:rsid w:val="00F11B12"/>
    <w:rsid w:val="00F143DB"/>
    <w:rsid w:val="00F25AFF"/>
    <w:rsid w:val="00F65F54"/>
    <w:rsid w:val="00F66FF9"/>
    <w:rsid w:val="00F73CB8"/>
    <w:rsid w:val="00F73D67"/>
    <w:rsid w:val="00F755B2"/>
    <w:rsid w:val="00F82610"/>
    <w:rsid w:val="00F832D2"/>
    <w:rsid w:val="00F86DDF"/>
    <w:rsid w:val="00F902C3"/>
    <w:rsid w:val="00F960AC"/>
    <w:rsid w:val="00FA6C99"/>
    <w:rsid w:val="00FB2721"/>
    <w:rsid w:val="00FB5AF3"/>
    <w:rsid w:val="00FB6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7BE87"/>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ED6A2B"/>
    <w:rPr>
      <w:color w:val="0000FF"/>
      <w:u w:val="single"/>
    </w:rPr>
  </w:style>
  <w:style w:type="paragraph" w:styleId="Oformateradtext">
    <w:name w:val="Plain Text"/>
    <w:basedOn w:val="Normal"/>
    <w:link w:val="OformateradtextChar"/>
    <w:uiPriority w:val="99"/>
    <w:unhideWhenUsed/>
    <w:rsid w:val="00ED6A2B"/>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ED6A2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1332</Words>
  <Characters>8974</Characters>
  <Application>Microsoft Office Word</Application>
  <DocSecurity>0</DocSecurity>
  <Lines>997</Lines>
  <Paragraphs>229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Karin Lisshamre</dc:creator>
  <cp:keywords/>
  <dc:description/>
  <cp:lastModifiedBy>Eva Forsman</cp:lastModifiedBy>
  <cp:revision>4</cp:revision>
  <cp:lastPrinted>2018-10-22T07:54:00Z</cp:lastPrinted>
  <dcterms:created xsi:type="dcterms:W3CDTF">2018-10-25T10:18:00Z</dcterms:created>
  <dcterms:modified xsi:type="dcterms:W3CDTF">2018-10-25T10:19:00Z</dcterms:modified>
</cp:coreProperties>
</file>