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8B787F">
        <w:tblPrEx>
          <w:tblCellMar>
            <w:top w:w="0" w:type="dxa"/>
            <w:bottom w:w="0" w:type="dxa"/>
          </w:tblCellMar>
        </w:tblPrEx>
        <w:tc>
          <w:tcPr>
            <w:tcW w:w="2268" w:type="dxa"/>
          </w:tcPr>
          <w:p w:rsidR="00026311" w:rsidRPr="008B787F" w:rsidRDefault="00026311">
            <w:pPr>
              <w:framePr w:w="4400" w:h="1644" w:wrap="notBeside" w:vAnchor="page" w:hAnchor="page" w:x="6573" w:y="721"/>
              <w:rPr>
                <w:rFonts w:ascii="TradeGothic" w:hAnsi="TradeGothic"/>
                <w:i/>
                <w:sz w:val="18"/>
              </w:rPr>
            </w:pPr>
          </w:p>
        </w:tc>
        <w:tc>
          <w:tcPr>
            <w:tcW w:w="2347" w:type="dxa"/>
            <w:gridSpan w:val="2"/>
          </w:tcPr>
          <w:p w:rsidR="00026311" w:rsidRPr="008B787F" w:rsidRDefault="00026311">
            <w:pPr>
              <w:framePr w:w="4400" w:h="1644" w:wrap="notBeside" w:vAnchor="page" w:hAnchor="page" w:x="6573" w:y="721"/>
              <w:rPr>
                <w:rFonts w:ascii="TradeGothic" w:hAnsi="TradeGothic"/>
                <w:i/>
                <w:sz w:val="18"/>
              </w:rPr>
            </w:pPr>
          </w:p>
        </w:tc>
      </w:tr>
      <w:tr w:rsidR="00026311" w:rsidRPr="008B787F">
        <w:tblPrEx>
          <w:tblCellMar>
            <w:top w:w="0" w:type="dxa"/>
            <w:bottom w:w="0" w:type="dxa"/>
          </w:tblCellMar>
        </w:tblPrEx>
        <w:tc>
          <w:tcPr>
            <w:tcW w:w="4615" w:type="dxa"/>
            <w:gridSpan w:val="3"/>
          </w:tcPr>
          <w:p w:rsidR="00026311" w:rsidRPr="008B787F" w:rsidRDefault="00026311">
            <w:pPr>
              <w:framePr w:w="4400" w:h="1644" w:wrap="notBeside" w:vAnchor="page" w:hAnchor="page" w:x="6573" w:y="721"/>
              <w:rPr>
                <w:rFonts w:ascii="TradeGothic" w:hAnsi="TradeGothic"/>
                <w:b/>
                <w:sz w:val="22"/>
              </w:rPr>
            </w:pPr>
            <w:r w:rsidRPr="008B787F">
              <w:rPr>
                <w:rFonts w:ascii="TradeGothic" w:hAnsi="TradeGothic"/>
                <w:b/>
                <w:sz w:val="22"/>
              </w:rPr>
              <w:t>Kommenterad dagordning</w:t>
            </w:r>
          </w:p>
        </w:tc>
      </w:tr>
      <w:tr w:rsidR="00026311" w:rsidRPr="008B787F">
        <w:tblPrEx>
          <w:tblCellMar>
            <w:top w:w="0" w:type="dxa"/>
            <w:bottom w:w="0" w:type="dxa"/>
          </w:tblCellMar>
        </w:tblPrEx>
        <w:tc>
          <w:tcPr>
            <w:tcW w:w="3402" w:type="dxa"/>
            <w:gridSpan w:val="2"/>
          </w:tcPr>
          <w:p w:rsidR="00026311" w:rsidRPr="008B787F" w:rsidRDefault="00026311">
            <w:pPr>
              <w:framePr w:w="4400" w:h="1644" w:wrap="notBeside" w:vAnchor="page" w:hAnchor="page" w:x="6573" w:y="721"/>
              <w:rPr>
                <w:rFonts w:ascii="TradeGothic" w:hAnsi="TradeGothic"/>
                <w:b/>
                <w:sz w:val="22"/>
              </w:rPr>
            </w:pPr>
            <w:r w:rsidRPr="008B787F">
              <w:rPr>
                <w:rFonts w:ascii="TradeGothic" w:hAnsi="TradeGothic"/>
                <w:b/>
                <w:sz w:val="22"/>
              </w:rPr>
              <w:t>rådet</w:t>
            </w:r>
          </w:p>
        </w:tc>
        <w:tc>
          <w:tcPr>
            <w:tcW w:w="1213" w:type="dxa"/>
          </w:tcPr>
          <w:p w:rsidR="00026311" w:rsidRPr="008B787F" w:rsidRDefault="00026311">
            <w:pPr>
              <w:framePr w:w="4400" w:h="1644" w:wrap="notBeside" w:vAnchor="page" w:hAnchor="page" w:x="6573" w:y="721"/>
            </w:pPr>
          </w:p>
        </w:tc>
      </w:tr>
      <w:tr w:rsidR="00026311" w:rsidRPr="008B787F">
        <w:tblPrEx>
          <w:tblCellMar>
            <w:top w:w="0" w:type="dxa"/>
            <w:bottom w:w="0" w:type="dxa"/>
          </w:tblCellMar>
        </w:tblPrEx>
        <w:tc>
          <w:tcPr>
            <w:tcW w:w="2268" w:type="dxa"/>
          </w:tcPr>
          <w:p w:rsidR="00026311" w:rsidRPr="008B787F" w:rsidRDefault="00CF21BD">
            <w:pPr>
              <w:framePr w:w="4400" w:h="1644" w:wrap="notBeside" w:vAnchor="page" w:hAnchor="page" w:x="6573" w:y="721"/>
            </w:pPr>
            <w:r w:rsidRPr="008B787F">
              <w:t>2011-0</w:t>
            </w:r>
            <w:r w:rsidR="008746BB" w:rsidRPr="008B787F">
              <w:t>9-1</w:t>
            </w:r>
            <w:r w:rsidR="00BB3574" w:rsidRPr="008B787F">
              <w:t>9</w:t>
            </w:r>
          </w:p>
        </w:tc>
        <w:tc>
          <w:tcPr>
            <w:tcW w:w="2347" w:type="dxa"/>
            <w:gridSpan w:val="2"/>
          </w:tcPr>
          <w:p w:rsidR="00026311" w:rsidRPr="008B787F" w:rsidRDefault="00026311">
            <w:pPr>
              <w:framePr w:w="4400" w:h="1644" w:wrap="notBeside" w:vAnchor="page" w:hAnchor="page" w:x="6573" w:y="721"/>
            </w:pPr>
          </w:p>
        </w:tc>
      </w:tr>
      <w:tr w:rsidR="00026311" w:rsidRPr="008B787F">
        <w:tblPrEx>
          <w:tblCellMar>
            <w:top w:w="0" w:type="dxa"/>
            <w:bottom w:w="0" w:type="dxa"/>
          </w:tblCellMar>
        </w:tblPrEx>
        <w:tc>
          <w:tcPr>
            <w:tcW w:w="2268" w:type="dxa"/>
          </w:tcPr>
          <w:p w:rsidR="00026311" w:rsidRPr="008B787F" w:rsidRDefault="00026311">
            <w:pPr>
              <w:framePr w:w="4400" w:h="1644" w:wrap="notBeside" w:vAnchor="page" w:hAnchor="page" w:x="6573" w:y="721"/>
            </w:pPr>
          </w:p>
        </w:tc>
        <w:tc>
          <w:tcPr>
            <w:tcW w:w="2347" w:type="dxa"/>
            <w:gridSpan w:val="2"/>
          </w:tcPr>
          <w:p w:rsidR="00026311" w:rsidRPr="008B787F"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8B787F">
        <w:tblPrEx>
          <w:tblCellMar>
            <w:top w:w="0" w:type="dxa"/>
            <w:bottom w:w="0" w:type="dxa"/>
          </w:tblCellMar>
        </w:tblPrEx>
        <w:trPr>
          <w:trHeight w:val="284"/>
        </w:trPr>
        <w:tc>
          <w:tcPr>
            <w:tcW w:w="4911" w:type="dxa"/>
          </w:tcPr>
          <w:p w:rsidR="00026311" w:rsidRPr="008B787F" w:rsidRDefault="00CD13FD">
            <w:pPr>
              <w:pStyle w:val="Avsndare"/>
              <w:framePr w:h="2483" w:wrap="notBeside" w:x="1504"/>
              <w:rPr>
                <w:b/>
                <w:i w:val="0"/>
                <w:sz w:val="22"/>
              </w:rPr>
            </w:pPr>
            <w:r w:rsidRPr="008B787F">
              <w:rPr>
                <w:b/>
                <w:i w:val="0"/>
                <w:sz w:val="22"/>
              </w:rPr>
              <w:t>Utbildningsdepartementet</w:t>
            </w: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CD13FD">
            <w:pPr>
              <w:pStyle w:val="Avsndare"/>
              <w:framePr w:h="2483" w:wrap="notBeside" w:x="1504"/>
              <w:rPr>
                <w:bCs/>
                <w:iCs/>
              </w:rPr>
            </w:pPr>
            <w:r w:rsidRPr="008B787F">
              <w:rPr>
                <w:bCs/>
                <w:iCs/>
              </w:rPr>
              <w:t>Forskningspolitiska enheten</w:t>
            </w: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r w:rsidR="00026311" w:rsidRPr="008B787F">
        <w:tblPrEx>
          <w:tblCellMar>
            <w:top w:w="0" w:type="dxa"/>
            <w:bottom w:w="0" w:type="dxa"/>
          </w:tblCellMar>
        </w:tblPrEx>
        <w:trPr>
          <w:trHeight w:val="284"/>
        </w:trPr>
        <w:tc>
          <w:tcPr>
            <w:tcW w:w="4911" w:type="dxa"/>
          </w:tcPr>
          <w:p w:rsidR="00026311" w:rsidRPr="008B787F" w:rsidRDefault="00026311">
            <w:pPr>
              <w:pStyle w:val="Avsndare"/>
              <w:framePr w:h="2483" w:wrap="notBeside" w:x="1504"/>
              <w:rPr>
                <w:bCs/>
                <w:iCs/>
              </w:rPr>
            </w:pPr>
          </w:p>
        </w:tc>
      </w:tr>
    </w:tbl>
    <w:p w:rsidR="00026311" w:rsidRPr="008B787F" w:rsidRDefault="00026311">
      <w:pPr>
        <w:framePr w:w="4400" w:h="2523" w:wrap="notBeside" w:vAnchor="page" w:hAnchor="page" w:x="6453" w:y="2445"/>
        <w:ind w:left="142"/>
        <w:rPr>
          <w:b/>
        </w:rPr>
      </w:pPr>
    </w:p>
    <w:p w:rsidR="00026311" w:rsidRPr="008B787F" w:rsidRDefault="00026311">
      <w:pPr>
        <w:pStyle w:val="RKrubrik"/>
        <w:pBdr>
          <w:bottom w:val="single" w:sz="6" w:space="1" w:color="auto"/>
        </w:pBdr>
        <w:ind w:left="-567"/>
      </w:pPr>
      <w:bookmarkStart w:id="0" w:name="bRubrik"/>
      <w:bookmarkEnd w:id="0"/>
      <w:r w:rsidRPr="008B787F">
        <w:t>Konkurrensk</w:t>
      </w:r>
      <w:r w:rsidR="00CD13FD" w:rsidRPr="008B787F">
        <w:t>ra</w:t>
      </w:r>
      <w:r w:rsidR="00CF21BD" w:rsidRPr="008B787F">
        <w:t xml:space="preserve">ftsrådet </w:t>
      </w:r>
      <w:r w:rsidR="008746BB" w:rsidRPr="008B787F">
        <w:t>(forskning) 30 september</w:t>
      </w:r>
      <w:r w:rsidR="00CF21BD" w:rsidRPr="008B787F">
        <w:t xml:space="preserve"> 2011</w:t>
      </w:r>
    </w:p>
    <w:p w:rsidR="00026311" w:rsidRPr="008B787F" w:rsidRDefault="00026311">
      <w:pPr>
        <w:pStyle w:val="RKrubrik"/>
        <w:ind w:left="-567"/>
      </w:pPr>
      <w:r w:rsidRPr="008B787F">
        <w:t>Kommenterad dagordning inför samråd me</w:t>
      </w:r>
      <w:r w:rsidR="00CF21BD" w:rsidRPr="008B787F">
        <w:t xml:space="preserve">d EU-nämnden den </w:t>
      </w:r>
      <w:r w:rsidR="008746BB" w:rsidRPr="008B787F">
        <w:t>23</w:t>
      </w:r>
      <w:r w:rsidR="00CF21BD" w:rsidRPr="008B787F">
        <w:t xml:space="preserve"> mars 2011</w:t>
      </w:r>
    </w:p>
    <w:p w:rsidR="00572D58" w:rsidRPr="008B787F" w:rsidRDefault="00572D58">
      <w:pPr>
        <w:pStyle w:val="RKnormal"/>
        <w:ind w:left="-567"/>
        <w:rPr>
          <w:b/>
        </w:rPr>
      </w:pPr>
    </w:p>
    <w:p w:rsidR="00011933" w:rsidRPr="008B787F" w:rsidRDefault="00011933" w:rsidP="00011933">
      <w:pPr>
        <w:tabs>
          <w:tab w:val="left" w:pos="540"/>
          <w:tab w:val="left" w:pos="1080"/>
        </w:tabs>
        <w:spacing w:line="240" w:lineRule="auto"/>
        <w:ind w:left="-567"/>
        <w:rPr>
          <w:b/>
        </w:rPr>
      </w:pPr>
      <w:r w:rsidRPr="008B787F">
        <w:rPr>
          <w:b/>
        </w:rPr>
        <w:t>7. Grönbok: Modernisering av direktivet om erkännande av yrkeskvalifikationer</w:t>
      </w:r>
    </w:p>
    <w:p w:rsidR="00011933" w:rsidRPr="008B787F" w:rsidRDefault="00011933" w:rsidP="00011933">
      <w:pPr>
        <w:tabs>
          <w:tab w:val="left" w:pos="540"/>
          <w:tab w:val="left" w:pos="1080"/>
        </w:tabs>
        <w:spacing w:line="240" w:lineRule="auto"/>
        <w:ind w:left="-567"/>
        <w:rPr>
          <w:b/>
        </w:rPr>
      </w:pPr>
      <w:r w:rsidRPr="008B787F">
        <w:rPr>
          <w:b/>
        </w:rPr>
        <w:t xml:space="preserve">–Föredragning av kommissionen </w:t>
      </w:r>
    </w:p>
    <w:p w:rsidR="00011933" w:rsidRPr="008B787F" w:rsidRDefault="00011933" w:rsidP="00011933">
      <w:pPr>
        <w:tabs>
          <w:tab w:val="left" w:pos="540"/>
          <w:tab w:val="left" w:pos="1080"/>
        </w:tabs>
        <w:spacing w:line="240" w:lineRule="auto"/>
        <w:ind w:left="-567"/>
        <w:rPr>
          <w:b/>
        </w:rPr>
      </w:pPr>
    </w:p>
    <w:p w:rsidR="00011933" w:rsidRPr="008B787F" w:rsidRDefault="00011933" w:rsidP="00011933">
      <w:pPr>
        <w:tabs>
          <w:tab w:val="left" w:pos="540"/>
          <w:tab w:val="left" w:pos="1080"/>
        </w:tabs>
        <w:spacing w:line="240" w:lineRule="auto"/>
        <w:ind w:left="-567"/>
      </w:pPr>
      <w:r w:rsidRPr="008B787F">
        <w:t>I syfte att stärka den inre marknaden pågår ett flertal stora projekt inom EU. I Single Market Act, som publicerades i oktober 2010, föreslås flera förändringar, bl.a. en modernisering av direktiv 2005/36/EG om erkännande av yrkeskvalifikationer (yrkeskvalifikationsdirektivet). Direktivet syftar till att underlätta rörligheten på den inre marknaden genom bestämmelser om erkännande av yrkeskvalifikationer. Kommissionen har publicerat en grönbok om moderniseringen.</w:t>
      </w:r>
    </w:p>
    <w:p w:rsidR="00011933" w:rsidRPr="008B787F" w:rsidRDefault="00011933">
      <w:pPr>
        <w:pStyle w:val="RKnormal"/>
        <w:ind w:left="-567"/>
        <w:rPr>
          <w:b/>
        </w:rPr>
      </w:pPr>
    </w:p>
    <w:p w:rsidR="00980919" w:rsidRPr="008B787F" w:rsidRDefault="008746BB" w:rsidP="00980919">
      <w:pPr>
        <w:pStyle w:val="RKnormal"/>
        <w:ind w:left="-567"/>
        <w:rPr>
          <w:b/>
        </w:rPr>
      </w:pPr>
      <w:r w:rsidRPr="008B787F">
        <w:rPr>
          <w:b/>
        </w:rPr>
        <w:t xml:space="preserve">8. (a) </w:t>
      </w:r>
      <w:r w:rsidR="00E3769B" w:rsidRPr="008B787F">
        <w:rPr>
          <w:b/>
        </w:rPr>
        <w:t>Förslag till rådets beslut om det särskilda program som ska genomföras genom indirekta åtgärder för genomförande av sjunde ramprogrammet (2012–2013) för Europeiska atomenergigemenskapens (Euratom) verksamhet inom området forskning och utbildning på kärnenergiområdet</w:t>
      </w:r>
    </w:p>
    <w:p w:rsidR="00E3769B" w:rsidRPr="008B787F" w:rsidRDefault="00E3769B" w:rsidP="00980919">
      <w:pPr>
        <w:pStyle w:val="RKnormal"/>
        <w:ind w:left="-567"/>
        <w:rPr>
          <w:b/>
        </w:rPr>
      </w:pPr>
      <w:r w:rsidRPr="008B787F">
        <w:rPr>
          <w:b/>
          <w:i/>
          <w:iCs/>
        </w:rPr>
        <w:t xml:space="preserve">- </w:t>
      </w:r>
      <w:r w:rsidRPr="008B787F">
        <w:rPr>
          <w:b/>
          <w:color w:val="000000"/>
        </w:rPr>
        <w:t>Allmän riktlinje</w:t>
      </w:r>
    </w:p>
    <w:p w:rsidR="00E3769B" w:rsidRPr="008B787F" w:rsidRDefault="00E3769B" w:rsidP="008746BB">
      <w:pPr>
        <w:pStyle w:val="RKnormal"/>
        <w:ind w:left="-567"/>
        <w:rPr>
          <w:b/>
        </w:rPr>
      </w:pPr>
    </w:p>
    <w:p w:rsidR="006772B4" w:rsidRPr="008B787F" w:rsidRDefault="006772B4" w:rsidP="006772B4">
      <w:pPr>
        <w:pStyle w:val="RKnormal"/>
        <w:ind w:left="-567"/>
      </w:pPr>
      <w:r w:rsidRPr="008B787F">
        <w:t>Förslag till rådsbeslut om det särskilda program</w:t>
      </w:r>
      <w:r w:rsidR="000676F9" w:rsidRPr="008B787F">
        <w:t xml:space="preserve">met för </w:t>
      </w:r>
      <w:r w:rsidRPr="008B787F">
        <w:t xml:space="preserve">indirekta åtgärder </w:t>
      </w:r>
      <w:r w:rsidR="000676F9" w:rsidRPr="008B787F">
        <w:t xml:space="preserve">inom Euratoms </w:t>
      </w:r>
      <w:r w:rsidRPr="008B787F">
        <w:t>ramprogram (2012-2013). Forsknings</w:t>
      </w:r>
      <w:r w:rsidR="00292241" w:rsidRPr="008B787F">
        <w:t xml:space="preserve">aktiviteterna ska bedrivas inom </w:t>
      </w:r>
      <w:r w:rsidRPr="008B787F">
        <w:t>a) fusionsenergi (inklusive ITER</w:t>
      </w:r>
      <w:r w:rsidR="00292241" w:rsidRPr="008B787F">
        <w:t xml:space="preserve">) och </w:t>
      </w:r>
      <w:r w:rsidRPr="008B787F">
        <w:t>b) kärnfission, säkerhet och strålskydd</w:t>
      </w:r>
      <w:r w:rsidR="00292241" w:rsidRPr="008B787F">
        <w:t>.</w:t>
      </w:r>
    </w:p>
    <w:p w:rsidR="00D163BF" w:rsidRPr="008B787F" w:rsidRDefault="00D163BF" w:rsidP="008746BB">
      <w:pPr>
        <w:pStyle w:val="RKnormal"/>
        <w:ind w:left="-567"/>
        <w:rPr>
          <w:b/>
        </w:rPr>
      </w:pPr>
    </w:p>
    <w:p w:rsidR="00292241" w:rsidRPr="008B787F" w:rsidRDefault="00292241" w:rsidP="00292241">
      <w:pPr>
        <w:pStyle w:val="RKnormal"/>
        <w:ind w:left="-567"/>
        <w:rPr>
          <w:bCs/>
        </w:rPr>
      </w:pPr>
      <w:r w:rsidRPr="008B787F">
        <w:rPr>
          <w:bCs/>
          <w:u w:val="single"/>
        </w:rPr>
        <w:t>Förslag till svensk ståndpunkt:</w:t>
      </w:r>
      <w:r w:rsidRPr="008B787F">
        <w:rPr>
          <w:bCs/>
        </w:rPr>
        <w:t xml:space="preserve"> Sverige kan stödja överenskommelsen om allmän inriktning.</w:t>
      </w:r>
    </w:p>
    <w:p w:rsidR="00D163BF" w:rsidRPr="008B787F" w:rsidRDefault="00D163BF" w:rsidP="008746BB">
      <w:pPr>
        <w:pStyle w:val="RKnormal"/>
        <w:ind w:left="-567"/>
        <w:rPr>
          <w:b/>
        </w:rPr>
      </w:pPr>
    </w:p>
    <w:p w:rsidR="00E3769B" w:rsidRPr="008B787F" w:rsidRDefault="008746BB" w:rsidP="00E3769B">
      <w:pPr>
        <w:pStyle w:val="RKnormal"/>
        <w:ind w:left="-567"/>
        <w:rPr>
          <w:b/>
        </w:rPr>
      </w:pPr>
      <w:r w:rsidRPr="008B787F">
        <w:rPr>
          <w:b/>
        </w:rPr>
        <w:t xml:space="preserve">(b) </w:t>
      </w:r>
      <w:r w:rsidR="00E3769B" w:rsidRPr="008B787F">
        <w:rPr>
          <w:b/>
        </w:rPr>
        <w:t>Förslag till rådets beslut om det särskilda program som genom direkta åtgärder ska genomföras av gemensamma forskningscentrumet för genomförande av ramprogrammet (2012–2013) för Europeiska atomenergigemenskapens (Euratom) verksamhet inom området forskning och utbildning på kärnenergiområdet</w:t>
      </w:r>
    </w:p>
    <w:p w:rsidR="00E3769B" w:rsidRPr="008B787F" w:rsidRDefault="00E3769B" w:rsidP="00980919">
      <w:pPr>
        <w:pStyle w:val="RKnormal"/>
        <w:ind w:left="-567"/>
        <w:rPr>
          <w:b/>
          <w:color w:val="000000"/>
        </w:rPr>
      </w:pPr>
      <w:r w:rsidRPr="008B787F">
        <w:rPr>
          <w:b/>
          <w:i/>
          <w:iCs/>
        </w:rPr>
        <w:t xml:space="preserve">- </w:t>
      </w:r>
      <w:r w:rsidRPr="008B787F">
        <w:rPr>
          <w:b/>
          <w:color w:val="000000"/>
        </w:rPr>
        <w:t>Allmän riktlinje</w:t>
      </w:r>
    </w:p>
    <w:p w:rsidR="008746BB" w:rsidRPr="008B787F" w:rsidRDefault="008746BB" w:rsidP="008746BB">
      <w:pPr>
        <w:pStyle w:val="RKnormal"/>
        <w:ind w:left="-567"/>
        <w:rPr>
          <w:b/>
        </w:rPr>
      </w:pPr>
    </w:p>
    <w:p w:rsidR="00D163BF" w:rsidRPr="008B787F" w:rsidRDefault="000676F9" w:rsidP="00D163BF">
      <w:pPr>
        <w:pStyle w:val="RKnormal"/>
        <w:ind w:left="-567"/>
      </w:pPr>
      <w:r w:rsidRPr="008B787F">
        <w:lastRenderedPageBreak/>
        <w:t>Förslag till rådsbeslut om d</w:t>
      </w:r>
      <w:r w:rsidR="00D163BF" w:rsidRPr="008B787F">
        <w:t>et särskilda programmet för direkta åtgärder</w:t>
      </w:r>
      <w:r w:rsidRPr="008B787F">
        <w:t xml:space="preserve"> inom Euratoms ramprogram (2012-2013), vilket</w:t>
      </w:r>
      <w:r w:rsidR="00D163BF" w:rsidRPr="008B787F">
        <w:t xml:space="preserve"> omfattar det gemensamma forskningscentrumet</w:t>
      </w:r>
      <w:r w:rsidRPr="008B787F">
        <w:t>s</w:t>
      </w:r>
      <w:r w:rsidR="00D163BF" w:rsidRPr="008B787F">
        <w:t xml:space="preserve"> (JRC) </w:t>
      </w:r>
      <w:r w:rsidRPr="008B787F">
        <w:t xml:space="preserve">verksamhet. </w:t>
      </w:r>
      <w:r w:rsidR="00D163BF" w:rsidRPr="008B787F">
        <w:t>JRC ska bl.a. ge vetenskapligt och tekniskt stöd till EU:s policyprocesser samt genomföra forskning av högsta kvalitet.</w:t>
      </w:r>
    </w:p>
    <w:p w:rsidR="00980919" w:rsidRPr="008B787F" w:rsidRDefault="00980919" w:rsidP="00D163BF">
      <w:pPr>
        <w:pStyle w:val="RKnormal"/>
        <w:ind w:left="-567"/>
        <w:rPr>
          <w:bCs/>
          <w:u w:val="single"/>
        </w:rPr>
      </w:pPr>
    </w:p>
    <w:p w:rsidR="00D163BF" w:rsidRPr="008B787F" w:rsidRDefault="00D163BF" w:rsidP="00D163BF">
      <w:pPr>
        <w:pStyle w:val="RKnormal"/>
        <w:ind w:left="-567"/>
        <w:rPr>
          <w:bCs/>
        </w:rPr>
      </w:pPr>
      <w:r w:rsidRPr="008B787F">
        <w:rPr>
          <w:bCs/>
          <w:u w:val="single"/>
        </w:rPr>
        <w:t>Förslag till svensk ståndpunkt:</w:t>
      </w:r>
      <w:r w:rsidRPr="008B787F">
        <w:rPr>
          <w:bCs/>
        </w:rPr>
        <w:t xml:space="preserve"> Sverige kan stödja överenskommelsen om allmän inriktning.</w:t>
      </w:r>
    </w:p>
    <w:p w:rsidR="00D163BF" w:rsidRPr="008B787F" w:rsidRDefault="00D163BF" w:rsidP="008746BB">
      <w:pPr>
        <w:pStyle w:val="RKnormal"/>
        <w:ind w:left="-567"/>
        <w:rPr>
          <w:b/>
        </w:rPr>
      </w:pPr>
    </w:p>
    <w:p w:rsidR="00980919" w:rsidRPr="008B787F" w:rsidRDefault="008746BB" w:rsidP="00980919">
      <w:pPr>
        <w:pStyle w:val="RKnormal"/>
        <w:ind w:left="-567"/>
        <w:rPr>
          <w:b/>
        </w:rPr>
      </w:pPr>
      <w:r w:rsidRPr="008B787F">
        <w:rPr>
          <w:b/>
        </w:rPr>
        <w:t xml:space="preserve">(c) </w:t>
      </w:r>
      <w:r w:rsidR="00E3769B" w:rsidRPr="008B787F">
        <w:rPr>
          <w:b/>
        </w:rPr>
        <w:t>Förslag till rådets förordning (Euratom) om regler för företags, forskningscentrums och universitets deltagande i indirekta åtgärder inom Europeiska atomenergigemenskapens ramprogram och för spridning av forskningsresultat (2012–2013)</w:t>
      </w:r>
    </w:p>
    <w:p w:rsidR="008746BB" w:rsidRPr="008B787F" w:rsidRDefault="008746BB" w:rsidP="00980919">
      <w:pPr>
        <w:pStyle w:val="RKnormal"/>
        <w:ind w:left="-567"/>
        <w:rPr>
          <w:b/>
        </w:rPr>
      </w:pPr>
      <w:r w:rsidRPr="008B787F">
        <w:rPr>
          <w:b/>
          <w:i/>
          <w:iCs/>
        </w:rPr>
        <w:t xml:space="preserve">- </w:t>
      </w:r>
      <w:r w:rsidR="00E3769B" w:rsidRPr="008B787F">
        <w:rPr>
          <w:b/>
          <w:color w:val="000000"/>
        </w:rPr>
        <w:t>Allmän riktlinje</w:t>
      </w:r>
    </w:p>
    <w:p w:rsidR="00E3769B" w:rsidRPr="008B787F" w:rsidRDefault="00E3769B" w:rsidP="00E3769B">
      <w:pPr>
        <w:pStyle w:val="RKnormal"/>
        <w:ind w:left="1080"/>
        <w:rPr>
          <w:b/>
          <w:i/>
          <w:iCs/>
        </w:rPr>
      </w:pPr>
    </w:p>
    <w:p w:rsidR="00211C77" w:rsidRPr="008B787F" w:rsidRDefault="00211C77" w:rsidP="00211C77">
      <w:pPr>
        <w:pStyle w:val="RKnormal"/>
        <w:ind w:left="-567"/>
        <w:rPr>
          <w:bCs/>
        </w:rPr>
      </w:pPr>
      <w:r w:rsidRPr="008B787F">
        <w:t>Kommissionens förslag till Euratoms ramprogram för perioden 2012-2013 åtföljs av ett förslag till regler för deltagande. F</w:t>
      </w:r>
      <w:r w:rsidRPr="008B787F">
        <w:rPr>
          <w:bCs/>
        </w:rPr>
        <w:t xml:space="preserve">örslaget ska fungera som verktyg för genomförandet av ramprogrammet och utgår från samma principer som de som fastställdes för Euratoms sjunde ramprogram (2007-2011). </w:t>
      </w:r>
    </w:p>
    <w:p w:rsidR="00211C77" w:rsidRPr="008B787F" w:rsidRDefault="00211C77" w:rsidP="00211C77">
      <w:pPr>
        <w:pStyle w:val="RKnormal"/>
        <w:ind w:left="-567"/>
        <w:rPr>
          <w:bCs/>
        </w:rPr>
      </w:pPr>
    </w:p>
    <w:p w:rsidR="00D163BF" w:rsidRPr="008B787F" w:rsidRDefault="00211C77" w:rsidP="00D163BF">
      <w:pPr>
        <w:pStyle w:val="RKnormal"/>
        <w:ind w:left="-567"/>
        <w:rPr>
          <w:bCs/>
        </w:rPr>
      </w:pPr>
      <w:r w:rsidRPr="008B787F">
        <w:rPr>
          <w:bCs/>
          <w:u w:val="single"/>
        </w:rPr>
        <w:t>Förslag till svensk ståndpunkt:</w:t>
      </w:r>
      <w:r w:rsidRPr="008B787F">
        <w:rPr>
          <w:bCs/>
        </w:rPr>
        <w:t xml:space="preserve"> </w:t>
      </w:r>
      <w:r w:rsidR="00D163BF" w:rsidRPr="008B787F">
        <w:rPr>
          <w:bCs/>
        </w:rPr>
        <w:t>Sverige kan stödja överenskommelsen om allmän inriktning.</w:t>
      </w:r>
    </w:p>
    <w:p w:rsidR="00211C77" w:rsidRPr="008B787F" w:rsidRDefault="00211C77" w:rsidP="008746BB">
      <w:pPr>
        <w:pStyle w:val="RKnormal"/>
        <w:ind w:left="-567"/>
        <w:rPr>
          <w:b/>
          <w:bCs/>
          <w:u w:val="single"/>
        </w:rPr>
      </w:pPr>
    </w:p>
    <w:p w:rsidR="008746BB" w:rsidRPr="008B787F" w:rsidRDefault="008746BB" w:rsidP="00E3769B">
      <w:pPr>
        <w:pStyle w:val="RKnormal"/>
        <w:ind w:left="-567"/>
        <w:rPr>
          <w:b/>
          <w:bCs/>
        </w:rPr>
      </w:pPr>
      <w:r w:rsidRPr="008B787F">
        <w:rPr>
          <w:b/>
          <w:bCs/>
        </w:rPr>
        <w:t xml:space="preserve">9. </w:t>
      </w:r>
      <w:r w:rsidR="00E3769B" w:rsidRPr="008B787F">
        <w:rPr>
          <w:b/>
          <w:bCs/>
        </w:rPr>
        <w:t>Förslag till rådets förordning om ändring av förordning (EG) nr 521/2008 om bildande av det gemensamma företaget för bränsleceller och vätgas</w:t>
      </w:r>
    </w:p>
    <w:p w:rsidR="008746BB" w:rsidRPr="008B787F" w:rsidRDefault="00292241" w:rsidP="00980919">
      <w:pPr>
        <w:pStyle w:val="RKnormal"/>
        <w:ind w:left="-567"/>
        <w:rPr>
          <w:b/>
          <w:iCs/>
        </w:rPr>
      </w:pPr>
      <w:r w:rsidRPr="008B787F">
        <w:rPr>
          <w:b/>
          <w:iCs/>
        </w:rPr>
        <w:t xml:space="preserve">- </w:t>
      </w:r>
      <w:r w:rsidR="00E3769B" w:rsidRPr="008B787F">
        <w:rPr>
          <w:b/>
          <w:iCs/>
        </w:rPr>
        <w:t>Politisk överenskommelse</w:t>
      </w:r>
    </w:p>
    <w:p w:rsidR="008008CB" w:rsidRPr="008B787F" w:rsidRDefault="008008CB" w:rsidP="00292241">
      <w:pPr>
        <w:pStyle w:val="RKnormal"/>
        <w:ind w:left="1080"/>
        <w:rPr>
          <w:i/>
          <w:iCs/>
        </w:rPr>
      </w:pPr>
    </w:p>
    <w:p w:rsidR="008746BB" w:rsidRPr="008B787F" w:rsidRDefault="008008CB" w:rsidP="008008CB">
      <w:pPr>
        <w:pStyle w:val="RKnormal"/>
        <w:ind w:left="-567"/>
        <w:rPr>
          <w:bCs/>
        </w:rPr>
      </w:pPr>
      <w:r w:rsidRPr="008B787F">
        <w:rPr>
          <w:bCs/>
        </w:rPr>
        <w:t xml:space="preserve">Joint Technology Initiatives (JTI) </w:t>
      </w:r>
      <w:r w:rsidR="000676F9" w:rsidRPr="008B787F">
        <w:rPr>
          <w:bCs/>
        </w:rPr>
        <w:t xml:space="preserve">är ett instrument inom </w:t>
      </w:r>
      <w:r w:rsidRPr="008B787F">
        <w:rPr>
          <w:bCs/>
        </w:rPr>
        <w:t xml:space="preserve">7:e ramprogrammet för FoU </w:t>
      </w:r>
      <w:r w:rsidR="000676F9" w:rsidRPr="008B787F">
        <w:rPr>
          <w:bCs/>
        </w:rPr>
        <w:t xml:space="preserve">och </w:t>
      </w:r>
      <w:r w:rsidRPr="008B787F">
        <w:rPr>
          <w:bCs/>
        </w:rPr>
        <w:t>används för finansiering av forskning via offentliga-privata partnerskap. Det gemensamma företaget Bränsleceller och vätgas bildades 2008. Industrins medfinansiering  har inte nått upp till stipulerade 50%</w:t>
      </w:r>
      <w:r w:rsidR="000676F9" w:rsidRPr="008B787F">
        <w:rPr>
          <w:bCs/>
        </w:rPr>
        <w:t xml:space="preserve"> inom denna JTI</w:t>
      </w:r>
      <w:r w:rsidRPr="008B787F">
        <w:rPr>
          <w:bCs/>
        </w:rPr>
        <w:t xml:space="preserve">. Kommissionen har därför föreslagit en ändring i förordningen så att även andra typer av deltagare ska kunna bidra till medfinansieringen. </w:t>
      </w:r>
    </w:p>
    <w:p w:rsidR="008746BB" w:rsidRPr="008B787F" w:rsidRDefault="008746BB" w:rsidP="008746BB">
      <w:pPr>
        <w:pStyle w:val="RKnormal"/>
        <w:ind w:left="-567"/>
        <w:rPr>
          <w:bCs/>
        </w:rPr>
      </w:pPr>
    </w:p>
    <w:p w:rsidR="008008CB" w:rsidRPr="008B787F" w:rsidRDefault="008008CB" w:rsidP="008008CB">
      <w:pPr>
        <w:pStyle w:val="RKnormal"/>
        <w:ind w:left="-567"/>
        <w:rPr>
          <w:bCs/>
        </w:rPr>
      </w:pPr>
      <w:r w:rsidRPr="008B787F">
        <w:rPr>
          <w:bCs/>
          <w:u w:val="single"/>
        </w:rPr>
        <w:t>Förslag till svensk ståndpunkt:</w:t>
      </w:r>
      <w:r w:rsidRPr="008B787F">
        <w:rPr>
          <w:bCs/>
        </w:rPr>
        <w:t xml:space="preserve"> Sverige kan stödja överenskommelsen.</w:t>
      </w:r>
    </w:p>
    <w:p w:rsidR="008008CB" w:rsidRPr="008B787F" w:rsidRDefault="008008CB" w:rsidP="008746BB">
      <w:pPr>
        <w:pStyle w:val="RKnormal"/>
        <w:ind w:left="-567"/>
        <w:rPr>
          <w:bCs/>
        </w:rPr>
      </w:pPr>
    </w:p>
    <w:p w:rsidR="00E3769B" w:rsidRPr="008B787F" w:rsidRDefault="00E3769B" w:rsidP="00E3769B">
      <w:pPr>
        <w:pStyle w:val="RKnormal"/>
        <w:ind w:left="-567"/>
        <w:rPr>
          <w:b/>
          <w:bCs/>
          <w:u w:val="single"/>
        </w:rPr>
      </w:pPr>
      <w:r w:rsidRPr="008B787F">
        <w:rPr>
          <w:b/>
          <w:bCs/>
          <w:u w:val="single"/>
        </w:rPr>
        <w:t xml:space="preserve">Icke lagstiftande verksamhet </w:t>
      </w:r>
    </w:p>
    <w:p w:rsidR="00E3769B" w:rsidRPr="008B787F" w:rsidRDefault="00E3769B" w:rsidP="00E3769B">
      <w:pPr>
        <w:pStyle w:val="RKnormal"/>
        <w:ind w:left="-567"/>
        <w:rPr>
          <w:b/>
          <w:bCs/>
        </w:rPr>
      </w:pPr>
    </w:p>
    <w:p w:rsidR="00E3769B" w:rsidRPr="008B787F" w:rsidRDefault="008746BB" w:rsidP="00E3769B">
      <w:pPr>
        <w:pStyle w:val="RKnormal"/>
        <w:ind w:left="-567"/>
        <w:rPr>
          <w:b/>
          <w:bCs/>
        </w:rPr>
      </w:pPr>
      <w:r w:rsidRPr="008B787F">
        <w:rPr>
          <w:b/>
          <w:bCs/>
        </w:rPr>
        <w:t xml:space="preserve">10. </w:t>
      </w:r>
      <w:r w:rsidR="00E3769B" w:rsidRPr="008B787F">
        <w:rPr>
          <w:b/>
          <w:bCs/>
        </w:rPr>
        <w:t>Kommissionens rekommendation om initiativet för gemensam programplanering för forskning ”längre liv, bättre livskvalitet – den demografiska förändringens möjligheter och utmaningar”</w:t>
      </w:r>
    </w:p>
    <w:p w:rsidR="00E3769B" w:rsidRPr="008B787F" w:rsidRDefault="00E3769B" w:rsidP="008746BB">
      <w:pPr>
        <w:pStyle w:val="RKnormal"/>
        <w:ind w:left="-567"/>
        <w:rPr>
          <w:b/>
          <w:i/>
          <w:iCs/>
        </w:rPr>
      </w:pPr>
      <w:r w:rsidRPr="008B787F">
        <w:rPr>
          <w:b/>
          <w:i/>
          <w:iCs/>
        </w:rPr>
        <w:t xml:space="preserve">                            </w:t>
      </w:r>
    </w:p>
    <w:p w:rsidR="008746BB" w:rsidRPr="008B787F" w:rsidRDefault="00E3769B" w:rsidP="008746BB">
      <w:pPr>
        <w:pStyle w:val="RKnormal"/>
        <w:ind w:left="-567"/>
        <w:rPr>
          <w:b/>
          <w:iCs/>
        </w:rPr>
      </w:pPr>
      <w:r w:rsidRPr="008B787F">
        <w:rPr>
          <w:b/>
          <w:iCs/>
        </w:rPr>
        <w:t xml:space="preserve"> - Antagande av rådslutsater</w:t>
      </w:r>
    </w:p>
    <w:p w:rsidR="008746BB" w:rsidRPr="008B787F" w:rsidRDefault="008746BB" w:rsidP="008746BB">
      <w:pPr>
        <w:pStyle w:val="RKnormal"/>
        <w:ind w:left="-567"/>
        <w:rPr>
          <w:b/>
          <w:i/>
          <w:iCs/>
        </w:rPr>
      </w:pPr>
    </w:p>
    <w:p w:rsidR="007B7FAD" w:rsidRPr="008B787F" w:rsidRDefault="00A55A4C" w:rsidP="007B7FAD">
      <w:pPr>
        <w:pStyle w:val="RKnormal"/>
        <w:ind w:left="-567"/>
        <w:rPr>
          <w:iCs/>
        </w:rPr>
      </w:pPr>
      <w:r w:rsidRPr="008B787F">
        <w:t>Gemensamma programinitiativ är ett mellanstatligt samarbete där medlemsländerna går samman för att implementera forskningsprogram som de kommit överens om i EU:s konkurrenskraftsråd. De föreliggande r</w:t>
      </w:r>
      <w:r w:rsidR="007B7FAD" w:rsidRPr="008B787F">
        <w:rPr>
          <w:iCs/>
        </w:rPr>
        <w:t xml:space="preserve">ådslutsatserna innebär att ett gemensamt programinitiativ ska tas inom området demografisk förändring och åldrande befolkningar. </w:t>
      </w:r>
    </w:p>
    <w:p w:rsidR="007B7FAD" w:rsidRPr="008B787F" w:rsidRDefault="007B7FAD" w:rsidP="008746BB">
      <w:pPr>
        <w:pStyle w:val="RKnormal"/>
        <w:ind w:left="-567"/>
        <w:rPr>
          <w:iCs/>
        </w:rPr>
      </w:pPr>
    </w:p>
    <w:p w:rsidR="00A55A4C" w:rsidRPr="008B787F" w:rsidRDefault="00A55A4C" w:rsidP="00A55A4C">
      <w:pPr>
        <w:pStyle w:val="RKnormal"/>
        <w:ind w:left="-567"/>
        <w:rPr>
          <w:bCs/>
        </w:rPr>
      </w:pPr>
      <w:r w:rsidRPr="008B787F">
        <w:rPr>
          <w:bCs/>
          <w:u w:val="single"/>
        </w:rPr>
        <w:t>Förslag till svensk ståndpunkt:</w:t>
      </w:r>
      <w:r w:rsidRPr="008B787F">
        <w:rPr>
          <w:bCs/>
        </w:rPr>
        <w:t xml:space="preserve"> Sverige kan stödja rådslutsatserna.</w:t>
      </w:r>
    </w:p>
    <w:p w:rsidR="00A55A4C" w:rsidRPr="008B787F" w:rsidRDefault="00A55A4C" w:rsidP="008746BB">
      <w:pPr>
        <w:pStyle w:val="RKnormal"/>
        <w:ind w:left="-567"/>
        <w:rPr>
          <w:iCs/>
        </w:rPr>
      </w:pPr>
    </w:p>
    <w:p w:rsidR="007B7FAD" w:rsidRPr="008B787F" w:rsidRDefault="007B7FAD" w:rsidP="008746BB">
      <w:pPr>
        <w:pStyle w:val="RKnormal"/>
        <w:ind w:left="-567"/>
        <w:rPr>
          <w:b/>
          <w:i/>
          <w:iCs/>
        </w:rPr>
      </w:pPr>
    </w:p>
    <w:p w:rsidR="00E3769B" w:rsidRPr="008B787F" w:rsidRDefault="00E3769B" w:rsidP="00E3769B">
      <w:pPr>
        <w:pStyle w:val="RKnormal"/>
        <w:ind w:left="-567"/>
        <w:rPr>
          <w:b/>
          <w:bCs/>
          <w:iCs/>
        </w:rPr>
      </w:pPr>
      <w:r w:rsidRPr="008B787F">
        <w:rPr>
          <w:b/>
          <w:bCs/>
          <w:iCs/>
        </w:rPr>
        <w:t>11.Flaggskeppsinitiativet Innovationsunionen</w:t>
      </w:r>
    </w:p>
    <w:p w:rsidR="00E3769B" w:rsidRPr="008B787F" w:rsidRDefault="00E3769B" w:rsidP="00E3769B">
      <w:pPr>
        <w:pStyle w:val="RKnormal"/>
        <w:ind w:left="-567"/>
        <w:rPr>
          <w:b/>
          <w:iCs/>
        </w:rPr>
      </w:pPr>
      <w:r w:rsidRPr="008B787F">
        <w:rPr>
          <w:b/>
          <w:iCs/>
        </w:rPr>
        <w:t xml:space="preserve">–Information från kommissionen om europeiska innovationspartnerskap, bland annat om utvärderingen av pilotpartnerskapet för aktivt och hälsosamt åldrande </w:t>
      </w:r>
    </w:p>
    <w:p w:rsidR="00E3769B" w:rsidRPr="008B787F" w:rsidRDefault="00E3769B" w:rsidP="00E3769B">
      <w:pPr>
        <w:pStyle w:val="RKnormal"/>
        <w:ind w:left="-567"/>
        <w:rPr>
          <w:b/>
          <w:bCs/>
          <w:iCs/>
        </w:rPr>
      </w:pPr>
      <w:r w:rsidRPr="008B787F">
        <w:rPr>
          <w:b/>
          <w:iCs/>
        </w:rPr>
        <w:t>– (ev.) Information från kommission om meddelandet om partnerskap för forskning och innovation</w:t>
      </w:r>
      <w:r w:rsidRPr="008B787F">
        <w:rPr>
          <w:b/>
          <w:bCs/>
          <w:iCs/>
        </w:rPr>
        <w:t xml:space="preserve"> </w:t>
      </w:r>
    </w:p>
    <w:p w:rsidR="00E3769B" w:rsidRPr="008B787F" w:rsidRDefault="00E3769B" w:rsidP="00E3769B">
      <w:pPr>
        <w:pStyle w:val="RKnormal"/>
        <w:ind w:left="-567"/>
        <w:rPr>
          <w:b/>
          <w:iCs/>
        </w:rPr>
      </w:pPr>
      <w:r w:rsidRPr="008B787F">
        <w:rPr>
          <w:b/>
          <w:iCs/>
        </w:rPr>
        <w:t>– Diskussion</w:t>
      </w:r>
    </w:p>
    <w:p w:rsidR="001278FA" w:rsidRPr="008B787F" w:rsidRDefault="001278FA" w:rsidP="008746BB">
      <w:pPr>
        <w:pStyle w:val="RKnormal"/>
        <w:ind w:left="-567"/>
        <w:rPr>
          <w:b/>
          <w:i/>
          <w:iCs/>
        </w:rPr>
      </w:pPr>
    </w:p>
    <w:p w:rsidR="001278FA" w:rsidRPr="008B787F" w:rsidRDefault="001278FA" w:rsidP="008746BB">
      <w:pPr>
        <w:pStyle w:val="RKnormal"/>
        <w:ind w:left="-567"/>
      </w:pPr>
      <w:r w:rsidRPr="008B787F">
        <w:rPr>
          <w:iCs/>
        </w:rPr>
        <w:t xml:space="preserve">Kommissionen avser att informera om utvecklingen vad gäller Europeiska innovationspartnerskap, vilket är en viktig beståndsdel inom ramen för Innovationsunionen och EU2020. </w:t>
      </w:r>
      <w:r w:rsidR="003F67F8" w:rsidRPr="008B787F">
        <w:rPr>
          <w:iCs/>
        </w:rPr>
        <w:t>Bland annat</w:t>
      </w:r>
      <w:r w:rsidRPr="008B787F">
        <w:rPr>
          <w:iCs/>
        </w:rPr>
        <w:t xml:space="preserve"> kommer kommissionen att informera om den utvärdering som skett av pilotinitiativet “Aktivt och hälsosamt åldrande”.</w:t>
      </w:r>
      <w:r w:rsidR="00980919" w:rsidRPr="008B787F">
        <w:rPr>
          <w:iCs/>
        </w:rPr>
        <w:t xml:space="preserve"> Eventuellt även information om ett kommande meddelande om partnerskap för FoU och innovation.</w:t>
      </w:r>
      <w:r w:rsidR="00FE3EF1" w:rsidRPr="008B787F">
        <w:rPr>
          <w:iCs/>
        </w:rPr>
        <w:t xml:space="preserve"> Därefter vidtar diskussion om nämnda frågor.</w:t>
      </w:r>
    </w:p>
    <w:p w:rsidR="008746BB" w:rsidRPr="008B787F" w:rsidRDefault="008746BB" w:rsidP="008746BB">
      <w:pPr>
        <w:pStyle w:val="RKnormal"/>
        <w:ind w:left="-567"/>
        <w:rPr>
          <w:b/>
          <w:bCs/>
        </w:rPr>
      </w:pPr>
    </w:p>
    <w:p w:rsidR="00980919" w:rsidRPr="008B787F" w:rsidRDefault="00980919" w:rsidP="00980919">
      <w:pPr>
        <w:pStyle w:val="RKnormal"/>
        <w:ind w:left="-567"/>
        <w:rPr>
          <w:b/>
          <w:bCs/>
          <w:u w:val="single"/>
        </w:rPr>
      </w:pPr>
      <w:r w:rsidRPr="008B787F">
        <w:rPr>
          <w:b/>
          <w:bCs/>
          <w:u w:val="single"/>
        </w:rPr>
        <w:t>Övriga frågor</w:t>
      </w:r>
    </w:p>
    <w:p w:rsidR="008746BB" w:rsidRPr="008B787F" w:rsidRDefault="008746BB" w:rsidP="008746BB">
      <w:pPr>
        <w:pStyle w:val="RKnormal"/>
        <w:ind w:left="-567"/>
        <w:rPr>
          <w:b/>
          <w:u w:val="single"/>
        </w:rPr>
      </w:pPr>
    </w:p>
    <w:p w:rsidR="008746BB" w:rsidRPr="008B787F" w:rsidRDefault="00980919" w:rsidP="008746BB">
      <w:pPr>
        <w:pStyle w:val="RKnormal"/>
        <w:ind w:left="-567"/>
        <w:rPr>
          <w:b/>
          <w:bCs/>
          <w:u w:val="single"/>
        </w:rPr>
      </w:pPr>
      <w:r w:rsidRPr="008B787F">
        <w:rPr>
          <w:b/>
          <w:bCs/>
          <w:u w:val="single"/>
        </w:rPr>
        <w:t>Forskning</w:t>
      </w:r>
    </w:p>
    <w:p w:rsidR="008746BB" w:rsidRPr="008B787F" w:rsidRDefault="008746BB" w:rsidP="008746BB">
      <w:pPr>
        <w:pStyle w:val="RKnormal"/>
        <w:ind w:left="-567"/>
        <w:rPr>
          <w:b/>
          <w:bCs/>
        </w:rPr>
      </w:pPr>
    </w:p>
    <w:p w:rsidR="00980919" w:rsidRPr="008B787F" w:rsidRDefault="008746BB" w:rsidP="00980919">
      <w:pPr>
        <w:pStyle w:val="RKnormal"/>
        <w:ind w:left="-567"/>
        <w:rPr>
          <w:b/>
          <w:bCs/>
        </w:rPr>
      </w:pPr>
      <w:r w:rsidRPr="008B787F">
        <w:rPr>
          <w:b/>
          <w:bCs/>
        </w:rPr>
        <w:t xml:space="preserve">(g) </w:t>
      </w:r>
      <w:r w:rsidR="00980919" w:rsidRPr="008B787F">
        <w:rPr>
          <w:b/>
          <w:bCs/>
        </w:rPr>
        <w:t>Resultaten från ministerkonferensen om det europeiska forskningsområdet och det informella mötet i rådet (konkurrenskraft) (Sopot den 20–21 juli 2011)</w:t>
      </w:r>
    </w:p>
    <w:p w:rsidR="00980919" w:rsidRPr="008B787F" w:rsidRDefault="00980919" w:rsidP="00980919">
      <w:pPr>
        <w:pStyle w:val="RKnormal"/>
        <w:ind w:left="-567"/>
        <w:rPr>
          <w:b/>
          <w:bCs/>
        </w:rPr>
      </w:pPr>
      <w:r w:rsidRPr="008B787F">
        <w:rPr>
          <w:b/>
          <w:bCs/>
        </w:rPr>
        <w:t>–Information från ordförandeskapet</w:t>
      </w:r>
    </w:p>
    <w:p w:rsidR="001278FA" w:rsidRPr="008B787F" w:rsidRDefault="001278FA" w:rsidP="008746BB">
      <w:pPr>
        <w:pStyle w:val="RKnormal"/>
        <w:ind w:left="-567"/>
        <w:rPr>
          <w:b/>
          <w:i/>
          <w:iCs/>
        </w:rPr>
      </w:pPr>
    </w:p>
    <w:p w:rsidR="008746BB" w:rsidRPr="008B787F" w:rsidRDefault="001278FA" w:rsidP="008746BB">
      <w:pPr>
        <w:pStyle w:val="RKnormal"/>
        <w:ind w:left="-567"/>
        <w:rPr>
          <w:iCs/>
        </w:rPr>
      </w:pPr>
      <w:r w:rsidRPr="008B787F">
        <w:rPr>
          <w:iCs/>
        </w:rPr>
        <w:t>Ordförandeskapet kommer att redovisa resultaten från ministerkonferensen om Europeiska forskningsområdet och från informella KKR i juli.</w:t>
      </w:r>
    </w:p>
    <w:p w:rsidR="001278FA" w:rsidRPr="008B787F" w:rsidRDefault="001278FA" w:rsidP="008746BB">
      <w:pPr>
        <w:pStyle w:val="RKnormal"/>
        <w:ind w:left="-567"/>
        <w:rPr>
          <w:b/>
          <w:i/>
          <w:iCs/>
        </w:rPr>
      </w:pPr>
    </w:p>
    <w:p w:rsidR="00980919" w:rsidRPr="008B787F" w:rsidRDefault="008746BB" w:rsidP="00980919">
      <w:pPr>
        <w:pStyle w:val="RKnormal"/>
        <w:ind w:left="-567"/>
        <w:rPr>
          <w:b/>
          <w:iCs/>
        </w:rPr>
      </w:pPr>
      <w:r w:rsidRPr="008B787F">
        <w:rPr>
          <w:b/>
          <w:iCs/>
        </w:rPr>
        <w:t xml:space="preserve">(h) </w:t>
      </w:r>
      <w:r w:rsidR="00980919" w:rsidRPr="008B787F">
        <w:rPr>
          <w:b/>
          <w:iCs/>
        </w:rPr>
        <w:t>Analys av det låga deltagandet i sjunde ramprogrammet</w:t>
      </w:r>
    </w:p>
    <w:p w:rsidR="00980919" w:rsidRPr="008B787F" w:rsidRDefault="00980919" w:rsidP="00980919">
      <w:pPr>
        <w:pStyle w:val="RKnormal"/>
        <w:ind w:left="-567"/>
        <w:rPr>
          <w:b/>
          <w:iCs/>
        </w:rPr>
      </w:pPr>
      <w:r w:rsidRPr="008B787F">
        <w:rPr>
          <w:b/>
          <w:iCs/>
        </w:rPr>
        <w:t>– Information från kommissionen</w:t>
      </w:r>
    </w:p>
    <w:p w:rsidR="008746BB" w:rsidRPr="008B787F" w:rsidRDefault="008746BB" w:rsidP="008746BB">
      <w:pPr>
        <w:pStyle w:val="RKnormal"/>
        <w:ind w:left="-567"/>
        <w:rPr>
          <w:iCs/>
        </w:rPr>
      </w:pPr>
    </w:p>
    <w:p w:rsidR="00291207" w:rsidRPr="008B787F" w:rsidRDefault="00291207" w:rsidP="008746BB">
      <w:pPr>
        <w:pStyle w:val="RKnormal"/>
        <w:ind w:left="-567"/>
        <w:rPr>
          <w:iCs/>
        </w:rPr>
      </w:pPr>
      <w:r w:rsidRPr="008B787F">
        <w:rPr>
          <w:iCs/>
        </w:rPr>
        <w:t xml:space="preserve">Kommissionen kommer att redovisa </w:t>
      </w:r>
      <w:r w:rsidR="006A4520" w:rsidRPr="008B787F">
        <w:rPr>
          <w:iCs/>
        </w:rPr>
        <w:t>e</w:t>
      </w:r>
      <w:r w:rsidRPr="008B787F">
        <w:rPr>
          <w:iCs/>
        </w:rPr>
        <w:t>n analys av varför vissa MS har lågt deltagande inom 7:e ramprogrammet för FoU.</w:t>
      </w:r>
    </w:p>
    <w:p w:rsidR="008746BB" w:rsidRPr="008B787F" w:rsidRDefault="008746BB" w:rsidP="008746BB">
      <w:pPr>
        <w:pStyle w:val="RKnormal"/>
        <w:ind w:left="-567"/>
        <w:rPr>
          <w:b/>
          <w:i/>
          <w:iCs/>
        </w:rPr>
      </w:pPr>
    </w:p>
    <w:p w:rsidR="00E67CB1" w:rsidRPr="008B787F" w:rsidRDefault="00E67CB1" w:rsidP="00B31650">
      <w:pPr>
        <w:spacing w:line="240" w:lineRule="auto"/>
        <w:ind w:left="550" w:hanging="550"/>
      </w:pPr>
    </w:p>
    <w:sectPr w:rsidR="00E67CB1" w:rsidRPr="008B787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0E6" w:rsidRPr="008B787F" w:rsidRDefault="00EE70E6">
      <w:r w:rsidRPr="008B787F">
        <w:separator/>
      </w:r>
    </w:p>
  </w:endnote>
  <w:endnote w:type="continuationSeparator" w:id="0">
    <w:p w:rsidR="00EE70E6" w:rsidRPr="008B787F" w:rsidRDefault="00EE70E6">
      <w:r w:rsidRPr="008B78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0E6" w:rsidRPr="008B787F" w:rsidRDefault="00EE70E6">
      <w:r w:rsidRPr="008B787F">
        <w:separator/>
      </w:r>
    </w:p>
  </w:footnote>
  <w:footnote w:type="continuationSeparator" w:id="0">
    <w:p w:rsidR="00EE70E6" w:rsidRPr="008B787F" w:rsidRDefault="00EE70E6">
      <w:r w:rsidRPr="008B78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57" w:rsidRPr="008B787F" w:rsidRDefault="00CC1757">
    <w:pPr>
      <w:pStyle w:val="Sidhuvud"/>
      <w:framePr w:wrap="around" w:vAnchor="text" w:hAnchor="margin" w:xAlign="right" w:y="1"/>
      <w:rPr>
        <w:rStyle w:val="Sidnummer"/>
      </w:rPr>
    </w:pPr>
    <w:r w:rsidRPr="008B787F">
      <w:rPr>
        <w:rStyle w:val="Sidnummer"/>
      </w:rPr>
      <w:fldChar w:fldCharType="begin" w:fldLock="1"/>
    </w:r>
    <w:r w:rsidRPr="008B787F">
      <w:rPr>
        <w:rStyle w:val="Sidnummer"/>
      </w:rPr>
      <w:instrText xml:space="preserve">PAGE  </w:instrText>
    </w:r>
    <w:r w:rsidRPr="008B787F">
      <w:rPr>
        <w:rStyle w:val="Sidnummer"/>
      </w:rPr>
      <w:fldChar w:fldCharType="separate"/>
    </w:r>
    <w:r w:rsidR="00256D92" w:rsidRPr="008B787F">
      <w:rPr>
        <w:rStyle w:val="Sidnummer"/>
      </w:rPr>
      <w:t>4</w:t>
    </w:r>
    <w:r w:rsidRPr="008B787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1757" w:rsidRPr="008B787F">
      <w:tblPrEx>
        <w:tblCellMar>
          <w:top w:w="0" w:type="dxa"/>
          <w:bottom w:w="0" w:type="dxa"/>
        </w:tblCellMar>
      </w:tblPrEx>
      <w:trPr>
        <w:cantSplit/>
      </w:trPr>
      <w:tc>
        <w:tcPr>
          <w:tcW w:w="3119" w:type="dxa"/>
        </w:tcPr>
        <w:p w:rsidR="00CC1757" w:rsidRPr="008B787F" w:rsidRDefault="00CC1757">
          <w:pPr>
            <w:pStyle w:val="Sidhuvud"/>
            <w:spacing w:line="200" w:lineRule="atLeast"/>
            <w:ind w:right="357"/>
            <w:rPr>
              <w:rFonts w:ascii="TradeGothic" w:hAnsi="TradeGothic"/>
              <w:b/>
              <w:bCs/>
              <w:sz w:val="16"/>
            </w:rPr>
          </w:pPr>
        </w:p>
      </w:tc>
      <w:tc>
        <w:tcPr>
          <w:tcW w:w="4111" w:type="dxa"/>
          <w:tcMar>
            <w:left w:w="567" w:type="dxa"/>
          </w:tcMar>
        </w:tcPr>
        <w:p w:rsidR="00CC1757" w:rsidRPr="008B787F" w:rsidRDefault="00CC1757">
          <w:pPr>
            <w:pStyle w:val="Sidhuvud"/>
            <w:ind w:right="360"/>
          </w:pPr>
        </w:p>
      </w:tc>
      <w:tc>
        <w:tcPr>
          <w:tcW w:w="1525" w:type="dxa"/>
        </w:tcPr>
        <w:p w:rsidR="00CC1757" w:rsidRPr="008B787F" w:rsidRDefault="00CC1757">
          <w:pPr>
            <w:pStyle w:val="Sidhuvud"/>
            <w:ind w:right="360"/>
          </w:pPr>
        </w:p>
      </w:tc>
    </w:tr>
  </w:tbl>
  <w:p w:rsidR="00CC1757" w:rsidRPr="008B787F" w:rsidRDefault="00CC17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57" w:rsidRPr="008B787F" w:rsidRDefault="00CC1757">
    <w:pPr>
      <w:pStyle w:val="Sidhuvud"/>
      <w:framePr w:wrap="around" w:vAnchor="text" w:hAnchor="margin" w:xAlign="right" w:y="1"/>
      <w:rPr>
        <w:rStyle w:val="Sidnummer"/>
      </w:rPr>
    </w:pPr>
    <w:r w:rsidRPr="008B787F">
      <w:rPr>
        <w:rStyle w:val="Sidnummer"/>
      </w:rPr>
      <w:fldChar w:fldCharType="begin" w:fldLock="1"/>
    </w:r>
    <w:r w:rsidRPr="008B787F">
      <w:rPr>
        <w:rStyle w:val="Sidnummer"/>
      </w:rPr>
      <w:instrText xml:space="preserve">PAGE  </w:instrText>
    </w:r>
    <w:r w:rsidRPr="008B787F">
      <w:rPr>
        <w:rStyle w:val="Sidnummer"/>
      </w:rPr>
      <w:fldChar w:fldCharType="separate"/>
    </w:r>
    <w:r w:rsidR="00256D92" w:rsidRPr="008B787F">
      <w:rPr>
        <w:rStyle w:val="Sidnummer"/>
      </w:rPr>
      <w:t>3</w:t>
    </w:r>
    <w:r w:rsidRPr="008B787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1757" w:rsidRPr="008B787F">
      <w:tblPrEx>
        <w:tblCellMar>
          <w:top w:w="0" w:type="dxa"/>
          <w:bottom w:w="0" w:type="dxa"/>
        </w:tblCellMar>
      </w:tblPrEx>
      <w:trPr>
        <w:cantSplit/>
      </w:trPr>
      <w:tc>
        <w:tcPr>
          <w:tcW w:w="3119" w:type="dxa"/>
        </w:tcPr>
        <w:p w:rsidR="00CC1757" w:rsidRPr="008B787F" w:rsidRDefault="00CC1757">
          <w:pPr>
            <w:pStyle w:val="Sidhuvud"/>
            <w:spacing w:line="200" w:lineRule="atLeast"/>
            <w:ind w:right="357"/>
            <w:rPr>
              <w:rFonts w:ascii="TradeGothic" w:hAnsi="TradeGothic"/>
              <w:b/>
              <w:bCs/>
              <w:sz w:val="16"/>
            </w:rPr>
          </w:pPr>
        </w:p>
      </w:tc>
      <w:tc>
        <w:tcPr>
          <w:tcW w:w="4111" w:type="dxa"/>
          <w:tcMar>
            <w:left w:w="567" w:type="dxa"/>
          </w:tcMar>
        </w:tcPr>
        <w:p w:rsidR="00CC1757" w:rsidRPr="008B787F" w:rsidRDefault="00CC1757">
          <w:pPr>
            <w:pStyle w:val="Sidhuvud"/>
            <w:ind w:right="360"/>
          </w:pPr>
        </w:p>
      </w:tc>
      <w:tc>
        <w:tcPr>
          <w:tcW w:w="1525" w:type="dxa"/>
        </w:tcPr>
        <w:p w:rsidR="00CC1757" w:rsidRPr="008B787F" w:rsidRDefault="00CC1757">
          <w:pPr>
            <w:pStyle w:val="Sidhuvud"/>
            <w:ind w:right="360"/>
          </w:pPr>
        </w:p>
      </w:tc>
    </w:tr>
  </w:tbl>
  <w:p w:rsidR="00CC1757" w:rsidRPr="008B787F" w:rsidRDefault="00CC17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757" w:rsidRPr="008B787F" w:rsidRDefault="008B787F">
    <w:pPr>
      <w:framePr w:w="2948" w:h="1321" w:hRule="exact" w:wrap="notBeside" w:vAnchor="page" w:hAnchor="page" w:x="1362" w:y="653"/>
    </w:pPr>
    <w:r w:rsidRPr="008B787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C1757" w:rsidRPr="008B787F" w:rsidRDefault="00CC1757">
    <w:pPr>
      <w:pStyle w:val="RKrubrik"/>
      <w:keepNext w:val="0"/>
      <w:tabs>
        <w:tab w:val="clear" w:pos="1134"/>
        <w:tab w:val="clear" w:pos="2835"/>
      </w:tabs>
      <w:spacing w:before="0" w:after="0" w:line="320" w:lineRule="atLeast"/>
      <w:rPr>
        <w:bCs/>
      </w:rPr>
    </w:pPr>
  </w:p>
  <w:p w:rsidR="00CC1757" w:rsidRPr="008B787F" w:rsidRDefault="00CC1757">
    <w:pPr>
      <w:rPr>
        <w:rFonts w:ascii="TradeGothic" w:hAnsi="TradeGothic"/>
        <w:b/>
        <w:bCs/>
        <w:spacing w:val="12"/>
        <w:sz w:val="22"/>
      </w:rPr>
    </w:pPr>
  </w:p>
  <w:p w:rsidR="00CC1757" w:rsidRPr="008B787F" w:rsidRDefault="00CC1757">
    <w:pPr>
      <w:pStyle w:val="RKrubrik"/>
      <w:keepNext w:val="0"/>
      <w:tabs>
        <w:tab w:val="clear" w:pos="1134"/>
        <w:tab w:val="clear" w:pos="2835"/>
      </w:tabs>
      <w:spacing w:before="0" w:after="0" w:line="320" w:lineRule="atLeast"/>
      <w:rPr>
        <w:bCs/>
      </w:rPr>
    </w:pPr>
  </w:p>
  <w:p w:rsidR="00CC1757" w:rsidRPr="008B787F" w:rsidRDefault="00CC175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2C82"/>
    <w:multiLevelType w:val="hybridMultilevel"/>
    <w:tmpl w:val="BCA8F3C0"/>
    <w:lvl w:ilvl="0" w:tplc="42308228">
      <w:start w:val="1"/>
      <w:numFmt w:val="decimal"/>
      <w:lvlText w:val="%1."/>
      <w:lvlJc w:val="left"/>
      <w:pPr>
        <w:ind w:left="720" w:hanging="360"/>
      </w:pPr>
      <w:rPr>
        <w:b/>
      </w:rPr>
    </w:lvl>
    <w:lvl w:ilvl="1" w:tplc="9A043620">
      <w:start w:val="2"/>
      <w:numFmt w:val="bullet"/>
      <w:lvlText w:val="-"/>
      <w:lvlJc w:val="left"/>
      <w:pPr>
        <w:ind w:left="1440" w:hanging="360"/>
      </w:pPr>
      <w:rPr>
        <w:rFonts w:ascii="Times New Roman" w:eastAsia="Times New Roman" w:hAnsi="Times New Roman" w:cs="Times New Roman" w:hint="default"/>
        <w:b/>
      </w:rPr>
    </w:lvl>
    <w:lvl w:ilvl="2" w:tplc="3EA25FC6">
      <w:start w:val="2"/>
      <w:numFmt w:val="lowerLetter"/>
      <w:lvlText w:val="%3)"/>
      <w:lvlJc w:val="left"/>
      <w:pPr>
        <w:ind w:left="2340" w:hanging="360"/>
      </w:pPr>
      <w:rPr>
        <w:b/>
      </w:rPr>
    </w:lvl>
    <w:lvl w:ilvl="3" w:tplc="43FA3E6C">
      <w:start w:val="3"/>
      <w:numFmt w:val="lowerLetter"/>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5C1B5353"/>
    <w:multiLevelType w:val="hybridMultilevel"/>
    <w:tmpl w:val="198673A2"/>
    <w:lvl w:ilvl="0" w:tplc="466062C2">
      <w:start w:val="9"/>
      <w:numFmt w:val="bullet"/>
      <w:lvlText w:val="-"/>
      <w:lvlJc w:val="left"/>
      <w:pPr>
        <w:tabs>
          <w:tab w:val="num" w:pos="1095"/>
        </w:tabs>
        <w:ind w:left="1095" w:hanging="435"/>
      </w:pPr>
      <w:rPr>
        <w:rFonts w:ascii="Times New Roman" w:eastAsia="Times New Roman" w:hAnsi="Times New Roman" w:cs="Times New Roman" w:hint="default"/>
      </w:rPr>
    </w:lvl>
    <w:lvl w:ilvl="1" w:tplc="040C0003">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num w:numId="1" w16cid:durableId="1303734493">
    <w:abstractNumId w:val="1"/>
  </w:num>
  <w:num w:numId="2" w16cid:durableId="73127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11933"/>
    <w:rsid w:val="00026311"/>
    <w:rsid w:val="000645A0"/>
    <w:rsid w:val="00065FFC"/>
    <w:rsid w:val="000676F9"/>
    <w:rsid w:val="00085C65"/>
    <w:rsid w:val="000C61E1"/>
    <w:rsid w:val="001278FA"/>
    <w:rsid w:val="00211C77"/>
    <w:rsid w:val="00256D92"/>
    <w:rsid w:val="0027749D"/>
    <w:rsid w:val="00291207"/>
    <w:rsid w:val="00292241"/>
    <w:rsid w:val="002958CE"/>
    <w:rsid w:val="002A3BE5"/>
    <w:rsid w:val="0038024C"/>
    <w:rsid w:val="003C26A2"/>
    <w:rsid w:val="003F67F8"/>
    <w:rsid w:val="00437510"/>
    <w:rsid w:val="004C105E"/>
    <w:rsid w:val="00572D58"/>
    <w:rsid w:val="005B2E2A"/>
    <w:rsid w:val="006772B4"/>
    <w:rsid w:val="006A4520"/>
    <w:rsid w:val="006D74EB"/>
    <w:rsid w:val="007017FA"/>
    <w:rsid w:val="00781C28"/>
    <w:rsid w:val="007919C1"/>
    <w:rsid w:val="007B7FAD"/>
    <w:rsid w:val="007C57DF"/>
    <w:rsid w:val="008008CB"/>
    <w:rsid w:val="008422C4"/>
    <w:rsid w:val="008746BB"/>
    <w:rsid w:val="0088780D"/>
    <w:rsid w:val="00893BA8"/>
    <w:rsid w:val="008B787F"/>
    <w:rsid w:val="009007E4"/>
    <w:rsid w:val="00926971"/>
    <w:rsid w:val="00980919"/>
    <w:rsid w:val="00A46DFD"/>
    <w:rsid w:val="00A55A4C"/>
    <w:rsid w:val="00A702D8"/>
    <w:rsid w:val="00A932BC"/>
    <w:rsid w:val="00B31650"/>
    <w:rsid w:val="00B8284C"/>
    <w:rsid w:val="00BB3574"/>
    <w:rsid w:val="00BF1760"/>
    <w:rsid w:val="00C27D14"/>
    <w:rsid w:val="00CA38C5"/>
    <w:rsid w:val="00CC1757"/>
    <w:rsid w:val="00CD13FD"/>
    <w:rsid w:val="00CF21BD"/>
    <w:rsid w:val="00D163BF"/>
    <w:rsid w:val="00DC1F4A"/>
    <w:rsid w:val="00E13B41"/>
    <w:rsid w:val="00E3364E"/>
    <w:rsid w:val="00E3769B"/>
    <w:rsid w:val="00E649A9"/>
    <w:rsid w:val="00E67CB1"/>
    <w:rsid w:val="00EA0C7C"/>
    <w:rsid w:val="00EC4763"/>
    <w:rsid w:val="00ED2E13"/>
    <w:rsid w:val="00EE70E6"/>
    <w:rsid w:val="00EF0F3D"/>
    <w:rsid w:val="00F4335E"/>
    <w:rsid w:val="00FC76BA"/>
    <w:rsid w:val="00FE3E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98BDDA-E393-485A-A340-8C17C383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styleId="Fotnotstext">
    <w:name w:val="footnote text"/>
    <w:basedOn w:val="Normal"/>
    <w:semiHidden/>
    <w:rsid w:val="00781C28"/>
    <w:rPr>
      <w:sz w:val="20"/>
    </w:rPr>
  </w:style>
  <w:style w:type="character" w:styleId="Fotnotsreferens">
    <w:name w:val="footnote reference"/>
    <w:basedOn w:val="Standardstycketeckensnitt"/>
    <w:semiHidden/>
    <w:rsid w:val="00781C28"/>
    <w:rPr>
      <w:vertAlign w:val="superscript"/>
    </w:rPr>
  </w:style>
  <w:style w:type="paragraph" w:styleId="Normalwebb">
    <w:name w:val="Normal (Web)"/>
    <w:basedOn w:val="Normal"/>
    <w:rsid w:val="00E3769B"/>
    <w:pPr>
      <w:overflowPunct/>
      <w:autoSpaceDE/>
      <w:autoSpaceDN/>
      <w:adjustRightInd/>
      <w:spacing w:line="240" w:lineRule="auto"/>
      <w:textAlignment w:val="auto"/>
    </w:pPr>
    <w:rPr>
      <w:rFonts w:ascii="Times New Roman" w:hAnsi="Times New Roman"/>
      <w:szCs w:val="24"/>
      <w:lang w:val="hu-HU" w:eastAsia="hu-HU"/>
    </w:rPr>
  </w:style>
  <w:style w:type="character" w:styleId="Betoning">
    <w:name w:val="Emphasis"/>
    <w:basedOn w:val="Standardstycketeckensnitt"/>
    <w:qFormat/>
    <w:rsid w:val="00E3769B"/>
    <w:rPr>
      <w:b/>
      <w:bCs/>
      <w:i w:val="0"/>
      <w:iCs w:val="0"/>
    </w:rPr>
  </w:style>
  <w:style w:type="paragraph" w:customStyle="1" w:styleId="Akapitzlist">
    <w:name w:val="Akapit z listą"/>
    <w:basedOn w:val="Normal"/>
    <w:qFormat/>
    <w:rsid w:val="00E3769B"/>
    <w:pPr>
      <w:overflowPunct/>
      <w:autoSpaceDE/>
      <w:autoSpaceDN/>
      <w:adjustRightInd/>
      <w:spacing w:after="200" w:line="276" w:lineRule="auto"/>
      <w:ind w:left="720"/>
      <w:contextualSpacing/>
      <w:textAlignment w:val="auto"/>
    </w:pPr>
    <w:rPr>
      <w:rFonts w:ascii="Calibri" w:eastAsia="Calibri" w:hAnsi="Calibr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682</Words>
  <Characters>4792</Characters>
  <Application>Microsoft Office Word</Application>
  <DocSecurity>4</DocSecurity>
  <Lines>140</Lines>
  <Paragraphs>50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2011-09-19T11:46:00Z</cp:lastPrinted>
  <dcterms:created xsi:type="dcterms:W3CDTF">2025-12-17T21:35:00Z</dcterms:created>
  <dcterms:modified xsi:type="dcterms:W3CDTF">2025-12-17T21:35:00Z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Irene Norrman</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Sofia Magnusson</vt:lpwstr>
  </property>
  <property fmtid="{D5CDD505-2E9C-101B-9397-08002B2CF9AE}" pid="18" name="_SharedFileIndex">
    <vt:lpwstr/>
  </property>
  <property fmtid="{D5CDD505-2E9C-101B-9397-08002B2CF9AE}" pid="19" name="QFMSP source name">
    <vt:lpwstr/>
  </property>
</Properties>
</file>