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C09C0">
        <w:tblPrEx>
          <w:tblCellMar>
            <w:top w:w="0" w:type="dxa"/>
            <w:left w:w="0" w:type="dxa"/>
            <w:bottom w:w="0" w:type="dxa"/>
            <w:right w:w="0" w:type="dxa"/>
          </w:tblCellMar>
        </w:tblPrEx>
        <w:trPr>
          <w:gridAfter w:val="2"/>
          <w:wAfter w:w="1758" w:type="dxa"/>
          <w:cantSplit/>
          <w:trHeight w:val="1320"/>
        </w:trPr>
        <w:tc>
          <w:tcPr>
            <w:tcW w:w="5897" w:type="dxa"/>
          </w:tcPr>
          <w:p w:rsidR="00F42C3D" w:rsidRPr="000C09C0" w:rsidRDefault="00F42C3D">
            <w:pPr>
              <w:pStyle w:val="HuvudRubrik"/>
            </w:pPr>
            <w:r w:rsidRPr="000C09C0">
              <w:t>Regeringskansliet</w:t>
            </w:r>
          </w:p>
          <w:p w:rsidR="00F42C3D" w:rsidRPr="000C09C0" w:rsidRDefault="00F42C3D">
            <w:pPr>
              <w:pStyle w:val="HuvudRubrik"/>
            </w:pPr>
            <w:r w:rsidRPr="000C09C0">
              <w:t>Faktapromemoria  2007/08:FPM 20</w:t>
            </w:r>
          </w:p>
        </w:tc>
      </w:tr>
      <w:tr w:rsidR="00000000" w:rsidRPr="000C09C0">
        <w:tblPrEx>
          <w:tblCellMar>
            <w:top w:w="0" w:type="dxa"/>
            <w:left w:w="0" w:type="dxa"/>
            <w:bottom w:w="0" w:type="dxa"/>
            <w:right w:w="0" w:type="dxa"/>
          </w:tblCellMar>
        </w:tblPrEx>
        <w:trPr>
          <w:gridAfter w:val="2"/>
          <w:wAfter w:w="1758" w:type="dxa"/>
          <w:cantSplit/>
          <w:trHeight w:val="240"/>
        </w:trPr>
        <w:tc>
          <w:tcPr>
            <w:tcW w:w="5897" w:type="dxa"/>
          </w:tcPr>
          <w:p w:rsidR="00F42C3D" w:rsidRPr="000C09C0" w:rsidRDefault="00F42C3D">
            <w:pPr>
              <w:pStyle w:val="HuvudRubrik"/>
              <w:rPr>
                <w:sz w:val="28"/>
              </w:rPr>
            </w:pPr>
            <w:r w:rsidRPr="000C09C0">
              <w:t>Kommissionens meddelande om reducerade mervärdesskattesatser</w:t>
            </w:r>
          </w:p>
        </w:tc>
      </w:tr>
      <w:tr w:rsidR="00000000" w:rsidRPr="000C09C0">
        <w:tblPrEx>
          <w:tblCellMar>
            <w:top w:w="0" w:type="dxa"/>
            <w:left w:w="0" w:type="dxa"/>
            <w:bottom w:w="0" w:type="dxa"/>
            <w:right w:w="0" w:type="dxa"/>
          </w:tblCellMar>
        </w:tblPrEx>
        <w:trPr>
          <w:cantSplit/>
          <w:trHeight w:val="285"/>
        </w:trPr>
        <w:tc>
          <w:tcPr>
            <w:tcW w:w="7655" w:type="dxa"/>
            <w:gridSpan w:val="3"/>
          </w:tcPr>
          <w:p w:rsidR="00F42C3D" w:rsidRPr="000C09C0" w:rsidRDefault="00F42C3D">
            <w:pPr>
              <w:pStyle w:val="Departement"/>
              <w:rPr>
                <w:sz w:val="28"/>
              </w:rPr>
            </w:pPr>
            <w:r w:rsidRPr="000C09C0">
              <w:t>Finansdepartementet</w:t>
            </w:r>
          </w:p>
        </w:tc>
      </w:tr>
      <w:tr w:rsidR="00000000" w:rsidRPr="000C09C0">
        <w:tblPrEx>
          <w:tblCellMar>
            <w:top w:w="0" w:type="dxa"/>
            <w:left w:w="0" w:type="dxa"/>
            <w:bottom w:w="0" w:type="dxa"/>
            <w:right w:w="0" w:type="dxa"/>
          </w:tblCellMar>
        </w:tblPrEx>
        <w:trPr>
          <w:cantSplit/>
          <w:trHeight w:val="240"/>
        </w:trPr>
        <w:tc>
          <w:tcPr>
            <w:tcW w:w="7655" w:type="dxa"/>
            <w:gridSpan w:val="3"/>
          </w:tcPr>
          <w:p w:rsidR="00F42C3D" w:rsidRPr="000C09C0" w:rsidRDefault="00F42C3D">
            <w:pPr>
              <w:pStyle w:val="Dokumentdatum"/>
            </w:pPr>
            <w:r w:rsidRPr="000C09C0">
              <w:t>2007-11-08</w:t>
            </w:r>
          </w:p>
        </w:tc>
      </w:tr>
      <w:tr w:rsidR="00000000" w:rsidRPr="000C09C0">
        <w:tblPrEx>
          <w:tblCellMar>
            <w:top w:w="0" w:type="dxa"/>
            <w:left w:w="0" w:type="dxa"/>
            <w:bottom w:w="0" w:type="dxa"/>
            <w:right w:w="0" w:type="dxa"/>
          </w:tblCellMar>
        </w:tblPrEx>
        <w:trPr>
          <w:cantSplit/>
          <w:trHeight w:val="726"/>
        </w:trPr>
        <w:tc>
          <w:tcPr>
            <w:tcW w:w="7655" w:type="dxa"/>
            <w:gridSpan w:val="3"/>
            <w:vAlign w:val="bottom"/>
          </w:tcPr>
          <w:p w:rsidR="00F42C3D" w:rsidRPr="000C09C0" w:rsidRDefault="00F42C3D">
            <w:pPr>
              <w:pStyle w:val="Rubrik1"/>
              <w:numPr>
                <w:ilvl w:val="0"/>
                <w:numId w:val="0"/>
              </w:numPr>
            </w:pPr>
            <w:r w:rsidRPr="000C09C0">
              <w:t>Dokumentbeteckning</w:t>
            </w:r>
          </w:p>
        </w:tc>
      </w:tr>
      <w:tr w:rsidR="00000000" w:rsidRPr="000C09C0">
        <w:tblPrEx>
          <w:tblCellMar>
            <w:top w:w="0" w:type="dxa"/>
            <w:left w:w="0" w:type="dxa"/>
            <w:bottom w:w="0" w:type="dxa"/>
            <w:right w:w="0" w:type="dxa"/>
          </w:tblCellMar>
        </w:tblPrEx>
        <w:trPr>
          <w:gridAfter w:val="1"/>
          <w:wAfter w:w="1560" w:type="dxa"/>
          <w:trHeight w:val="120"/>
        </w:trPr>
        <w:tc>
          <w:tcPr>
            <w:tcW w:w="6095" w:type="dxa"/>
            <w:gridSpan w:val="2"/>
          </w:tcPr>
          <w:p w:rsidR="00F42C3D" w:rsidRPr="000C09C0" w:rsidRDefault="00F42C3D">
            <w:bookmarkStart w:id="0" w:name="KomNr"/>
            <w:bookmarkEnd w:id="0"/>
            <w:r w:rsidRPr="000C09C0">
              <w:t>KOM(2007) 380</w:t>
            </w:r>
          </w:p>
        </w:tc>
      </w:tr>
      <w:tr w:rsidR="00000000" w:rsidRPr="000C09C0">
        <w:tblPrEx>
          <w:tblCellMar>
            <w:top w:w="0" w:type="dxa"/>
            <w:left w:w="0" w:type="dxa"/>
            <w:bottom w:w="0" w:type="dxa"/>
            <w:right w:w="0" w:type="dxa"/>
          </w:tblCellMar>
        </w:tblPrEx>
        <w:trPr>
          <w:gridAfter w:val="1"/>
          <w:wAfter w:w="1560" w:type="dxa"/>
          <w:trHeight w:val="120"/>
        </w:trPr>
        <w:tc>
          <w:tcPr>
            <w:tcW w:w="6095" w:type="dxa"/>
            <w:gridSpan w:val="2"/>
          </w:tcPr>
          <w:p w:rsidR="00F42C3D" w:rsidRPr="000C09C0" w:rsidRDefault="00F42C3D">
            <w:pPr>
              <w:pStyle w:val="Dokumentbeteckning-titel"/>
            </w:pPr>
            <w:r w:rsidRPr="000C09C0">
              <w:t>Kommissionens meddelande till rådet och Europaparlamentet om andra mervärdesskattesatser än standardsatserna för mervärdesskatt</w:t>
            </w:r>
          </w:p>
        </w:tc>
      </w:tr>
      <w:tr w:rsidR="00000000" w:rsidRPr="000C09C0">
        <w:tblPrEx>
          <w:tblCellMar>
            <w:top w:w="0" w:type="dxa"/>
            <w:left w:w="0" w:type="dxa"/>
            <w:bottom w:w="0" w:type="dxa"/>
            <w:right w:w="0" w:type="dxa"/>
          </w:tblCellMar>
        </w:tblPrEx>
        <w:trPr>
          <w:gridAfter w:val="1"/>
          <w:wAfter w:w="1560" w:type="dxa"/>
          <w:trHeight w:val="120"/>
        </w:trPr>
        <w:tc>
          <w:tcPr>
            <w:tcW w:w="6095" w:type="dxa"/>
            <w:gridSpan w:val="2"/>
          </w:tcPr>
          <w:p w:rsidR="00F42C3D" w:rsidRPr="000C09C0" w:rsidRDefault="00F42C3D">
            <w:r w:rsidRPr="000C09C0">
              <w:t>SEC(2007) 910</w:t>
            </w:r>
          </w:p>
        </w:tc>
      </w:tr>
      <w:tr w:rsidR="00000000" w:rsidRPr="000C09C0">
        <w:tblPrEx>
          <w:tblCellMar>
            <w:top w:w="0" w:type="dxa"/>
            <w:left w:w="0" w:type="dxa"/>
            <w:bottom w:w="0" w:type="dxa"/>
            <w:right w:w="0" w:type="dxa"/>
          </w:tblCellMar>
        </w:tblPrEx>
        <w:trPr>
          <w:gridAfter w:val="1"/>
          <w:wAfter w:w="1560" w:type="dxa"/>
          <w:trHeight w:val="120"/>
        </w:trPr>
        <w:tc>
          <w:tcPr>
            <w:tcW w:w="6095" w:type="dxa"/>
            <w:gridSpan w:val="2"/>
          </w:tcPr>
          <w:p w:rsidR="00F42C3D" w:rsidRPr="000C09C0" w:rsidRDefault="00F42C3D">
            <w:pPr>
              <w:pStyle w:val="Dokumentbeteckning-titel"/>
            </w:pPr>
            <w:r w:rsidRPr="000C09C0">
              <w:t xml:space="preserve"> </w:t>
            </w:r>
          </w:p>
        </w:tc>
      </w:tr>
    </w:tbl>
    <w:p w:rsidR="00F42C3D" w:rsidRPr="000C09C0" w:rsidRDefault="00F42C3D">
      <w:pPr>
        <w:pStyle w:val="Rubrik1"/>
        <w:numPr>
          <w:ilvl w:val="0"/>
          <w:numId w:val="0"/>
        </w:numPr>
      </w:pPr>
      <w:r w:rsidRPr="000C09C0">
        <w:t>Sammanfattning</w:t>
      </w:r>
    </w:p>
    <w:p w:rsidR="00F42C3D" w:rsidRPr="000C09C0" w:rsidRDefault="00F42C3D"/>
    <w:p w:rsidR="00F42C3D" w:rsidRPr="000C09C0" w:rsidRDefault="00F42C3D">
      <w:r w:rsidRPr="000C09C0">
        <w:t>Kommissionen har lämnat ett meddelande till rådet och Europaparlamentet baserat på en studie från den oberoende tankesmedjan Copenhagen Economics</w:t>
      </w:r>
      <w:r w:rsidRPr="000C09C0">
        <w:rPr>
          <w:rStyle w:val="Fotnotsreferens"/>
          <w:szCs w:val="18"/>
        </w:rPr>
        <w:footnoteReference w:id="1"/>
      </w:r>
      <w:r w:rsidRPr="000C09C0">
        <w:t>. I meddelandet redogör kommissionen för vad som enligt kommissionens uppfattning bör beaktas vi utformningen av en ny skattesatsstruktur i rådets direktiv 2006/112/EG</w:t>
      </w:r>
      <w:r w:rsidRPr="000C09C0">
        <w:rPr>
          <w:rStyle w:val="Fotnotsreferens"/>
          <w:szCs w:val="18"/>
        </w:rPr>
        <w:footnoteReference w:id="2"/>
      </w:r>
      <w:r w:rsidRPr="000C09C0">
        <w:t xml:space="preserve"> om ett gemensamt system för mervärdes</w:t>
      </w:r>
      <w:r w:rsidRPr="000C09C0">
        <w:softHyphen/>
        <w:t>skatt, i det följande benämnt mervärdesskattedirektivet. Kommissionens syfte med meddelandet är att skapa ett underlag för en debatt om den framtida skattesatsstrukturen i EU.</w:t>
      </w:r>
    </w:p>
    <w:p w:rsidR="00F42C3D" w:rsidRPr="000C09C0" w:rsidRDefault="00F42C3D"/>
    <w:p w:rsidR="00F42C3D" w:rsidRPr="000C09C0" w:rsidRDefault="00F42C3D">
      <w:pPr>
        <w:pStyle w:val="Rubrik1"/>
      </w:pPr>
      <w:r w:rsidRPr="000C09C0">
        <w:lastRenderedPageBreak/>
        <w:t>Förslaget</w:t>
      </w:r>
    </w:p>
    <w:p w:rsidR="00F42C3D" w:rsidRPr="000C09C0" w:rsidRDefault="00F42C3D">
      <w:pPr>
        <w:pStyle w:val="Rubrik2"/>
      </w:pPr>
      <w:r w:rsidRPr="000C09C0">
        <w:t>Innehåll</w:t>
      </w:r>
    </w:p>
    <w:p w:rsidR="00F42C3D" w:rsidRPr="000C09C0" w:rsidRDefault="00F42C3D"/>
    <w:p w:rsidR="00F42C3D" w:rsidRPr="000C09C0" w:rsidRDefault="00F42C3D">
      <w:r w:rsidRPr="000C09C0">
        <w:t>Rådet beställde i februari 2006 en rapport från kommissionen till i juni 2007 om utvärdering av effekter av reducerade momssatser. Denna skulle omfatta lokalt tillhandahållna tjänster med fokus på sysselsättning, ekonomisk tillväxt samt effekter för den inre marknaden. Rapporten skulle baseras på en extern studie från en oberoende tankesmedja. Kommissionen har nu lämnat ett meddelande som baseras på en rapport från Copenhagen Economics.</w:t>
      </w:r>
    </w:p>
    <w:p w:rsidR="00F42C3D" w:rsidRPr="000C09C0" w:rsidRDefault="00F42C3D"/>
    <w:p w:rsidR="00F42C3D" w:rsidRPr="000C09C0" w:rsidRDefault="00F42C3D">
      <w:r w:rsidRPr="000C09C0">
        <w:t>Enligt rapporten finns det starka skäl för unionens medlemsländer att införa enhetliga momssatser inom varje land, såväl från effektivitetssynpunkt och för att minska administrativa kostnader som för att underlätta för den inre marknaden att fungera. Av studien framgår också att det inom vissa områden under vissa förutsättningar finns ekonomiska argument för en nedsättning av skattesats i syfte att öka produktivitet och permanent sysselsättning. Nedsättning av momssats tillämpas dock även inom många andra o</w:t>
      </w:r>
      <w:r w:rsidRPr="000C09C0">
        <w:t xml:space="preserve">mråden med syfte att öka konsumtionen av vissa varor och tjänster med positiva värden. Länderna bör dock enligt rapporten undersöka om det finns alternativ till nedsatt momssats som på ett effektivare sätt kan tillgodose önskvärda syften inom olika politikområden.  </w:t>
      </w:r>
    </w:p>
    <w:p w:rsidR="00F42C3D" w:rsidRPr="000C09C0" w:rsidRDefault="00F42C3D"/>
    <w:p w:rsidR="00F42C3D" w:rsidRPr="000C09C0" w:rsidRDefault="00F42C3D">
      <w:r w:rsidRPr="000C09C0">
        <w:t>I meddelandet drar kommissionen vissa slutsatser av rapporten från Copenhagen Economics. Kommissionen anser att rapporten bekräftar att det kan finns fördelar med reducerade skattesatser för lokalt tillhandahållna tjänster, men endast om åtgärderna är väl riktade och om vissa specifika marknadsvillkor uppfylls. En nedsatt skattesats kan öka produktiviteten och därmed BNP och leda till ökade skatteinkomster om konsumenterna ägnar mindre tid åt gör-det själv-verksamhet och mer tid åt sitt egentliga arbete. Ar</w:t>
      </w:r>
      <w:r w:rsidRPr="000C09C0">
        <w:t>gumentet är starkast i medlemsstater med höga marginalskatter och höga momssatser. Lägre momssatser för sektorer som sysselsätter många lågutbildade, finansierade med högre momssatser på andra håll, kan vidare leda till permanenta sysselsättningsvinster om arbetsmarknaden för lågutbildad arbetskraft präglas av stelhet. Kommissionen betonar emellertid  att effekterna på den totala sysselsättningen är begränsade, eftersom sysselsättningsvinster i dessa branscher delvis tas ut av minskad sysselsättning i andra</w:t>
      </w:r>
      <w:r w:rsidRPr="000C09C0">
        <w:t xml:space="preserve"> branscher där momssatsen höjs.</w:t>
      </w:r>
    </w:p>
    <w:p w:rsidR="00F42C3D" w:rsidRPr="000C09C0" w:rsidRDefault="00F42C3D"/>
    <w:p w:rsidR="00F42C3D" w:rsidRPr="000C09C0" w:rsidRDefault="00F42C3D">
      <w:r w:rsidRPr="000C09C0">
        <w:t>Kommissionen anser att den momssatsstruktur som finns i dag inte följer någon tydlig logik och är ineffektiv sett ur ett inre marknadsperspektiv och ett EU-omfattande konkurrensperspektiv. Kommissionen ser ett behov av likabehandling. I dag finns - förutom den möjlighet till olika skattesatser i olika MS som direktivet ger -</w:t>
      </w:r>
      <w:r w:rsidRPr="000C09C0">
        <w:softHyphen/>
        <w:t xml:space="preserve"> en stor mängd beviljade undantag för olika medlemsstater.  Behovet av likabehandling medför att dessa beviljade undantag måste upphöra. </w:t>
      </w:r>
    </w:p>
    <w:p w:rsidR="00F42C3D" w:rsidRPr="000C09C0" w:rsidRDefault="00F42C3D"/>
    <w:p w:rsidR="00F42C3D" w:rsidRPr="000C09C0" w:rsidRDefault="00F42C3D">
      <w:r w:rsidRPr="000C09C0">
        <w:t>Vidare säger kommissionen att man i arbetet med en ny skattesatsstruktur måste ta hänsyn till den starka politiska önskan som finns i medlemsstaterna att kunna tillämpa mycket låga reducerade skattesatser, bland annat av sociala skäl.</w:t>
      </w:r>
    </w:p>
    <w:p w:rsidR="00F42C3D" w:rsidRPr="000C09C0" w:rsidRDefault="00F42C3D"/>
    <w:p w:rsidR="00F42C3D" w:rsidRPr="000C09C0" w:rsidRDefault="00F42C3D">
      <w:r w:rsidRPr="000C09C0">
        <w:t xml:space="preserve">Differentiering av mervärdesskattesatser för vissa kategorier av varor och tjänster, exempelvis böcker, verkar ha mycket direkt inverkan på den inre marknaden. Restauranger och hotell ligger i en gråzon, eftersom sådana effekter kan uppstå i samband med turism eller i gränsregioner. Kommissionen anser att man då bör fråga sig om ett frivilligt system med reducerade momssatser är godtagbart i sådana fall eller om det skulle behöva bli obligatoriskt för att undvika konkurrenssnedvridning. </w:t>
      </w:r>
    </w:p>
    <w:p w:rsidR="00F42C3D" w:rsidRPr="000C09C0" w:rsidRDefault="00F42C3D"/>
    <w:p w:rsidR="00F42C3D" w:rsidRPr="000C09C0" w:rsidRDefault="00F42C3D">
      <w:r w:rsidRPr="000C09C0">
        <w:t>En annan fråga är hur effektivt det är att tillämpa reducerade momssatser för att främja vissa varor och tjänster. Kommissionen anser att man måste diskutera om momsinstrumentet alla gånger är det bästa sätta att uppnå ett visst syfte och vill därför kraftigt uppmana rådet att inleda en sådan debatt utgående från undersökningens resultat.</w:t>
      </w:r>
    </w:p>
    <w:p w:rsidR="00F42C3D" w:rsidRPr="000C09C0" w:rsidRDefault="00F42C3D"/>
    <w:p w:rsidR="00F42C3D" w:rsidRPr="000C09C0" w:rsidRDefault="00F42C3D">
      <w:r w:rsidRPr="000C09C0">
        <w:t>Dessutom handlar det om skattemässig samstämmighet: Är det förnuftigt att tillåta en reducerad sats för el och naturgas om vi utgår ifrån att detta kommer att leda till ökad konsumtion och vi samtidigt vill minska förbrukningen genom att främja energisparande material och energieffektiva produkter, som i dag beskattas med standardmomssats? Dessa samstämmighetsfrågor måste också behandlas när det gäller skatter som tillkommer förutom momsen: är det meningsfullt att tillämpa reducerade momssatser på produkter</w:t>
      </w:r>
      <w:r w:rsidRPr="000C09C0">
        <w:t xml:space="preserve"> som samtidigt omfattas av särskilda punktskatter?</w:t>
      </w:r>
    </w:p>
    <w:p w:rsidR="00F42C3D" w:rsidRPr="000C09C0" w:rsidRDefault="00F42C3D"/>
    <w:p w:rsidR="00F42C3D" w:rsidRPr="000C09C0" w:rsidRDefault="00F42C3D">
      <w:r w:rsidRPr="000C09C0">
        <w:t xml:space="preserve">Genom denna redogörelse vill kommissionen skapa ett underlag för en kommande politisk debatt om den framtida mervärdesskattesatsstrukturen. </w:t>
      </w:r>
    </w:p>
    <w:p w:rsidR="00F42C3D" w:rsidRPr="000C09C0" w:rsidRDefault="00F42C3D">
      <w:pPr>
        <w:pStyle w:val="Rubrik2"/>
      </w:pPr>
      <w:r w:rsidRPr="000C09C0">
        <w:t>Gällande svenska regler och förslagets effekt på dessa</w:t>
      </w:r>
    </w:p>
    <w:p w:rsidR="00F42C3D" w:rsidRPr="000C09C0" w:rsidRDefault="00F42C3D"/>
    <w:p w:rsidR="00F42C3D" w:rsidRPr="000C09C0" w:rsidRDefault="00F42C3D">
      <w:r w:rsidRPr="000C09C0">
        <w:t>Den svenska mervärdesskattelagen (1994:200) baseras på  mervärdesskattedirektivet (2006/112/EG). Sverige tillämpar en normalskattesats om 25% och två nedsatta skattesatser om 12% respektive 6%.</w:t>
      </w:r>
    </w:p>
    <w:p w:rsidR="00F42C3D" w:rsidRPr="000C09C0" w:rsidRDefault="00F42C3D"/>
    <w:p w:rsidR="00F42C3D" w:rsidRPr="000C09C0" w:rsidRDefault="00F42C3D">
      <w:r w:rsidRPr="000C09C0">
        <w:t>Skattesatsen om 12% tillämpas för:</w:t>
      </w:r>
    </w:p>
    <w:p w:rsidR="00F42C3D" w:rsidRPr="000C09C0" w:rsidRDefault="00F42C3D"/>
    <w:p w:rsidR="00F42C3D" w:rsidRPr="000C09C0" w:rsidRDefault="00F42C3D">
      <w:r w:rsidRPr="000C09C0">
        <w:t>Rumsuthyrning och camping</w:t>
      </w:r>
    </w:p>
    <w:p w:rsidR="00F42C3D" w:rsidRPr="000C09C0" w:rsidRDefault="00F42C3D">
      <w:r w:rsidRPr="000C09C0">
        <w:t>Upphovsmans försäljning av konstverk.</w:t>
      </w:r>
    </w:p>
    <w:p w:rsidR="00F42C3D" w:rsidRPr="000C09C0" w:rsidRDefault="00F42C3D">
      <w:r w:rsidRPr="000C09C0">
        <w:t>Omsättning av livsmedel.</w:t>
      </w:r>
    </w:p>
    <w:p w:rsidR="00F42C3D" w:rsidRPr="000C09C0" w:rsidRDefault="00F42C3D"/>
    <w:p w:rsidR="00F42C3D" w:rsidRPr="000C09C0" w:rsidRDefault="00F42C3D">
      <w:r w:rsidRPr="000C09C0">
        <w:t>Skattesatsen om 6% tillämpas för:</w:t>
      </w:r>
    </w:p>
    <w:p w:rsidR="00F42C3D" w:rsidRPr="000C09C0" w:rsidRDefault="00F42C3D"/>
    <w:p w:rsidR="00F42C3D" w:rsidRPr="000C09C0" w:rsidRDefault="00F42C3D">
      <w:r w:rsidRPr="000C09C0">
        <w:t>Omsättning av böcker, tidningar och tidskrifter.</w:t>
      </w:r>
    </w:p>
    <w:p w:rsidR="00F42C3D" w:rsidRPr="000C09C0" w:rsidRDefault="00F42C3D">
      <w:r w:rsidRPr="000C09C0">
        <w:t>Tillträde till konserter , cirkus-, biograf-, teater-, opera- eller balettföreställningar eller andra jämförliga framställningar.</w:t>
      </w:r>
    </w:p>
    <w:p w:rsidR="00F42C3D" w:rsidRPr="000C09C0" w:rsidRDefault="00F42C3D">
      <w:r w:rsidRPr="000C09C0">
        <w:t>Tillträde till bibliotek, museum och arkiv om verksamheten inte bedrivs och inte heller fortlöpande i mer än ringa omfattning  understöds av det allmänna.</w:t>
      </w:r>
    </w:p>
    <w:p w:rsidR="00F42C3D" w:rsidRPr="000C09C0" w:rsidRDefault="00F42C3D">
      <w:r w:rsidRPr="000C09C0">
        <w:t>Tillträde till djurparker.</w:t>
      </w:r>
    </w:p>
    <w:p w:rsidR="00F42C3D" w:rsidRPr="000C09C0" w:rsidRDefault="00F42C3D">
      <w:r w:rsidRPr="000C09C0">
        <w:t>Upplåtelse eller överlåtelse av rättigheter till ljud- och bildupptagningar.</w:t>
      </w:r>
    </w:p>
    <w:p w:rsidR="00F42C3D" w:rsidRPr="000C09C0" w:rsidRDefault="00F42C3D">
      <w:r w:rsidRPr="000C09C0">
        <w:t>Omsättning av tjänster inom idrottsområdet.</w:t>
      </w:r>
    </w:p>
    <w:p w:rsidR="00F42C3D" w:rsidRPr="000C09C0" w:rsidRDefault="00F42C3D">
      <w:r w:rsidRPr="000C09C0">
        <w:t>Personbefordran</w:t>
      </w:r>
    </w:p>
    <w:p w:rsidR="00F42C3D" w:rsidRPr="000C09C0" w:rsidRDefault="00F42C3D">
      <w:pPr>
        <w:pStyle w:val="Punktlista"/>
        <w:numPr>
          <w:ilvl w:val="0"/>
          <w:numId w:val="0"/>
        </w:numPr>
        <w:ind w:left="357" w:hanging="357"/>
        <w:rPr>
          <w:rFonts w:ascii="Times New Roman" w:hAnsi="Times New Roman"/>
          <w:sz w:val="19"/>
          <w:szCs w:val="18"/>
        </w:rPr>
      </w:pPr>
    </w:p>
    <w:p w:rsidR="00F42C3D" w:rsidRPr="000C09C0" w:rsidRDefault="00F42C3D">
      <w:r w:rsidRPr="000C09C0">
        <w:t xml:space="preserve">Därutöver tillämpar även Sverige med stöd av ett särskilt undantag i anslutningsfördraget och artikel 111 i mervärdesskattedirektivet undantag från skatteplikt med rätt till avdrag (så kallad nollskattesats) för läkemedel som säljs på recept eller till sjukhus samt för framställning av tidskrifter för ideella organisationer eller tjänster som har samband med sådan framställan. </w:t>
      </w:r>
    </w:p>
    <w:p w:rsidR="00F42C3D" w:rsidRPr="000C09C0" w:rsidRDefault="00F42C3D"/>
    <w:p w:rsidR="00F42C3D" w:rsidRPr="000C09C0" w:rsidRDefault="00F42C3D">
      <w:r w:rsidRPr="000C09C0">
        <w:t xml:space="preserve">Den svenska mervärdesskattelagen bygger på EG:s mervärdesskattedirektiv. Om och i så fall i vilken omfattning ändringar kommer att göras är omöjligt att bedöma på detta tidiga stadium i processen. </w:t>
      </w:r>
    </w:p>
    <w:p w:rsidR="00F42C3D" w:rsidRPr="000C09C0" w:rsidRDefault="00F42C3D">
      <w:pPr>
        <w:pStyle w:val="Rubrik2"/>
      </w:pPr>
      <w:r w:rsidRPr="000C09C0">
        <w:t>Budgetära konsekvenser</w:t>
      </w:r>
    </w:p>
    <w:p w:rsidR="00F42C3D" w:rsidRPr="000C09C0" w:rsidRDefault="00F42C3D"/>
    <w:p w:rsidR="00F42C3D" w:rsidRPr="000C09C0" w:rsidRDefault="00F42C3D">
      <w:r w:rsidRPr="000C09C0">
        <w:t xml:space="preserve">Det är i detta läge svårt att bedöma de budgetära konsekvenserna av det resultat det presenterade diskussionsunderlaget kan leda till. </w:t>
      </w:r>
    </w:p>
    <w:p w:rsidR="00F42C3D" w:rsidRPr="000C09C0" w:rsidRDefault="00F42C3D"/>
    <w:p w:rsidR="00F42C3D" w:rsidRPr="000C09C0" w:rsidRDefault="00F42C3D">
      <w:pPr>
        <w:pStyle w:val="Rubrik1"/>
      </w:pPr>
      <w:r w:rsidRPr="000C09C0">
        <w:t>Ståndpunkter</w:t>
      </w:r>
    </w:p>
    <w:p w:rsidR="00F42C3D" w:rsidRPr="000C09C0" w:rsidRDefault="00F42C3D">
      <w:pPr>
        <w:pStyle w:val="Rubrik2"/>
      </w:pPr>
      <w:r w:rsidRPr="000C09C0">
        <w:t>Svensk ståndpunkt</w:t>
      </w:r>
    </w:p>
    <w:p w:rsidR="00F42C3D" w:rsidRPr="000C09C0" w:rsidRDefault="00F42C3D"/>
    <w:p w:rsidR="00F42C3D" w:rsidRPr="000C09C0" w:rsidRDefault="00F42C3D">
      <w:r w:rsidRPr="000C09C0">
        <w:t>Ståndpunkt ej färdigberedd.</w:t>
      </w:r>
    </w:p>
    <w:p w:rsidR="00F42C3D" w:rsidRPr="000C09C0" w:rsidRDefault="00F42C3D">
      <w:pPr>
        <w:pStyle w:val="Rubrik2"/>
      </w:pPr>
      <w:r w:rsidRPr="000C09C0">
        <w:t>Medlemsstaternas ståndpunkter</w:t>
      </w:r>
    </w:p>
    <w:p w:rsidR="00F42C3D" w:rsidRPr="000C09C0" w:rsidRDefault="00F42C3D"/>
    <w:p w:rsidR="00F42C3D" w:rsidRPr="000C09C0" w:rsidRDefault="00F42C3D">
      <w:pPr>
        <w:rPr>
          <w:i/>
        </w:rPr>
      </w:pPr>
      <w:r w:rsidRPr="000C09C0">
        <w:t>Bland övriga medlemsstater kan två grupperingar urskiljas. Den ena gruppen anser att dagens system saknar logik och systematik och efterlyser en ekonomisk logik där frågan om ekonomiska motiv, konkurrenssnedvridning, administrativa kostnader, konkurrens med andra styrmedel etc. beaktas. Flera i gruppen trycker på behovet av likabehandling av alla medlemsstater. Den andra gruppen är av uppfattningen att det finns en logik i dagens system, en politisk sådan, och man betonar vikten av flexibilitet för medlemss</w:t>
      </w:r>
      <w:r w:rsidRPr="000C09C0">
        <w:t xml:space="preserve">taterna. </w:t>
      </w:r>
    </w:p>
    <w:p w:rsidR="00F42C3D" w:rsidRPr="000C09C0" w:rsidRDefault="00F42C3D">
      <w:pPr>
        <w:pStyle w:val="Rubrik2"/>
      </w:pPr>
      <w:r w:rsidRPr="000C09C0">
        <w:t>Institutionernas ståndpunkter</w:t>
      </w:r>
    </w:p>
    <w:p w:rsidR="00F42C3D" w:rsidRPr="000C09C0" w:rsidRDefault="00F42C3D"/>
    <w:p w:rsidR="00F42C3D" w:rsidRPr="000C09C0" w:rsidRDefault="00F42C3D">
      <w:r w:rsidRPr="000C09C0">
        <w:t>Institutionerna har ännu inte lämnat några yttranden.</w:t>
      </w:r>
    </w:p>
    <w:p w:rsidR="00F42C3D" w:rsidRPr="000C09C0" w:rsidRDefault="00F42C3D">
      <w:pPr>
        <w:pStyle w:val="Rubrik2"/>
      </w:pPr>
      <w:r w:rsidRPr="000C09C0">
        <w:t>Remissinstansernas ståndpunkter</w:t>
      </w:r>
    </w:p>
    <w:p w:rsidR="00F42C3D" w:rsidRPr="000C09C0" w:rsidRDefault="00F42C3D"/>
    <w:p w:rsidR="00F42C3D" w:rsidRPr="000C09C0" w:rsidRDefault="00F42C3D">
      <w:r w:rsidRPr="000C09C0">
        <w:t>Sex svenska myndigheter och organisationer</w:t>
      </w:r>
      <w:r w:rsidRPr="000C09C0">
        <w:rPr>
          <w:rStyle w:val="Fotnotsreferens"/>
          <w:szCs w:val="18"/>
        </w:rPr>
        <w:footnoteReference w:id="3"/>
      </w:r>
      <w:r w:rsidRPr="000C09C0">
        <w:t xml:space="preserve"> har yttrat sig i frågan. Samtliga dessa förordar en utveckling mot mer enhetliga mervärdesskattesatser. </w:t>
      </w:r>
    </w:p>
    <w:p w:rsidR="00F42C3D" w:rsidRPr="000C09C0" w:rsidRDefault="00F42C3D">
      <w:r w:rsidRPr="000C09C0">
        <w:t xml:space="preserve"> </w:t>
      </w:r>
    </w:p>
    <w:p w:rsidR="00F42C3D" w:rsidRPr="000C09C0" w:rsidRDefault="00F42C3D">
      <w:pPr>
        <w:pStyle w:val="Rubrik1"/>
      </w:pPr>
      <w:r w:rsidRPr="000C09C0">
        <w:t>Övrigt</w:t>
      </w:r>
    </w:p>
    <w:p w:rsidR="00F42C3D" w:rsidRPr="000C09C0" w:rsidRDefault="00F42C3D">
      <w:pPr>
        <w:pStyle w:val="Rubrik2"/>
      </w:pPr>
      <w:r w:rsidRPr="000C09C0">
        <w:t>Fortsatt behandling av ärendet</w:t>
      </w:r>
    </w:p>
    <w:p w:rsidR="00F42C3D" w:rsidRPr="000C09C0" w:rsidRDefault="00F42C3D"/>
    <w:p w:rsidR="00F42C3D" w:rsidRPr="000C09C0" w:rsidRDefault="00F42C3D">
      <w:r w:rsidRPr="000C09C0">
        <w:t xml:space="preserve">Kommissionens meddelande har varit föremål för diskussion rådsarbetsgruppen för indirekta skatter vid tre tillfällen under hösten 2007. Frågan skall tas upp vid Ekofin den 13 november. Kommission menar att det är möjligt att lämna ett konkret direktivförslag beträffande den framtida skattesatsstrukturen i slutet av år 2008 eller i början av år 2009 om man får behövlig input i arbetet. De nya reglerna skulle enligt kommissionen kunna träda i kraft vid slutet av år 2010.  </w:t>
      </w:r>
    </w:p>
    <w:p w:rsidR="00F42C3D" w:rsidRPr="000C09C0" w:rsidRDefault="00F42C3D">
      <w:pPr>
        <w:pStyle w:val="Rubrik2"/>
      </w:pPr>
      <w:r w:rsidRPr="000C09C0">
        <w:t>Rättslig grund och beslutsförfarande</w:t>
      </w:r>
    </w:p>
    <w:p w:rsidR="00F42C3D" w:rsidRPr="000C09C0" w:rsidRDefault="00F42C3D"/>
    <w:p w:rsidR="00F42C3D" w:rsidRPr="000C09C0" w:rsidRDefault="00F42C3D">
      <w:r w:rsidRPr="000C09C0">
        <w:t xml:space="preserve">De gemensamma mervärdesskattereglerna regleras i mervärdesskattedirektivet (2006/112/EG). Av artikel 93 i EG-fördraget framgår att rådet genom enhälligt beslut på förslag av KOM och efter att ha hört Europaparlamentet och den Ekonomiska och sociala kommittén, ska anta bestämmelser om harmoniseringen av bl.a. omsättningsskatter, för att säkerställa att den inre marknaden fungerar. </w:t>
      </w:r>
    </w:p>
    <w:p w:rsidR="00F42C3D" w:rsidRPr="000C09C0" w:rsidRDefault="00F42C3D">
      <w:pPr>
        <w:pStyle w:val="Rubrik2"/>
      </w:pPr>
      <w:r w:rsidRPr="000C09C0">
        <w:t>Fackuttryck/termer</w:t>
      </w:r>
    </w:p>
    <w:p w:rsidR="00F42C3D" w:rsidRPr="000C09C0" w:rsidRDefault="00F42C3D"/>
    <w:p w:rsidR="00F42C3D" w:rsidRPr="000C09C0" w:rsidRDefault="00F42C3D">
      <w:r w:rsidRPr="000C09C0">
        <w:t>Nollskattesats = Skatteplikt kombinerad med avdragsrätt för ingående moms.</w:t>
      </w:r>
    </w:p>
    <w:p w:rsidR="00F42C3D" w:rsidRPr="000C09C0" w:rsidRDefault="00F42C3D"/>
    <w:sectPr w:rsidR="00F42C3D" w:rsidRPr="000C09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C3D" w:rsidRPr="000C09C0" w:rsidRDefault="00F42C3D">
      <w:r w:rsidRPr="000C09C0">
        <w:separator/>
      </w:r>
    </w:p>
  </w:endnote>
  <w:endnote w:type="continuationSeparator" w:id="0">
    <w:p w:rsidR="00F42C3D" w:rsidRPr="000C09C0" w:rsidRDefault="00F42C3D">
      <w:r w:rsidRPr="000C09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C3D" w:rsidRPr="000C09C0" w:rsidRDefault="00F42C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C3D" w:rsidRPr="000C09C0" w:rsidRDefault="00F42C3D">
    <w:pPr>
      <w:pStyle w:val="SidfotH"/>
      <w:framePr w:wrap="around"/>
    </w:pPr>
    <w:r w:rsidRPr="000C09C0">
      <w:t>2</w:t>
    </w:r>
  </w:p>
  <w:p w:rsidR="00F42C3D" w:rsidRPr="000C09C0" w:rsidRDefault="00F42C3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C3D" w:rsidRPr="000C09C0" w:rsidRDefault="00F42C3D">
    <w:pPr>
      <w:pStyle w:val="SidfotH"/>
      <w:framePr w:wrap="around"/>
    </w:pPr>
    <w:r w:rsidRPr="000C09C0">
      <w:t>1</w:t>
    </w:r>
  </w:p>
  <w:p w:rsidR="00F42C3D" w:rsidRPr="000C09C0" w:rsidRDefault="00F42C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C3D" w:rsidRPr="000C09C0" w:rsidRDefault="00F42C3D">
      <w:r w:rsidRPr="000C09C0">
        <w:separator/>
      </w:r>
    </w:p>
  </w:footnote>
  <w:footnote w:type="continuationSeparator" w:id="0">
    <w:p w:rsidR="00F42C3D" w:rsidRPr="000C09C0" w:rsidRDefault="00F42C3D">
      <w:r w:rsidRPr="000C09C0">
        <w:continuationSeparator/>
      </w:r>
    </w:p>
  </w:footnote>
  <w:footnote w:id="1">
    <w:p w:rsidR="00F42C3D" w:rsidRPr="000C09C0" w:rsidRDefault="00F42C3D">
      <w:pPr>
        <w:pStyle w:val="Fotnotstext"/>
      </w:pPr>
      <w:r w:rsidRPr="000C09C0">
        <w:rPr>
          <w:rStyle w:val="Fotnotsreferens"/>
        </w:rPr>
        <w:footnoteRef/>
      </w:r>
      <w:r w:rsidRPr="000C09C0">
        <w:t xml:space="preserve"> Study on reduced VAT applied to goods and services in the Member States of the European Union </w:t>
      </w:r>
    </w:p>
  </w:footnote>
  <w:footnote w:id="2">
    <w:p w:rsidR="00F42C3D" w:rsidRPr="000C09C0" w:rsidRDefault="00F42C3D">
      <w:pPr>
        <w:pStyle w:val="Fotnotstext"/>
      </w:pPr>
      <w:r w:rsidRPr="000C09C0">
        <w:rPr>
          <w:rStyle w:val="Fotnotsreferens"/>
        </w:rPr>
        <w:footnoteRef/>
      </w:r>
      <w:r w:rsidRPr="000C09C0">
        <w:t xml:space="preserve"> Rådets direktiv 2006/112/EG av den 28 november 2006 om ett gemensamt system för mervärdesskatt (EGT L 347, 11.12.2006, s.1)</w:t>
      </w:r>
    </w:p>
  </w:footnote>
  <w:footnote w:id="3">
    <w:p w:rsidR="00F42C3D" w:rsidRPr="000C09C0" w:rsidRDefault="00F42C3D">
      <w:pPr>
        <w:pStyle w:val="Fotnotstext"/>
      </w:pPr>
      <w:r w:rsidRPr="000C09C0">
        <w:rPr>
          <w:rStyle w:val="Fotnotsreferens"/>
        </w:rPr>
        <w:footnoteRef/>
      </w:r>
      <w:r w:rsidRPr="000C09C0">
        <w:t xml:space="preserve"> 1. Tullverket 2. Skatteverket 3. Konkurrensverket 4. Verket för Näringslivsutveckling, NUTEK  5. Företagarna 6. Landsorganisationen Sverige, 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C3D" w:rsidRPr="000C09C0" w:rsidRDefault="00F42C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C3D" w:rsidRPr="000C09C0" w:rsidRDefault="00F42C3D">
    <w:pPr>
      <w:pStyle w:val="Kantrubrik"/>
      <w:framePr w:h="1157" w:hRule="exact" w:wrap="around" w:y="738"/>
    </w:pPr>
    <w:r w:rsidRPr="000C09C0">
      <w:t>2007/08:FPM20</w:t>
    </w:r>
  </w:p>
  <w:p w:rsidR="00F42C3D" w:rsidRPr="000C09C0" w:rsidRDefault="00F42C3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C3D" w:rsidRPr="000C09C0" w:rsidRDefault="000C09C0">
    <w:pPr>
      <w:pStyle w:val="Sidhuvud"/>
    </w:pPr>
    <w:r w:rsidRPr="000C09C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03564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2C3D" w:rsidRDefault="00F42C3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4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42C3D" w:rsidRDefault="00F42C3D">
                    <w:pPr>
                      <w:pStyle w:val="Logo"/>
                    </w:pPr>
                    <w:r>
                      <w:object w:dxaOrig="840" w:dyaOrig="1545">
                        <v:shape id="_x0000_i1025" type="#_x0000_t75" style="width:42pt;height:77.15pt" filled="t">
                          <v:imagedata r:id="rId1" o:title=""/>
                        </v:shape>
                        <o:OLEObject Type="Embed" ProgID="Word.Picture.8" ShapeID="_x0000_i1025" DrawAspect="Content" ObjectID="_182749584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A8D58"/>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141A9A"/>
    <w:multiLevelType w:val="hybridMultilevel"/>
    <w:tmpl w:val="A28A12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6327D"/>
    <w:multiLevelType w:val="hybridMultilevel"/>
    <w:tmpl w:val="74149A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4D50E79"/>
    <w:multiLevelType w:val="hybridMultilevel"/>
    <w:tmpl w:val="0A86FA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4E42FCA"/>
    <w:multiLevelType w:val="hybridMultilevel"/>
    <w:tmpl w:val="3DDCA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34629197">
    <w:abstractNumId w:val="9"/>
  </w:num>
  <w:num w:numId="2" w16cid:durableId="1676611580">
    <w:abstractNumId w:val="4"/>
  </w:num>
  <w:num w:numId="3" w16cid:durableId="1613240280">
    <w:abstractNumId w:val="6"/>
  </w:num>
  <w:num w:numId="4" w16cid:durableId="1557472607">
    <w:abstractNumId w:val="7"/>
  </w:num>
  <w:num w:numId="5" w16cid:durableId="1798376045">
    <w:abstractNumId w:val="10"/>
  </w:num>
  <w:num w:numId="6" w16cid:durableId="550380515">
    <w:abstractNumId w:val="1"/>
  </w:num>
  <w:num w:numId="7" w16cid:durableId="47848168">
    <w:abstractNumId w:val="0"/>
  </w:num>
  <w:num w:numId="8" w16cid:durableId="2083017069">
    <w:abstractNumId w:val="0"/>
    <w:lvlOverride w:ilvl="0">
      <w:startOverride w:val="1"/>
    </w:lvlOverride>
  </w:num>
  <w:num w:numId="9" w16cid:durableId="159546027">
    <w:abstractNumId w:val="0"/>
    <w:lvlOverride w:ilvl="0">
      <w:startOverride w:val="1"/>
    </w:lvlOverride>
  </w:num>
  <w:num w:numId="10" w16cid:durableId="848521103">
    <w:abstractNumId w:val="0"/>
    <w:lvlOverride w:ilvl="0">
      <w:startOverride w:val="1"/>
    </w:lvlOverride>
  </w:num>
  <w:num w:numId="11" w16cid:durableId="434789603">
    <w:abstractNumId w:val="0"/>
    <w:lvlOverride w:ilvl="0">
      <w:startOverride w:val="1"/>
    </w:lvlOverride>
  </w:num>
  <w:num w:numId="12" w16cid:durableId="820778599">
    <w:abstractNumId w:val="8"/>
  </w:num>
  <w:num w:numId="13" w16cid:durableId="337930035">
    <w:abstractNumId w:val="3"/>
  </w:num>
  <w:num w:numId="14" w16cid:durableId="1606227584">
    <w:abstractNumId w:val="5"/>
  </w:num>
  <w:num w:numId="15" w16cid:durableId="1340279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08"/>
    <w:docVar w:name="Ar" w:val="2007/08"/>
    <w:docVar w:name="Dep" w:val="Finansdepartementet"/>
    <w:docVar w:name="DepWeb" w:val="Finansdepartementet"/>
    <w:docVar w:name="GDB1" w:val="KOM(2007) 380"/>
    <w:docVar w:name="GDB10" w:val=" "/>
    <w:docVar w:name="GDB11" w:val=" "/>
    <w:docVar w:name="GDB12" w:val=" "/>
    <w:docVar w:name="GDB13" w:val=" "/>
    <w:docVar w:name="GDB2" w:val="SEC(2007) 910"/>
    <w:docVar w:name="GDB3" w:val=" "/>
    <w:docVar w:name="GDB4" w:val=" "/>
    <w:docVar w:name="GDB5" w:val=" "/>
    <w:docVar w:name="GDB6" w:val=" "/>
    <w:docVar w:name="GDB7" w:val=" "/>
    <w:docVar w:name="GDB8" w:val=" "/>
    <w:docVar w:name="GDB9" w:val=" "/>
    <w:docVar w:name="GDT1" w:val="Kommissionens meddelande till rådet och Europaparlamentet om andra mervärdesskattesatser än standardsatserna för mervärdesska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380, SEC(2007) 910"/>
    <w:docVar w:name="Nr" w:val="20"/>
    <w:docVar w:name="RD_APPVERSION" w:val="3.00"/>
    <w:docVar w:name="Rub" w:val="Kommissionens meddelande om reducerade mervärdesskattesatser"/>
    <w:docVar w:name="UppDat" w:val="2007-09-28"/>
    <w:docVar w:name="Utsk" w:val="Skatteutskottet"/>
  </w:docVars>
  <w:rsids>
    <w:rsidRoot w:val="000466DB"/>
    <w:rsid w:val="000466DB"/>
    <w:rsid w:val="000C09C0"/>
    <w:rsid w:val="00F42C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B620EF-98B5-4F26-9316-EDC62CF1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styleId="Punktlista">
    <w:name w:val="List Bullet"/>
    <w:basedOn w:val="Normal"/>
    <w:pPr>
      <w:numPr>
        <w:numId w:val="7"/>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 w:type="paragraph" w:customStyle="1" w:styleId="Text2">
    <w:name w:val="Text 2"/>
    <w:basedOn w:val="Normal"/>
    <w:pPr>
      <w:spacing w:before="120" w:after="120" w:line="240" w:lineRule="auto"/>
      <w:ind w:left="850"/>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1220</Words>
  <Characters>7763</Characters>
  <Application>Microsoft Office Word</Application>
  <DocSecurity>4</DocSecurity>
  <Lines>180</Lines>
  <Paragraphs>64</Paragraphs>
  <ScaleCrop>false</ScaleCrop>
  <HeadingPairs>
    <vt:vector size="2" baseType="variant">
      <vt:variant>
        <vt:lpstr>Rubrik</vt:lpstr>
      </vt:variant>
      <vt:variant>
        <vt:i4>1</vt:i4>
      </vt:variant>
    </vt:vector>
  </HeadingPairs>
  <TitlesOfParts>
    <vt:vector size="1" baseType="lpstr">
      <vt:lpstr>FPM_200708__20</vt:lpstr>
    </vt:vector>
  </TitlesOfParts>
  <Company>RD-DTSL</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FPM_200708__20</dc:title>
  <dc:subject>FPM_200708__20</dc:subject>
  <dc:creator>Riksdagen</dc:creator>
  <cp:keywords>Riksdagen</cp:keywords>
  <dc:description>KP2004-version.  Ändringarna påverkar enbart användningen inom Riksdagen. 050429 nya departement DTSL.</dc:description>
  <cp:lastModifiedBy>Lars Brink</cp:lastModifiedBy>
  <cp:revision>2</cp:revision>
  <cp:lastPrinted>2007-11-08T15:54:00Z</cp:lastPrinted>
  <dcterms:created xsi:type="dcterms:W3CDTF">2025-12-17T11:59:00Z</dcterms:created>
  <dcterms:modified xsi:type="dcterms:W3CDTF">2025-12-17T11:59:00Z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20</vt:lpwstr>
  </property>
  <property fmtid="{D5CDD505-2E9C-101B-9397-08002B2CF9AE}" pid="4" name="GDB1">
    <vt:lpwstr>KOM(2007) 380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Kommissionens meddelande om reducerade mervärdesskattesatser</vt:lpwstr>
  </property>
  <property fmtid="{D5CDD505-2E9C-101B-9397-08002B2CF9AE}" pid="8" name="UppDat">
    <vt:lpwstr>2007-09-28</vt:lpwstr>
  </property>
  <property fmtid="{D5CDD505-2E9C-101B-9397-08002B2CF9AE}" pid="9" name="AnkDat">
    <vt:lpwstr>2007-11-08</vt:lpwstr>
  </property>
  <property fmtid="{D5CDD505-2E9C-101B-9397-08002B2CF9AE}" pid="10" name="Utsk">
    <vt:lpwstr>Skatteutskottet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SEC(2007) 910</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ies>
</file>