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B6E65" w14:textId="77777777" w:rsidR="00A12540" w:rsidRDefault="00A12540" w:rsidP="00A12540">
      <w:pPr>
        <w:pStyle w:val="UDrubrik"/>
        <w:tabs>
          <w:tab w:val="left" w:pos="1701"/>
          <w:tab w:val="left" w:pos="1985"/>
        </w:tabs>
        <w:rPr>
          <w:rFonts w:cs="Arial"/>
          <w:sz w:val="28"/>
        </w:rPr>
      </w:pPr>
    </w:p>
    <w:p w14:paraId="54CB6E66" w14:textId="77777777" w:rsidR="00A12540" w:rsidRDefault="00A12540" w:rsidP="00A12540">
      <w:pPr>
        <w:pStyle w:val="UDrubrik"/>
        <w:tabs>
          <w:tab w:val="left" w:pos="1701"/>
          <w:tab w:val="left" w:pos="1985"/>
        </w:tabs>
        <w:rPr>
          <w:rFonts w:cs="Arial"/>
          <w:sz w:val="28"/>
        </w:rPr>
      </w:pPr>
    </w:p>
    <w:p w14:paraId="54CB6E67" w14:textId="77777777" w:rsidR="00A12540" w:rsidRDefault="00A12540" w:rsidP="00A12540">
      <w:pPr>
        <w:pStyle w:val="UDrubrik"/>
        <w:tabs>
          <w:tab w:val="left" w:pos="1701"/>
          <w:tab w:val="left" w:pos="1985"/>
        </w:tabs>
        <w:rPr>
          <w:rFonts w:cs="Arial"/>
          <w:sz w:val="28"/>
        </w:rPr>
      </w:pPr>
    </w:p>
    <w:p w14:paraId="54CB6E68" w14:textId="77777777" w:rsidR="00A12540" w:rsidRDefault="00A12540" w:rsidP="00A12540">
      <w:pPr>
        <w:pStyle w:val="UDrubrik"/>
        <w:tabs>
          <w:tab w:val="left" w:pos="1701"/>
          <w:tab w:val="left" w:pos="1985"/>
        </w:tabs>
        <w:rPr>
          <w:rFonts w:cs="Arial"/>
          <w:sz w:val="28"/>
        </w:rPr>
      </w:pPr>
    </w:p>
    <w:p w14:paraId="54CB6E69" w14:textId="6DC0876C" w:rsidR="00A12540" w:rsidRDefault="00A12540" w:rsidP="00A12540">
      <w:pPr>
        <w:pStyle w:val="UDrubrik"/>
        <w:tabs>
          <w:tab w:val="left" w:pos="1701"/>
          <w:tab w:val="left" w:pos="1985"/>
        </w:tabs>
        <w:rPr>
          <w:rFonts w:cs="Arial"/>
          <w:sz w:val="28"/>
        </w:rPr>
      </w:pPr>
      <w:r>
        <w:rPr>
          <w:rFonts w:cs="Arial"/>
          <w:sz w:val="28"/>
        </w:rPr>
        <w:t>Troliga A-punkter inför kommande rådsmöten som g</w:t>
      </w:r>
      <w:r w:rsidR="00256888">
        <w:rPr>
          <w:rFonts w:cs="Arial"/>
          <w:sz w:val="28"/>
        </w:rPr>
        <w:t>odkändes vid Coreper II vecka 9, samt dp 33 vecka 8.</w:t>
      </w:r>
      <w:r w:rsidR="00F13D6B">
        <w:rPr>
          <w:rFonts w:cs="Arial"/>
          <w:sz w:val="28"/>
        </w:rPr>
        <w:t xml:space="preserve"> </w:t>
      </w:r>
    </w:p>
    <w:p w14:paraId="54CB6E6A" w14:textId="77777777" w:rsidR="00A12540" w:rsidRDefault="00A12540" w:rsidP="00A12540">
      <w:pPr>
        <w:pStyle w:val="Brdtext"/>
      </w:pPr>
    </w:p>
    <w:p w14:paraId="54CB6E6B" w14:textId="7A9B74AB" w:rsidR="00A12540" w:rsidRDefault="00A12540" w:rsidP="00A12540">
      <w:pPr>
        <w:pStyle w:val="Brdtext"/>
      </w:pPr>
      <w:r>
        <w:t>Överlämnas för skriftligt samråd till fredagen den 27 februari 2015, kl. 14.00.</w:t>
      </w:r>
    </w:p>
    <w:p w14:paraId="54CB6E6C" w14:textId="77777777" w:rsidR="00A12540" w:rsidRDefault="00A12540">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4CB6E6D" w14:textId="77777777" w:rsidR="00A12540" w:rsidRPr="00FB32B9" w:rsidRDefault="00A12540">
          <w:pPr>
            <w:pStyle w:val="Innehllsfrteckningsrubrik"/>
            <w:rPr>
              <w:color w:val="auto"/>
            </w:rPr>
          </w:pPr>
          <w:r w:rsidRPr="00FB32B9">
            <w:rPr>
              <w:color w:val="auto"/>
            </w:rPr>
            <w:t>Innehållsförteckning</w:t>
          </w:r>
        </w:p>
        <w:p w14:paraId="54CB6E6E" w14:textId="77777777" w:rsidR="00A12540" w:rsidRPr="00DA7250" w:rsidRDefault="00A12540" w:rsidP="00A12540">
          <w:pPr>
            <w:rPr>
              <w:lang w:val="en-US" w:eastAsia="ja-JP"/>
            </w:rPr>
          </w:pPr>
        </w:p>
        <w:p w14:paraId="1A358ED5" w14:textId="77777777" w:rsidR="005103D1" w:rsidRDefault="00A12540">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2711715" w:history="1">
            <w:r w:rsidR="005103D1" w:rsidRPr="00CE1C9A">
              <w:rPr>
                <w:rStyle w:val="Hyperlnk"/>
                <w:noProof/>
              </w:rPr>
              <w:t>1.</w:t>
            </w:r>
            <w:r w:rsidR="005103D1">
              <w:rPr>
                <w:rFonts w:asciiTheme="minorHAnsi" w:eastAsiaTheme="minorEastAsia" w:hAnsiTheme="minorHAnsi" w:cstheme="minorBidi"/>
                <w:noProof/>
                <w:lang w:eastAsia="sv-SE"/>
              </w:rPr>
              <w:tab/>
            </w:r>
            <w:r w:rsidR="005103D1" w:rsidRPr="00CE1C9A">
              <w:rPr>
                <w:rStyle w:val="Hyperlnk"/>
                <w:noProof/>
              </w:rPr>
              <w:t>Case before the Court of Justice of the EU –Case C-7/15 (Kanapathippilai Kanageswaran)</w:t>
            </w:r>
            <w:r w:rsidR="005103D1">
              <w:rPr>
                <w:noProof/>
                <w:webHidden/>
              </w:rPr>
              <w:tab/>
            </w:r>
            <w:r w:rsidR="005103D1">
              <w:rPr>
                <w:noProof/>
                <w:webHidden/>
              </w:rPr>
              <w:fldChar w:fldCharType="begin"/>
            </w:r>
            <w:r w:rsidR="005103D1">
              <w:rPr>
                <w:noProof/>
                <w:webHidden/>
              </w:rPr>
              <w:instrText xml:space="preserve"> PAGEREF _Toc412711715 \h </w:instrText>
            </w:r>
            <w:r w:rsidR="005103D1">
              <w:rPr>
                <w:noProof/>
                <w:webHidden/>
              </w:rPr>
            </w:r>
            <w:r w:rsidR="005103D1">
              <w:rPr>
                <w:noProof/>
                <w:webHidden/>
              </w:rPr>
              <w:fldChar w:fldCharType="separate"/>
            </w:r>
            <w:r w:rsidR="00EE25B8">
              <w:rPr>
                <w:noProof/>
                <w:webHidden/>
              </w:rPr>
              <w:t>5</w:t>
            </w:r>
            <w:r w:rsidR="005103D1">
              <w:rPr>
                <w:noProof/>
                <w:webHidden/>
              </w:rPr>
              <w:fldChar w:fldCharType="end"/>
            </w:r>
          </w:hyperlink>
        </w:p>
        <w:p w14:paraId="13B5517B" w14:textId="77777777" w:rsidR="005103D1" w:rsidRDefault="00EE25B8">
          <w:pPr>
            <w:pStyle w:val="Innehll1"/>
            <w:tabs>
              <w:tab w:val="left" w:pos="440"/>
              <w:tab w:val="right" w:leader="dot" w:pos="9062"/>
            </w:tabs>
            <w:rPr>
              <w:rFonts w:asciiTheme="minorHAnsi" w:eastAsiaTheme="minorEastAsia" w:hAnsiTheme="minorHAnsi" w:cstheme="minorBidi"/>
              <w:noProof/>
              <w:lang w:eastAsia="sv-SE"/>
            </w:rPr>
          </w:pPr>
          <w:hyperlink w:anchor="_Toc412711716" w:history="1">
            <w:r w:rsidR="005103D1" w:rsidRPr="00CE1C9A">
              <w:rPr>
                <w:rStyle w:val="Hyperlnk"/>
                <w:noProof/>
              </w:rPr>
              <w:t>2.</w:t>
            </w:r>
            <w:r w:rsidR="005103D1">
              <w:rPr>
                <w:rFonts w:asciiTheme="minorHAnsi" w:eastAsiaTheme="minorEastAsia" w:hAnsiTheme="minorHAnsi" w:cstheme="minorBidi"/>
                <w:noProof/>
                <w:lang w:eastAsia="sv-SE"/>
              </w:rPr>
              <w:tab/>
            </w:r>
            <w:r w:rsidR="005103D1" w:rsidRPr="00CE1C9A">
              <w:rPr>
                <w:rStyle w:val="Hyperlnk"/>
                <w:noProof/>
              </w:rPr>
              <w:t>Case before the Court of Justice of the European Union –Case C-31/15 P - Appeal brought by Photo USA Electronic Graphic, Inc. against the judgment of the General Court of 18 November 2014 in Case T-394/13</w:t>
            </w:r>
            <w:r w:rsidR="005103D1">
              <w:rPr>
                <w:noProof/>
                <w:webHidden/>
              </w:rPr>
              <w:tab/>
            </w:r>
            <w:r w:rsidR="005103D1">
              <w:rPr>
                <w:noProof/>
                <w:webHidden/>
              </w:rPr>
              <w:fldChar w:fldCharType="begin"/>
            </w:r>
            <w:r w:rsidR="005103D1">
              <w:rPr>
                <w:noProof/>
                <w:webHidden/>
              </w:rPr>
              <w:instrText xml:space="preserve"> PAGEREF _Toc412711716 \h </w:instrText>
            </w:r>
            <w:r w:rsidR="005103D1">
              <w:rPr>
                <w:noProof/>
                <w:webHidden/>
              </w:rPr>
            </w:r>
            <w:r w:rsidR="005103D1">
              <w:rPr>
                <w:noProof/>
                <w:webHidden/>
              </w:rPr>
              <w:fldChar w:fldCharType="separate"/>
            </w:r>
            <w:r>
              <w:rPr>
                <w:noProof/>
                <w:webHidden/>
              </w:rPr>
              <w:t>5</w:t>
            </w:r>
            <w:r w:rsidR="005103D1">
              <w:rPr>
                <w:noProof/>
                <w:webHidden/>
              </w:rPr>
              <w:fldChar w:fldCharType="end"/>
            </w:r>
          </w:hyperlink>
        </w:p>
        <w:p w14:paraId="2E0395D4" w14:textId="77777777" w:rsidR="005103D1" w:rsidRDefault="00EE25B8">
          <w:pPr>
            <w:pStyle w:val="Innehll1"/>
            <w:tabs>
              <w:tab w:val="left" w:pos="440"/>
              <w:tab w:val="right" w:leader="dot" w:pos="9062"/>
            </w:tabs>
            <w:rPr>
              <w:rFonts w:asciiTheme="minorHAnsi" w:eastAsiaTheme="minorEastAsia" w:hAnsiTheme="minorHAnsi" w:cstheme="minorBidi"/>
              <w:noProof/>
              <w:lang w:eastAsia="sv-SE"/>
            </w:rPr>
          </w:pPr>
          <w:hyperlink w:anchor="_Toc412711717" w:history="1">
            <w:r w:rsidR="005103D1" w:rsidRPr="00CE1C9A">
              <w:rPr>
                <w:rStyle w:val="Hyperlnk"/>
                <w:noProof/>
              </w:rPr>
              <w:t>3.</w:t>
            </w:r>
            <w:r w:rsidR="005103D1">
              <w:rPr>
                <w:rFonts w:asciiTheme="minorHAnsi" w:eastAsiaTheme="minorEastAsia" w:hAnsiTheme="minorHAnsi" w:cstheme="minorBidi"/>
                <w:noProof/>
                <w:lang w:eastAsia="sv-SE"/>
              </w:rPr>
              <w:tab/>
            </w:r>
            <w:r w:rsidR="005103D1" w:rsidRPr="00CE1C9A">
              <w:rPr>
                <w:rStyle w:val="Hyperlnk"/>
                <w:noProof/>
              </w:rPr>
              <w:t>Council Decision appointing an Italian member of the European Economic and Social Committee</w:t>
            </w:r>
            <w:r w:rsidR="005103D1">
              <w:rPr>
                <w:noProof/>
                <w:webHidden/>
              </w:rPr>
              <w:tab/>
            </w:r>
            <w:r w:rsidR="005103D1">
              <w:rPr>
                <w:noProof/>
                <w:webHidden/>
              </w:rPr>
              <w:fldChar w:fldCharType="begin"/>
            </w:r>
            <w:r w:rsidR="005103D1">
              <w:rPr>
                <w:noProof/>
                <w:webHidden/>
              </w:rPr>
              <w:instrText xml:space="preserve"> PAGEREF _Toc412711717 \h </w:instrText>
            </w:r>
            <w:r w:rsidR="005103D1">
              <w:rPr>
                <w:noProof/>
                <w:webHidden/>
              </w:rPr>
            </w:r>
            <w:r w:rsidR="005103D1">
              <w:rPr>
                <w:noProof/>
                <w:webHidden/>
              </w:rPr>
              <w:fldChar w:fldCharType="separate"/>
            </w:r>
            <w:r>
              <w:rPr>
                <w:noProof/>
                <w:webHidden/>
              </w:rPr>
              <w:t>5</w:t>
            </w:r>
            <w:r w:rsidR="005103D1">
              <w:rPr>
                <w:noProof/>
                <w:webHidden/>
              </w:rPr>
              <w:fldChar w:fldCharType="end"/>
            </w:r>
          </w:hyperlink>
        </w:p>
        <w:p w14:paraId="5A97BE0E" w14:textId="77777777" w:rsidR="005103D1" w:rsidRDefault="00EE25B8">
          <w:pPr>
            <w:pStyle w:val="Innehll1"/>
            <w:tabs>
              <w:tab w:val="left" w:pos="440"/>
              <w:tab w:val="right" w:leader="dot" w:pos="9062"/>
            </w:tabs>
            <w:rPr>
              <w:rFonts w:asciiTheme="minorHAnsi" w:eastAsiaTheme="minorEastAsia" w:hAnsiTheme="minorHAnsi" w:cstheme="minorBidi"/>
              <w:noProof/>
              <w:lang w:eastAsia="sv-SE"/>
            </w:rPr>
          </w:pPr>
          <w:hyperlink w:anchor="_Toc412711718" w:history="1">
            <w:r w:rsidR="005103D1" w:rsidRPr="00CE1C9A">
              <w:rPr>
                <w:rStyle w:val="Hyperlnk"/>
                <w:noProof/>
              </w:rPr>
              <w:t>4.</w:t>
            </w:r>
            <w:r w:rsidR="005103D1">
              <w:rPr>
                <w:rFonts w:asciiTheme="minorHAnsi" w:eastAsiaTheme="minorEastAsia" w:hAnsiTheme="minorHAnsi" w:cstheme="minorBidi"/>
                <w:noProof/>
                <w:lang w:eastAsia="sv-SE"/>
              </w:rPr>
              <w:tab/>
            </w:r>
            <w:r w:rsidR="005103D1" w:rsidRPr="00CE1C9A">
              <w:rPr>
                <w:rStyle w:val="Hyperlnk"/>
                <w:noProof/>
              </w:rPr>
              <w:t>Transparency - Public access to documents a) Confirmatory application No 01/c/01/15</w:t>
            </w:r>
            <w:r w:rsidR="005103D1">
              <w:rPr>
                <w:noProof/>
                <w:webHidden/>
              </w:rPr>
              <w:tab/>
            </w:r>
            <w:r w:rsidR="005103D1">
              <w:rPr>
                <w:noProof/>
                <w:webHidden/>
              </w:rPr>
              <w:fldChar w:fldCharType="begin"/>
            </w:r>
            <w:r w:rsidR="005103D1">
              <w:rPr>
                <w:noProof/>
                <w:webHidden/>
              </w:rPr>
              <w:instrText xml:space="preserve"> PAGEREF _Toc412711718 \h </w:instrText>
            </w:r>
            <w:r w:rsidR="005103D1">
              <w:rPr>
                <w:noProof/>
                <w:webHidden/>
              </w:rPr>
            </w:r>
            <w:r w:rsidR="005103D1">
              <w:rPr>
                <w:noProof/>
                <w:webHidden/>
              </w:rPr>
              <w:fldChar w:fldCharType="separate"/>
            </w:r>
            <w:r>
              <w:rPr>
                <w:noProof/>
                <w:webHidden/>
              </w:rPr>
              <w:t>6</w:t>
            </w:r>
            <w:r w:rsidR="005103D1">
              <w:rPr>
                <w:noProof/>
                <w:webHidden/>
              </w:rPr>
              <w:fldChar w:fldCharType="end"/>
            </w:r>
          </w:hyperlink>
        </w:p>
        <w:p w14:paraId="0A630956" w14:textId="77777777" w:rsidR="005103D1" w:rsidRDefault="00EE25B8">
          <w:pPr>
            <w:pStyle w:val="Innehll1"/>
            <w:tabs>
              <w:tab w:val="left" w:pos="440"/>
              <w:tab w:val="right" w:leader="dot" w:pos="9062"/>
            </w:tabs>
            <w:rPr>
              <w:rFonts w:asciiTheme="minorHAnsi" w:eastAsiaTheme="minorEastAsia" w:hAnsiTheme="minorHAnsi" w:cstheme="minorBidi"/>
              <w:noProof/>
              <w:lang w:eastAsia="sv-SE"/>
            </w:rPr>
          </w:pPr>
          <w:hyperlink w:anchor="_Toc412711719" w:history="1">
            <w:r w:rsidR="005103D1" w:rsidRPr="00CE1C9A">
              <w:rPr>
                <w:rStyle w:val="Hyperlnk"/>
                <w:noProof/>
              </w:rPr>
              <w:t>5.</w:t>
            </w:r>
            <w:r w:rsidR="005103D1">
              <w:rPr>
                <w:rFonts w:asciiTheme="minorHAnsi" w:eastAsiaTheme="minorEastAsia" w:hAnsiTheme="minorHAnsi" w:cstheme="minorBidi"/>
                <w:noProof/>
                <w:lang w:eastAsia="sv-SE"/>
              </w:rPr>
              <w:tab/>
            </w:r>
            <w:r w:rsidR="005103D1" w:rsidRPr="00CE1C9A">
              <w:rPr>
                <w:rStyle w:val="Hyperlnk"/>
                <w:noProof/>
              </w:rPr>
              <w:t>Transparency - Public access to documents b) Confirmatory application No 02/c/01/15</w:t>
            </w:r>
            <w:r w:rsidR="005103D1">
              <w:rPr>
                <w:noProof/>
                <w:webHidden/>
              </w:rPr>
              <w:tab/>
            </w:r>
            <w:r w:rsidR="005103D1">
              <w:rPr>
                <w:noProof/>
                <w:webHidden/>
              </w:rPr>
              <w:fldChar w:fldCharType="begin"/>
            </w:r>
            <w:r w:rsidR="005103D1">
              <w:rPr>
                <w:noProof/>
                <w:webHidden/>
              </w:rPr>
              <w:instrText xml:space="preserve"> PAGEREF _Toc412711719 \h </w:instrText>
            </w:r>
            <w:r w:rsidR="005103D1">
              <w:rPr>
                <w:noProof/>
                <w:webHidden/>
              </w:rPr>
            </w:r>
            <w:r w:rsidR="005103D1">
              <w:rPr>
                <w:noProof/>
                <w:webHidden/>
              </w:rPr>
              <w:fldChar w:fldCharType="separate"/>
            </w:r>
            <w:r>
              <w:rPr>
                <w:noProof/>
                <w:webHidden/>
              </w:rPr>
              <w:t>6</w:t>
            </w:r>
            <w:r w:rsidR="005103D1">
              <w:rPr>
                <w:noProof/>
                <w:webHidden/>
              </w:rPr>
              <w:fldChar w:fldCharType="end"/>
            </w:r>
          </w:hyperlink>
        </w:p>
        <w:p w14:paraId="1469F173" w14:textId="77777777" w:rsidR="005103D1" w:rsidRDefault="00EE25B8">
          <w:pPr>
            <w:pStyle w:val="Innehll1"/>
            <w:tabs>
              <w:tab w:val="left" w:pos="440"/>
              <w:tab w:val="right" w:leader="dot" w:pos="9062"/>
            </w:tabs>
            <w:rPr>
              <w:rFonts w:asciiTheme="minorHAnsi" w:eastAsiaTheme="minorEastAsia" w:hAnsiTheme="minorHAnsi" w:cstheme="minorBidi"/>
              <w:noProof/>
              <w:lang w:eastAsia="sv-SE"/>
            </w:rPr>
          </w:pPr>
          <w:hyperlink w:anchor="_Toc412711720" w:history="1">
            <w:r w:rsidR="005103D1" w:rsidRPr="00CE1C9A">
              <w:rPr>
                <w:rStyle w:val="Hyperlnk"/>
                <w:noProof/>
              </w:rPr>
              <w:t>6.</w:t>
            </w:r>
            <w:r w:rsidR="005103D1">
              <w:rPr>
                <w:rFonts w:asciiTheme="minorHAnsi" w:eastAsiaTheme="minorEastAsia" w:hAnsiTheme="minorHAnsi" w:cstheme="minorBidi"/>
                <w:noProof/>
                <w:lang w:eastAsia="sv-SE"/>
              </w:rPr>
              <w:tab/>
            </w:r>
            <w:r w:rsidR="005103D1" w:rsidRPr="00CE1C9A">
              <w:rPr>
                <w:rStyle w:val="Hyperlnk"/>
                <w:noProof/>
              </w:rPr>
              <w:t>Ad hoc release of classified documents to the General Court</w:t>
            </w:r>
            <w:r w:rsidR="005103D1">
              <w:rPr>
                <w:noProof/>
                <w:webHidden/>
              </w:rPr>
              <w:tab/>
            </w:r>
            <w:r w:rsidR="005103D1">
              <w:rPr>
                <w:noProof/>
                <w:webHidden/>
              </w:rPr>
              <w:fldChar w:fldCharType="begin"/>
            </w:r>
            <w:r w:rsidR="005103D1">
              <w:rPr>
                <w:noProof/>
                <w:webHidden/>
              </w:rPr>
              <w:instrText xml:space="preserve"> PAGEREF _Toc412711720 \h </w:instrText>
            </w:r>
            <w:r w:rsidR="005103D1">
              <w:rPr>
                <w:noProof/>
                <w:webHidden/>
              </w:rPr>
            </w:r>
            <w:r w:rsidR="005103D1">
              <w:rPr>
                <w:noProof/>
                <w:webHidden/>
              </w:rPr>
              <w:fldChar w:fldCharType="separate"/>
            </w:r>
            <w:r>
              <w:rPr>
                <w:noProof/>
                <w:webHidden/>
              </w:rPr>
              <w:t>6</w:t>
            </w:r>
            <w:r w:rsidR="005103D1">
              <w:rPr>
                <w:noProof/>
                <w:webHidden/>
              </w:rPr>
              <w:fldChar w:fldCharType="end"/>
            </w:r>
          </w:hyperlink>
        </w:p>
        <w:p w14:paraId="3F608E03" w14:textId="77777777" w:rsidR="005103D1" w:rsidRDefault="00EE25B8">
          <w:pPr>
            <w:pStyle w:val="Innehll1"/>
            <w:tabs>
              <w:tab w:val="left" w:pos="440"/>
              <w:tab w:val="right" w:leader="dot" w:pos="9062"/>
            </w:tabs>
            <w:rPr>
              <w:rFonts w:asciiTheme="minorHAnsi" w:eastAsiaTheme="minorEastAsia" w:hAnsiTheme="minorHAnsi" w:cstheme="minorBidi"/>
              <w:noProof/>
              <w:lang w:eastAsia="sv-SE"/>
            </w:rPr>
          </w:pPr>
          <w:hyperlink w:anchor="_Toc412711721" w:history="1">
            <w:r w:rsidR="005103D1" w:rsidRPr="00CE1C9A">
              <w:rPr>
                <w:rStyle w:val="Hyperlnk"/>
                <w:noProof/>
              </w:rPr>
              <w:t>7.</w:t>
            </w:r>
            <w:r w:rsidR="005103D1">
              <w:rPr>
                <w:rFonts w:asciiTheme="minorHAnsi" w:eastAsiaTheme="minorEastAsia" w:hAnsiTheme="minorHAnsi" w:cstheme="minorBidi"/>
                <w:noProof/>
                <w:lang w:eastAsia="sv-SE"/>
              </w:rPr>
              <w:tab/>
            </w:r>
            <w:r w:rsidR="005103D1" w:rsidRPr="00CE1C9A">
              <w:rPr>
                <w:rStyle w:val="Hyperlnk"/>
                <w:noProof/>
              </w:rPr>
              <w:t>Council Regulation (EU) No 2015/…of…amending Regulation (EC) No 2533/98 concerning the collection of statistical information by the European Central Bank</w:t>
            </w:r>
            <w:r w:rsidR="005103D1">
              <w:rPr>
                <w:noProof/>
                <w:webHidden/>
              </w:rPr>
              <w:tab/>
            </w:r>
            <w:r w:rsidR="005103D1">
              <w:rPr>
                <w:noProof/>
                <w:webHidden/>
              </w:rPr>
              <w:fldChar w:fldCharType="begin"/>
            </w:r>
            <w:r w:rsidR="005103D1">
              <w:rPr>
                <w:noProof/>
                <w:webHidden/>
              </w:rPr>
              <w:instrText xml:space="preserve"> PAGEREF _Toc412711721 \h </w:instrText>
            </w:r>
            <w:r w:rsidR="005103D1">
              <w:rPr>
                <w:noProof/>
                <w:webHidden/>
              </w:rPr>
            </w:r>
            <w:r w:rsidR="005103D1">
              <w:rPr>
                <w:noProof/>
                <w:webHidden/>
              </w:rPr>
              <w:fldChar w:fldCharType="separate"/>
            </w:r>
            <w:r>
              <w:rPr>
                <w:noProof/>
                <w:webHidden/>
              </w:rPr>
              <w:t>7</w:t>
            </w:r>
            <w:r w:rsidR="005103D1">
              <w:rPr>
                <w:noProof/>
                <w:webHidden/>
              </w:rPr>
              <w:fldChar w:fldCharType="end"/>
            </w:r>
          </w:hyperlink>
        </w:p>
        <w:p w14:paraId="7634DCA2" w14:textId="77777777" w:rsidR="005103D1" w:rsidRDefault="00EE25B8">
          <w:pPr>
            <w:pStyle w:val="Innehll1"/>
            <w:tabs>
              <w:tab w:val="left" w:pos="440"/>
              <w:tab w:val="right" w:leader="dot" w:pos="9062"/>
            </w:tabs>
            <w:rPr>
              <w:rFonts w:asciiTheme="minorHAnsi" w:eastAsiaTheme="minorEastAsia" w:hAnsiTheme="minorHAnsi" w:cstheme="minorBidi"/>
              <w:noProof/>
              <w:lang w:eastAsia="sv-SE"/>
            </w:rPr>
          </w:pPr>
          <w:hyperlink w:anchor="_Toc412711722" w:history="1">
            <w:r w:rsidR="005103D1" w:rsidRPr="00CE1C9A">
              <w:rPr>
                <w:rStyle w:val="Hyperlnk"/>
                <w:noProof/>
              </w:rPr>
              <w:t>8.</w:t>
            </w:r>
            <w:r w:rsidR="005103D1">
              <w:rPr>
                <w:rFonts w:asciiTheme="minorHAnsi" w:eastAsiaTheme="minorEastAsia" w:hAnsiTheme="minorHAnsi" w:cstheme="minorBidi"/>
                <w:noProof/>
                <w:lang w:eastAsia="sv-SE"/>
              </w:rPr>
              <w:tab/>
            </w:r>
            <w:r w:rsidR="005103D1" w:rsidRPr="00CE1C9A">
              <w:rPr>
                <w:rStyle w:val="Hyperlnk"/>
                <w:noProof/>
              </w:rPr>
              <w:t>Submission of the new draft designs of German commemorative 2 euro coins</w:t>
            </w:r>
            <w:r w:rsidR="005103D1">
              <w:rPr>
                <w:noProof/>
                <w:webHidden/>
              </w:rPr>
              <w:tab/>
            </w:r>
            <w:r w:rsidR="005103D1">
              <w:rPr>
                <w:noProof/>
                <w:webHidden/>
              </w:rPr>
              <w:fldChar w:fldCharType="begin"/>
            </w:r>
            <w:r w:rsidR="005103D1">
              <w:rPr>
                <w:noProof/>
                <w:webHidden/>
              </w:rPr>
              <w:instrText xml:space="preserve"> PAGEREF _Toc412711722 \h </w:instrText>
            </w:r>
            <w:r w:rsidR="005103D1">
              <w:rPr>
                <w:noProof/>
                <w:webHidden/>
              </w:rPr>
            </w:r>
            <w:r w:rsidR="005103D1">
              <w:rPr>
                <w:noProof/>
                <w:webHidden/>
              </w:rPr>
              <w:fldChar w:fldCharType="separate"/>
            </w:r>
            <w:r>
              <w:rPr>
                <w:noProof/>
                <w:webHidden/>
              </w:rPr>
              <w:t>7</w:t>
            </w:r>
            <w:r w:rsidR="005103D1">
              <w:rPr>
                <w:noProof/>
                <w:webHidden/>
              </w:rPr>
              <w:fldChar w:fldCharType="end"/>
            </w:r>
          </w:hyperlink>
        </w:p>
        <w:p w14:paraId="650120FF" w14:textId="77777777" w:rsidR="005103D1" w:rsidRDefault="00EE25B8">
          <w:pPr>
            <w:pStyle w:val="Innehll1"/>
            <w:tabs>
              <w:tab w:val="left" w:pos="440"/>
              <w:tab w:val="right" w:leader="dot" w:pos="9062"/>
            </w:tabs>
            <w:rPr>
              <w:rFonts w:asciiTheme="minorHAnsi" w:eastAsiaTheme="minorEastAsia" w:hAnsiTheme="minorHAnsi" w:cstheme="minorBidi"/>
              <w:noProof/>
              <w:lang w:eastAsia="sv-SE"/>
            </w:rPr>
          </w:pPr>
          <w:hyperlink w:anchor="_Toc412711723" w:history="1">
            <w:r w:rsidR="005103D1" w:rsidRPr="00CE1C9A">
              <w:rPr>
                <w:rStyle w:val="Hyperlnk"/>
                <w:noProof/>
              </w:rPr>
              <w:t>9.</w:t>
            </w:r>
            <w:r w:rsidR="005103D1">
              <w:rPr>
                <w:rFonts w:asciiTheme="minorHAnsi" w:eastAsiaTheme="minorEastAsia" w:hAnsiTheme="minorHAnsi" w:cstheme="minorBidi"/>
                <w:noProof/>
                <w:lang w:eastAsia="sv-SE"/>
              </w:rPr>
              <w:tab/>
            </w:r>
            <w:r w:rsidR="005103D1" w:rsidRPr="00CE1C9A">
              <w:rPr>
                <w:rStyle w:val="Hyperlnk"/>
                <w:noProof/>
              </w:rPr>
              <w:t>Submission of the new draft designs of Maltese commemorative 2 euro coins</w:t>
            </w:r>
            <w:r w:rsidR="005103D1">
              <w:rPr>
                <w:noProof/>
                <w:webHidden/>
              </w:rPr>
              <w:tab/>
            </w:r>
            <w:r w:rsidR="005103D1">
              <w:rPr>
                <w:noProof/>
                <w:webHidden/>
              </w:rPr>
              <w:fldChar w:fldCharType="begin"/>
            </w:r>
            <w:r w:rsidR="005103D1">
              <w:rPr>
                <w:noProof/>
                <w:webHidden/>
              </w:rPr>
              <w:instrText xml:space="preserve"> PAGEREF _Toc412711723 \h </w:instrText>
            </w:r>
            <w:r w:rsidR="005103D1">
              <w:rPr>
                <w:noProof/>
                <w:webHidden/>
              </w:rPr>
            </w:r>
            <w:r w:rsidR="005103D1">
              <w:rPr>
                <w:noProof/>
                <w:webHidden/>
              </w:rPr>
              <w:fldChar w:fldCharType="separate"/>
            </w:r>
            <w:r>
              <w:rPr>
                <w:noProof/>
                <w:webHidden/>
              </w:rPr>
              <w:t>7</w:t>
            </w:r>
            <w:r w:rsidR="005103D1">
              <w:rPr>
                <w:noProof/>
                <w:webHidden/>
              </w:rPr>
              <w:fldChar w:fldCharType="end"/>
            </w:r>
          </w:hyperlink>
        </w:p>
        <w:p w14:paraId="775BB0EC"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24" w:history="1">
            <w:r w:rsidR="005103D1" w:rsidRPr="00CE1C9A">
              <w:rPr>
                <w:rStyle w:val="Hyperlnk"/>
                <w:noProof/>
              </w:rPr>
              <w:t>10.</w:t>
            </w:r>
            <w:r w:rsidR="005103D1">
              <w:rPr>
                <w:rFonts w:asciiTheme="minorHAnsi" w:eastAsiaTheme="minorEastAsia" w:hAnsiTheme="minorHAnsi" w:cstheme="minorBidi"/>
                <w:noProof/>
                <w:lang w:eastAsia="sv-SE"/>
              </w:rPr>
              <w:tab/>
            </w:r>
            <w:r w:rsidR="005103D1" w:rsidRPr="00CE1C9A">
              <w:rPr>
                <w:rStyle w:val="Hyperlnk"/>
                <w:noProof/>
              </w:rPr>
              <w:t>Council Implementing Decision authorising the United Kingdom to apply differentiated levels of taxation to motor fuels in certain geographical areas, in accordance with Article 19 of Directive 2003/96/EC</w:t>
            </w:r>
            <w:r w:rsidR="005103D1">
              <w:rPr>
                <w:noProof/>
                <w:webHidden/>
              </w:rPr>
              <w:tab/>
            </w:r>
            <w:r w:rsidR="005103D1">
              <w:rPr>
                <w:noProof/>
                <w:webHidden/>
              </w:rPr>
              <w:fldChar w:fldCharType="begin"/>
            </w:r>
            <w:r w:rsidR="005103D1">
              <w:rPr>
                <w:noProof/>
                <w:webHidden/>
              </w:rPr>
              <w:instrText xml:space="preserve"> PAGEREF _Toc412711724 \h </w:instrText>
            </w:r>
            <w:r w:rsidR="005103D1">
              <w:rPr>
                <w:noProof/>
                <w:webHidden/>
              </w:rPr>
            </w:r>
            <w:r w:rsidR="005103D1">
              <w:rPr>
                <w:noProof/>
                <w:webHidden/>
              </w:rPr>
              <w:fldChar w:fldCharType="separate"/>
            </w:r>
            <w:r>
              <w:rPr>
                <w:noProof/>
                <w:webHidden/>
              </w:rPr>
              <w:t>8</w:t>
            </w:r>
            <w:r w:rsidR="005103D1">
              <w:rPr>
                <w:noProof/>
                <w:webHidden/>
              </w:rPr>
              <w:fldChar w:fldCharType="end"/>
            </w:r>
          </w:hyperlink>
        </w:p>
        <w:p w14:paraId="139F4938"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25" w:history="1">
            <w:r w:rsidR="005103D1" w:rsidRPr="00CE1C9A">
              <w:rPr>
                <w:rStyle w:val="Hyperlnk"/>
                <w:noProof/>
              </w:rPr>
              <w:t>11.</w:t>
            </w:r>
            <w:r w:rsidR="005103D1">
              <w:rPr>
                <w:rFonts w:asciiTheme="minorHAnsi" w:eastAsiaTheme="minorEastAsia" w:hAnsiTheme="minorHAnsi" w:cstheme="minorBidi"/>
                <w:noProof/>
                <w:lang w:eastAsia="sv-SE"/>
              </w:rPr>
              <w:tab/>
            </w:r>
            <w:r w:rsidR="005103D1" w:rsidRPr="00CE1C9A">
              <w:rPr>
                <w:rStyle w:val="Hyperlnk"/>
                <w:noProof/>
              </w:rPr>
              <w:t>Communication from the Commission to the European Parliament, the Council and the European Economic and Social Committee on the work of the EU Joint Transfer Pricing Forum in the period July 2012 to January 2014</w:t>
            </w:r>
            <w:r w:rsidR="005103D1">
              <w:rPr>
                <w:noProof/>
                <w:webHidden/>
              </w:rPr>
              <w:tab/>
            </w:r>
            <w:r w:rsidR="005103D1">
              <w:rPr>
                <w:noProof/>
                <w:webHidden/>
              </w:rPr>
              <w:fldChar w:fldCharType="begin"/>
            </w:r>
            <w:r w:rsidR="005103D1">
              <w:rPr>
                <w:noProof/>
                <w:webHidden/>
              </w:rPr>
              <w:instrText xml:space="preserve"> PAGEREF _Toc412711725 \h </w:instrText>
            </w:r>
            <w:r w:rsidR="005103D1">
              <w:rPr>
                <w:noProof/>
                <w:webHidden/>
              </w:rPr>
            </w:r>
            <w:r w:rsidR="005103D1">
              <w:rPr>
                <w:noProof/>
                <w:webHidden/>
              </w:rPr>
              <w:fldChar w:fldCharType="separate"/>
            </w:r>
            <w:r>
              <w:rPr>
                <w:noProof/>
                <w:webHidden/>
              </w:rPr>
              <w:t>9</w:t>
            </w:r>
            <w:r w:rsidR="005103D1">
              <w:rPr>
                <w:noProof/>
                <w:webHidden/>
              </w:rPr>
              <w:fldChar w:fldCharType="end"/>
            </w:r>
          </w:hyperlink>
        </w:p>
        <w:p w14:paraId="60C8AA01"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26" w:history="1">
            <w:r w:rsidR="005103D1" w:rsidRPr="00CE1C9A">
              <w:rPr>
                <w:rStyle w:val="Hyperlnk"/>
                <w:noProof/>
              </w:rPr>
              <w:t>12.</w:t>
            </w:r>
            <w:r w:rsidR="005103D1">
              <w:rPr>
                <w:rFonts w:asciiTheme="minorHAnsi" w:eastAsiaTheme="minorEastAsia" w:hAnsiTheme="minorHAnsi" w:cstheme="minorBidi"/>
                <w:noProof/>
                <w:lang w:eastAsia="sv-SE"/>
              </w:rPr>
              <w:tab/>
            </w:r>
            <w:r w:rsidR="005103D1" w:rsidRPr="00CE1C9A">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EGF/2013/007 BE/Hainaut steel (Duferco-NLMK) from Belgium) –Proposal for transfer of appropriations No DEC 02/2015 within Section III - Commission - of the general budget for 2015</w:t>
            </w:r>
            <w:r w:rsidR="005103D1">
              <w:rPr>
                <w:noProof/>
                <w:webHidden/>
              </w:rPr>
              <w:tab/>
            </w:r>
            <w:r w:rsidR="005103D1">
              <w:rPr>
                <w:noProof/>
                <w:webHidden/>
              </w:rPr>
              <w:fldChar w:fldCharType="begin"/>
            </w:r>
            <w:r w:rsidR="005103D1">
              <w:rPr>
                <w:noProof/>
                <w:webHidden/>
              </w:rPr>
              <w:instrText xml:space="preserve"> PAGEREF _Toc412711726 \h </w:instrText>
            </w:r>
            <w:r w:rsidR="005103D1">
              <w:rPr>
                <w:noProof/>
                <w:webHidden/>
              </w:rPr>
            </w:r>
            <w:r w:rsidR="005103D1">
              <w:rPr>
                <w:noProof/>
                <w:webHidden/>
              </w:rPr>
              <w:fldChar w:fldCharType="separate"/>
            </w:r>
            <w:r>
              <w:rPr>
                <w:noProof/>
                <w:webHidden/>
              </w:rPr>
              <w:t>9</w:t>
            </w:r>
            <w:r w:rsidR="005103D1">
              <w:rPr>
                <w:noProof/>
                <w:webHidden/>
              </w:rPr>
              <w:fldChar w:fldCharType="end"/>
            </w:r>
          </w:hyperlink>
        </w:p>
        <w:p w14:paraId="0D2EDF34"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27" w:history="1">
            <w:r w:rsidR="005103D1" w:rsidRPr="00CE1C9A">
              <w:rPr>
                <w:rStyle w:val="Hyperlnk"/>
                <w:noProof/>
              </w:rPr>
              <w:t>13.</w:t>
            </w:r>
            <w:r w:rsidR="005103D1">
              <w:rPr>
                <w:rFonts w:asciiTheme="minorHAnsi" w:eastAsiaTheme="minorEastAsia" w:hAnsiTheme="minorHAnsi" w:cstheme="minorBidi"/>
                <w:noProof/>
                <w:lang w:eastAsia="sv-SE"/>
              </w:rPr>
              <w:tab/>
            </w:r>
            <w:r w:rsidR="005103D1" w:rsidRPr="00CE1C9A">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EGF/2014/011 BE/Caterpillar from Belgium) –Proposal for transfer of appropriations No DEC 03/2015 within Section III - Commission - of the general budget for 2015</w:t>
            </w:r>
            <w:r w:rsidR="005103D1">
              <w:rPr>
                <w:noProof/>
                <w:webHidden/>
              </w:rPr>
              <w:tab/>
            </w:r>
            <w:r w:rsidR="005103D1">
              <w:rPr>
                <w:noProof/>
                <w:webHidden/>
              </w:rPr>
              <w:fldChar w:fldCharType="begin"/>
            </w:r>
            <w:r w:rsidR="005103D1">
              <w:rPr>
                <w:noProof/>
                <w:webHidden/>
              </w:rPr>
              <w:instrText xml:space="preserve"> PAGEREF _Toc412711727 \h </w:instrText>
            </w:r>
            <w:r w:rsidR="005103D1">
              <w:rPr>
                <w:noProof/>
                <w:webHidden/>
              </w:rPr>
            </w:r>
            <w:r w:rsidR="005103D1">
              <w:rPr>
                <w:noProof/>
                <w:webHidden/>
              </w:rPr>
              <w:fldChar w:fldCharType="separate"/>
            </w:r>
            <w:r>
              <w:rPr>
                <w:noProof/>
                <w:webHidden/>
              </w:rPr>
              <w:t>10</w:t>
            </w:r>
            <w:r w:rsidR="005103D1">
              <w:rPr>
                <w:noProof/>
                <w:webHidden/>
              </w:rPr>
              <w:fldChar w:fldCharType="end"/>
            </w:r>
          </w:hyperlink>
        </w:p>
        <w:p w14:paraId="5A358483"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28" w:history="1">
            <w:r w:rsidR="005103D1" w:rsidRPr="00CE1C9A">
              <w:rPr>
                <w:rStyle w:val="Hyperlnk"/>
                <w:noProof/>
              </w:rPr>
              <w:t>14.</w:t>
            </w:r>
            <w:r w:rsidR="005103D1">
              <w:rPr>
                <w:rFonts w:asciiTheme="minorHAnsi" w:eastAsiaTheme="minorEastAsia" w:hAnsiTheme="minorHAnsi" w:cstheme="minorBidi"/>
                <w:noProof/>
                <w:lang w:eastAsia="sv-SE"/>
              </w:rPr>
              <w:tab/>
            </w:r>
            <w:r w:rsidR="005103D1" w:rsidRPr="00CE1C9A">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EGF/2014/012 BE/Arcelor Mittal from Belgium) –Proposal for transfer of appropriations No DEC 04/2015 within Section III - Commission - of the general budget for 2015</w:t>
            </w:r>
            <w:r w:rsidR="005103D1">
              <w:rPr>
                <w:noProof/>
                <w:webHidden/>
              </w:rPr>
              <w:tab/>
            </w:r>
            <w:r w:rsidR="005103D1">
              <w:rPr>
                <w:noProof/>
                <w:webHidden/>
              </w:rPr>
              <w:fldChar w:fldCharType="begin"/>
            </w:r>
            <w:r w:rsidR="005103D1">
              <w:rPr>
                <w:noProof/>
                <w:webHidden/>
              </w:rPr>
              <w:instrText xml:space="preserve"> PAGEREF _Toc412711728 \h </w:instrText>
            </w:r>
            <w:r w:rsidR="005103D1">
              <w:rPr>
                <w:noProof/>
                <w:webHidden/>
              </w:rPr>
            </w:r>
            <w:r w:rsidR="005103D1">
              <w:rPr>
                <w:noProof/>
                <w:webHidden/>
              </w:rPr>
              <w:fldChar w:fldCharType="separate"/>
            </w:r>
            <w:r>
              <w:rPr>
                <w:noProof/>
                <w:webHidden/>
              </w:rPr>
              <w:t>11</w:t>
            </w:r>
            <w:r w:rsidR="005103D1">
              <w:rPr>
                <w:noProof/>
                <w:webHidden/>
              </w:rPr>
              <w:fldChar w:fldCharType="end"/>
            </w:r>
          </w:hyperlink>
        </w:p>
        <w:p w14:paraId="52297F63"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29" w:history="1">
            <w:r w:rsidR="005103D1" w:rsidRPr="00CE1C9A">
              <w:rPr>
                <w:rStyle w:val="Hyperlnk"/>
                <w:noProof/>
              </w:rPr>
              <w:t>15.</w:t>
            </w:r>
            <w:r w:rsidR="005103D1">
              <w:rPr>
                <w:rFonts w:asciiTheme="minorHAnsi" w:eastAsiaTheme="minorEastAsia" w:hAnsiTheme="minorHAnsi" w:cstheme="minorBidi"/>
                <w:noProof/>
                <w:lang w:eastAsia="sv-SE"/>
              </w:rPr>
              <w:tab/>
            </w:r>
            <w:r w:rsidR="005103D1" w:rsidRPr="00CE1C9A">
              <w:rPr>
                <w:rStyle w:val="Hyperlnk"/>
                <w:noProof/>
              </w:rPr>
              <w:t xml:space="preserve">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w:t>
            </w:r>
            <w:r w:rsidR="005103D1" w:rsidRPr="00CE1C9A">
              <w:rPr>
                <w:rStyle w:val="Hyperlnk"/>
                <w:noProof/>
              </w:rPr>
              <w:lastRenderedPageBreak/>
              <w:t>on budgetary discipline, on cooperation in budgetary matters and on sound financial management (application EGF/2014/014 DE/Aleo Solar from Germany) –Proposal for transfer of appropriations No DEC 05/2015 within Section III - Commission - of the general budget for 2015</w:t>
            </w:r>
            <w:r w:rsidR="005103D1">
              <w:rPr>
                <w:noProof/>
                <w:webHidden/>
              </w:rPr>
              <w:tab/>
            </w:r>
            <w:r w:rsidR="005103D1">
              <w:rPr>
                <w:noProof/>
                <w:webHidden/>
              </w:rPr>
              <w:fldChar w:fldCharType="begin"/>
            </w:r>
            <w:r w:rsidR="005103D1">
              <w:rPr>
                <w:noProof/>
                <w:webHidden/>
              </w:rPr>
              <w:instrText xml:space="preserve"> PAGEREF _Toc412711729 \h </w:instrText>
            </w:r>
            <w:r w:rsidR="005103D1">
              <w:rPr>
                <w:noProof/>
                <w:webHidden/>
              </w:rPr>
            </w:r>
            <w:r w:rsidR="005103D1">
              <w:rPr>
                <w:noProof/>
                <w:webHidden/>
              </w:rPr>
              <w:fldChar w:fldCharType="separate"/>
            </w:r>
            <w:r>
              <w:rPr>
                <w:noProof/>
                <w:webHidden/>
              </w:rPr>
              <w:t>11</w:t>
            </w:r>
            <w:r w:rsidR="005103D1">
              <w:rPr>
                <w:noProof/>
                <w:webHidden/>
              </w:rPr>
              <w:fldChar w:fldCharType="end"/>
            </w:r>
          </w:hyperlink>
        </w:p>
        <w:p w14:paraId="1D08E517"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30" w:history="1">
            <w:r w:rsidR="005103D1" w:rsidRPr="00CE1C9A">
              <w:rPr>
                <w:rStyle w:val="Hyperlnk"/>
                <w:noProof/>
              </w:rPr>
              <w:t>16.</w:t>
            </w:r>
            <w:r w:rsidR="005103D1">
              <w:rPr>
                <w:rFonts w:asciiTheme="minorHAnsi" w:eastAsiaTheme="minorEastAsia" w:hAnsiTheme="minorHAnsi" w:cstheme="minorBidi"/>
                <w:noProof/>
                <w:lang w:eastAsia="sv-SE"/>
              </w:rPr>
              <w:tab/>
            </w:r>
            <w:r w:rsidR="005103D1" w:rsidRPr="00CE1C9A">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EGF/2013/009 PL/Zachem from Poland) –Proposal for transfer of appropriations No DEC 06/2015 within Section III - Commission - of the general budget for 2015</w:t>
            </w:r>
            <w:r w:rsidR="005103D1">
              <w:rPr>
                <w:noProof/>
                <w:webHidden/>
              </w:rPr>
              <w:tab/>
            </w:r>
            <w:r w:rsidR="005103D1">
              <w:rPr>
                <w:noProof/>
                <w:webHidden/>
              </w:rPr>
              <w:fldChar w:fldCharType="begin"/>
            </w:r>
            <w:r w:rsidR="005103D1">
              <w:rPr>
                <w:noProof/>
                <w:webHidden/>
              </w:rPr>
              <w:instrText xml:space="preserve"> PAGEREF _Toc412711730 \h </w:instrText>
            </w:r>
            <w:r w:rsidR="005103D1">
              <w:rPr>
                <w:noProof/>
                <w:webHidden/>
              </w:rPr>
            </w:r>
            <w:r w:rsidR="005103D1">
              <w:rPr>
                <w:noProof/>
                <w:webHidden/>
              </w:rPr>
              <w:fldChar w:fldCharType="separate"/>
            </w:r>
            <w:r>
              <w:rPr>
                <w:noProof/>
                <w:webHidden/>
              </w:rPr>
              <w:t>12</w:t>
            </w:r>
            <w:r w:rsidR="005103D1">
              <w:rPr>
                <w:noProof/>
                <w:webHidden/>
              </w:rPr>
              <w:fldChar w:fldCharType="end"/>
            </w:r>
          </w:hyperlink>
        </w:p>
        <w:p w14:paraId="79495AF3"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31" w:history="1">
            <w:r w:rsidR="005103D1" w:rsidRPr="00CE1C9A">
              <w:rPr>
                <w:rStyle w:val="Hyperlnk"/>
                <w:noProof/>
              </w:rPr>
              <w:t>17.</w:t>
            </w:r>
            <w:r w:rsidR="005103D1">
              <w:rPr>
                <w:rFonts w:asciiTheme="minorHAnsi" w:eastAsiaTheme="minorEastAsia" w:hAnsiTheme="minorHAnsi" w:cstheme="minorBidi"/>
                <w:noProof/>
                <w:lang w:eastAsia="sv-SE"/>
              </w:rPr>
              <w:tab/>
            </w:r>
            <w:r w:rsidR="005103D1" w:rsidRPr="00CE1C9A">
              <w:rPr>
                <w:rStyle w:val="Hyperlnk"/>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EGF/2013/011 BE/Sain-Gobaint Sekurit from Belgium) –Proposal for transfer of appropriations No DEC 07/2015 within Section III - Commission - of the general budget for 2015</w:t>
            </w:r>
            <w:r w:rsidR="005103D1">
              <w:rPr>
                <w:noProof/>
                <w:webHidden/>
              </w:rPr>
              <w:tab/>
            </w:r>
            <w:r w:rsidR="005103D1">
              <w:rPr>
                <w:noProof/>
                <w:webHidden/>
              </w:rPr>
              <w:fldChar w:fldCharType="begin"/>
            </w:r>
            <w:r w:rsidR="005103D1">
              <w:rPr>
                <w:noProof/>
                <w:webHidden/>
              </w:rPr>
              <w:instrText xml:space="preserve"> PAGEREF _Toc412711731 \h </w:instrText>
            </w:r>
            <w:r w:rsidR="005103D1">
              <w:rPr>
                <w:noProof/>
                <w:webHidden/>
              </w:rPr>
            </w:r>
            <w:r w:rsidR="005103D1">
              <w:rPr>
                <w:noProof/>
                <w:webHidden/>
              </w:rPr>
              <w:fldChar w:fldCharType="separate"/>
            </w:r>
            <w:r>
              <w:rPr>
                <w:noProof/>
                <w:webHidden/>
              </w:rPr>
              <w:t>12</w:t>
            </w:r>
            <w:r w:rsidR="005103D1">
              <w:rPr>
                <w:noProof/>
                <w:webHidden/>
              </w:rPr>
              <w:fldChar w:fldCharType="end"/>
            </w:r>
          </w:hyperlink>
        </w:p>
        <w:p w14:paraId="0E3313F1"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32" w:history="1">
            <w:r w:rsidR="005103D1" w:rsidRPr="00CE1C9A">
              <w:rPr>
                <w:rStyle w:val="Hyperlnk"/>
                <w:noProof/>
              </w:rPr>
              <w:t>18.</w:t>
            </w:r>
            <w:r w:rsidR="005103D1">
              <w:rPr>
                <w:rFonts w:asciiTheme="minorHAnsi" w:eastAsiaTheme="minorEastAsia" w:hAnsiTheme="minorHAnsi" w:cstheme="minorBidi"/>
                <w:noProof/>
                <w:lang w:eastAsia="sv-SE"/>
              </w:rPr>
              <w:tab/>
            </w:r>
            <w:r w:rsidR="005103D1" w:rsidRPr="00CE1C9A">
              <w:rPr>
                <w:rStyle w:val="Hyperlnk"/>
                <w:noProof/>
              </w:rPr>
              <w:t>Proposal for a Regulation of the European Parliament and of the Council on the safeguard measures provided for in the Agreement between the European Economic Community and the Republic of Iceland (codification) (First reading) (LA)</w:t>
            </w:r>
            <w:r w:rsidR="005103D1">
              <w:rPr>
                <w:noProof/>
                <w:webHidden/>
              </w:rPr>
              <w:tab/>
            </w:r>
            <w:r w:rsidR="005103D1">
              <w:rPr>
                <w:noProof/>
                <w:webHidden/>
              </w:rPr>
              <w:fldChar w:fldCharType="begin"/>
            </w:r>
            <w:r w:rsidR="005103D1">
              <w:rPr>
                <w:noProof/>
                <w:webHidden/>
              </w:rPr>
              <w:instrText xml:space="preserve"> PAGEREF _Toc412711732 \h </w:instrText>
            </w:r>
            <w:r w:rsidR="005103D1">
              <w:rPr>
                <w:noProof/>
                <w:webHidden/>
              </w:rPr>
            </w:r>
            <w:r w:rsidR="005103D1">
              <w:rPr>
                <w:noProof/>
                <w:webHidden/>
              </w:rPr>
              <w:fldChar w:fldCharType="separate"/>
            </w:r>
            <w:r>
              <w:rPr>
                <w:noProof/>
                <w:webHidden/>
              </w:rPr>
              <w:t>13</w:t>
            </w:r>
            <w:r w:rsidR="005103D1">
              <w:rPr>
                <w:noProof/>
                <w:webHidden/>
              </w:rPr>
              <w:fldChar w:fldCharType="end"/>
            </w:r>
          </w:hyperlink>
        </w:p>
        <w:p w14:paraId="5890BB2C"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33" w:history="1">
            <w:r w:rsidR="005103D1" w:rsidRPr="00CE1C9A">
              <w:rPr>
                <w:rStyle w:val="Hyperlnk"/>
                <w:noProof/>
              </w:rPr>
              <w:t>19.</w:t>
            </w:r>
            <w:r w:rsidR="005103D1">
              <w:rPr>
                <w:rFonts w:asciiTheme="minorHAnsi" w:eastAsiaTheme="minorEastAsia" w:hAnsiTheme="minorHAnsi" w:cstheme="minorBidi"/>
                <w:noProof/>
                <w:lang w:eastAsia="sv-SE"/>
              </w:rPr>
              <w:tab/>
            </w:r>
            <w:r w:rsidR="005103D1" w:rsidRPr="00CE1C9A">
              <w:rPr>
                <w:rStyle w:val="Hyperlnk"/>
                <w:noProof/>
              </w:rPr>
              <w:t>Proposal for a Regulation of the European Parliament and of the Council on the measures that the Union may take following a report adopted by the WTO Dispute Settlement Body concerning anti-dumping and anti-subsidy matters (codification) (First reading) (LA)</w:t>
            </w:r>
            <w:r w:rsidR="005103D1">
              <w:rPr>
                <w:noProof/>
                <w:webHidden/>
              </w:rPr>
              <w:tab/>
            </w:r>
            <w:r w:rsidR="005103D1">
              <w:rPr>
                <w:noProof/>
                <w:webHidden/>
              </w:rPr>
              <w:fldChar w:fldCharType="begin"/>
            </w:r>
            <w:r w:rsidR="005103D1">
              <w:rPr>
                <w:noProof/>
                <w:webHidden/>
              </w:rPr>
              <w:instrText xml:space="preserve"> PAGEREF _Toc412711733 \h </w:instrText>
            </w:r>
            <w:r w:rsidR="005103D1">
              <w:rPr>
                <w:noProof/>
                <w:webHidden/>
              </w:rPr>
            </w:r>
            <w:r w:rsidR="005103D1">
              <w:rPr>
                <w:noProof/>
                <w:webHidden/>
              </w:rPr>
              <w:fldChar w:fldCharType="separate"/>
            </w:r>
            <w:r>
              <w:rPr>
                <w:noProof/>
                <w:webHidden/>
              </w:rPr>
              <w:t>14</w:t>
            </w:r>
            <w:r w:rsidR="005103D1">
              <w:rPr>
                <w:noProof/>
                <w:webHidden/>
              </w:rPr>
              <w:fldChar w:fldCharType="end"/>
            </w:r>
          </w:hyperlink>
        </w:p>
        <w:p w14:paraId="436970C9"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34" w:history="1">
            <w:r w:rsidR="005103D1" w:rsidRPr="00CE1C9A">
              <w:rPr>
                <w:rStyle w:val="Hyperlnk"/>
                <w:noProof/>
              </w:rPr>
              <w:t>20.</w:t>
            </w:r>
            <w:r w:rsidR="005103D1">
              <w:rPr>
                <w:rFonts w:asciiTheme="minorHAnsi" w:eastAsiaTheme="minorEastAsia" w:hAnsiTheme="minorHAnsi" w:cstheme="minorBidi"/>
                <w:noProof/>
                <w:lang w:eastAsia="sv-SE"/>
              </w:rPr>
              <w:tab/>
            </w:r>
            <w:r w:rsidR="005103D1" w:rsidRPr="00CE1C9A">
              <w:rPr>
                <w:rStyle w:val="Hyperlnk"/>
                <w:noProof/>
              </w:rPr>
              <w:t>Proposal for a Regulation of the European Parliament and of the Council on measures that the Union may take in relation to the combined effect of anti-dumping or anti-subsidy measures with safeguard measures (codification) (First reading) (LA)</w:t>
            </w:r>
            <w:r w:rsidR="005103D1">
              <w:rPr>
                <w:noProof/>
                <w:webHidden/>
              </w:rPr>
              <w:tab/>
            </w:r>
            <w:r w:rsidR="005103D1">
              <w:rPr>
                <w:noProof/>
                <w:webHidden/>
              </w:rPr>
              <w:fldChar w:fldCharType="begin"/>
            </w:r>
            <w:r w:rsidR="005103D1">
              <w:rPr>
                <w:noProof/>
                <w:webHidden/>
              </w:rPr>
              <w:instrText xml:space="preserve"> PAGEREF _Toc412711734 \h </w:instrText>
            </w:r>
            <w:r w:rsidR="005103D1">
              <w:rPr>
                <w:noProof/>
                <w:webHidden/>
              </w:rPr>
            </w:r>
            <w:r w:rsidR="005103D1">
              <w:rPr>
                <w:noProof/>
                <w:webHidden/>
              </w:rPr>
              <w:fldChar w:fldCharType="separate"/>
            </w:r>
            <w:r>
              <w:rPr>
                <w:noProof/>
                <w:webHidden/>
              </w:rPr>
              <w:t>14</w:t>
            </w:r>
            <w:r w:rsidR="005103D1">
              <w:rPr>
                <w:noProof/>
                <w:webHidden/>
              </w:rPr>
              <w:fldChar w:fldCharType="end"/>
            </w:r>
          </w:hyperlink>
        </w:p>
        <w:p w14:paraId="3F1894C7"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35" w:history="1">
            <w:r w:rsidR="005103D1" w:rsidRPr="00CE1C9A">
              <w:rPr>
                <w:rStyle w:val="Hyperlnk"/>
                <w:noProof/>
              </w:rPr>
              <w:t>21.</w:t>
            </w:r>
            <w:r w:rsidR="005103D1">
              <w:rPr>
                <w:rFonts w:asciiTheme="minorHAnsi" w:eastAsiaTheme="minorEastAsia" w:hAnsiTheme="minorHAnsi" w:cstheme="minorBidi"/>
                <w:noProof/>
                <w:lang w:eastAsia="sv-SE"/>
              </w:rPr>
              <w:tab/>
            </w:r>
            <w:r w:rsidR="005103D1" w:rsidRPr="00CE1C9A">
              <w:rPr>
                <w:rStyle w:val="Hyperlnk"/>
                <w:noProof/>
              </w:rPr>
              <w:t>Proposal for a Regulation of the European Parliament and of the Council on common rules for imports (codification) (First reading) (LA)</w:t>
            </w:r>
            <w:r w:rsidR="005103D1">
              <w:rPr>
                <w:noProof/>
                <w:webHidden/>
              </w:rPr>
              <w:tab/>
            </w:r>
            <w:r w:rsidR="005103D1">
              <w:rPr>
                <w:noProof/>
                <w:webHidden/>
              </w:rPr>
              <w:fldChar w:fldCharType="begin"/>
            </w:r>
            <w:r w:rsidR="005103D1">
              <w:rPr>
                <w:noProof/>
                <w:webHidden/>
              </w:rPr>
              <w:instrText xml:space="preserve"> PAGEREF _Toc412711735 \h </w:instrText>
            </w:r>
            <w:r w:rsidR="005103D1">
              <w:rPr>
                <w:noProof/>
                <w:webHidden/>
              </w:rPr>
            </w:r>
            <w:r w:rsidR="005103D1">
              <w:rPr>
                <w:noProof/>
                <w:webHidden/>
              </w:rPr>
              <w:fldChar w:fldCharType="separate"/>
            </w:r>
            <w:r>
              <w:rPr>
                <w:noProof/>
                <w:webHidden/>
              </w:rPr>
              <w:t>15</w:t>
            </w:r>
            <w:r w:rsidR="005103D1">
              <w:rPr>
                <w:noProof/>
                <w:webHidden/>
              </w:rPr>
              <w:fldChar w:fldCharType="end"/>
            </w:r>
          </w:hyperlink>
        </w:p>
        <w:p w14:paraId="2D107441"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36" w:history="1">
            <w:r w:rsidR="005103D1" w:rsidRPr="00CE1C9A">
              <w:rPr>
                <w:rStyle w:val="Hyperlnk"/>
                <w:noProof/>
              </w:rPr>
              <w:t>22.</w:t>
            </w:r>
            <w:r w:rsidR="005103D1">
              <w:rPr>
                <w:rFonts w:asciiTheme="minorHAnsi" w:eastAsiaTheme="minorEastAsia" w:hAnsiTheme="minorHAnsi" w:cstheme="minorBidi"/>
                <w:noProof/>
                <w:lang w:eastAsia="sv-SE"/>
              </w:rPr>
              <w:tab/>
            </w:r>
            <w:r w:rsidR="005103D1" w:rsidRPr="00CE1C9A">
              <w:rPr>
                <w:rStyle w:val="Hyperlnk"/>
                <w:noProof/>
              </w:rPr>
              <w:t>Proposal for a Regulation of the European Parliament and of the Council on common rules for exports (codification) (First reading) (LA)</w:t>
            </w:r>
            <w:r w:rsidR="005103D1">
              <w:rPr>
                <w:noProof/>
                <w:webHidden/>
              </w:rPr>
              <w:tab/>
            </w:r>
            <w:r w:rsidR="005103D1">
              <w:rPr>
                <w:noProof/>
                <w:webHidden/>
              </w:rPr>
              <w:fldChar w:fldCharType="begin"/>
            </w:r>
            <w:r w:rsidR="005103D1">
              <w:rPr>
                <w:noProof/>
                <w:webHidden/>
              </w:rPr>
              <w:instrText xml:space="preserve"> PAGEREF _Toc412711736 \h </w:instrText>
            </w:r>
            <w:r w:rsidR="005103D1">
              <w:rPr>
                <w:noProof/>
                <w:webHidden/>
              </w:rPr>
            </w:r>
            <w:r w:rsidR="005103D1">
              <w:rPr>
                <w:noProof/>
                <w:webHidden/>
              </w:rPr>
              <w:fldChar w:fldCharType="separate"/>
            </w:r>
            <w:r>
              <w:rPr>
                <w:noProof/>
                <w:webHidden/>
              </w:rPr>
              <w:t>15</w:t>
            </w:r>
            <w:r w:rsidR="005103D1">
              <w:rPr>
                <w:noProof/>
                <w:webHidden/>
              </w:rPr>
              <w:fldChar w:fldCharType="end"/>
            </w:r>
          </w:hyperlink>
        </w:p>
        <w:p w14:paraId="6B48B2E8"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37" w:history="1">
            <w:r w:rsidR="005103D1" w:rsidRPr="00CE1C9A">
              <w:rPr>
                <w:rStyle w:val="Hyperlnk"/>
                <w:noProof/>
              </w:rPr>
              <w:t>23.</w:t>
            </w:r>
            <w:r w:rsidR="005103D1">
              <w:rPr>
                <w:rFonts w:asciiTheme="minorHAnsi" w:eastAsiaTheme="minorEastAsia" w:hAnsiTheme="minorHAnsi" w:cstheme="minorBidi"/>
                <w:noProof/>
                <w:lang w:eastAsia="sv-SE"/>
              </w:rPr>
              <w:tab/>
            </w:r>
            <w:r w:rsidR="005103D1" w:rsidRPr="00CE1C9A">
              <w:rPr>
                <w:rStyle w:val="Hyperlnk"/>
                <w:noProof/>
              </w:rPr>
              <w:t>Proposal for a Directive of the European Parliament and of the Council facilitating cross border exchange of information on road safety related traffic offences (First reading) (LA)</w:t>
            </w:r>
            <w:r w:rsidR="005103D1">
              <w:rPr>
                <w:noProof/>
                <w:webHidden/>
              </w:rPr>
              <w:tab/>
            </w:r>
            <w:r w:rsidR="005103D1">
              <w:rPr>
                <w:noProof/>
                <w:webHidden/>
              </w:rPr>
              <w:fldChar w:fldCharType="begin"/>
            </w:r>
            <w:r w:rsidR="005103D1">
              <w:rPr>
                <w:noProof/>
                <w:webHidden/>
              </w:rPr>
              <w:instrText xml:space="preserve"> PAGEREF _Toc412711737 \h </w:instrText>
            </w:r>
            <w:r w:rsidR="005103D1">
              <w:rPr>
                <w:noProof/>
                <w:webHidden/>
              </w:rPr>
            </w:r>
            <w:r w:rsidR="005103D1">
              <w:rPr>
                <w:noProof/>
                <w:webHidden/>
              </w:rPr>
              <w:fldChar w:fldCharType="separate"/>
            </w:r>
            <w:r>
              <w:rPr>
                <w:noProof/>
                <w:webHidden/>
              </w:rPr>
              <w:t>15</w:t>
            </w:r>
            <w:r w:rsidR="005103D1">
              <w:rPr>
                <w:noProof/>
                <w:webHidden/>
              </w:rPr>
              <w:fldChar w:fldCharType="end"/>
            </w:r>
          </w:hyperlink>
        </w:p>
        <w:p w14:paraId="5F04718E"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38" w:history="1">
            <w:r w:rsidR="005103D1" w:rsidRPr="00CE1C9A">
              <w:rPr>
                <w:rStyle w:val="Hyperlnk"/>
                <w:noProof/>
              </w:rPr>
              <w:t>24.</w:t>
            </w:r>
            <w:r w:rsidR="005103D1">
              <w:rPr>
                <w:rFonts w:asciiTheme="minorHAnsi" w:eastAsiaTheme="minorEastAsia" w:hAnsiTheme="minorHAnsi" w:cstheme="minorBidi"/>
                <w:noProof/>
                <w:lang w:eastAsia="sv-SE"/>
              </w:rPr>
              <w:tab/>
            </w:r>
            <w:r w:rsidR="005103D1" w:rsidRPr="00CE1C9A">
              <w:rPr>
                <w:rStyle w:val="Hyperlnk"/>
                <w:noProof/>
              </w:rPr>
              <w:t>Proposal for a Directive of the European Parliament and of the Council amending Directive 94/62/EC on packaging and packaging waste to reduce the consumption of lightweight plastic carrier bags (First reading) (LA)</w:t>
            </w:r>
            <w:r w:rsidR="005103D1">
              <w:rPr>
                <w:noProof/>
                <w:webHidden/>
              </w:rPr>
              <w:tab/>
            </w:r>
            <w:r w:rsidR="005103D1">
              <w:rPr>
                <w:noProof/>
                <w:webHidden/>
              </w:rPr>
              <w:fldChar w:fldCharType="begin"/>
            </w:r>
            <w:r w:rsidR="005103D1">
              <w:rPr>
                <w:noProof/>
                <w:webHidden/>
              </w:rPr>
              <w:instrText xml:space="preserve"> PAGEREF _Toc412711738 \h </w:instrText>
            </w:r>
            <w:r w:rsidR="005103D1">
              <w:rPr>
                <w:noProof/>
                <w:webHidden/>
              </w:rPr>
            </w:r>
            <w:r w:rsidR="005103D1">
              <w:rPr>
                <w:noProof/>
                <w:webHidden/>
              </w:rPr>
              <w:fldChar w:fldCharType="separate"/>
            </w:r>
            <w:r>
              <w:rPr>
                <w:noProof/>
                <w:webHidden/>
              </w:rPr>
              <w:t>16</w:t>
            </w:r>
            <w:r w:rsidR="005103D1">
              <w:rPr>
                <w:noProof/>
                <w:webHidden/>
              </w:rPr>
              <w:fldChar w:fldCharType="end"/>
            </w:r>
          </w:hyperlink>
        </w:p>
        <w:p w14:paraId="4885376B"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39" w:history="1">
            <w:r w:rsidR="005103D1" w:rsidRPr="00CE1C9A">
              <w:rPr>
                <w:rStyle w:val="Hyperlnk"/>
                <w:noProof/>
              </w:rPr>
              <w:t>25.</w:t>
            </w:r>
            <w:r w:rsidR="005103D1">
              <w:rPr>
                <w:rFonts w:asciiTheme="minorHAnsi" w:eastAsiaTheme="minorEastAsia" w:hAnsiTheme="minorHAnsi" w:cstheme="minorBidi"/>
                <w:noProof/>
                <w:lang w:eastAsia="sv-SE"/>
              </w:rPr>
              <w:tab/>
            </w:r>
            <w:r w:rsidR="005103D1" w:rsidRPr="00CE1C9A">
              <w:rPr>
                <w:rStyle w:val="Hyperlnk"/>
                <w:noProof/>
              </w:rPr>
              <w:t>Proposal for a Regulation of the European Parliament and of The Council concerning type approval requirements for the deployment of the eCall in-vehicle system and amending Directive 2007/46/EC (First reading) (LA)</w:t>
            </w:r>
            <w:r w:rsidR="005103D1">
              <w:rPr>
                <w:noProof/>
                <w:webHidden/>
              </w:rPr>
              <w:tab/>
            </w:r>
            <w:r w:rsidR="005103D1">
              <w:rPr>
                <w:noProof/>
                <w:webHidden/>
              </w:rPr>
              <w:fldChar w:fldCharType="begin"/>
            </w:r>
            <w:r w:rsidR="005103D1">
              <w:rPr>
                <w:noProof/>
                <w:webHidden/>
              </w:rPr>
              <w:instrText xml:space="preserve"> PAGEREF _Toc412711739 \h </w:instrText>
            </w:r>
            <w:r w:rsidR="005103D1">
              <w:rPr>
                <w:noProof/>
                <w:webHidden/>
              </w:rPr>
            </w:r>
            <w:r w:rsidR="005103D1">
              <w:rPr>
                <w:noProof/>
                <w:webHidden/>
              </w:rPr>
              <w:fldChar w:fldCharType="separate"/>
            </w:r>
            <w:r>
              <w:rPr>
                <w:noProof/>
                <w:webHidden/>
              </w:rPr>
              <w:t>17</w:t>
            </w:r>
            <w:r w:rsidR="005103D1">
              <w:rPr>
                <w:noProof/>
                <w:webHidden/>
              </w:rPr>
              <w:fldChar w:fldCharType="end"/>
            </w:r>
          </w:hyperlink>
        </w:p>
        <w:p w14:paraId="39ABCDC0"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40" w:history="1">
            <w:r w:rsidR="005103D1" w:rsidRPr="00CE1C9A">
              <w:rPr>
                <w:rStyle w:val="Hyperlnk"/>
                <w:noProof/>
              </w:rPr>
              <w:t>26.</w:t>
            </w:r>
            <w:r w:rsidR="005103D1">
              <w:rPr>
                <w:rFonts w:asciiTheme="minorHAnsi" w:eastAsiaTheme="minorEastAsia" w:hAnsiTheme="minorHAnsi" w:cstheme="minorBidi"/>
                <w:noProof/>
                <w:lang w:eastAsia="sv-SE"/>
              </w:rPr>
              <w:tab/>
            </w:r>
            <w:r w:rsidR="005103D1" w:rsidRPr="00CE1C9A">
              <w:rPr>
                <w:rStyle w:val="Hyperlnk"/>
                <w:noProof/>
              </w:rPr>
              <w:t>Negotiations with a view to an Agreement between the European Union and Belarus on the facilitation of the issuance of short-stay visas</w:t>
            </w:r>
            <w:r w:rsidR="005103D1">
              <w:rPr>
                <w:noProof/>
                <w:webHidden/>
              </w:rPr>
              <w:tab/>
            </w:r>
            <w:r w:rsidR="005103D1">
              <w:rPr>
                <w:noProof/>
                <w:webHidden/>
              </w:rPr>
              <w:fldChar w:fldCharType="begin"/>
            </w:r>
            <w:r w:rsidR="005103D1">
              <w:rPr>
                <w:noProof/>
                <w:webHidden/>
              </w:rPr>
              <w:instrText xml:space="preserve"> PAGEREF _Toc412711740 \h </w:instrText>
            </w:r>
            <w:r w:rsidR="005103D1">
              <w:rPr>
                <w:noProof/>
                <w:webHidden/>
              </w:rPr>
            </w:r>
            <w:r w:rsidR="005103D1">
              <w:rPr>
                <w:noProof/>
                <w:webHidden/>
              </w:rPr>
              <w:fldChar w:fldCharType="separate"/>
            </w:r>
            <w:r>
              <w:rPr>
                <w:noProof/>
                <w:webHidden/>
              </w:rPr>
              <w:t>18</w:t>
            </w:r>
            <w:r w:rsidR="005103D1">
              <w:rPr>
                <w:noProof/>
                <w:webHidden/>
              </w:rPr>
              <w:fldChar w:fldCharType="end"/>
            </w:r>
          </w:hyperlink>
        </w:p>
        <w:p w14:paraId="0F011C57"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41" w:history="1">
            <w:r w:rsidR="005103D1" w:rsidRPr="00CE1C9A">
              <w:rPr>
                <w:rStyle w:val="Hyperlnk"/>
                <w:noProof/>
              </w:rPr>
              <w:t>27.</w:t>
            </w:r>
            <w:r w:rsidR="005103D1">
              <w:rPr>
                <w:rFonts w:asciiTheme="minorHAnsi" w:eastAsiaTheme="minorEastAsia" w:hAnsiTheme="minorHAnsi" w:cstheme="minorBidi"/>
                <w:noProof/>
                <w:lang w:eastAsia="sv-SE"/>
              </w:rPr>
              <w:tab/>
            </w:r>
            <w:r w:rsidR="005103D1" w:rsidRPr="00CE1C9A">
              <w:rPr>
                <w:rStyle w:val="Hyperlnk"/>
                <w:noProof/>
              </w:rPr>
              <w:t>Report on access to law</w:t>
            </w:r>
            <w:r w:rsidR="005103D1">
              <w:rPr>
                <w:noProof/>
                <w:webHidden/>
              </w:rPr>
              <w:tab/>
            </w:r>
            <w:r w:rsidR="005103D1">
              <w:rPr>
                <w:noProof/>
                <w:webHidden/>
              </w:rPr>
              <w:fldChar w:fldCharType="begin"/>
            </w:r>
            <w:r w:rsidR="005103D1">
              <w:rPr>
                <w:noProof/>
                <w:webHidden/>
              </w:rPr>
              <w:instrText xml:space="preserve"> PAGEREF _Toc412711741 \h </w:instrText>
            </w:r>
            <w:r w:rsidR="005103D1">
              <w:rPr>
                <w:noProof/>
                <w:webHidden/>
              </w:rPr>
            </w:r>
            <w:r w:rsidR="005103D1">
              <w:rPr>
                <w:noProof/>
                <w:webHidden/>
              </w:rPr>
              <w:fldChar w:fldCharType="separate"/>
            </w:r>
            <w:r>
              <w:rPr>
                <w:noProof/>
                <w:webHidden/>
              </w:rPr>
              <w:t>18</w:t>
            </w:r>
            <w:r w:rsidR="005103D1">
              <w:rPr>
                <w:noProof/>
                <w:webHidden/>
              </w:rPr>
              <w:fldChar w:fldCharType="end"/>
            </w:r>
          </w:hyperlink>
        </w:p>
        <w:p w14:paraId="38A8E410"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42" w:history="1">
            <w:r w:rsidR="005103D1" w:rsidRPr="00CE1C9A">
              <w:rPr>
                <w:rStyle w:val="Hyperlnk"/>
                <w:noProof/>
              </w:rPr>
              <w:t>28.</w:t>
            </w:r>
            <w:r w:rsidR="005103D1">
              <w:rPr>
                <w:rFonts w:asciiTheme="minorHAnsi" w:eastAsiaTheme="minorEastAsia" w:hAnsiTheme="minorHAnsi" w:cstheme="minorBidi"/>
                <w:noProof/>
                <w:lang w:eastAsia="sv-SE"/>
              </w:rPr>
              <w:tab/>
            </w:r>
            <w:r w:rsidR="005103D1" w:rsidRPr="00CE1C9A">
              <w:rPr>
                <w:rStyle w:val="Hyperlnk"/>
                <w:noProof/>
              </w:rPr>
              <w:t>Draft Council conclusions on the Cooperation and Verification Mechanism</w:t>
            </w:r>
            <w:r w:rsidR="005103D1">
              <w:rPr>
                <w:noProof/>
                <w:webHidden/>
              </w:rPr>
              <w:tab/>
            </w:r>
            <w:r w:rsidR="005103D1">
              <w:rPr>
                <w:noProof/>
                <w:webHidden/>
              </w:rPr>
              <w:fldChar w:fldCharType="begin"/>
            </w:r>
            <w:r w:rsidR="005103D1">
              <w:rPr>
                <w:noProof/>
                <w:webHidden/>
              </w:rPr>
              <w:instrText xml:space="preserve"> PAGEREF _Toc412711742 \h </w:instrText>
            </w:r>
            <w:r w:rsidR="005103D1">
              <w:rPr>
                <w:noProof/>
                <w:webHidden/>
              </w:rPr>
            </w:r>
            <w:r w:rsidR="005103D1">
              <w:rPr>
                <w:noProof/>
                <w:webHidden/>
              </w:rPr>
              <w:fldChar w:fldCharType="separate"/>
            </w:r>
            <w:r>
              <w:rPr>
                <w:noProof/>
                <w:webHidden/>
              </w:rPr>
              <w:t>19</w:t>
            </w:r>
            <w:r w:rsidR="005103D1">
              <w:rPr>
                <w:noProof/>
                <w:webHidden/>
              </w:rPr>
              <w:fldChar w:fldCharType="end"/>
            </w:r>
          </w:hyperlink>
        </w:p>
        <w:p w14:paraId="424204F7"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43" w:history="1">
            <w:r w:rsidR="005103D1" w:rsidRPr="00CE1C9A">
              <w:rPr>
                <w:rStyle w:val="Hyperlnk"/>
                <w:noProof/>
              </w:rPr>
              <w:t>29.</w:t>
            </w:r>
            <w:r w:rsidR="005103D1">
              <w:rPr>
                <w:rFonts w:asciiTheme="minorHAnsi" w:eastAsiaTheme="minorEastAsia" w:hAnsiTheme="minorHAnsi" w:cstheme="minorBidi"/>
                <w:noProof/>
                <w:lang w:eastAsia="sv-SE"/>
              </w:rPr>
              <w:tab/>
            </w:r>
            <w:r w:rsidR="005103D1" w:rsidRPr="00CE1C9A">
              <w:rPr>
                <w:rStyle w:val="Hyperlnk"/>
                <w:noProof/>
              </w:rPr>
              <w:t>Relations with Kazakhstan</w:t>
            </w:r>
            <w:r w:rsidR="005103D1">
              <w:rPr>
                <w:noProof/>
                <w:webHidden/>
              </w:rPr>
              <w:tab/>
            </w:r>
            <w:r w:rsidR="005103D1">
              <w:rPr>
                <w:noProof/>
                <w:webHidden/>
              </w:rPr>
              <w:fldChar w:fldCharType="begin"/>
            </w:r>
            <w:r w:rsidR="005103D1">
              <w:rPr>
                <w:noProof/>
                <w:webHidden/>
              </w:rPr>
              <w:instrText xml:space="preserve"> PAGEREF _Toc412711743 \h </w:instrText>
            </w:r>
            <w:r w:rsidR="005103D1">
              <w:rPr>
                <w:noProof/>
                <w:webHidden/>
              </w:rPr>
            </w:r>
            <w:r w:rsidR="005103D1">
              <w:rPr>
                <w:noProof/>
                <w:webHidden/>
              </w:rPr>
              <w:fldChar w:fldCharType="separate"/>
            </w:r>
            <w:r>
              <w:rPr>
                <w:noProof/>
                <w:webHidden/>
              </w:rPr>
              <w:t>19</w:t>
            </w:r>
            <w:r w:rsidR="005103D1">
              <w:rPr>
                <w:noProof/>
                <w:webHidden/>
              </w:rPr>
              <w:fldChar w:fldCharType="end"/>
            </w:r>
          </w:hyperlink>
        </w:p>
        <w:p w14:paraId="79C558AF"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44" w:history="1">
            <w:r w:rsidR="005103D1" w:rsidRPr="00CE1C9A">
              <w:rPr>
                <w:rStyle w:val="Hyperlnk"/>
                <w:noProof/>
              </w:rPr>
              <w:t>30.</w:t>
            </w:r>
            <w:r w:rsidR="005103D1">
              <w:rPr>
                <w:rFonts w:asciiTheme="minorHAnsi" w:eastAsiaTheme="minorEastAsia" w:hAnsiTheme="minorHAnsi" w:cstheme="minorBidi"/>
                <w:noProof/>
                <w:lang w:eastAsia="sv-SE"/>
              </w:rPr>
              <w:tab/>
            </w:r>
            <w:r w:rsidR="005103D1" w:rsidRPr="00CE1C9A">
              <w:rPr>
                <w:rStyle w:val="Hyperlnk"/>
                <w:noProof/>
              </w:rPr>
              <w:t>Draft Council Decision authorising the Commission to open negotiations under Article XXIV:6 of the General Agreement on Tariffs and Trade (GATT) 1994 with the Republic of Armenia and other WTO members, which are relevant for the purposes of the WTO submission made by the Republic of Armenia on 23 October 2014</w:t>
            </w:r>
            <w:r w:rsidR="005103D1">
              <w:rPr>
                <w:noProof/>
                <w:webHidden/>
              </w:rPr>
              <w:tab/>
            </w:r>
            <w:r w:rsidR="005103D1">
              <w:rPr>
                <w:noProof/>
                <w:webHidden/>
              </w:rPr>
              <w:fldChar w:fldCharType="begin"/>
            </w:r>
            <w:r w:rsidR="005103D1">
              <w:rPr>
                <w:noProof/>
                <w:webHidden/>
              </w:rPr>
              <w:instrText xml:space="preserve"> PAGEREF _Toc412711744 \h </w:instrText>
            </w:r>
            <w:r w:rsidR="005103D1">
              <w:rPr>
                <w:noProof/>
                <w:webHidden/>
              </w:rPr>
            </w:r>
            <w:r w:rsidR="005103D1">
              <w:rPr>
                <w:noProof/>
                <w:webHidden/>
              </w:rPr>
              <w:fldChar w:fldCharType="separate"/>
            </w:r>
            <w:r>
              <w:rPr>
                <w:noProof/>
                <w:webHidden/>
              </w:rPr>
              <w:t>20</w:t>
            </w:r>
            <w:r w:rsidR="005103D1">
              <w:rPr>
                <w:noProof/>
                <w:webHidden/>
              </w:rPr>
              <w:fldChar w:fldCharType="end"/>
            </w:r>
          </w:hyperlink>
        </w:p>
        <w:p w14:paraId="22E8336D"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45" w:history="1">
            <w:r w:rsidR="005103D1" w:rsidRPr="00CE1C9A">
              <w:rPr>
                <w:rStyle w:val="Hyperlnk"/>
                <w:noProof/>
              </w:rPr>
              <w:t>31.</w:t>
            </w:r>
            <w:r w:rsidR="005103D1">
              <w:rPr>
                <w:rFonts w:asciiTheme="minorHAnsi" w:eastAsiaTheme="minorEastAsia" w:hAnsiTheme="minorHAnsi" w:cstheme="minorBidi"/>
                <w:noProof/>
                <w:lang w:eastAsia="sv-SE"/>
              </w:rPr>
              <w:tab/>
            </w:r>
            <w:r w:rsidR="005103D1" w:rsidRPr="00CE1C9A">
              <w:rPr>
                <w:rStyle w:val="Hyperlnk"/>
                <w:noProof/>
              </w:rPr>
              <w:t>Draft Council Decision adopting the rules of procedure of the European Development Fund (EDF) Committee</w:t>
            </w:r>
            <w:r w:rsidR="005103D1">
              <w:rPr>
                <w:noProof/>
                <w:webHidden/>
              </w:rPr>
              <w:tab/>
            </w:r>
            <w:r w:rsidR="005103D1">
              <w:rPr>
                <w:noProof/>
                <w:webHidden/>
              </w:rPr>
              <w:fldChar w:fldCharType="begin"/>
            </w:r>
            <w:r w:rsidR="005103D1">
              <w:rPr>
                <w:noProof/>
                <w:webHidden/>
              </w:rPr>
              <w:instrText xml:space="preserve"> PAGEREF _Toc412711745 \h </w:instrText>
            </w:r>
            <w:r w:rsidR="005103D1">
              <w:rPr>
                <w:noProof/>
                <w:webHidden/>
              </w:rPr>
            </w:r>
            <w:r w:rsidR="005103D1">
              <w:rPr>
                <w:noProof/>
                <w:webHidden/>
              </w:rPr>
              <w:fldChar w:fldCharType="separate"/>
            </w:r>
            <w:r>
              <w:rPr>
                <w:noProof/>
                <w:webHidden/>
              </w:rPr>
              <w:t>20</w:t>
            </w:r>
            <w:r w:rsidR="005103D1">
              <w:rPr>
                <w:noProof/>
                <w:webHidden/>
              </w:rPr>
              <w:fldChar w:fldCharType="end"/>
            </w:r>
          </w:hyperlink>
        </w:p>
        <w:p w14:paraId="4109AE32"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46" w:history="1">
            <w:r w:rsidR="005103D1" w:rsidRPr="00CE1C9A">
              <w:rPr>
                <w:rStyle w:val="Hyperlnk"/>
                <w:noProof/>
              </w:rPr>
              <w:t>32.</w:t>
            </w:r>
            <w:r w:rsidR="005103D1">
              <w:rPr>
                <w:rFonts w:asciiTheme="minorHAnsi" w:eastAsiaTheme="minorEastAsia" w:hAnsiTheme="minorHAnsi" w:cstheme="minorBidi"/>
                <w:noProof/>
                <w:lang w:eastAsia="sv-SE"/>
              </w:rPr>
              <w:tab/>
            </w:r>
            <w:r w:rsidR="005103D1" w:rsidRPr="00CE1C9A">
              <w:rPr>
                <w:rStyle w:val="Hyperlnk"/>
                <w:noProof/>
              </w:rPr>
              <w:t>Council Decision extending the mandate of the European Union Special Representative in Afghanistan</w:t>
            </w:r>
            <w:r w:rsidR="005103D1">
              <w:rPr>
                <w:noProof/>
                <w:webHidden/>
              </w:rPr>
              <w:tab/>
            </w:r>
            <w:r w:rsidR="005103D1">
              <w:rPr>
                <w:noProof/>
                <w:webHidden/>
              </w:rPr>
              <w:fldChar w:fldCharType="begin"/>
            </w:r>
            <w:r w:rsidR="005103D1">
              <w:rPr>
                <w:noProof/>
                <w:webHidden/>
              </w:rPr>
              <w:instrText xml:space="preserve"> PAGEREF _Toc412711746 \h </w:instrText>
            </w:r>
            <w:r w:rsidR="005103D1">
              <w:rPr>
                <w:noProof/>
                <w:webHidden/>
              </w:rPr>
            </w:r>
            <w:r w:rsidR="005103D1">
              <w:rPr>
                <w:noProof/>
                <w:webHidden/>
              </w:rPr>
              <w:fldChar w:fldCharType="separate"/>
            </w:r>
            <w:r>
              <w:rPr>
                <w:noProof/>
                <w:webHidden/>
              </w:rPr>
              <w:t>21</w:t>
            </w:r>
            <w:r w:rsidR="005103D1">
              <w:rPr>
                <w:noProof/>
                <w:webHidden/>
              </w:rPr>
              <w:fldChar w:fldCharType="end"/>
            </w:r>
          </w:hyperlink>
        </w:p>
        <w:p w14:paraId="2B6C8696" w14:textId="77777777" w:rsidR="005103D1" w:rsidRDefault="00EE25B8">
          <w:pPr>
            <w:pStyle w:val="Innehll1"/>
            <w:tabs>
              <w:tab w:val="left" w:pos="660"/>
              <w:tab w:val="right" w:leader="dot" w:pos="9062"/>
            </w:tabs>
            <w:rPr>
              <w:rFonts w:asciiTheme="minorHAnsi" w:eastAsiaTheme="minorEastAsia" w:hAnsiTheme="minorHAnsi" w:cstheme="minorBidi"/>
              <w:noProof/>
              <w:lang w:eastAsia="sv-SE"/>
            </w:rPr>
          </w:pPr>
          <w:hyperlink w:anchor="_Toc412711747" w:history="1">
            <w:r w:rsidR="005103D1" w:rsidRPr="00CE1C9A">
              <w:rPr>
                <w:rStyle w:val="Hyperlnk"/>
                <w:noProof/>
              </w:rPr>
              <w:t>33.</w:t>
            </w:r>
            <w:r w:rsidR="005103D1">
              <w:rPr>
                <w:rFonts w:asciiTheme="minorHAnsi" w:eastAsiaTheme="minorEastAsia" w:hAnsiTheme="minorHAnsi" w:cstheme="minorBidi"/>
                <w:noProof/>
                <w:lang w:eastAsia="sv-SE"/>
              </w:rPr>
              <w:tab/>
            </w:r>
            <w:r w:rsidR="005103D1" w:rsidRPr="00CE1C9A">
              <w:rPr>
                <w:rStyle w:val="Hyperlnk"/>
                <w:noProof/>
              </w:rPr>
              <w:t>Council Decision amending and extending Decision 2010/96/CFSP on a European Union military mission to contribute to the training of Somali security forces (EUTM Somalia)</w:t>
            </w:r>
            <w:r w:rsidR="005103D1">
              <w:rPr>
                <w:noProof/>
                <w:webHidden/>
              </w:rPr>
              <w:tab/>
            </w:r>
            <w:r w:rsidR="005103D1">
              <w:rPr>
                <w:noProof/>
                <w:webHidden/>
              </w:rPr>
              <w:fldChar w:fldCharType="begin"/>
            </w:r>
            <w:r w:rsidR="005103D1">
              <w:rPr>
                <w:noProof/>
                <w:webHidden/>
              </w:rPr>
              <w:instrText xml:space="preserve"> PAGEREF _Toc412711747 \h </w:instrText>
            </w:r>
            <w:r w:rsidR="005103D1">
              <w:rPr>
                <w:noProof/>
                <w:webHidden/>
              </w:rPr>
            </w:r>
            <w:r w:rsidR="005103D1">
              <w:rPr>
                <w:noProof/>
                <w:webHidden/>
              </w:rPr>
              <w:fldChar w:fldCharType="separate"/>
            </w:r>
            <w:r>
              <w:rPr>
                <w:noProof/>
                <w:webHidden/>
              </w:rPr>
              <w:t>22</w:t>
            </w:r>
            <w:r w:rsidR="005103D1">
              <w:rPr>
                <w:noProof/>
                <w:webHidden/>
              </w:rPr>
              <w:fldChar w:fldCharType="end"/>
            </w:r>
          </w:hyperlink>
        </w:p>
        <w:p w14:paraId="54CB6E90" w14:textId="77777777" w:rsidR="00A12540" w:rsidRDefault="00A12540">
          <w:r>
            <w:rPr>
              <w:b/>
              <w:bCs/>
              <w:noProof/>
            </w:rPr>
            <w:fldChar w:fldCharType="end"/>
          </w:r>
        </w:p>
      </w:sdtContent>
    </w:sdt>
    <w:p w14:paraId="54CB6E91" w14:textId="77777777" w:rsidR="00A12540" w:rsidRDefault="00A12540">
      <w:pPr>
        <w:ind w:left="0"/>
      </w:pPr>
      <w:r>
        <w:br w:type="page"/>
      </w:r>
    </w:p>
    <w:p w14:paraId="54CB6E92" w14:textId="77777777" w:rsidR="00A12540" w:rsidRDefault="00A12540" w:rsidP="00A12540">
      <w:pPr>
        <w:pStyle w:val="Rubrik1"/>
        <w:numPr>
          <w:ilvl w:val="0"/>
          <w:numId w:val="0"/>
        </w:numPr>
      </w:pPr>
      <w:bookmarkStart w:id="0" w:name="_Toc364854645"/>
    </w:p>
    <w:p w14:paraId="54CB6E93" w14:textId="77777777" w:rsidR="00A12540" w:rsidRDefault="00A12540" w:rsidP="00A12540">
      <w:pPr>
        <w:pStyle w:val="Rubrik1"/>
      </w:pPr>
      <w:bookmarkStart w:id="1" w:name="_Toc412711715"/>
      <w:r>
        <w:rPr>
          <w:noProof/>
        </w:rPr>
        <w:t>Case before the Court of Justice of the EU</w:t>
      </w:r>
      <w:r>
        <w:rPr>
          <w:noProof/>
        </w:rPr>
        <w:br/>
        <w:t>–Case C-7/15 (Kanapathippilai Kanageswaran)</w:t>
      </w:r>
      <w:bookmarkEnd w:id="1"/>
    </w:p>
    <w:p w14:paraId="0F85C036" w14:textId="77777777" w:rsidR="00A12540" w:rsidRDefault="00A12540" w:rsidP="00A12540">
      <w:pPr>
        <w:rPr>
          <w:lang w:val="en-US"/>
        </w:rPr>
      </w:pPr>
      <w:r>
        <w:rPr>
          <w:noProof/>
          <w:lang w:val="en-US"/>
        </w:rPr>
        <w:t>–</w:t>
      </w:r>
      <w:r>
        <w:rPr>
          <w:lang w:val="en-US"/>
        </w:rPr>
        <w:t xml:space="preserve">Request for preliminary ruling </w:t>
      </w:r>
    </w:p>
    <w:p w14:paraId="54CB6E94" w14:textId="3519B9B0" w:rsidR="00A12540" w:rsidRDefault="00A12540" w:rsidP="00A12540">
      <w:pPr>
        <w:rPr>
          <w:lang w:val="en-US"/>
        </w:rPr>
      </w:pPr>
      <w:r>
        <w:rPr>
          <w:noProof/>
          <w:lang w:val="en-US"/>
        </w:rPr>
        <w:t>6382</w:t>
      </w:r>
      <w:r>
        <w:rPr>
          <w:lang w:val="en-US"/>
        </w:rPr>
        <w:t>/15 JUR 124 RELEX 141 PESC 187 CONOP 12 COTER 40</w:t>
      </w:r>
    </w:p>
    <w:p w14:paraId="54CB6E95" w14:textId="77777777" w:rsidR="00A12540" w:rsidRDefault="00A12540" w:rsidP="00A12540">
      <w:r>
        <w:rPr>
          <w:b/>
        </w:rPr>
        <w:t>Ansvarigt statsråd</w:t>
      </w:r>
      <w:r>
        <w:rPr>
          <w:b/>
        </w:rPr>
        <w:br/>
      </w:r>
      <w:r>
        <w:rPr>
          <w:noProof/>
        </w:rPr>
        <w:t>Margot Wallström</w:t>
      </w:r>
    </w:p>
    <w:p w14:paraId="54CB6E98" w14:textId="77777777" w:rsidR="00A12540" w:rsidRDefault="00A12540" w:rsidP="00A12540">
      <w:r w:rsidRPr="00B44CE2">
        <w:rPr>
          <w:b/>
        </w:rPr>
        <w:t>Annotering</w:t>
      </w:r>
      <w:r>
        <w:rPr>
          <w:b/>
        </w:rPr>
        <w:br/>
      </w:r>
      <w:r>
        <w:rPr>
          <w:b/>
          <w:bCs/>
        </w:rPr>
        <w:t>Avsikt med behandlingen i rådet:</w:t>
      </w:r>
      <w:r>
        <w:t xml:space="preserve"> Information om ett mål i EU-domstolen där rådet har utsett ombud.  </w:t>
      </w:r>
    </w:p>
    <w:p w14:paraId="54CB6E99" w14:textId="77777777" w:rsidR="00995CBA" w:rsidRDefault="00A12540">
      <w:pPr>
        <w:spacing w:after="280" w:afterAutospacing="1"/>
      </w:pPr>
      <w:r>
        <w:rPr>
          <w:b/>
          <w:bCs/>
        </w:rPr>
        <w:t>Hur regeringen ställer sig till den blivande A-punkten:</w:t>
      </w:r>
      <w:r>
        <w:t xml:space="preserve"> Regeringen har ingen erinran mot denna informationspunkt. </w:t>
      </w:r>
    </w:p>
    <w:p w14:paraId="54CB6E9B" w14:textId="48B4B432" w:rsidR="00A12540" w:rsidRDefault="00A12540">
      <w:pPr>
        <w:spacing w:after="280" w:afterAutospacing="1"/>
        <w:rPr>
          <w:noProof/>
        </w:rPr>
      </w:pPr>
      <w:r>
        <w:rPr>
          <w:b/>
          <w:bCs/>
        </w:rPr>
        <w:t xml:space="preserve">Bakgrund: </w:t>
      </w:r>
      <w:r>
        <w:t>Målet rör giltigheten av ett antal rådsbeslut varigenom "Tamilska befrielsetigrarna" har listats i enlighet med artikel 2 (3) i rådets förordning (EG) nr 2580/2001 av den 27 december 2001 om särskilda restriktiva åtgärder mot vissa personer och enheter i syfte att bekämpa terrorism.</w:t>
      </w:r>
    </w:p>
    <w:p w14:paraId="54CB6E9C" w14:textId="77777777" w:rsidR="00A12540" w:rsidRDefault="00A12540" w:rsidP="00A12540">
      <w:pPr>
        <w:pStyle w:val="Rubrik1"/>
      </w:pPr>
      <w:bookmarkStart w:id="2" w:name="_Toc412711716"/>
      <w:r>
        <w:rPr>
          <w:noProof/>
        </w:rPr>
        <w:t>Case before the Court of Justice of the European Union</w:t>
      </w:r>
      <w:r>
        <w:rPr>
          <w:noProof/>
        </w:rPr>
        <w:br/>
        <w:t>–Case C-31/15 P - Appeal brought by Photo USA Electronic Graphic, Inc. against the judgment of the General Court of 18 November 2014 in Case T-394/13</w:t>
      </w:r>
      <w:bookmarkEnd w:id="2"/>
    </w:p>
    <w:p w14:paraId="54CB6E9D" w14:textId="58AC3A16" w:rsidR="00A12540" w:rsidRDefault="00A12540" w:rsidP="00A12540">
      <w:pPr>
        <w:rPr>
          <w:lang w:val="en-US"/>
        </w:rPr>
      </w:pPr>
      <w:r>
        <w:rPr>
          <w:noProof/>
          <w:lang w:val="en-US"/>
        </w:rPr>
        <w:t>6383</w:t>
      </w:r>
      <w:r>
        <w:rPr>
          <w:lang w:val="en-US"/>
        </w:rPr>
        <w:t>/15 JUR 125 COMER 31</w:t>
      </w:r>
    </w:p>
    <w:p w14:paraId="54CB6E9E" w14:textId="77777777" w:rsidR="00A12540" w:rsidRDefault="00A12540" w:rsidP="00A12540">
      <w:r>
        <w:rPr>
          <w:b/>
        </w:rPr>
        <w:t>Ansvarigt statsråd</w:t>
      </w:r>
      <w:r>
        <w:rPr>
          <w:b/>
        </w:rPr>
        <w:br/>
      </w:r>
      <w:r>
        <w:rPr>
          <w:noProof/>
        </w:rPr>
        <w:t>Margot Wallström</w:t>
      </w:r>
    </w:p>
    <w:p w14:paraId="54CB6EA2" w14:textId="424655B8" w:rsidR="00995CBA" w:rsidRDefault="00A12540" w:rsidP="00A12540">
      <w:r w:rsidRPr="00B44CE2">
        <w:rPr>
          <w:b/>
        </w:rPr>
        <w:t>Annotering</w:t>
      </w:r>
      <w:r>
        <w:rPr>
          <w:b/>
        </w:rPr>
        <w:br/>
      </w:r>
      <w:r>
        <w:rPr>
          <w:b/>
          <w:bCs/>
        </w:rPr>
        <w:t xml:space="preserve">Avsikt med behandlingen i rådet: </w:t>
      </w:r>
      <w:r>
        <w:t>Information om ett mål i EU-domstolen där rådet har utsett ombud.</w:t>
      </w:r>
    </w:p>
    <w:p w14:paraId="54CB6EA3" w14:textId="77777777" w:rsidR="00995CBA" w:rsidRDefault="00A12540">
      <w:pPr>
        <w:spacing w:after="280" w:afterAutospacing="1"/>
      </w:pPr>
      <w:r>
        <w:rPr>
          <w:b/>
          <w:bCs/>
        </w:rPr>
        <w:t>Hur regeringen ställer sig till den blivande A-punkten:</w:t>
      </w:r>
      <w:r>
        <w:t xml:space="preserve"> Regeringen har ingen erinran mot denna informationspunkt.</w:t>
      </w:r>
    </w:p>
    <w:p w14:paraId="54CB6EA9" w14:textId="2401926E" w:rsidR="00A12540" w:rsidRDefault="00A12540">
      <w:pPr>
        <w:spacing w:after="280" w:afterAutospacing="1"/>
        <w:rPr>
          <w:noProof/>
        </w:rPr>
      </w:pPr>
      <w:r>
        <w:rPr>
          <w:b/>
          <w:bCs/>
        </w:rPr>
        <w:t>Bakgrund:</w:t>
      </w:r>
      <w:r>
        <w:t xml:space="preserve"> Målet är överklagat från tribunalen och rör en ogiltighetstalan av rådets genomförandeförordning (EU) nr 412/2013 av den 13 maj 2013 om införande av en slutgiltig antidumpningstull och slutgiltigt uttag av den preliminära tull som införts på import av bords- och köksartiklar av keramiskt material med ursprung i Folkrepubliken Kina.</w:t>
      </w:r>
    </w:p>
    <w:p w14:paraId="54CB6EAA" w14:textId="77777777" w:rsidR="00A12540" w:rsidRDefault="00A12540" w:rsidP="00A12540">
      <w:pPr>
        <w:pStyle w:val="Rubrik1"/>
      </w:pPr>
      <w:bookmarkStart w:id="3" w:name="_Toc412711717"/>
      <w:r>
        <w:rPr>
          <w:noProof/>
        </w:rPr>
        <w:t>Council Decision appointing an Italian member of the European Economic and Social Committee</w:t>
      </w:r>
      <w:bookmarkEnd w:id="3"/>
    </w:p>
    <w:p w14:paraId="54CB6EAB" w14:textId="527EA3F4" w:rsidR="00A12540" w:rsidRDefault="00A12540" w:rsidP="00A12540">
      <w:pPr>
        <w:rPr>
          <w:lang w:val="en-US"/>
        </w:rPr>
      </w:pPr>
      <w:r>
        <w:rPr>
          <w:noProof/>
          <w:lang w:val="en-US"/>
        </w:rPr>
        <w:t>6266</w:t>
      </w:r>
      <w:r>
        <w:rPr>
          <w:lang w:val="en-US"/>
        </w:rPr>
        <w:t>/15 CES 10</w:t>
      </w:r>
      <w:r w:rsidR="00EE25B8">
        <w:rPr>
          <w:lang w:val="en-US"/>
        </w:rPr>
        <w:t xml:space="preserve"> </w:t>
      </w:r>
      <w:r>
        <w:rPr>
          <w:lang w:val="en-US"/>
        </w:rPr>
        <w:t>6263/15 CES 9</w:t>
      </w:r>
    </w:p>
    <w:p w14:paraId="54CB6EAC" w14:textId="77777777" w:rsidR="00A12540" w:rsidRDefault="00A12540" w:rsidP="00A12540">
      <w:r>
        <w:rPr>
          <w:b/>
        </w:rPr>
        <w:lastRenderedPageBreak/>
        <w:t>Ansvarigt statsråd</w:t>
      </w:r>
      <w:r>
        <w:rPr>
          <w:b/>
        </w:rPr>
        <w:br/>
      </w:r>
      <w:r>
        <w:rPr>
          <w:noProof/>
        </w:rPr>
        <w:t>Ylva Johansson</w:t>
      </w:r>
    </w:p>
    <w:p w14:paraId="54CB6EAF" w14:textId="77777777" w:rsidR="00A12540" w:rsidRDefault="00A12540" w:rsidP="00A12540">
      <w:r w:rsidRPr="00B44CE2">
        <w:rPr>
          <w:b/>
        </w:rPr>
        <w:t>Annotering</w:t>
      </w:r>
      <w:r>
        <w:rPr>
          <w:b/>
        </w:rPr>
        <w:br/>
      </w:r>
      <w:r>
        <w:t>Föranleder ingen annotering.</w:t>
      </w:r>
    </w:p>
    <w:p w14:paraId="54CB6EB0" w14:textId="6CA69BFD" w:rsidR="00A12540" w:rsidRDefault="00A12540" w:rsidP="00A12540">
      <w:pPr>
        <w:pStyle w:val="Rubrik1"/>
      </w:pPr>
      <w:bookmarkStart w:id="4" w:name="_Toc412711718"/>
      <w:r>
        <w:rPr>
          <w:noProof/>
        </w:rPr>
        <w:t>Transparency - Public access to documents</w:t>
      </w:r>
      <w:r>
        <w:rPr>
          <w:noProof/>
        </w:rPr>
        <w:br/>
        <w:t>a) Confirmatory application No 01/c/01/15</w:t>
      </w:r>
      <w:bookmarkEnd w:id="4"/>
    </w:p>
    <w:p w14:paraId="54CB6EB1" w14:textId="4BA49E98" w:rsidR="00A12540" w:rsidRDefault="00A12540" w:rsidP="00A12540">
      <w:pPr>
        <w:rPr>
          <w:lang w:val="en-US"/>
        </w:rPr>
      </w:pPr>
      <w:r>
        <w:rPr>
          <w:noProof/>
          <w:lang w:val="en-US"/>
        </w:rPr>
        <w:t>5451</w:t>
      </w:r>
      <w:r>
        <w:rPr>
          <w:lang w:val="en-US"/>
        </w:rPr>
        <w:t>/15 INF 9 API 9</w:t>
      </w:r>
    </w:p>
    <w:p w14:paraId="54CB6EB2" w14:textId="77777777" w:rsidR="00A12540" w:rsidRDefault="00A12540" w:rsidP="00A12540">
      <w:r>
        <w:rPr>
          <w:b/>
        </w:rPr>
        <w:t>Ansvarigt statsråd</w:t>
      </w:r>
      <w:r>
        <w:rPr>
          <w:b/>
        </w:rPr>
        <w:br/>
      </w:r>
      <w:r>
        <w:rPr>
          <w:noProof/>
        </w:rPr>
        <w:t>Morgan Johansson</w:t>
      </w:r>
    </w:p>
    <w:p w14:paraId="54CB6EB5" w14:textId="77777777" w:rsidR="00A12540" w:rsidRDefault="00A12540" w:rsidP="00A12540">
      <w:r w:rsidRPr="00B44CE2">
        <w:rPr>
          <w:b/>
        </w:rPr>
        <w:t>Annotering</w:t>
      </w:r>
      <w:r>
        <w:rPr>
          <w:b/>
        </w:rPr>
        <w:br/>
      </w:r>
      <w:r>
        <w:t>Föranleder ingen annotering.</w:t>
      </w:r>
    </w:p>
    <w:p w14:paraId="54CB6EB6" w14:textId="48FFB097" w:rsidR="00A12540" w:rsidRDefault="00A12540" w:rsidP="00A12540">
      <w:pPr>
        <w:pStyle w:val="Rubrik1"/>
      </w:pPr>
      <w:bookmarkStart w:id="5" w:name="_Toc412711719"/>
      <w:r>
        <w:rPr>
          <w:noProof/>
        </w:rPr>
        <w:t>Transparency - Public access to documents</w:t>
      </w:r>
      <w:r>
        <w:rPr>
          <w:noProof/>
        </w:rPr>
        <w:br/>
        <w:t>b) Confirmatory application No 02/c/01/15</w:t>
      </w:r>
      <w:bookmarkEnd w:id="5"/>
    </w:p>
    <w:p w14:paraId="54CB6EB7" w14:textId="1214FD44" w:rsidR="00A12540" w:rsidRDefault="00A12540" w:rsidP="00A12540">
      <w:pPr>
        <w:rPr>
          <w:lang w:val="en-US"/>
        </w:rPr>
      </w:pPr>
      <w:r>
        <w:rPr>
          <w:noProof/>
          <w:lang w:val="en-US"/>
        </w:rPr>
        <w:t>5579</w:t>
      </w:r>
      <w:r>
        <w:rPr>
          <w:lang w:val="en-US"/>
        </w:rPr>
        <w:t>/15 INF 13 API 13</w:t>
      </w:r>
    </w:p>
    <w:p w14:paraId="54CB6EB8" w14:textId="77777777" w:rsidR="00A12540" w:rsidRDefault="00A12540" w:rsidP="00A12540">
      <w:r>
        <w:rPr>
          <w:b/>
        </w:rPr>
        <w:t>Ansvarigt statsråd</w:t>
      </w:r>
      <w:r>
        <w:rPr>
          <w:b/>
        </w:rPr>
        <w:br/>
      </w:r>
      <w:r>
        <w:rPr>
          <w:noProof/>
        </w:rPr>
        <w:t>Morgan Johansson</w:t>
      </w:r>
    </w:p>
    <w:p w14:paraId="54CB6EBB" w14:textId="77777777" w:rsidR="00A12540" w:rsidRDefault="00A12540" w:rsidP="00A12540">
      <w:r w:rsidRPr="00B44CE2">
        <w:rPr>
          <w:b/>
        </w:rPr>
        <w:t>Annotering</w:t>
      </w:r>
      <w:r>
        <w:rPr>
          <w:b/>
        </w:rPr>
        <w:br/>
      </w:r>
      <w:r>
        <w:t>Föranleder ingen annotering.</w:t>
      </w:r>
    </w:p>
    <w:p w14:paraId="54CB6EBC" w14:textId="77777777" w:rsidR="00A12540" w:rsidRDefault="00A12540" w:rsidP="00A12540">
      <w:pPr>
        <w:pStyle w:val="Rubrik1"/>
      </w:pPr>
      <w:bookmarkStart w:id="6" w:name="_Toc412711720"/>
      <w:r>
        <w:rPr>
          <w:noProof/>
        </w:rPr>
        <w:t>Ad hoc release of classified documents to the General Court</w:t>
      </w:r>
      <w:bookmarkEnd w:id="6"/>
    </w:p>
    <w:p w14:paraId="54CB6EBD" w14:textId="525CA226" w:rsidR="00A12540" w:rsidRDefault="00A12540" w:rsidP="00A12540">
      <w:pPr>
        <w:rPr>
          <w:lang w:val="en-US"/>
        </w:rPr>
      </w:pPr>
      <w:r>
        <w:rPr>
          <w:noProof/>
          <w:lang w:val="en-US"/>
        </w:rPr>
        <w:t>6230</w:t>
      </w:r>
      <w:r>
        <w:rPr>
          <w:lang w:val="en-US"/>
        </w:rPr>
        <w:t>/15 CSC 37 CSCI 7</w:t>
      </w:r>
    </w:p>
    <w:p w14:paraId="54CB6EBE" w14:textId="77777777" w:rsidR="00A12540" w:rsidRDefault="00A12540" w:rsidP="00A12540">
      <w:r>
        <w:rPr>
          <w:b/>
        </w:rPr>
        <w:t>Ansvarigt statsråd</w:t>
      </w:r>
      <w:r>
        <w:rPr>
          <w:b/>
        </w:rPr>
        <w:br/>
      </w:r>
      <w:r>
        <w:rPr>
          <w:noProof/>
        </w:rPr>
        <w:t>Margot Wallström</w:t>
      </w:r>
    </w:p>
    <w:p w14:paraId="54CB6EC1" w14:textId="77777777" w:rsidR="00A12540" w:rsidRDefault="00A12540" w:rsidP="00A12540">
      <w:r w:rsidRPr="00B44CE2">
        <w:rPr>
          <w:b/>
        </w:rPr>
        <w:t>Annotering</w:t>
      </w:r>
      <w:r>
        <w:rPr>
          <w:b/>
        </w:rPr>
        <w:br/>
      </w:r>
      <w:r>
        <w:rPr>
          <w:b/>
          <w:bCs/>
        </w:rPr>
        <w:t>Avsikt med behandlingen i rådet:</w:t>
      </w:r>
      <w:r>
        <w:t xml:space="preserve"> Rådets föreslås bemyndiga ett ad hoc-utlämnande av säkerhetsstrategier och säkerhetsriktlinjer som rör tempestfrågor och som är säkerhetsskyddsklassificerade som RESTREINT UE/EU RESTRICTED, på det villkoret att man i bilagan till skrivelsen om utlämnande av handlingarna till tribunalen uppmanar tribunalen att skydda de säkerhetsskyddsklassificerade handlingarna i fråga i enlighet med rådets säkerhetsbestämmelser.   </w:t>
      </w:r>
    </w:p>
    <w:p w14:paraId="54CB6EC2" w14:textId="77777777" w:rsidR="00995CBA" w:rsidRDefault="00A12540">
      <w:pPr>
        <w:spacing w:after="280" w:afterAutospacing="1"/>
      </w:pPr>
      <w:r>
        <w:rPr>
          <w:b/>
          <w:bCs/>
        </w:rPr>
        <w:t>Hur regeringen ställer sig till den blivande A-punkten:</w:t>
      </w:r>
      <w:r>
        <w:t xml:space="preserve"> Regeringen har inte någon erinran mot att informationen lämnas ut, på ovanstående villkor. </w:t>
      </w:r>
    </w:p>
    <w:p w14:paraId="54CB6EC4" w14:textId="02B1C083" w:rsidR="00A12540" w:rsidRDefault="00A12540">
      <w:pPr>
        <w:spacing w:after="280" w:afterAutospacing="1"/>
        <w:rPr>
          <w:noProof/>
        </w:rPr>
      </w:pPr>
      <w:r>
        <w:rPr>
          <w:b/>
          <w:bCs/>
        </w:rPr>
        <w:t xml:space="preserve">Bakgrund: </w:t>
      </w:r>
      <w:r>
        <w:t xml:space="preserve">Tribunalen håller på att utarbeta ett beslut om de säkerhetsbestämmelser som är tillämpliga på upplysningar eller handlingar som framställs i enlighet med artikel 105.1 eller 105.2 i rättegångsreglerna. Tribunalen har sökt experthjälp från säkerhetskommittén beträffande utarbetandet av säkerhetsbestämmelserna och sekretariatet har tillhandahållit tribunalen rådets strategier och riktlinjer inom området för skydd av </w:t>
      </w:r>
      <w:r>
        <w:lastRenderedPageBreak/>
        <w:t>säkerhetsskyddsklassificerade EU-uppgifter. Tribunalen har också uttryckligen begärt att få ta del av strategier och riktlinjer som rör tempestfrågor. Dessa strategier och riktlinjer har säkerhetsskyddsklassificeringsnivån RESTREINT UE/EU RESTRICTED och det krävs således ett bemyndigande för ad hoc-utlämnande, eftersom det inte finns några arrangemang för utbyte av säkerhetsskyddsklassificerade uppgifter med tribunalen. Den 11 februari 2015 gav säkerhetskommittén en positiv rekommendation angående utlämnandet till tribunalen av strategier och riktlinjer som rör tempestfrågor och som är säkerhetsskyddsklassificerade som RESTREINT UE/EU RESTRICTED.</w:t>
      </w:r>
    </w:p>
    <w:p w14:paraId="54CB6EC5" w14:textId="77777777" w:rsidR="00A12540" w:rsidRDefault="00A12540" w:rsidP="00A12540">
      <w:pPr>
        <w:pStyle w:val="Rubrik1"/>
      </w:pPr>
      <w:bookmarkStart w:id="7" w:name="_Toc412711721"/>
      <w:r>
        <w:rPr>
          <w:noProof/>
        </w:rPr>
        <w:t>Council Regulation (EU) No 2015/…of…amending Regulation (EC) No 2533/98 concerning the collection of statistical information by the European Central Bank</w:t>
      </w:r>
      <w:bookmarkEnd w:id="7"/>
      <w:r>
        <w:rPr>
          <w:noProof/>
        </w:rPr>
        <w:t xml:space="preserve"> </w:t>
      </w:r>
    </w:p>
    <w:p w14:paraId="5B6E3B1F" w14:textId="77777777" w:rsidR="00A12540" w:rsidRDefault="00A12540" w:rsidP="00A12540">
      <w:pPr>
        <w:rPr>
          <w:lang w:val="en-US"/>
        </w:rPr>
      </w:pPr>
      <w:r>
        <w:rPr>
          <w:noProof/>
          <w:lang w:val="en-US"/>
        </w:rPr>
        <w:t>–</w:t>
      </w:r>
      <w:r>
        <w:rPr>
          <w:lang w:val="en-US"/>
        </w:rPr>
        <w:t>Adoption</w:t>
      </w:r>
    </w:p>
    <w:p w14:paraId="54CB6EC6" w14:textId="646ACBC9" w:rsidR="00A12540" w:rsidRDefault="00A12540" w:rsidP="00A12540">
      <w:pPr>
        <w:rPr>
          <w:lang w:val="en-US"/>
        </w:rPr>
      </w:pPr>
      <w:r>
        <w:rPr>
          <w:noProof/>
          <w:lang w:val="en-US"/>
        </w:rPr>
        <w:t>6282</w:t>
      </w:r>
      <w:r>
        <w:rPr>
          <w:lang w:val="en-US"/>
        </w:rPr>
        <w:t>/15 STATIS 13 UEM 36 ECOFIN 107+ ADD 1</w:t>
      </w:r>
      <w:r w:rsidR="00EE25B8">
        <w:rPr>
          <w:lang w:val="en-US"/>
        </w:rPr>
        <w:t xml:space="preserve"> </w:t>
      </w:r>
      <w:bookmarkStart w:id="8" w:name="_GoBack"/>
      <w:bookmarkEnd w:id="8"/>
      <w:r>
        <w:rPr>
          <w:lang w:val="en-US"/>
        </w:rPr>
        <w:t>5576/15 STATIS 8 UEM 14 ECOFIN 45</w:t>
      </w:r>
    </w:p>
    <w:p w14:paraId="54CB6EC7" w14:textId="77777777" w:rsidR="00A12540" w:rsidRDefault="00A12540" w:rsidP="00A12540">
      <w:r>
        <w:rPr>
          <w:b/>
        </w:rPr>
        <w:t>Ansvarigt statsråd</w:t>
      </w:r>
      <w:r>
        <w:rPr>
          <w:b/>
        </w:rPr>
        <w:br/>
      </w:r>
      <w:r>
        <w:rPr>
          <w:noProof/>
        </w:rPr>
        <w:t>Ardalan Shekarabi</w:t>
      </w:r>
    </w:p>
    <w:p w14:paraId="54CB6ECB" w14:textId="5ED38F9C" w:rsidR="00995CBA" w:rsidRDefault="00A12540" w:rsidP="00A12540">
      <w:r w:rsidRPr="00B44CE2">
        <w:rPr>
          <w:b/>
        </w:rPr>
        <w:t>Annotering</w:t>
      </w:r>
      <w:r>
        <w:rPr>
          <w:b/>
        </w:rPr>
        <w:br/>
      </w:r>
      <w:r>
        <w:rPr>
          <w:b/>
          <w:bCs/>
        </w:rPr>
        <w:t>Avsikt med behandlingen i rådet:</w:t>
      </w:r>
      <w:r>
        <w:t xml:space="preserve"> Rådet ska anta rättsakten.</w:t>
      </w:r>
    </w:p>
    <w:p w14:paraId="54CB6ECC" w14:textId="77777777" w:rsidR="00995CBA" w:rsidRDefault="00A12540">
      <w:pPr>
        <w:spacing w:after="280" w:afterAutospacing="1"/>
      </w:pPr>
      <w:r>
        <w:rPr>
          <w:b/>
          <w:bCs/>
        </w:rPr>
        <w:t>Hur regeringen ställer sig till den blivande A-punkten:</w:t>
      </w:r>
      <w:r>
        <w:t xml:space="preserve"> Regeringen godkänner A-punkten.</w:t>
      </w:r>
    </w:p>
    <w:p w14:paraId="54CB6ECD" w14:textId="77777777" w:rsidR="00995CBA" w:rsidRDefault="00A12540">
      <w:pPr>
        <w:spacing w:after="280" w:afterAutospacing="1"/>
      </w:pPr>
      <w:r>
        <w:rPr>
          <w:b/>
          <w:bCs/>
        </w:rPr>
        <w:t xml:space="preserve">Bakgrund: </w:t>
      </w:r>
      <w:r>
        <w:t>Rådets förordning 1024/2013 ger ECB särskilda uppgifter i samband med tillsynen över kreditinstitut och för stabiliteten i det finansiella systemet i unionen och de enskilda medlemsstaterna.</w:t>
      </w:r>
    </w:p>
    <w:p w14:paraId="54CB6ECE" w14:textId="77777777" w:rsidR="00995CBA" w:rsidRDefault="00A12540">
      <w:pPr>
        <w:spacing w:after="280" w:afterAutospacing="1"/>
      </w:pPr>
      <w:r>
        <w:t xml:space="preserve">Rådets förordning 2533/98 är en del av den rättsliga ram som reglerar Europeiska centralbankens (ECB) insamling av statistiska uppgifter tillsammans med de nationella centralbankerna. </w:t>
      </w:r>
    </w:p>
    <w:p w14:paraId="54CB6ED0" w14:textId="3E2CCFA7" w:rsidR="00A12540" w:rsidRDefault="00A12540">
      <w:pPr>
        <w:spacing w:after="280" w:afterAutospacing="1"/>
        <w:rPr>
          <w:noProof/>
        </w:rPr>
      </w:pPr>
      <w:r>
        <w:t>Förslaget innebär att sekretessbelagda data för statistiska ändamål som redan idag kan samlas in genom förordning 2533/98 också ska kunna användas av ECB och berörda europeiska organ för tillsyns- och övervakningsändamål. Förslaget innebär förenklingar för företagen.</w:t>
      </w:r>
    </w:p>
    <w:p w14:paraId="54CB6ED1" w14:textId="77777777" w:rsidR="00A12540" w:rsidRDefault="00A12540" w:rsidP="00A12540">
      <w:pPr>
        <w:pStyle w:val="Rubrik1"/>
      </w:pPr>
      <w:bookmarkStart w:id="9" w:name="_Toc412711722"/>
      <w:r>
        <w:rPr>
          <w:noProof/>
        </w:rPr>
        <w:t>Submission of the new draft designs of German commemorative 2 euro coins</w:t>
      </w:r>
      <w:bookmarkEnd w:id="9"/>
    </w:p>
    <w:p w14:paraId="54CB6ED2" w14:textId="0212F766" w:rsidR="00A12540" w:rsidRDefault="00A12540" w:rsidP="00A12540">
      <w:pPr>
        <w:rPr>
          <w:lang w:val="en-US"/>
        </w:rPr>
      </w:pPr>
      <w:r>
        <w:rPr>
          <w:noProof/>
          <w:lang w:val="en-US"/>
        </w:rPr>
        <w:t>6284</w:t>
      </w:r>
      <w:r>
        <w:rPr>
          <w:lang w:val="en-US"/>
        </w:rPr>
        <w:t>/15 ECOFIN 108 UEM 37</w:t>
      </w:r>
    </w:p>
    <w:p w14:paraId="54CB6ED3" w14:textId="77777777" w:rsidR="00A12540" w:rsidRDefault="00A12540" w:rsidP="00A12540">
      <w:r>
        <w:rPr>
          <w:b/>
        </w:rPr>
        <w:t>Ansvarigt statsråd</w:t>
      </w:r>
      <w:r>
        <w:rPr>
          <w:b/>
        </w:rPr>
        <w:br/>
      </w:r>
      <w:r>
        <w:rPr>
          <w:noProof/>
        </w:rPr>
        <w:t>Per Bolund</w:t>
      </w:r>
    </w:p>
    <w:p w14:paraId="54CB6ED6" w14:textId="77777777" w:rsidR="00A12540" w:rsidRDefault="00A12540" w:rsidP="00A12540">
      <w:r w:rsidRPr="00B44CE2">
        <w:rPr>
          <w:b/>
        </w:rPr>
        <w:t>Annotering</w:t>
      </w:r>
      <w:r>
        <w:rPr>
          <w:b/>
        </w:rPr>
        <w:br/>
      </w:r>
      <w:r>
        <w:t>Föranleder ingen annotering.</w:t>
      </w:r>
    </w:p>
    <w:p w14:paraId="54CB6ED7" w14:textId="77777777" w:rsidR="00A12540" w:rsidRDefault="00A12540" w:rsidP="00A12540">
      <w:pPr>
        <w:pStyle w:val="Rubrik1"/>
      </w:pPr>
      <w:bookmarkStart w:id="10" w:name="_Toc412711723"/>
      <w:r>
        <w:rPr>
          <w:noProof/>
        </w:rPr>
        <w:t>Submission of the new draft designs of Maltese commemorative 2 euro coins</w:t>
      </w:r>
      <w:bookmarkEnd w:id="10"/>
    </w:p>
    <w:p w14:paraId="54CB6ED8" w14:textId="4D960F64" w:rsidR="00A12540" w:rsidRDefault="00A12540" w:rsidP="00A12540">
      <w:pPr>
        <w:rPr>
          <w:lang w:val="en-US"/>
        </w:rPr>
      </w:pPr>
      <w:r>
        <w:rPr>
          <w:noProof/>
          <w:lang w:val="en-US"/>
        </w:rPr>
        <w:t>6287</w:t>
      </w:r>
      <w:r>
        <w:rPr>
          <w:lang w:val="en-US"/>
        </w:rPr>
        <w:t>/15 ECOFIN 109 UEM 38</w:t>
      </w:r>
    </w:p>
    <w:p w14:paraId="54CB6ED9" w14:textId="77777777" w:rsidR="00A12540" w:rsidRDefault="00A12540" w:rsidP="00A12540">
      <w:r>
        <w:rPr>
          <w:b/>
        </w:rPr>
        <w:lastRenderedPageBreak/>
        <w:t>Ansvarigt statsråd</w:t>
      </w:r>
      <w:r>
        <w:rPr>
          <w:b/>
        </w:rPr>
        <w:br/>
      </w:r>
      <w:r>
        <w:rPr>
          <w:noProof/>
        </w:rPr>
        <w:t>Per Bolund</w:t>
      </w:r>
    </w:p>
    <w:p w14:paraId="54CB6EDC" w14:textId="77777777" w:rsidR="00A12540" w:rsidRDefault="00A12540" w:rsidP="00A12540">
      <w:r w:rsidRPr="00B44CE2">
        <w:rPr>
          <w:b/>
        </w:rPr>
        <w:t>Annotering</w:t>
      </w:r>
      <w:r>
        <w:rPr>
          <w:b/>
        </w:rPr>
        <w:br/>
      </w:r>
      <w:r>
        <w:t>Föranleder ingen annotering.</w:t>
      </w:r>
    </w:p>
    <w:p w14:paraId="54CB6EDD" w14:textId="77777777" w:rsidR="00A12540" w:rsidRDefault="00A12540" w:rsidP="00A12540">
      <w:pPr>
        <w:pStyle w:val="Rubrik1"/>
      </w:pPr>
      <w:bookmarkStart w:id="11" w:name="_Toc412711724"/>
      <w:r>
        <w:rPr>
          <w:noProof/>
        </w:rPr>
        <w:t>Council Implementing Decision authorising the United Kingdom to apply differentiated levels of taxation to motor fuels in certain geographical areas, in accordance with Article 19 of Directive 2003/96/EC</w:t>
      </w:r>
      <w:bookmarkEnd w:id="11"/>
    </w:p>
    <w:p w14:paraId="5ACCFBDF" w14:textId="77777777" w:rsidR="00A12540" w:rsidRDefault="00A12540" w:rsidP="00A12540">
      <w:pPr>
        <w:rPr>
          <w:lang w:val="en-US"/>
        </w:rPr>
      </w:pPr>
      <w:r>
        <w:rPr>
          <w:noProof/>
          <w:lang w:val="en-US"/>
        </w:rPr>
        <w:t>–</w:t>
      </w:r>
      <w:r>
        <w:rPr>
          <w:lang w:val="en-US"/>
        </w:rPr>
        <w:t>Adoption</w:t>
      </w:r>
    </w:p>
    <w:p w14:paraId="54CB6EDE" w14:textId="7324BB11" w:rsidR="00A12540" w:rsidRDefault="00A12540" w:rsidP="00A12540">
      <w:pPr>
        <w:rPr>
          <w:lang w:val="en-US"/>
        </w:rPr>
      </w:pPr>
      <w:r>
        <w:rPr>
          <w:noProof/>
          <w:lang w:val="en-US"/>
        </w:rPr>
        <w:t>5963</w:t>
      </w:r>
      <w:r>
        <w:rPr>
          <w:lang w:val="en-US"/>
        </w:rPr>
        <w:t>/15 FISC 13 ENER 26 ECOFIN 75 5805/15 FISC 9 ENER 20 ECOFIN 59</w:t>
      </w:r>
    </w:p>
    <w:p w14:paraId="54CB6EDF" w14:textId="77777777" w:rsidR="00A12540" w:rsidRDefault="00A12540" w:rsidP="00A12540">
      <w:r>
        <w:rPr>
          <w:b/>
        </w:rPr>
        <w:t>Ansvarigt statsråd</w:t>
      </w:r>
      <w:r>
        <w:rPr>
          <w:b/>
        </w:rPr>
        <w:br/>
      </w:r>
      <w:r>
        <w:rPr>
          <w:noProof/>
        </w:rPr>
        <w:t>Magdalena Andersson</w:t>
      </w:r>
    </w:p>
    <w:p w14:paraId="54CB6EE2" w14:textId="77777777" w:rsidR="00A12540" w:rsidRDefault="00A12540" w:rsidP="00A12540">
      <w:r w:rsidRPr="00B44CE2">
        <w:rPr>
          <w:b/>
        </w:rPr>
        <w:t>Annotering</w:t>
      </w:r>
      <w:r>
        <w:rPr>
          <w:b/>
        </w:rPr>
        <w:br/>
      </w:r>
      <w:r>
        <w:rPr>
          <w:b/>
          <w:bCs/>
        </w:rPr>
        <w:t xml:space="preserve">Avsikt med behandlingen i rådet: </w:t>
      </w:r>
      <w:r>
        <w:t xml:space="preserve">Tillstånd för Förenade kungariket att tillämpa nedsatta energiskattesatser för motorbränslen (blyfri bensin och dieselolja) som tillhandahålls i vissa geografiska områden i enlighet med artikel 19 i direktiv 2003/96/EG (energiskattedirektivet).  </w:t>
      </w:r>
    </w:p>
    <w:p w14:paraId="54CB6EE3" w14:textId="77777777" w:rsidR="00995CBA" w:rsidRDefault="00A12540">
      <w:pPr>
        <w:spacing w:after="280" w:afterAutospacing="1"/>
      </w:pPr>
      <w:r>
        <w:rPr>
          <w:b/>
          <w:bCs/>
        </w:rPr>
        <w:t>Hur regeringen ställer sig till den blivande A-punkten:</w:t>
      </w:r>
      <w:r>
        <w:t xml:space="preserve"> SE har ingen erinran mot att Förenade kungariket ges det begärda undantaget. </w:t>
      </w:r>
    </w:p>
    <w:p w14:paraId="54CB6EE4" w14:textId="77777777" w:rsidR="00995CBA" w:rsidRDefault="00A12540">
      <w:pPr>
        <w:spacing w:after="280" w:afterAutospacing="1"/>
      </w:pPr>
      <w:r>
        <w:rPr>
          <w:b/>
          <w:bCs/>
        </w:rPr>
        <w:t xml:space="preserve">Bakgrund: </w:t>
      </w:r>
      <w:r>
        <w:t>Förenade kungariket har ansökt om tillstånd att tillämpa nedsatt energiskattesats på motorbränslen (blyfri bensin och dieselolja) som används i vissa geografiska områden. Enligt Förenade kungariket är bränslepriset i dessa områden i genomsnitt 100 pund (cirka 128,5 euro) högre per 1 000 liter än genomsnittet i andra delar av landet, vilket beror på högre transport- och distributionskostnader och ringa befolkning. Syftet med åtgärden är att ge viss kompensation för de höga kostnaderna för motorbränsle i de angivna områdena. KOM har föreslagit att rådet beslutar i enlighet med Förenade kungarikets begäran.</w:t>
      </w:r>
    </w:p>
    <w:p w14:paraId="54CB6EE5" w14:textId="77777777" w:rsidR="00995CBA" w:rsidRDefault="00A12540">
      <w:pPr>
        <w:spacing w:after="280" w:afterAutospacing="1"/>
      </w:pPr>
      <w:r>
        <w:t>Förslaget innebär i korthet följande:</w:t>
      </w:r>
      <w:r>
        <w:br/>
        <w:t xml:space="preserve">• Förenade kungariket får tillstånd att tillämpa nedsatta skattesatser för blyfri bensin och dieselolja som tillhandahålls som motorbränsle till vägfordon i 17 områden. </w:t>
      </w:r>
      <w:r>
        <w:br/>
        <w:t>• Områdena definieras genom hänvisning till postnummer.</w:t>
      </w:r>
      <w:r>
        <w:br/>
        <w:t>• Skattenedsättning får ske med max 50 pund (64 euro) per 1 000 liter bränsle.</w:t>
      </w:r>
      <w:r>
        <w:br/>
        <w:t>• Undantaget ska tillämpas från och med tidpunkten för beslutet och gäller i sex år, eller till den dag då ett nytt system för beskattning av energiprodukter, som det aktuella tillståndet inte är anpassat till, börjar tillämpas.</w:t>
      </w:r>
    </w:p>
    <w:p w14:paraId="54CB6EE7" w14:textId="5078698F" w:rsidR="00A12540" w:rsidRDefault="00A12540">
      <w:pPr>
        <w:spacing w:after="280" w:afterAutospacing="1"/>
        <w:rPr>
          <w:noProof/>
        </w:rPr>
      </w:pPr>
      <w:r>
        <w:t>Den föreslagna nedsättningen respekterar minimiskattenivåerna i energiskattedirektivet. Under förutsättning att åtgärden uppfyller villkoren i artikel 44 i den allmänna gruppundantagsförordningen (förordning (EG) nr 651/2014) är åtgärden följaktligen undantagen från anmälningsskyldigheten enligt reglerna om statligt stöd.</w:t>
      </w:r>
    </w:p>
    <w:p w14:paraId="54CB6EE8" w14:textId="77777777" w:rsidR="00A12540" w:rsidRDefault="00A12540" w:rsidP="00A12540">
      <w:pPr>
        <w:pStyle w:val="Rubrik1"/>
      </w:pPr>
      <w:bookmarkStart w:id="12" w:name="_Toc412711725"/>
      <w:r>
        <w:rPr>
          <w:noProof/>
        </w:rPr>
        <w:lastRenderedPageBreak/>
        <w:t>Communication from the Commission to the European Parliament, the Council and the European Economic and Social Committee on the work of the EU Joint Transfer Pricing Forum in the period July 2012 to January 2014</w:t>
      </w:r>
      <w:bookmarkEnd w:id="12"/>
    </w:p>
    <w:p w14:paraId="23C6482F" w14:textId="03F19722" w:rsidR="00A12540" w:rsidRDefault="00A12540" w:rsidP="00A12540">
      <w:pPr>
        <w:rPr>
          <w:lang w:val="en-US"/>
        </w:rPr>
      </w:pPr>
      <w:r>
        <w:rPr>
          <w:noProof/>
          <w:lang w:val="en-US"/>
        </w:rPr>
        <w:t>a</w:t>
      </w:r>
      <w:r>
        <w:rPr>
          <w:lang w:val="en-US"/>
        </w:rPr>
        <w:t>) Report on Secondary Adjustments b) Report on Transfer Pricing Risk Management c) Report on Compensating Adjustments–Draft Council conclusions</w:t>
      </w:r>
    </w:p>
    <w:p w14:paraId="54CB6EE9" w14:textId="252F89C4" w:rsidR="00A12540" w:rsidRDefault="00A12540" w:rsidP="00A12540">
      <w:pPr>
        <w:rPr>
          <w:lang w:val="en-US"/>
        </w:rPr>
      </w:pPr>
      <w:r>
        <w:rPr>
          <w:noProof/>
          <w:lang w:val="en-US"/>
        </w:rPr>
        <w:t>5967</w:t>
      </w:r>
      <w:r>
        <w:rPr>
          <w:lang w:val="en-US"/>
        </w:rPr>
        <w:t>/15 FISC 14 ECOFIN 76</w:t>
      </w:r>
    </w:p>
    <w:p w14:paraId="54CB6EEA" w14:textId="77777777" w:rsidR="00A12540" w:rsidRDefault="00A12540" w:rsidP="00A12540">
      <w:r>
        <w:rPr>
          <w:b/>
        </w:rPr>
        <w:t>Ansvarigt statsråd</w:t>
      </w:r>
      <w:r>
        <w:rPr>
          <w:b/>
        </w:rPr>
        <w:br/>
      </w:r>
      <w:r>
        <w:rPr>
          <w:noProof/>
        </w:rPr>
        <w:t>Magdalena Andersson</w:t>
      </w:r>
    </w:p>
    <w:p w14:paraId="54CB6EEE" w14:textId="7423B2D7" w:rsidR="00995CBA" w:rsidRDefault="00A12540" w:rsidP="00A12540">
      <w:r w:rsidRPr="00B44CE2">
        <w:rPr>
          <w:b/>
        </w:rPr>
        <w:t>Annotering</w:t>
      </w:r>
      <w:r>
        <w:rPr>
          <w:b/>
        </w:rPr>
        <w:br/>
      </w:r>
      <w:r>
        <w:rPr>
          <w:b/>
          <w:bCs/>
        </w:rPr>
        <w:t>Avsikt med behandlingen i rådet:</w:t>
      </w:r>
      <w:r>
        <w:t xml:space="preserve"> Rådet föreslås godkänna de föreslagna rådsslutsatserna innefattande de tre rapporterna från Joint Transfer Pricing Forum (JTPF) om sekundära justeringar, riskhantering i samband med internprissättning och om kompenserande justeringar.</w:t>
      </w:r>
    </w:p>
    <w:p w14:paraId="54CB6EEF" w14:textId="77777777" w:rsidR="00995CBA" w:rsidRDefault="00A12540">
      <w:pPr>
        <w:spacing w:after="280" w:afterAutospacing="1"/>
      </w:pPr>
      <w:r>
        <w:rPr>
          <w:b/>
          <w:bCs/>
        </w:rPr>
        <w:t>Hur regeringen ställer sig till den blivande A-punkten:</w:t>
      </w:r>
      <w:r>
        <w:t xml:space="preserve"> Regeringen föreslås rösta ja till att rådet godkänner  rapporterna. </w:t>
      </w:r>
    </w:p>
    <w:p w14:paraId="54CB6EF0" w14:textId="77777777" w:rsidR="00995CBA" w:rsidRDefault="00A12540">
      <w:pPr>
        <w:spacing w:after="280" w:afterAutospacing="1"/>
      </w:pPr>
      <w:r>
        <w:rPr>
          <w:b/>
          <w:bCs/>
        </w:rPr>
        <w:t xml:space="preserve">Bakgrund: </w:t>
      </w:r>
      <w:r>
        <w:t xml:space="preserve">I ett meddelande från den 4 juni 2014 redovisar kommissionen det arbete som har bedrivits i det av kommissionen inrättade gemensamma forumet för internprissättning i EU (Joint Transfer Pricing Forum, JTPF) under perioden juli 2012 till januari 2014. </w:t>
      </w:r>
    </w:p>
    <w:p w14:paraId="54CB6EF1" w14:textId="77777777" w:rsidR="00995CBA" w:rsidRDefault="00A12540">
      <w:pPr>
        <w:spacing w:after="280" w:afterAutospacing="1"/>
      </w:pPr>
      <w:r>
        <w:t>I meddelandet presenterar kommissionen slutsatser om de tre slutförda rapporterna. Kommissionen uppmanar rådet att ställa sig bakom de tre rapporterna och att implementera de rekommendationer som de innehåller så snart som möjligt.</w:t>
      </w:r>
    </w:p>
    <w:p w14:paraId="54CB6EF3" w14:textId="5DFB9209" w:rsidR="00A12540" w:rsidRDefault="00A12540">
      <w:pPr>
        <w:spacing w:after="280" w:afterAutospacing="1"/>
        <w:rPr>
          <w:noProof/>
        </w:rPr>
      </w:pPr>
      <w:r>
        <w:t>LV ORDF har mot bakgrund av arbetet i JTPF föreslagit en rad rådsslutsatser, enligt vilka rådet bl.a. välkomnar kommissionens meddelande från den 4 juni 2014 om arbetet i JTPF under perioden juli 2012 till januari 2014 avseende rapporterna om sekundära justeringar, riskhantering i samband med internprissättning och kompenserande justeringar, bekräftar att multinationella företag och skatteförvaltningar ställs inför praktiska problem när de ska prissätta gränsöverskridande transaktioner mellan närstående företag i intressegemenskap och att de tre rapporterna i det här avseendet innehåller användbar och praktisk vägledning och ställer sig bakom de tre rapporterna och uppmuntrar medlemsstaterna att implementera rekommendationerna så snart som möjligt.</w:t>
      </w:r>
    </w:p>
    <w:p w14:paraId="54CB6EF4" w14:textId="77777777" w:rsidR="00A12540" w:rsidRDefault="00A12540" w:rsidP="00A12540">
      <w:pPr>
        <w:pStyle w:val="Rubrik1"/>
      </w:pPr>
      <w:bookmarkStart w:id="13" w:name="_Toc412711726"/>
      <w:r>
        <w:rPr>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EGF/2013/007 BE/Hainaut steel (Duferco-NLMK) from Belgium)</w:t>
      </w:r>
      <w:r>
        <w:rPr>
          <w:noProof/>
        </w:rPr>
        <w:br/>
        <w:t>–Proposal for transfer of appropriations No DEC 02/2015 within Section III - Commission - of the general budget for 2015</w:t>
      </w:r>
      <w:bookmarkEnd w:id="13"/>
    </w:p>
    <w:p w14:paraId="54CB6EF5" w14:textId="129E066B" w:rsidR="00A12540" w:rsidRDefault="00A12540" w:rsidP="00A12540">
      <w:pPr>
        <w:rPr>
          <w:lang w:val="en-US"/>
        </w:rPr>
      </w:pPr>
      <w:r>
        <w:rPr>
          <w:noProof/>
          <w:lang w:val="en-US"/>
        </w:rPr>
        <w:t>6339</w:t>
      </w:r>
      <w:r>
        <w:rPr>
          <w:lang w:val="en-US"/>
        </w:rPr>
        <w:t>/15 FIN 130 INST 48 PE-L 11</w:t>
      </w:r>
    </w:p>
    <w:p w14:paraId="54CB6EF6" w14:textId="77777777" w:rsidR="00A12540" w:rsidRDefault="00A12540" w:rsidP="00A12540">
      <w:r>
        <w:rPr>
          <w:b/>
        </w:rPr>
        <w:lastRenderedPageBreak/>
        <w:t>Ansvarigt statsråd</w:t>
      </w:r>
      <w:r>
        <w:rPr>
          <w:b/>
        </w:rPr>
        <w:br/>
      </w:r>
      <w:r>
        <w:rPr>
          <w:noProof/>
        </w:rPr>
        <w:t>Magdalena Andersson</w:t>
      </w:r>
    </w:p>
    <w:p w14:paraId="54CB6EF9" w14:textId="77777777" w:rsidR="00A12540" w:rsidRDefault="00A12540" w:rsidP="00A12540">
      <w:r w:rsidRPr="00B44CE2">
        <w:rPr>
          <w:b/>
        </w:rPr>
        <w:t>Annotering</w:t>
      </w:r>
      <w:r>
        <w:rPr>
          <w:b/>
        </w:rPr>
        <w:br/>
      </w:r>
      <w:r>
        <w:rPr>
          <w:b/>
          <w:bCs/>
        </w:rPr>
        <w:t xml:space="preserve">Avsikt med behandlingen i rådet: </w:t>
      </w:r>
      <w:r>
        <w:t xml:space="preserve">Godkännande av övrföring av medel till Europeiska fonden för justering för globaliseringseffekter (EGF). </w:t>
      </w:r>
    </w:p>
    <w:p w14:paraId="54CB6EFA" w14:textId="77777777" w:rsidR="00995CBA" w:rsidRDefault="00A12540">
      <w:pPr>
        <w:spacing w:after="280" w:afterAutospacing="1"/>
      </w:pPr>
      <w:r>
        <w:rPr>
          <w:b/>
          <w:bCs/>
        </w:rPr>
        <w:t>Hur regeringen ställer sig till den blivande A-punkten:</w:t>
      </w:r>
      <w:r>
        <w:t xml:space="preserve"> Regeringen avser rösta ja. </w:t>
      </w:r>
    </w:p>
    <w:p w14:paraId="54CB6EFC" w14:textId="2C1D49B7" w:rsidR="00A12540" w:rsidRDefault="00A12540">
      <w:pPr>
        <w:spacing w:after="280" w:afterAutospacing="1"/>
        <w:rPr>
          <w:noProof/>
        </w:rPr>
      </w:pPr>
      <w:r>
        <w:rPr>
          <w:b/>
          <w:bCs/>
        </w:rPr>
        <w:t xml:space="preserve">Bakgrund: </w:t>
      </w:r>
      <w:r>
        <w:t>Belgien har ansökt om ekonomiskt stöd från Europeiska fonden för justering för globaliseringseffekter (EGF). Stödet ska användas till ett paket av stödberättigande individanpassade tjänster för 701 berörda stödmottagare efter uppsägningar i två företag verksamma inom metallindustrin. Syftet är att bistå de drabbade arbetstagarna vid deras återinträde på arbetsmarknaden.Kommissionen har granskat ansökan och kommit fram till att villkoren för stöd är uppfyllda. Kommissionen föreslår därför att 981 956 euro i åtagandebemyndiganden ska överföras från artikel 40 02 43 Reserv för EGF till artikel 04 04 51 EGF.</w:t>
      </w:r>
    </w:p>
    <w:p w14:paraId="54CB6EFD" w14:textId="77777777" w:rsidR="00A12540" w:rsidRDefault="00A12540" w:rsidP="00A12540">
      <w:pPr>
        <w:pStyle w:val="Rubrik1"/>
      </w:pPr>
      <w:bookmarkStart w:id="14" w:name="_Toc412711727"/>
      <w:r>
        <w:rPr>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EGF/2014/011 BE/Caterpillar from Belgium)</w:t>
      </w:r>
      <w:r>
        <w:rPr>
          <w:noProof/>
        </w:rPr>
        <w:br/>
        <w:t>–Proposal for transfer of appropriations No DEC 03/2015 within Section III - Commission - of the general budget for 2015</w:t>
      </w:r>
      <w:bookmarkEnd w:id="14"/>
    </w:p>
    <w:p w14:paraId="54CB6EFE" w14:textId="2DA18BCE" w:rsidR="00A12540" w:rsidRDefault="00A12540" w:rsidP="00A12540">
      <w:pPr>
        <w:rPr>
          <w:lang w:val="en-US"/>
        </w:rPr>
      </w:pPr>
      <w:r>
        <w:rPr>
          <w:noProof/>
          <w:lang w:val="en-US"/>
        </w:rPr>
        <w:t>6338</w:t>
      </w:r>
      <w:r>
        <w:rPr>
          <w:lang w:val="en-US"/>
        </w:rPr>
        <w:t>/15 FIN 129 INST 47 PE-L 10</w:t>
      </w:r>
    </w:p>
    <w:p w14:paraId="54CB6EFF" w14:textId="77777777" w:rsidR="00A12540" w:rsidRDefault="00A12540" w:rsidP="00A12540">
      <w:r>
        <w:rPr>
          <w:b/>
        </w:rPr>
        <w:t>Ansvarigt statsråd</w:t>
      </w:r>
      <w:r>
        <w:rPr>
          <w:b/>
        </w:rPr>
        <w:br/>
      </w:r>
      <w:r>
        <w:rPr>
          <w:noProof/>
        </w:rPr>
        <w:t>Magdalena Andersson</w:t>
      </w:r>
    </w:p>
    <w:p w14:paraId="54CB6F02" w14:textId="77777777" w:rsidR="00A12540" w:rsidRDefault="00A12540" w:rsidP="00A12540">
      <w:r w:rsidRPr="00B44CE2">
        <w:rPr>
          <w:b/>
        </w:rPr>
        <w:t>Annotering</w:t>
      </w:r>
      <w:r>
        <w:rPr>
          <w:b/>
        </w:rPr>
        <w:br/>
      </w:r>
      <w:r>
        <w:rPr>
          <w:b/>
          <w:bCs/>
        </w:rPr>
        <w:t xml:space="preserve">Avsikt med behandlingen i rådet: </w:t>
      </w:r>
      <w:r>
        <w:t xml:space="preserve">Godkännande av övrföring av medel till Europeiska fonden för justering för globaliseringseffekter (EGF). </w:t>
      </w:r>
    </w:p>
    <w:p w14:paraId="54CB6F03" w14:textId="77777777" w:rsidR="00995CBA" w:rsidRDefault="00A12540">
      <w:pPr>
        <w:spacing w:after="280" w:afterAutospacing="1"/>
      </w:pPr>
      <w:r>
        <w:rPr>
          <w:b/>
          <w:bCs/>
        </w:rPr>
        <w:t>Hur regeringen ställer sig till den blivande A-punkten:</w:t>
      </w:r>
      <w:r>
        <w:t xml:space="preserve"> Regeringen avser rösta ja. </w:t>
      </w:r>
    </w:p>
    <w:p w14:paraId="54CB6F05" w14:textId="505F77A4" w:rsidR="00A12540" w:rsidRDefault="00A12540">
      <w:pPr>
        <w:spacing w:after="280" w:afterAutospacing="1"/>
        <w:rPr>
          <w:noProof/>
        </w:rPr>
      </w:pPr>
      <w:r>
        <w:rPr>
          <w:b/>
          <w:bCs/>
        </w:rPr>
        <w:t xml:space="preserve">Bakgrund: </w:t>
      </w:r>
      <w:r>
        <w:t>Belgien har ansökt om ekonomiskt stöd från Europeiska fonden för justering för globaliseringseffekter (EGF). Stödet ska användas till ett paket av stödberättigande individanpassade tjänster för 630 berörda stödmottagare efter uppsägningar i Caterpillar, verksamt inom maskinproduktion. Syftet är att bistå de drabbade arbetstagarna vid deras återinträde på arbetsmarknaden. Kommissionen har granskat ansökan och kommit fram till att villkoren för stöd är uppfyllda. Kommissionen föreslår därför att 1 222 854 euro i åtagandebemyndiganden ska överföras från artikel 40 02 43 Reserv för EGF till artikel 04 04 01 EGF.</w:t>
      </w:r>
    </w:p>
    <w:p w14:paraId="54CB6F06" w14:textId="77777777" w:rsidR="00A12540" w:rsidRDefault="00A12540" w:rsidP="00A12540">
      <w:pPr>
        <w:pStyle w:val="Rubrik1"/>
      </w:pPr>
      <w:bookmarkStart w:id="15" w:name="_Toc412711728"/>
      <w:r>
        <w:rPr>
          <w:noProof/>
        </w:rPr>
        <w:lastRenderedPageBreak/>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EGF/2014/012 BE/Arcelor Mittal from Belgium)</w:t>
      </w:r>
      <w:r>
        <w:rPr>
          <w:noProof/>
        </w:rPr>
        <w:br/>
        <w:t>–Proposal for transfer of appropriations No DEC 04/2015 within Section III - Commission - of the general budget for 2015</w:t>
      </w:r>
      <w:bookmarkEnd w:id="15"/>
    </w:p>
    <w:p w14:paraId="54CB6F07" w14:textId="1075ED23" w:rsidR="00A12540" w:rsidRDefault="00A12540" w:rsidP="00A12540">
      <w:pPr>
        <w:rPr>
          <w:lang w:val="en-US"/>
        </w:rPr>
      </w:pPr>
      <w:r>
        <w:rPr>
          <w:noProof/>
          <w:lang w:val="en-US"/>
        </w:rPr>
        <w:t>6340</w:t>
      </w:r>
      <w:r>
        <w:rPr>
          <w:lang w:val="en-US"/>
        </w:rPr>
        <w:t>/15 FIN 131 INST 49 PE-L 12</w:t>
      </w:r>
    </w:p>
    <w:p w14:paraId="54CB6F08" w14:textId="77777777" w:rsidR="00A12540" w:rsidRDefault="00A12540" w:rsidP="00A12540">
      <w:r>
        <w:rPr>
          <w:b/>
        </w:rPr>
        <w:t>Ansvarigt statsråd</w:t>
      </w:r>
      <w:r>
        <w:rPr>
          <w:b/>
        </w:rPr>
        <w:br/>
      </w:r>
      <w:r>
        <w:rPr>
          <w:noProof/>
        </w:rPr>
        <w:t>Magdalena Andersson</w:t>
      </w:r>
    </w:p>
    <w:p w14:paraId="54CB6F0B" w14:textId="274BF0A4" w:rsidR="00A12540" w:rsidRDefault="00A12540" w:rsidP="00A12540">
      <w:r w:rsidRPr="00B44CE2">
        <w:rPr>
          <w:b/>
        </w:rPr>
        <w:t>Annotering</w:t>
      </w:r>
      <w:r>
        <w:rPr>
          <w:b/>
        </w:rPr>
        <w:br/>
      </w:r>
      <w:r>
        <w:rPr>
          <w:b/>
          <w:bCs/>
        </w:rPr>
        <w:t xml:space="preserve">Avsikt med behandlingen i </w:t>
      </w:r>
      <w:r w:rsidR="009529E0">
        <w:rPr>
          <w:b/>
          <w:bCs/>
        </w:rPr>
        <w:t>rådet:</w:t>
      </w:r>
      <w:r w:rsidR="009529E0">
        <w:t xml:space="preserve"> Godkännande</w:t>
      </w:r>
      <w:r>
        <w:t xml:space="preserve"> av </w:t>
      </w:r>
      <w:r w:rsidR="009529E0">
        <w:t>överföring</w:t>
      </w:r>
      <w:r>
        <w:t xml:space="preserve"> av medel till Europeiska fonden för justering för globaliseringseffekter (EGF). </w:t>
      </w:r>
    </w:p>
    <w:p w14:paraId="54CB6F0C" w14:textId="77777777" w:rsidR="00995CBA" w:rsidRDefault="00A12540">
      <w:pPr>
        <w:spacing w:after="280" w:afterAutospacing="1"/>
      </w:pPr>
      <w:r>
        <w:rPr>
          <w:b/>
          <w:bCs/>
        </w:rPr>
        <w:t>Hur regeringen ställer sig till den blivande A-punkten:</w:t>
      </w:r>
      <w:r>
        <w:t xml:space="preserve"> Regeringen avser rösta ja. </w:t>
      </w:r>
    </w:p>
    <w:p w14:paraId="54CB6F0E" w14:textId="5A782C96" w:rsidR="00A12540" w:rsidRDefault="00A12540">
      <w:pPr>
        <w:spacing w:after="280" w:afterAutospacing="1"/>
        <w:rPr>
          <w:noProof/>
        </w:rPr>
      </w:pPr>
      <w:r>
        <w:rPr>
          <w:b/>
          <w:bCs/>
        </w:rPr>
        <w:t xml:space="preserve">Bakgrund: </w:t>
      </w:r>
      <w:r>
        <w:t>Belgien har ansökt om ekonomiskt stöd från Europeiska fonden för justering för globaliseringseffekter (EGF). Stödet ska användas till ett paket av stödberättigande individanpassade tjänster för 910 berörda stödmottagare efter uppsägningar i företaget ArcelorMittal Liège S.A, verksamt inom metallindustrin. Syftet är att bistå de drabbade arbetstagarna vid deras återinträde på arbetsmarknaden. Kommissionen har granskat ansökan och kommit fram till att villkoren för stöd är uppfyllda. Kommissionen föreslår därför att 1 591 486 euro i åtagandebemyndiganden ska överföras från artikel 40 02 43 Reserv för EGF till artikel 04 04 01 EGF.</w:t>
      </w:r>
    </w:p>
    <w:p w14:paraId="54CB6F0F" w14:textId="77777777" w:rsidR="00A12540" w:rsidRDefault="00A12540" w:rsidP="00A12540">
      <w:pPr>
        <w:pStyle w:val="Rubrik1"/>
      </w:pPr>
      <w:bookmarkStart w:id="16" w:name="_Toc412711729"/>
      <w:r>
        <w:rPr>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EGF/2014/014 DE/Aleo Solar from Germany)</w:t>
      </w:r>
      <w:r>
        <w:rPr>
          <w:noProof/>
        </w:rPr>
        <w:br/>
        <w:t>–Proposal for transfer of appropriations No DEC 05/2015 within Section III - Commission - of the general budget for 2015</w:t>
      </w:r>
      <w:bookmarkEnd w:id="16"/>
    </w:p>
    <w:p w14:paraId="54CB6F10" w14:textId="5A466E8D" w:rsidR="00A12540" w:rsidRDefault="00A12540" w:rsidP="00A12540">
      <w:pPr>
        <w:rPr>
          <w:lang w:val="en-US"/>
        </w:rPr>
      </w:pPr>
      <w:r>
        <w:rPr>
          <w:noProof/>
          <w:lang w:val="en-US"/>
        </w:rPr>
        <w:t>6341</w:t>
      </w:r>
      <w:r>
        <w:rPr>
          <w:lang w:val="en-US"/>
        </w:rPr>
        <w:t>/15 FIN 132 INST 50 PE-L 13</w:t>
      </w:r>
    </w:p>
    <w:p w14:paraId="54CB6F11" w14:textId="77777777" w:rsidR="00A12540" w:rsidRDefault="00A12540" w:rsidP="00A12540">
      <w:r>
        <w:rPr>
          <w:b/>
        </w:rPr>
        <w:t>Ansvarigt statsråd</w:t>
      </w:r>
      <w:r>
        <w:rPr>
          <w:b/>
        </w:rPr>
        <w:br/>
      </w:r>
      <w:r>
        <w:rPr>
          <w:noProof/>
        </w:rPr>
        <w:t>Magdalena Andersson</w:t>
      </w:r>
    </w:p>
    <w:p w14:paraId="54CB6F14" w14:textId="42EC87DC" w:rsidR="00A12540" w:rsidRDefault="00A12540" w:rsidP="00A12540">
      <w:r w:rsidRPr="00B44CE2">
        <w:rPr>
          <w:b/>
        </w:rPr>
        <w:t>Annotering</w:t>
      </w:r>
      <w:r>
        <w:rPr>
          <w:b/>
        </w:rPr>
        <w:br/>
      </w:r>
      <w:r>
        <w:rPr>
          <w:b/>
          <w:bCs/>
        </w:rPr>
        <w:t xml:space="preserve">Avsikt med behandlingen i </w:t>
      </w:r>
      <w:r w:rsidR="009529E0">
        <w:rPr>
          <w:b/>
          <w:bCs/>
        </w:rPr>
        <w:t>rådet:</w:t>
      </w:r>
      <w:r w:rsidR="009529E0">
        <w:t xml:space="preserve"> Godkännande</w:t>
      </w:r>
      <w:r>
        <w:t xml:space="preserve"> av </w:t>
      </w:r>
      <w:r w:rsidR="009529E0">
        <w:t>överföring</w:t>
      </w:r>
      <w:r>
        <w:t xml:space="preserve"> av medel till Europeiska fonden för justering för globaliseringseffekter (EGF). </w:t>
      </w:r>
    </w:p>
    <w:p w14:paraId="54CB6F15" w14:textId="77777777" w:rsidR="00995CBA" w:rsidRDefault="00A12540">
      <w:pPr>
        <w:spacing w:after="280" w:afterAutospacing="1"/>
      </w:pPr>
      <w:r>
        <w:rPr>
          <w:b/>
          <w:bCs/>
        </w:rPr>
        <w:t>Hur regeringen ställer sig till den blivande A-punkten:</w:t>
      </w:r>
      <w:r>
        <w:t xml:space="preserve"> Regeringen avser rösta ja. </w:t>
      </w:r>
    </w:p>
    <w:p w14:paraId="54CB6F16" w14:textId="2B6702FC" w:rsidR="00995CBA" w:rsidRDefault="00A12540">
      <w:pPr>
        <w:spacing w:after="280" w:afterAutospacing="1"/>
      </w:pPr>
      <w:r>
        <w:rPr>
          <w:b/>
          <w:bCs/>
        </w:rPr>
        <w:t>Bakgrund:</w:t>
      </w:r>
      <w:r w:rsidR="00E02B7D">
        <w:rPr>
          <w:b/>
          <w:bCs/>
        </w:rPr>
        <w:t xml:space="preserve"> </w:t>
      </w:r>
      <w:r>
        <w:t xml:space="preserve">Tyskland har ansökt om ekonomiskt stöd från Europeiska fonden för justering för globaliseringseffekter (EGF). Stödet ska användas till ett paket av stödberättigande </w:t>
      </w:r>
      <w:r>
        <w:lastRenderedPageBreak/>
        <w:t>individanpassade tjänster för 476 berörda stödmottagare efter uppsägningar i företaget Aleo Solar AG och två dotterbolag verksamma inom sektorn för tillverkning av datorer, elektronikvaror och optik i Tyskland. Syftet är att bistå de drabbade arbetstagarna vid deras återinträde på arbetsmarknaden.</w:t>
      </w:r>
    </w:p>
    <w:p w14:paraId="54CB6F18" w14:textId="11B14835" w:rsidR="00A12540" w:rsidRDefault="00A12540">
      <w:pPr>
        <w:spacing w:after="280" w:afterAutospacing="1"/>
        <w:rPr>
          <w:noProof/>
        </w:rPr>
      </w:pPr>
      <w:r>
        <w:t>Kommissionen har granskat ansökan och kommit fram till att villkoren för stöd är uppfyllda. Kommissionen föreslår därför att 1 094 760 euro i åtagandebemyndiganden ska överföras från artikel 40 02 43 Reserv för EGF till artikel 04 04 01 EGF.</w:t>
      </w:r>
    </w:p>
    <w:p w14:paraId="54CB6F19" w14:textId="77777777" w:rsidR="00A12540" w:rsidRDefault="00A12540" w:rsidP="00A12540">
      <w:pPr>
        <w:pStyle w:val="Rubrik1"/>
      </w:pPr>
      <w:bookmarkStart w:id="17" w:name="_Toc412711730"/>
      <w:r>
        <w:rPr>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EGF/2013/009 PL/Zachem from Poland)</w:t>
      </w:r>
      <w:r>
        <w:rPr>
          <w:noProof/>
        </w:rPr>
        <w:br/>
        <w:t>–Proposal for transfer of appropriations No DEC 06/2015 within Section III - Commission - of the general budget for 2015</w:t>
      </w:r>
      <w:bookmarkEnd w:id="17"/>
    </w:p>
    <w:p w14:paraId="54CB6F1A" w14:textId="68CE9D0D" w:rsidR="00A12540" w:rsidRDefault="00A12540" w:rsidP="00A12540">
      <w:pPr>
        <w:rPr>
          <w:lang w:val="en-US"/>
        </w:rPr>
      </w:pPr>
      <w:r>
        <w:rPr>
          <w:noProof/>
          <w:lang w:val="en-US"/>
        </w:rPr>
        <w:t>6342</w:t>
      </w:r>
      <w:r>
        <w:rPr>
          <w:lang w:val="en-US"/>
        </w:rPr>
        <w:t>/15 FIN 133 INST 51 PE-L 14</w:t>
      </w:r>
    </w:p>
    <w:p w14:paraId="54CB6F1B" w14:textId="77777777" w:rsidR="00A12540" w:rsidRDefault="00A12540" w:rsidP="00A12540">
      <w:r>
        <w:rPr>
          <w:b/>
        </w:rPr>
        <w:t>Ansvarigt statsråd</w:t>
      </w:r>
      <w:r>
        <w:rPr>
          <w:b/>
        </w:rPr>
        <w:br/>
      </w:r>
      <w:r>
        <w:rPr>
          <w:noProof/>
        </w:rPr>
        <w:t>Magdalena Andersson</w:t>
      </w:r>
    </w:p>
    <w:p w14:paraId="54CB6F1E" w14:textId="4CA602DB" w:rsidR="00A12540" w:rsidRDefault="00A12540" w:rsidP="00A12540">
      <w:r w:rsidRPr="00B44CE2">
        <w:rPr>
          <w:b/>
        </w:rPr>
        <w:t>Annotering</w:t>
      </w:r>
      <w:r>
        <w:rPr>
          <w:b/>
        </w:rPr>
        <w:br/>
      </w:r>
      <w:r>
        <w:rPr>
          <w:b/>
          <w:bCs/>
        </w:rPr>
        <w:t xml:space="preserve">Avsikt med behandlingen i </w:t>
      </w:r>
      <w:r w:rsidR="009529E0">
        <w:rPr>
          <w:b/>
          <w:bCs/>
        </w:rPr>
        <w:t>rådet:</w:t>
      </w:r>
      <w:r w:rsidR="009529E0">
        <w:t xml:space="preserve"> Godkännande</w:t>
      </w:r>
      <w:r>
        <w:t xml:space="preserve"> av </w:t>
      </w:r>
      <w:r w:rsidR="009529E0">
        <w:t>överföring</w:t>
      </w:r>
      <w:r>
        <w:t xml:space="preserve"> av medel till Europeiska fonden för justering för globaliseringseffekter (EGF) </w:t>
      </w:r>
    </w:p>
    <w:p w14:paraId="54CB6F1F" w14:textId="77777777" w:rsidR="00995CBA" w:rsidRDefault="00A12540">
      <w:pPr>
        <w:spacing w:after="280" w:afterAutospacing="1"/>
      </w:pPr>
      <w:r>
        <w:rPr>
          <w:b/>
          <w:bCs/>
        </w:rPr>
        <w:t>Hur regeringen ställer sig till den blivande A-punkten:</w:t>
      </w:r>
      <w:r>
        <w:t xml:space="preserve"> Regeringen avser rösta ja. </w:t>
      </w:r>
    </w:p>
    <w:p w14:paraId="54CB6F20" w14:textId="09FB2F53" w:rsidR="00995CBA" w:rsidRDefault="00A12540">
      <w:pPr>
        <w:spacing w:after="280" w:afterAutospacing="1"/>
      </w:pPr>
      <w:r>
        <w:rPr>
          <w:b/>
          <w:bCs/>
        </w:rPr>
        <w:t>Bakgrund:</w:t>
      </w:r>
      <w:r w:rsidR="00E02B7D">
        <w:rPr>
          <w:b/>
          <w:bCs/>
        </w:rPr>
        <w:t xml:space="preserve"> </w:t>
      </w:r>
      <w:r>
        <w:t>Polen har ansökt om ekonomiskt stöd från Europeiska fonden för justering för globaliseringseffekter (EGF). Stödet ska användas till ett paket av stödberättigande individanpassade tjänster för 50 berörda stödmottagare efter uppsägningar i företaget Zachem and två leverantörer verksamma inom kemikalieindustrin i Polen. Syftet är att bistå de drabbade arbetstagarna vid deras återinträde på arbetsmarknaden.</w:t>
      </w:r>
    </w:p>
    <w:p w14:paraId="54CB6F22" w14:textId="446E7687" w:rsidR="00A12540" w:rsidRDefault="00A12540">
      <w:pPr>
        <w:spacing w:after="280" w:afterAutospacing="1"/>
        <w:rPr>
          <w:noProof/>
        </w:rPr>
      </w:pPr>
      <w:r>
        <w:t>Kommissionen har granskat ansökan och kommit fram till att villkoren för stöd är uppfyllda. Kommissionen föreslår därför att 115 205 euro i åtagandebemyndiganden ska överföras från artikel 40 02 43 Reserv för EGF till artikel 04 04 01 EGF.</w:t>
      </w:r>
    </w:p>
    <w:p w14:paraId="54CB6F23" w14:textId="77777777" w:rsidR="00A12540" w:rsidRDefault="00A12540" w:rsidP="00A12540">
      <w:pPr>
        <w:pStyle w:val="Rubrik1"/>
      </w:pPr>
      <w:bookmarkStart w:id="18" w:name="_Toc412711731"/>
      <w:r>
        <w:rPr>
          <w:noProof/>
        </w:rPr>
        <w:t>Proposal for a Decision of the European Parliament and of the Council on the mobilisation of the European Globalisation Adjustment Fund, in accordance with Point 13 of the Interinstitutional Agreement of 2 December 2013 between the European Parliament, the Council and the Commission on budgetary discipline, on cooperation in budgetary matters and on sound financial management (application EGF/2013/011 BE/Sain-Gobaint Sekurit from Belgium)</w:t>
      </w:r>
      <w:r>
        <w:rPr>
          <w:noProof/>
        </w:rPr>
        <w:br/>
        <w:t>–Proposal for transfer of appropriations No DEC 07/2015 within Section III - Commission - of the general budget for 2015</w:t>
      </w:r>
      <w:bookmarkEnd w:id="18"/>
    </w:p>
    <w:p w14:paraId="54CB6F24" w14:textId="43145B81" w:rsidR="00A12540" w:rsidRDefault="00A12540" w:rsidP="00A12540">
      <w:pPr>
        <w:rPr>
          <w:lang w:val="en-US"/>
        </w:rPr>
      </w:pPr>
      <w:r>
        <w:rPr>
          <w:noProof/>
          <w:lang w:val="en-US"/>
        </w:rPr>
        <w:t>6343</w:t>
      </w:r>
      <w:r>
        <w:rPr>
          <w:lang w:val="en-US"/>
        </w:rPr>
        <w:t>/15 FIN 134 INST 52 PE-L 15</w:t>
      </w:r>
    </w:p>
    <w:p w14:paraId="54CB6F25" w14:textId="77777777" w:rsidR="00A12540" w:rsidRDefault="00A12540" w:rsidP="00A12540">
      <w:r>
        <w:rPr>
          <w:b/>
        </w:rPr>
        <w:lastRenderedPageBreak/>
        <w:t>Ansvarigt statsråd</w:t>
      </w:r>
      <w:r>
        <w:rPr>
          <w:b/>
        </w:rPr>
        <w:br/>
      </w:r>
      <w:r>
        <w:rPr>
          <w:noProof/>
        </w:rPr>
        <w:t>Magdalena Andersson</w:t>
      </w:r>
    </w:p>
    <w:p w14:paraId="54CB6F28" w14:textId="72842C4A" w:rsidR="00A12540" w:rsidRDefault="00A12540" w:rsidP="00A12540">
      <w:r w:rsidRPr="00B44CE2">
        <w:rPr>
          <w:b/>
        </w:rPr>
        <w:t>Annotering</w:t>
      </w:r>
      <w:r>
        <w:rPr>
          <w:b/>
        </w:rPr>
        <w:br/>
      </w:r>
      <w:r>
        <w:rPr>
          <w:b/>
          <w:bCs/>
        </w:rPr>
        <w:t xml:space="preserve">Avsikt med behandlingen i </w:t>
      </w:r>
      <w:r w:rsidR="009529E0">
        <w:rPr>
          <w:b/>
          <w:bCs/>
        </w:rPr>
        <w:t>rådet:</w:t>
      </w:r>
      <w:r w:rsidR="009529E0">
        <w:t xml:space="preserve"> Godkännande</w:t>
      </w:r>
      <w:r>
        <w:t xml:space="preserve"> av </w:t>
      </w:r>
      <w:r w:rsidR="009529E0">
        <w:t>överföring</w:t>
      </w:r>
      <w:r>
        <w:t xml:space="preserve"> av medel till Europeiska fonden för justering för globaliseringseffekter (EGF). </w:t>
      </w:r>
    </w:p>
    <w:p w14:paraId="54CB6F29" w14:textId="77777777" w:rsidR="00995CBA" w:rsidRDefault="00A12540">
      <w:pPr>
        <w:spacing w:after="280" w:afterAutospacing="1"/>
      </w:pPr>
      <w:r>
        <w:rPr>
          <w:b/>
          <w:bCs/>
        </w:rPr>
        <w:t>Hur regeringen ställer sig till den blivande A-punkten:</w:t>
      </w:r>
      <w:r>
        <w:t>Regeringen avser rösta ja.</w:t>
      </w:r>
      <w:r>
        <w:rPr>
          <w:b/>
          <w:bCs/>
        </w:rPr>
        <w:t xml:space="preserve"> </w:t>
      </w:r>
    </w:p>
    <w:p w14:paraId="54CB6F2A" w14:textId="77777777" w:rsidR="00995CBA" w:rsidRDefault="00A12540">
      <w:pPr>
        <w:spacing w:after="280" w:afterAutospacing="1"/>
      </w:pPr>
      <w:r>
        <w:rPr>
          <w:b/>
          <w:bCs/>
        </w:rPr>
        <w:t xml:space="preserve">Bakgrund: </w:t>
      </w:r>
      <w:r>
        <w:t>Belgien har ansökt om ekonomiskt stöd från Europeiska fonden för justering för globaliseringseffekter (EGF). Stödet ska användas till ett paket av stödberättigande individanpassade tjänster för 257 berörda stödmottagare efter uppsägningar i in Saint-Gobain Sekurit Benelux SA, verksamt inom tillverkning av säkerhetsglas till fordon. Syftet är att bistå de drabbade arbetstagarna vid deras återinträde på arbetsmarknaden.</w:t>
      </w:r>
    </w:p>
    <w:p w14:paraId="54CB6F2C" w14:textId="1B075F9D" w:rsidR="00A12540" w:rsidRDefault="00A12540">
      <w:pPr>
        <w:spacing w:after="280" w:afterAutospacing="1"/>
        <w:rPr>
          <w:noProof/>
        </w:rPr>
      </w:pPr>
      <w:r>
        <w:t>Kommissionen har granskat ansökan och kommit fram till att villkoren för stöd är uppfyllda. Kommissionen föreslår därför att 1 339 928 euro i åtagandebemyndiganden ska överföras från artikel 40 02 43 Reserv för EGF till artikel 04 04 51 EGF.</w:t>
      </w:r>
    </w:p>
    <w:p w14:paraId="54CB6F2D" w14:textId="77777777" w:rsidR="00A12540" w:rsidRDefault="00A12540" w:rsidP="00A12540">
      <w:pPr>
        <w:pStyle w:val="Rubrik1"/>
      </w:pPr>
      <w:bookmarkStart w:id="19" w:name="_Toc412711732"/>
      <w:r>
        <w:rPr>
          <w:noProof/>
        </w:rPr>
        <w:t>Proposal for a Regulation of the European Parliament and of the Council on the safeguard measures provided for in the Agreement between the European Economic Community and the Republic of Iceland (codification) (First reading) (LA)</w:t>
      </w:r>
      <w:bookmarkEnd w:id="19"/>
    </w:p>
    <w:p w14:paraId="0B7E50CF" w14:textId="77777777" w:rsidR="00A12540" w:rsidRDefault="00A12540" w:rsidP="00A12540">
      <w:pPr>
        <w:rPr>
          <w:lang w:val="en-US"/>
        </w:rPr>
      </w:pPr>
      <w:r>
        <w:rPr>
          <w:noProof/>
          <w:lang w:val="en-US"/>
        </w:rPr>
        <w:t>–</w:t>
      </w:r>
      <w:r>
        <w:rPr>
          <w:lang w:val="en-US"/>
        </w:rPr>
        <w:t>Adoption of the legislative act</w:t>
      </w:r>
    </w:p>
    <w:p w14:paraId="54CB6F2E" w14:textId="41924E4A" w:rsidR="00A12540" w:rsidRDefault="00A12540" w:rsidP="00A12540">
      <w:pPr>
        <w:rPr>
          <w:lang w:val="en-US"/>
        </w:rPr>
      </w:pPr>
      <w:r>
        <w:rPr>
          <w:noProof/>
          <w:lang w:val="en-US"/>
        </w:rPr>
        <w:t>6275</w:t>
      </w:r>
      <w:r>
        <w:rPr>
          <w:lang w:val="en-US"/>
        </w:rPr>
        <w:t>/15 CODEC 198 CODIF 22 ECO 20 INST 42 MI 88PE-CONS 98/14 CODIF 72 ECO 185 INST 629 MI 1002 CODEC 2512</w:t>
      </w:r>
    </w:p>
    <w:p w14:paraId="54CB6F2F" w14:textId="77777777" w:rsidR="00A12540" w:rsidRDefault="00A12540" w:rsidP="00A12540">
      <w:r>
        <w:rPr>
          <w:b/>
        </w:rPr>
        <w:t>Ansvarigt statsråd</w:t>
      </w:r>
      <w:r>
        <w:rPr>
          <w:b/>
        </w:rPr>
        <w:br/>
      </w:r>
      <w:r>
        <w:rPr>
          <w:noProof/>
        </w:rPr>
        <w:t>Margot Wallström</w:t>
      </w:r>
    </w:p>
    <w:p w14:paraId="54CB6F32" w14:textId="77777777" w:rsidR="00A12540" w:rsidRDefault="00A12540" w:rsidP="00A12540">
      <w:r w:rsidRPr="00B44CE2">
        <w:rPr>
          <w:b/>
        </w:rPr>
        <w:t>Annotering</w:t>
      </w:r>
      <w:r>
        <w:rPr>
          <w:b/>
        </w:rPr>
        <w:br/>
      </w:r>
      <w:r>
        <w:rPr>
          <w:b/>
          <w:bCs/>
        </w:rPr>
        <w:t xml:space="preserve">Avsikt med behandlingen i rådet: </w:t>
      </w:r>
      <w:r>
        <w:t xml:space="preserve">Antagande av rättsakt. </w:t>
      </w:r>
    </w:p>
    <w:p w14:paraId="54CB6F33" w14:textId="52A706ED" w:rsidR="00995CBA" w:rsidRDefault="00A12540">
      <w:pPr>
        <w:spacing w:after="280" w:afterAutospacing="1"/>
      </w:pPr>
      <w:r>
        <w:rPr>
          <w:b/>
          <w:bCs/>
        </w:rPr>
        <w:t>Hur regeringen ställer sig till den blivande A-punkten:</w:t>
      </w:r>
      <w:r>
        <w:t xml:space="preserve"> Regeringen kan stödja antagandet. </w:t>
      </w:r>
    </w:p>
    <w:p w14:paraId="54CB6F34" w14:textId="04529B75" w:rsidR="00995CBA" w:rsidRDefault="00A12540">
      <w:pPr>
        <w:spacing w:after="280" w:afterAutospacing="1"/>
      </w:pPr>
      <w:r>
        <w:rPr>
          <w:b/>
          <w:bCs/>
        </w:rPr>
        <w:t xml:space="preserve">Bakgrund: </w:t>
      </w:r>
      <w:r>
        <w:t>Genom beslut av den 1 april 1987 gav kommissionen sina avdelningar i uppdrag att</w:t>
      </w:r>
      <w:r w:rsidR="003A6952">
        <w:t xml:space="preserve"> </w:t>
      </w:r>
      <w:r>
        <w:t>kodifiera rättsakter senast efter det att de ändrats för tionde gången. Kodifieringen ska genomföras i enlighet med det normala förfarandet för antagande av unionens rättsakter.</w:t>
      </w:r>
    </w:p>
    <w:p w14:paraId="54CB6F35" w14:textId="77777777" w:rsidR="00995CBA" w:rsidRDefault="00A12540">
      <w:pPr>
        <w:spacing w:after="280" w:afterAutospacing="1"/>
      </w:pPr>
      <w:r>
        <w:t>Eftersom rättsakterna inte får ändras i sak vid en kodifiering har Europaparlamentet,</w:t>
      </w:r>
      <w:r>
        <w:br/>
        <w:t>rådet och kommissionen i ett interinstitutionellt avtal av den 20 december 1994 enats</w:t>
      </w:r>
      <w:r>
        <w:br/>
        <w:t>om en påskyndad arbetsmetod i syfte att snabbt kunna anta kodifierade rättsakter.</w:t>
      </w:r>
    </w:p>
    <w:p w14:paraId="54CB6F37" w14:textId="0251265E" w:rsidR="00995CBA" w:rsidRDefault="00A12540">
      <w:pPr>
        <w:spacing w:after="280" w:afterAutospacing="1"/>
      </w:pPr>
      <w:r>
        <w:t>Detta förslag avser en kodifiering av rådets förordning (EEG) nr 2843/72 av</w:t>
      </w:r>
      <w:r>
        <w:br/>
        <w:t>den 19 december 1972 om de skyddsåtgärder som avses i avtalet mellan Europeiska</w:t>
      </w:r>
      <w:r>
        <w:br/>
        <w:t>ekonomiska gemenskapen och Republiken Island. Den nya förordningen ersätter de</w:t>
      </w:r>
      <w:r>
        <w:br/>
        <w:t>olika rättsakter som omfattas av kodifieringen. Förslaget följer de kodifierade</w:t>
      </w:r>
      <w:r>
        <w:br/>
        <w:t>texterna vad beträffar innehållet i sak och begränsar sig därmed till att föra samman</w:t>
      </w:r>
      <w:r>
        <w:br/>
      </w:r>
      <w:r>
        <w:lastRenderedPageBreak/>
        <w:t>texterna, vilket innebär att de ändringar som krävs till följd av kodifieringen endast</w:t>
      </w:r>
      <w:r>
        <w:br/>
        <w:t>är av formell karaktär.</w:t>
      </w:r>
    </w:p>
    <w:p w14:paraId="54CB6F38" w14:textId="77777777" w:rsidR="00A12540" w:rsidRDefault="00A12540" w:rsidP="00A12540">
      <w:pPr>
        <w:pStyle w:val="Rubrik1"/>
      </w:pPr>
      <w:bookmarkStart w:id="20" w:name="_Toc412711733"/>
      <w:r>
        <w:rPr>
          <w:noProof/>
        </w:rPr>
        <w:t>Proposal for a Regulation of the European Parliament and of the Council on the measures that the Union may take following a report adopted by the WTO Dispute Settlement Body concerning anti-dumping and anti-subsidy matters (codification) (First reading) (LA)</w:t>
      </w:r>
      <w:bookmarkEnd w:id="20"/>
    </w:p>
    <w:p w14:paraId="403D9C24" w14:textId="77777777" w:rsidR="00A12540" w:rsidRDefault="00A12540" w:rsidP="00A12540">
      <w:pPr>
        <w:rPr>
          <w:lang w:val="en-US"/>
        </w:rPr>
      </w:pPr>
      <w:r>
        <w:rPr>
          <w:noProof/>
          <w:lang w:val="en-US"/>
        </w:rPr>
        <w:t>–</w:t>
      </w:r>
      <w:r>
        <w:rPr>
          <w:lang w:val="en-US"/>
        </w:rPr>
        <w:t>Adoption of the legislative act</w:t>
      </w:r>
    </w:p>
    <w:p w14:paraId="54CB6F39" w14:textId="0BE0D759" w:rsidR="00A12540" w:rsidRDefault="00A12540" w:rsidP="00A12540">
      <w:pPr>
        <w:rPr>
          <w:lang w:val="en-US"/>
        </w:rPr>
      </w:pPr>
      <w:r>
        <w:rPr>
          <w:noProof/>
          <w:lang w:val="en-US"/>
        </w:rPr>
        <w:t>6276</w:t>
      </w:r>
      <w:r>
        <w:rPr>
          <w:lang w:val="en-US"/>
        </w:rPr>
        <w:t>/15 CODEC 199 CODIF 23 ECO 21 INST 43 MI 89PE-CONS 99/14 CODIF 73 ECO 186 INST 630 MI 1003 CODEC 2513+ REV 1 (et)</w:t>
      </w:r>
    </w:p>
    <w:p w14:paraId="54CB6F3A" w14:textId="77777777" w:rsidR="00A12540" w:rsidRDefault="00A12540" w:rsidP="00A12540">
      <w:r>
        <w:rPr>
          <w:b/>
        </w:rPr>
        <w:t>Ansvarigt statsråd</w:t>
      </w:r>
      <w:r>
        <w:rPr>
          <w:b/>
        </w:rPr>
        <w:br/>
      </w:r>
      <w:r>
        <w:rPr>
          <w:noProof/>
        </w:rPr>
        <w:t xml:space="preserve">Mikael Damberg </w:t>
      </w:r>
    </w:p>
    <w:p w14:paraId="54CB6F3E" w14:textId="1E861367" w:rsidR="00995CBA" w:rsidRDefault="00A12540" w:rsidP="00A12540">
      <w:r w:rsidRPr="00B44CE2">
        <w:rPr>
          <w:b/>
        </w:rPr>
        <w:t>Annotering</w:t>
      </w:r>
      <w:r>
        <w:rPr>
          <w:b/>
        </w:rPr>
        <w:br/>
      </w:r>
      <w:r>
        <w:rPr>
          <w:b/>
          <w:bCs/>
        </w:rPr>
        <w:t xml:space="preserve">Avsikt med behandlingen i rådet: </w:t>
      </w:r>
      <w:r>
        <w:t>Acceptera förslag om förändringar av lagtext</w:t>
      </w:r>
    </w:p>
    <w:p w14:paraId="54CB6F3F" w14:textId="18A30BD8" w:rsidR="00995CBA" w:rsidRDefault="00A12540">
      <w:pPr>
        <w:spacing w:after="280" w:afterAutospacing="1"/>
      </w:pPr>
      <w:r>
        <w:rPr>
          <w:b/>
          <w:bCs/>
        </w:rPr>
        <w:t>Hur regeringen ställer sig till den blivande A-punkten:</w:t>
      </w:r>
      <w:r>
        <w:t xml:space="preserve"> Regeringen kan acceptera ändringarna </w:t>
      </w:r>
    </w:p>
    <w:p w14:paraId="54CB6F41" w14:textId="26CE8139" w:rsidR="00A12540" w:rsidRDefault="00A12540">
      <w:pPr>
        <w:spacing w:after="280" w:afterAutospacing="1"/>
        <w:rPr>
          <w:noProof/>
        </w:rPr>
      </w:pPr>
      <w:r>
        <w:rPr>
          <w:b/>
          <w:bCs/>
        </w:rPr>
        <w:t>Bakgrund:</w:t>
      </w:r>
      <w:r>
        <w:rPr>
          <w:b/>
          <w:bCs/>
        </w:rPr>
        <w:br/>
      </w:r>
      <w:r>
        <w:t xml:space="preserve">Detta är ett kodifieringsärende. Lagtexten rör WTO:s enhet för tvistlösning i frågor om anti-dumpning och anti-subventioner. Ändringarna har föreslagits efter att kompromiss uppnåtts. </w:t>
      </w:r>
    </w:p>
    <w:p w14:paraId="54CB6F42" w14:textId="77777777" w:rsidR="00A12540" w:rsidRDefault="00A12540" w:rsidP="00A12540">
      <w:pPr>
        <w:pStyle w:val="Rubrik1"/>
      </w:pPr>
      <w:bookmarkStart w:id="21" w:name="_Toc412711734"/>
      <w:r>
        <w:rPr>
          <w:noProof/>
        </w:rPr>
        <w:t>Proposal for a Regulation of the European Parliament and of the Council on measures that the Union may take in relation to the combined effect of anti-dumping or anti-subsidy measures with safeguard measures (codification) (First reading) (LA)</w:t>
      </w:r>
      <w:bookmarkEnd w:id="21"/>
    </w:p>
    <w:p w14:paraId="689A1A17" w14:textId="77777777" w:rsidR="00A12540" w:rsidRDefault="00A12540" w:rsidP="00A12540">
      <w:pPr>
        <w:rPr>
          <w:lang w:val="en-US"/>
        </w:rPr>
      </w:pPr>
      <w:r>
        <w:rPr>
          <w:noProof/>
          <w:lang w:val="en-US"/>
        </w:rPr>
        <w:t>–</w:t>
      </w:r>
      <w:r>
        <w:rPr>
          <w:lang w:val="en-US"/>
        </w:rPr>
        <w:t>Adoption of the legislative act</w:t>
      </w:r>
    </w:p>
    <w:p w14:paraId="54CB6F43" w14:textId="3ED0C7BD" w:rsidR="00A12540" w:rsidRDefault="00A12540" w:rsidP="00A12540">
      <w:pPr>
        <w:rPr>
          <w:lang w:val="en-US"/>
        </w:rPr>
      </w:pPr>
      <w:r>
        <w:rPr>
          <w:noProof/>
          <w:lang w:val="en-US"/>
        </w:rPr>
        <w:t>6280</w:t>
      </w:r>
      <w:r>
        <w:rPr>
          <w:lang w:val="en-US"/>
        </w:rPr>
        <w:t>/15 CODEC 200 CODIF 24 ECO 22 INST 44 MI 90PE-CONS 100/14 CODIF 74 ECO 187 INST 631 MI 1004 CODEC 2514</w:t>
      </w:r>
    </w:p>
    <w:p w14:paraId="54CB6F44" w14:textId="77777777" w:rsidR="00A12540" w:rsidRDefault="00A12540" w:rsidP="00A12540">
      <w:r>
        <w:rPr>
          <w:b/>
        </w:rPr>
        <w:t>Ansvarigt statsråd</w:t>
      </w:r>
      <w:r>
        <w:rPr>
          <w:b/>
        </w:rPr>
        <w:br/>
      </w:r>
      <w:r>
        <w:rPr>
          <w:noProof/>
        </w:rPr>
        <w:t>Mikael Damberg</w:t>
      </w:r>
    </w:p>
    <w:p w14:paraId="54CB6F48" w14:textId="20991594" w:rsidR="00995CBA" w:rsidRDefault="00A12540" w:rsidP="00A12540">
      <w:r w:rsidRPr="00B44CE2">
        <w:rPr>
          <w:b/>
        </w:rPr>
        <w:t>Annotering</w:t>
      </w:r>
      <w:r>
        <w:rPr>
          <w:b/>
        </w:rPr>
        <w:br/>
      </w:r>
      <w:r>
        <w:rPr>
          <w:b/>
          <w:bCs/>
        </w:rPr>
        <w:t>Avsikt med behandlingen i rådet:</w:t>
      </w:r>
      <w:r>
        <w:t xml:space="preserve"> Acceptera förslag om förändringar av lagtext.</w:t>
      </w:r>
    </w:p>
    <w:p w14:paraId="54CB6F49" w14:textId="2BDD93A0" w:rsidR="00995CBA" w:rsidRDefault="00A12540">
      <w:pPr>
        <w:spacing w:after="280" w:afterAutospacing="1"/>
      </w:pPr>
      <w:r>
        <w:rPr>
          <w:b/>
          <w:bCs/>
        </w:rPr>
        <w:t>Hur regeringen ställer sig till den blivande A-punkten:</w:t>
      </w:r>
      <w:r>
        <w:t xml:space="preserve"> Regeringen kan acceptera ändringar. </w:t>
      </w:r>
    </w:p>
    <w:p w14:paraId="54CB6F4B" w14:textId="2E0BCB66" w:rsidR="00A12540" w:rsidRDefault="00A12540">
      <w:pPr>
        <w:spacing w:after="280" w:afterAutospacing="1"/>
        <w:rPr>
          <w:noProof/>
        </w:rPr>
      </w:pPr>
      <w:r>
        <w:rPr>
          <w:b/>
          <w:bCs/>
        </w:rPr>
        <w:t>Bakgrund:</w:t>
      </w:r>
      <w:r w:rsidR="009529E0">
        <w:rPr>
          <w:b/>
          <w:bCs/>
        </w:rPr>
        <w:t xml:space="preserve"> </w:t>
      </w:r>
      <w:r>
        <w:t xml:space="preserve">Detta är ett kodifieringsärende. Lagtexten rör WTO:s enhet för tvistlösning i frågor om anti-dumpning och anti-subventioner. Ändringarna har föreslagits efter att kompromiss uppnåtts. </w:t>
      </w:r>
    </w:p>
    <w:p w14:paraId="54CB6F4C" w14:textId="77777777" w:rsidR="00A12540" w:rsidRDefault="00A12540" w:rsidP="00A12540">
      <w:pPr>
        <w:pStyle w:val="Rubrik1"/>
      </w:pPr>
      <w:bookmarkStart w:id="22" w:name="_Toc412711735"/>
      <w:r>
        <w:rPr>
          <w:noProof/>
        </w:rPr>
        <w:lastRenderedPageBreak/>
        <w:t>Proposal for a Regulation of the European Parliament and of the Council on common rules for imports (codification) (First reading) (LA)</w:t>
      </w:r>
      <w:bookmarkEnd w:id="22"/>
    </w:p>
    <w:p w14:paraId="1DC25550" w14:textId="77777777" w:rsidR="00E02B7D" w:rsidRDefault="00A12540" w:rsidP="00A12540">
      <w:pPr>
        <w:rPr>
          <w:lang w:val="en-US"/>
        </w:rPr>
      </w:pPr>
      <w:r>
        <w:rPr>
          <w:noProof/>
          <w:lang w:val="en-US"/>
        </w:rPr>
        <w:t>–</w:t>
      </w:r>
      <w:r>
        <w:rPr>
          <w:lang w:val="en-US"/>
        </w:rPr>
        <w:t>Adoption of the legislative act</w:t>
      </w:r>
    </w:p>
    <w:p w14:paraId="54CB6F4D" w14:textId="39E09318" w:rsidR="00A12540" w:rsidRDefault="00A12540" w:rsidP="00A12540">
      <w:pPr>
        <w:rPr>
          <w:lang w:val="en-US"/>
        </w:rPr>
      </w:pPr>
      <w:r>
        <w:rPr>
          <w:noProof/>
          <w:lang w:val="en-US"/>
        </w:rPr>
        <w:t>6304</w:t>
      </w:r>
      <w:r>
        <w:rPr>
          <w:lang w:val="en-US"/>
        </w:rPr>
        <w:t>/15 CODEC 206 CODIF 25 ECO 24 INST 45 MI 93PE-CONS 101/14 CODIF 75 ECO 188 INST 632 MI 1005 CODEC 2516</w:t>
      </w:r>
    </w:p>
    <w:p w14:paraId="54CB6F4E" w14:textId="77777777" w:rsidR="00A12540" w:rsidRDefault="00A12540" w:rsidP="00A12540">
      <w:r>
        <w:rPr>
          <w:b/>
        </w:rPr>
        <w:t>Ansvarigt statsråd</w:t>
      </w:r>
      <w:r>
        <w:rPr>
          <w:b/>
        </w:rPr>
        <w:br/>
      </w:r>
      <w:r>
        <w:rPr>
          <w:noProof/>
        </w:rPr>
        <w:t>Mikael Damberg</w:t>
      </w:r>
    </w:p>
    <w:p w14:paraId="54CB6F51" w14:textId="002F2E5B" w:rsidR="00A12540" w:rsidRDefault="00A12540" w:rsidP="00A12540">
      <w:r w:rsidRPr="00B44CE2">
        <w:rPr>
          <w:b/>
        </w:rPr>
        <w:t>Annotering</w:t>
      </w:r>
      <w:r>
        <w:rPr>
          <w:b/>
        </w:rPr>
        <w:br/>
      </w:r>
      <w:r>
        <w:rPr>
          <w:b/>
          <w:bCs/>
        </w:rPr>
        <w:t>Avsikt med behandlingen i rådet:</w:t>
      </w:r>
      <w:r w:rsidR="009529E0">
        <w:rPr>
          <w:b/>
          <w:bCs/>
        </w:rPr>
        <w:t xml:space="preserve"> </w:t>
      </w:r>
      <w:r>
        <w:t xml:space="preserve">Acceptera förslag om förändringar av lagtext. </w:t>
      </w:r>
    </w:p>
    <w:p w14:paraId="54CB6F52" w14:textId="2D11F84E" w:rsidR="00995CBA" w:rsidRDefault="00A12540">
      <w:pPr>
        <w:spacing w:after="280" w:afterAutospacing="1"/>
      </w:pPr>
      <w:r>
        <w:rPr>
          <w:b/>
          <w:bCs/>
        </w:rPr>
        <w:t>Hur regeringen ställer sig till den blivande A-punkten:</w:t>
      </w:r>
      <w:r>
        <w:t xml:space="preserve"> Regeringen kan acceptera ändringar. </w:t>
      </w:r>
    </w:p>
    <w:p w14:paraId="54CB6F54" w14:textId="52F2D485" w:rsidR="00A12540" w:rsidRDefault="00A12540">
      <w:pPr>
        <w:spacing w:after="280" w:afterAutospacing="1"/>
        <w:rPr>
          <w:noProof/>
        </w:rPr>
      </w:pPr>
      <w:r>
        <w:rPr>
          <w:b/>
          <w:bCs/>
        </w:rPr>
        <w:t>Bakgrund:</w:t>
      </w:r>
      <w:r w:rsidR="009529E0">
        <w:rPr>
          <w:b/>
          <w:bCs/>
        </w:rPr>
        <w:t xml:space="preserve"> </w:t>
      </w:r>
      <w:r>
        <w:t xml:space="preserve">Detta är ett kodifieringsärende. Lagtexten rör gemensamma regler för import. Ändringarna har föreslagits efter att kompromiss uppnåtts. </w:t>
      </w:r>
    </w:p>
    <w:p w14:paraId="54CB6F55" w14:textId="77777777" w:rsidR="00A12540" w:rsidRDefault="00A12540" w:rsidP="00A12540">
      <w:pPr>
        <w:pStyle w:val="Rubrik1"/>
      </w:pPr>
      <w:bookmarkStart w:id="23" w:name="_Toc412711736"/>
      <w:r>
        <w:rPr>
          <w:noProof/>
        </w:rPr>
        <w:t>Proposal for a Regulation of the European Parliament and of the Council on common rules for exports (codification) (First reading) (LA)</w:t>
      </w:r>
      <w:bookmarkEnd w:id="23"/>
    </w:p>
    <w:p w14:paraId="4D3B7FAD" w14:textId="77777777" w:rsidR="009529E0" w:rsidRDefault="00A12540" w:rsidP="00A12540">
      <w:pPr>
        <w:rPr>
          <w:lang w:val="en-US"/>
        </w:rPr>
      </w:pPr>
      <w:r>
        <w:rPr>
          <w:noProof/>
          <w:lang w:val="en-US"/>
        </w:rPr>
        <w:t>–</w:t>
      </w:r>
      <w:r>
        <w:rPr>
          <w:lang w:val="en-US"/>
        </w:rPr>
        <w:t>Adoption of the legislative act</w:t>
      </w:r>
    </w:p>
    <w:p w14:paraId="54CB6F56" w14:textId="31A34723" w:rsidR="00A12540" w:rsidRDefault="00A12540" w:rsidP="00A12540">
      <w:pPr>
        <w:rPr>
          <w:lang w:val="en-US"/>
        </w:rPr>
      </w:pPr>
      <w:r>
        <w:rPr>
          <w:noProof/>
          <w:lang w:val="en-US"/>
        </w:rPr>
        <w:t>6305</w:t>
      </w:r>
      <w:r>
        <w:rPr>
          <w:lang w:val="en-US"/>
        </w:rPr>
        <w:t>/15 CODEC 207 CODIF 26 ECO 25 INST 46 MI 94PE-CONS 102/14 CODIF 76 ECO 189 INST 633 MI 1006 CODEC 2517</w:t>
      </w:r>
    </w:p>
    <w:p w14:paraId="54CB6F57" w14:textId="77777777" w:rsidR="00A12540" w:rsidRDefault="00A12540" w:rsidP="00A12540">
      <w:r>
        <w:rPr>
          <w:b/>
        </w:rPr>
        <w:t>Ansvarigt statsråd</w:t>
      </w:r>
      <w:r>
        <w:rPr>
          <w:b/>
        </w:rPr>
        <w:br/>
      </w:r>
      <w:r>
        <w:rPr>
          <w:noProof/>
        </w:rPr>
        <w:t>Mikael Damberg</w:t>
      </w:r>
    </w:p>
    <w:p w14:paraId="54CB6F5A" w14:textId="08ABDCE9" w:rsidR="00A12540" w:rsidRDefault="00A12540" w:rsidP="00A12540">
      <w:r w:rsidRPr="00B44CE2">
        <w:rPr>
          <w:b/>
        </w:rPr>
        <w:t>Annotering</w:t>
      </w:r>
      <w:r>
        <w:rPr>
          <w:b/>
        </w:rPr>
        <w:br/>
      </w:r>
      <w:r>
        <w:rPr>
          <w:b/>
          <w:bCs/>
        </w:rPr>
        <w:t>Avsikt med behandlingen i rådet:</w:t>
      </w:r>
      <w:r>
        <w:t xml:space="preserve"> Acceptera förslag om förändringar av lagtext. </w:t>
      </w:r>
    </w:p>
    <w:p w14:paraId="54CB6F5B" w14:textId="3CE55A0C" w:rsidR="00995CBA" w:rsidRDefault="00A12540">
      <w:pPr>
        <w:spacing w:after="280" w:afterAutospacing="1"/>
      </w:pPr>
      <w:r>
        <w:rPr>
          <w:b/>
          <w:bCs/>
        </w:rPr>
        <w:t>Hur regeringen ställer sig till den blivande A-punkten:</w:t>
      </w:r>
      <w:r>
        <w:t xml:space="preserve"> Regeringen kan acceptera ändringarna. </w:t>
      </w:r>
    </w:p>
    <w:p w14:paraId="54CB6F5D" w14:textId="51570857" w:rsidR="00A12540" w:rsidRDefault="00A12540">
      <w:pPr>
        <w:spacing w:after="280" w:afterAutospacing="1"/>
        <w:rPr>
          <w:noProof/>
        </w:rPr>
      </w:pPr>
      <w:r>
        <w:rPr>
          <w:b/>
          <w:bCs/>
        </w:rPr>
        <w:t>Bakgrund:</w:t>
      </w:r>
      <w:r w:rsidR="009529E0">
        <w:rPr>
          <w:b/>
          <w:bCs/>
        </w:rPr>
        <w:t xml:space="preserve"> </w:t>
      </w:r>
      <w:r>
        <w:t xml:space="preserve">Detta är ett kodifieringsärende. Lagtexten rör gemensamma regler för export. Ändringarna har föreslagits efter att kompromiss uppnåtts. </w:t>
      </w:r>
    </w:p>
    <w:p w14:paraId="54CB6F5E" w14:textId="77777777" w:rsidR="00A12540" w:rsidRDefault="00A12540" w:rsidP="00A12540">
      <w:pPr>
        <w:pStyle w:val="Rubrik1"/>
      </w:pPr>
      <w:bookmarkStart w:id="24" w:name="_Toc412711737"/>
      <w:r>
        <w:rPr>
          <w:noProof/>
        </w:rPr>
        <w:t>Proposal for a Directive of the European Parliament and of the Council facilitating cross border exchange of information on road safety related traffic offences (First reading) (LA)</w:t>
      </w:r>
      <w:bookmarkEnd w:id="24"/>
    </w:p>
    <w:p w14:paraId="1BE1AFE3" w14:textId="77777777" w:rsidR="009529E0" w:rsidRDefault="00A12540" w:rsidP="00A12540">
      <w:pPr>
        <w:rPr>
          <w:lang w:val="en-US"/>
        </w:rPr>
      </w:pPr>
      <w:r>
        <w:rPr>
          <w:noProof/>
          <w:lang w:val="en-US"/>
        </w:rPr>
        <w:t>–</w:t>
      </w:r>
      <w:r>
        <w:rPr>
          <w:lang w:val="en-US"/>
        </w:rPr>
        <w:t>Adoption of the legislative act</w:t>
      </w:r>
    </w:p>
    <w:p w14:paraId="54CB6F5F" w14:textId="46948B52" w:rsidR="00A12540" w:rsidRDefault="00A12540" w:rsidP="00A12540">
      <w:pPr>
        <w:rPr>
          <w:lang w:val="en-US"/>
        </w:rPr>
      </w:pPr>
      <w:r>
        <w:rPr>
          <w:noProof/>
          <w:lang w:val="en-US"/>
        </w:rPr>
        <w:t>6309</w:t>
      </w:r>
      <w:r>
        <w:rPr>
          <w:lang w:val="en-US"/>
        </w:rPr>
        <w:t>/15 CODEC 208 TRANS 51 DAPIX 26 ENFOPOL 47PE-CONS 103/14 TRANS 606 DAPIX 191 ENFOPOL 440 CODEC 2551</w:t>
      </w:r>
    </w:p>
    <w:p w14:paraId="54CB6F60" w14:textId="77777777" w:rsidR="00A12540" w:rsidRDefault="00A12540" w:rsidP="00A12540">
      <w:r>
        <w:rPr>
          <w:b/>
        </w:rPr>
        <w:t>Ansvarigt statsråd</w:t>
      </w:r>
      <w:r>
        <w:rPr>
          <w:b/>
        </w:rPr>
        <w:br/>
      </w:r>
      <w:r>
        <w:rPr>
          <w:noProof/>
        </w:rPr>
        <w:t>Anna Johansson</w:t>
      </w:r>
    </w:p>
    <w:p w14:paraId="54CB6F61" w14:textId="77777777" w:rsidR="00A12540" w:rsidRPr="00643D86" w:rsidRDefault="00A12540" w:rsidP="00A12540">
      <w:r w:rsidRPr="00643D86">
        <w:rPr>
          <w:b/>
        </w:rPr>
        <w:lastRenderedPageBreak/>
        <w:t>Tidigare behandling i riksdagen</w:t>
      </w:r>
      <w:r>
        <w:rPr>
          <w:b/>
        </w:rPr>
        <w:br/>
      </w:r>
      <w:r>
        <w:rPr>
          <w:noProof/>
        </w:rPr>
        <w:t>2014-10-02</w:t>
      </w:r>
    </w:p>
    <w:p w14:paraId="54CB6F62" w14:textId="77777777" w:rsidR="00A12540" w:rsidRPr="00643D86" w:rsidRDefault="00A12540" w:rsidP="00A12540">
      <w:r w:rsidRPr="00643D86">
        <w:rPr>
          <w:b/>
        </w:rPr>
        <w:t>Tidigare behandling vid rådsmöte</w:t>
      </w:r>
      <w:r>
        <w:rPr>
          <w:b/>
        </w:rPr>
        <w:br/>
      </w:r>
      <w:r>
        <w:rPr>
          <w:noProof/>
        </w:rPr>
        <w:t>2014-10-07</w:t>
      </w:r>
    </w:p>
    <w:p w14:paraId="54CB6F63" w14:textId="77777777" w:rsidR="00A12540" w:rsidRDefault="00A12540" w:rsidP="00A12540">
      <w:r w:rsidRPr="00B44CE2">
        <w:rPr>
          <w:b/>
        </w:rPr>
        <w:t>Annotering</w:t>
      </w:r>
      <w:r>
        <w:rPr>
          <w:b/>
        </w:rPr>
        <w:br/>
      </w:r>
      <w:r>
        <w:rPr>
          <w:b/>
          <w:bCs/>
        </w:rPr>
        <w:t xml:space="preserve">Avsikt med behandlingen i rådet: </w:t>
      </w:r>
      <w:r>
        <w:t xml:space="preserve">Att godkänna resultater av Europaparlamntets omröstning i plenum om förslaget till rättsakt. </w:t>
      </w:r>
    </w:p>
    <w:p w14:paraId="54CB6F64" w14:textId="77777777" w:rsidR="00995CBA" w:rsidRDefault="00A12540">
      <w:pPr>
        <w:spacing w:after="280" w:afterAutospacing="1"/>
      </w:pPr>
      <w:r>
        <w:rPr>
          <w:b/>
          <w:bCs/>
        </w:rPr>
        <w:t>Hur regeringen ställer sig till den blivande A-punkten:</w:t>
      </w:r>
      <w:r>
        <w:t xml:space="preserve"> Regeringen avser rösta ja till att godkänna Europaparlmentets ståndpunkt. </w:t>
      </w:r>
    </w:p>
    <w:p w14:paraId="54CB6F66" w14:textId="3AF7EA8E" w:rsidR="00A12540" w:rsidRDefault="00A12540">
      <w:pPr>
        <w:spacing w:after="280" w:afterAutospacing="1"/>
        <w:rPr>
          <w:noProof/>
        </w:rPr>
      </w:pPr>
      <w:r>
        <w:rPr>
          <w:b/>
          <w:bCs/>
        </w:rPr>
        <w:t xml:space="preserve">Bakgrund: </w:t>
      </w:r>
      <w:r>
        <w:t>Direktiv 2011/82/EU, som behandlar informationsutbyte i syfte att kunna lagföra trafiksäkerhetsrelaterade brott som begåtts i en annan medlemsstat än där fordonet är registrerat, ogiltigförklarades av EU-domstolen i maj 2014 på grund av felaktig rättslig grund (art 87.2 om polissamarbete i FEUF). KOM har tagit fram ett förslag till nytt direktiv med art. 91.1c (transportsäkerhet) som rättslig grund för att ersätta det ogiltigförklarade direktivet. Detta förslag skiljer sig inte i sak från det tidigare direktivet förutom när det gäller vissa korrigeringar med anledning av den nya rättsliga grunden. TTE-rådet enades om en allmän inriktning om ett kompromissförslag den 8 oktober och EP/TRAN-utskottet röstade igenom ett fåtal ändringsförslag den 2 december. Den uppgörelse mellan institutionerna som kunnat nås i den första behandlingen ska nu bekräftas av rådet.</w:t>
      </w:r>
    </w:p>
    <w:p w14:paraId="54CB6F67" w14:textId="77777777" w:rsidR="00A12540" w:rsidRDefault="00A12540" w:rsidP="00A12540">
      <w:pPr>
        <w:pStyle w:val="Rubrik1"/>
      </w:pPr>
      <w:bookmarkStart w:id="25" w:name="_Toc412711738"/>
      <w:r>
        <w:rPr>
          <w:noProof/>
        </w:rPr>
        <w:t>Proposal for a Directive of the European Parliament and of the Council amending Directive 94/62/EC on packaging and packaging waste to reduce the consumption of lightweight plastic carrier bags (First reading) (LA)</w:t>
      </w:r>
      <w:bookmarkEnd w:id="25"/>
    </w:p>
    <w:p w14:paraId="59881185" w14:textId="205F9A8F" w:rsidR="009529E0" w:rsidRDefault="00A12540" w:rsidP="00A12540">
      <w:pPr>
        <w:rPr>
          <w:lang w:val="en-US"/>
        </w:rPr>
      </w:pPr>
      <w:r>
        <w:rPr>
          <w:noProof/>
          <w:lang w:val="en-US"/>
        </w:rPr>
        <w:t>–</w:t>
      </w:r>
      <w:r>
        <w:rPr>
          <w:lang w:val="en-US"/>
        </w:rPr>
        <w:t>Adoption</w:t>
      </w:r>
      <w:r w:rsidR="009529E0">
        <w:rPr>
          <w:lang w:val="en-US"/>
        </w:rPr>
        <w:t xml:space="preserve"> </w:t>
      </w:r>
      <w:r>
        <w:rPr>
          <w:lang w:val="en-US"/>
        </w:rPr>
        <w:t>a) of the Council's position at first readingb) of the statement of the Council's reasons</w:t>
      </w:r>
      <w:r w:rsidR="009529E0">
        <w:rPr>
          <w:lang w:val="en-US"/>
        </w:rPr>
        <w:t xml:space="preserve"> </w:t>
      </w:r>
    </w:p>
    <w:p w14:paraId="54CB6F68" w14:textId="7777CEFD" w:rsidR="00A12540" w:rsidRDefault="00A12540" w:rsidP="00A12540">
      <w:pPr>
        <w:rPr>
          <w:lang w:val="en-US"/>
        </w:rPr>
      </w:pPr>
      <w:r>
        <w:rPr>
          <w:noProof/>
          <w:lang w:val="en-US"/>
        </w:rPr>
        <w:t>6375</w:t>
      </w:r>
      <w:r>
        <w:rPr>
          <w:lang w:val="en-US"/>
        </w:rPr>
        <w:t>/15 CODEC 219 ENV 67 MI 100 IND 22 CONSOM 34</w:t>
      </w:r>
      <w:r w:rsidR="00E02B7D">
        <w:rPr>
          <w:lang w:val="en-US"/>
        </w:rPr>
        <w:t xml:space="preserve"> </w:t>
      </w:r>
      <w:r>
        <w:rPr>
          <w:lang w:val="en-US"/>
        </w:rPr>
        <w:t>5094/15 ENV 6 MI 11 IND 9 CONSOM 5 CODEC 16+ COR 1 (cs)+ ADD 1</w:t>
      </w:r>
    </w:p>
    <w:p w14:paraId="54CB6F69" w14:textId="77777777" w:rsidR="00A12540" w:rsidRDefault="00A12540" w:rsidP="00A12540">
      <w:r>
        <w:rPr>
          <w:b/>
        </w:rPr>
        <w:t>Ansvarigt statsråd</w:t>
      </w:r>
      <w:r>
        <w:rPr>
          <w:b/>
        </w:rPr>
        <w:br/>
      </w:r>
      <w:r>
        <w:rPr>
          <w:noProof/>
        </w:rPr>
        <w:t>Åsa Romson</w:t>
      </w:r>
    </w:p>
    <w:p w14:paraId="54CB6F6A" w14:textId="77777777" w:rsidR="00A12540" w:rsidRPr="00643D86" w:rsidRDefault="00A12540" w:rsidP="00A12540">
      <w:r w:rsidRPr="00643D86">
        <w:rPr>
          <w:b/>
        </w:rPr>
        <w:t>Tidigare behandling i riksdagen</w:t>
      </w:r>
      <w:r>
        <w:rPr>
          <w:b/>
        </w:rPr>
        <w:br/>
      </w:r>
      <w:r>
        <w:rPr>
          <w:noProof/>
        </w:rPr>
        <w:t>2014-12-11</w:t>
      </w:r>
    </w:p>
    <w:p w14:paraId="54CB6F6B" w14:textId="77777777" w:rsidR="00A12540" w:rsidRPr="00643D86" w:rsidRDefault="00A12540" w:rsidP="00A12540">
      <w:r w:rsidRPr="00643D86">
        <w:rPr>
          <w:b/>
        </w:rPr>
        <w:t>Tidigare behandling vid rådsmöte</w:t>
      </w:r>
      <w:r>
        <w:rPr>
          <w:b/>
        </w:rPr>
        <w:br/>
      </w:r>
      <w:r>
        <w:rPr>
          <w:noProof/>
        </w:rPr>
        <w:t>2014-12-16</w:t>
      </w:r>
    </w:p>
    <w:p w14:paraId="54CB6F6D" w14:textId="69B88FD8" w:rsidR="00995CBA" w:rsidRDefault="00A12540" w:rsidP="009529E0">
      <w:r w:rsidRPr="00B44CE2">
        <w:rPr>
          <w:b/>
        </w:rPr>
        <w:t>Annotering</w:t>
      </w:r>
      <w:r>
        <w:rPr>
          <w:b/>
        </w:rPr>
        <w:br/>
      </w:r>
      <w:r>
        <w:rPr>
          <w:b/>
          <w:bCs/>
        </w:rPr>
        <w:t>Hur regeringen ställer sig till den blivande A-punkten:</w:t>
      </w:r>
      <w:r>
        <w:t xml:space="preserve"> Regeringen föreslår att Sverige ställer sig bakom överenskommelsen. </w:t>
      </w:r>
    </w:p>
    <w:p w14:paraId="54CB6F6E" w14:textId="77777777" w:rsidR="00995CBA" w:rsidRDefault="00A12540">
      <w:pPr>
        <w:spacing w:after="280" w:afterAutospacing="1"/>
      </w:pPr>
      <w:r>
        <w:t xml:space="preserve">Regeringens bedömning är att denna ändring av förpackningsdirektivet kommer att innebära ett viktigt steg framåt inom EU för att med gemensamma ansträngningar minska förbrukningen av plastbärkassar och därmed nedskräpningen av plast i haven. </w:t>
      </w:r>
    </w:p>
    <w:p w14:paraId="54CB6F6F" w14:textId="77777777" w:rsidR="00995CBA" w:rsidRDefault="00A12540">
      <w:pPr>
        <w:spacing w:after="280" w:afterAutospacing="1"/>
      </w:pPr>
      <w:r>
        <w:rPr>
          <w:b/>
          <w:bCs/>
        </w:rPr>
        <w:lastRenderedPageBreak/>
        <w:t xml:space="preserve">Bakgrund: </w:t>
      </w:r>
      <w:r>
        <w:t>EU-kommissionen lade i november 2013 fram ett förslag till ändring i förpacknings-direktivet (94/62/EG) om att medlemsstaterna inom två år skulle vidta åtgärder för att uppnå en minskad förbrukning av tunna plastbärkassar. Syftet var att minska nedskräpningen i haven och även att öka resurseffektiviteten. Åtgärderna kunde enligt förslaget bestå av nationella minskningsmål, ekonomiska styrmedel eller restriktioner i fråga om att släppa ut tunna plastbärkassar på marknaden.</w:t>
      </w:r>
    </w:p>
    <w:p w14:paraId="54CB6F71" w14:textId="41EDDE5D" w:rsidR="00A12540" w:rsidRDefault="00A12540">
      <w:pPr>
        <w:spacing w:after="280" w:afterAutospacing="1"/>
        <w:rPr>
          <w:noProof/>
        </w:rPr>
      </w:pPr>
      <w:r>
        <w:t>Europaparlamentet och rådet har i november 2014 nått en överenskommelse i av förslaget. Överenskommelsen innebär att alla medlemsstater måste säkerställa antingen att tunna plastbärkassar inte tillhandahålls gratis vid försäljning av varor till konsumenter, om inte andra lika effektiva styrmedel har införts, eller vidta åtgärder som säkerställer att specificerade mål om högsta tillåtna genomsnittliga förbrukning av tunna plastbärkassar uppnås år 2019 respektive 2025. Ändringen av direktivet gör det möjligt för medlemsstaterna att såväl behålla liksom införa nationella förbud mot tunna plastbärkassar, förutsatt att sådana handelsbegränsande åtgärder är proportionerliga och icke diskriminerande. Direktivet tillåter även att medlemsstaterna vidtar åtgärder mot andra plastbärkassar än sådana tunna plastbärkassar som omfattas av de nya kraven.</w:t>
      </w:r>
    </w:p>
    <w:p w14:paraId="54CB6F72" w14:textId="77777777" w:rsidR="00A12540" w:rsidRDefault="00A12540" w:rsidP="00A12540">
      <w:pPr>
        <w:pStyle w:val="Rubrik1"/>
      </w:pPr>
      <w:bookmarkStart w:id="26" w:name="_Toc412711739"/>
      <w:r>
        <w:rPr>
          <w:noProof/>
        </w:rPr>
        <w:t>Proposal for a Regulation of the European Parliament and of The Council concerning type approval requirements for the deployment of the eCall in-vehicle system and amending Directive 2007/46/EC (First reading) (LA)</w:t>
      </w:r>
      <w:bookmarkEnd w:id="26"/>
    </w:p>
    <w:p w14:paraId="0802320E" w14:textId="177D3FFC" w:rsidR="009529E0" w:rsidRDefault="00A12540" w:rsidP="00A12540">
      <w:pPr>
        <w:rPr>
          <w:lang w:val="en-US"/>
        </w:rPr>
      </w:pPr>
      <w:r>
        <w:rPr>
          <w:noProof/>
          <w:lang w:val="en-US"/>
        </w:rPr>
        <w:t>–</w:t>
      </w:r>
      <w:r>
        <w:rPr>
          <w:lang w:val="en-US"/>
        </w:rPr>
        <w:t>Adoption</w:t>
      </w:r>
      <w:r w:rsidR="009529E0">
        <w:rPr>
          <w:lang w:val="en-US"/>
        </w:rPr>
        <w:t xml:space="preserve"> </w:t>
      </w:r>
      <w:r>
        <w:rPr>
          <w:lang w:val="en-US"/>
        </w:rPr>
        <w:t>a) of the Council's position at first reading</w:t>
      </w:r>
      <w:r w:rsidR="005637AD">
        <w:rPr>
          <w:lang w:val="en-US"/>
        </w:rPr>
        <w:t xml:space="preserve"> </w:t>
      </w:r>
      <w:r>
        <w:rPr>
          <w:lang w:val="en-US"/>
        </w:rPr>
        <w:t>b) of the statement of the Council's reasons</w:t>
      </w:r>
    </w:p>
    <w:p w14:paraId="54CB6F73" w14:textId="2FCBCB13" w:rsidR="00A12540" w:rsidRDefault="00A12540" w:rsidP="00A12540">
      <w:pPr>
        <w:rPr>
          <w:lang w:val="en-US"/>
        </w:rPr>
      </w:pPr>
      <w:r>
        <w:rPr>
          <w:noProof/>
          <w:lang w:val="en-US"/>
        </w:rPr>
        <w:t>6376</w:t>
      </w:r>
      <w:r>
        <w:rPr>
          <w:lang w:val="en-US"/>
        </w:rPr>
        <w:t>/15 CODEC 220 ENT 28 MI 101</w:t>
      </w:r>
      <w:r w:rsidR="009529E0">
        <w:rPr>
          <w:lang w:val="en-US"/>
        </w:rPr>
        <w:t xml:space="preserve"> </w:t>
      </w:r>
      <w:r>
        <w:rPr>
          <w:lang w:val="en-US"/>
        </w:rPr>
        <w:t>5130/15 ENT 8 MI 12 CODEC 23+ ADD 1</w:t>
      </w:r>
    </w:p>
    <w:p w14:paraId="54CB6F74" w14:textId="77777777" w:rsidR="00A12540" w:rsidRDefault="00A12540" w:rsidP="00A12540">
      <w:r>
        <w:rPr>
          <w:b/>
        </w:rPr>
        <w:t>Ansvarigt statsråd</w:t>
      </w:r>
      <w:r>
        <w:rPr>
          <w:b/>
        </w:rPr>
        <w:br/>
      </w:r>
      <w:r>
        <w:rPr>
          <w:noProof/>
        </w:rPr>
        <w:t>Anna Johansson</w:t>
      </w:r>
    </w:p>
    <w:p w14:paraId="54CB6F75" w14:textId="77777777" w:rsidR="00A12540" w:rsidRPr="00643D86" w:rsidRDefault="00A12540" w:rsidP="00A12540">
      <w:r w:rsidRPr="00643D86">
        <w:rPr>
          <w:b/>
        </w:rPr>
        <w:t>Tidigare behandling i riksdagen</w:t>
      </w:r>
      <w:r>
        <w:rPr>
          <w:b/>
        </w:rPr>
        <w:br/>
      </w:r>
      <w:r>
        <w:rPr>
          <w:noProof/>
        </w:rPr>
        <w:t>2014-05-22</w:t>
      </w:r>
    </w:p>
    <w:p w14:paraId="54CB6F76" w14:textId="77777777" w:rsidR="00A12540" w:rsidRPr="00643D86" w:rsidRDefault="00A12540" w:rsidP="00A12540">
      <w:r w:rsidRPr="00643D86">
        <w:rPr>
          <w:b/>
        </w:rPr>
        <w:t>Tidigare behandling vid rådsmöte</w:t>
      </w:r>
      <w:r>
        <w:rPr>
          <w:b/>
        </w:rPr>
        <w:br/>
      </w:r>
      <w:r>
        <w:rPr>
          <w:noProof/>
        </w:rPr>
        <w:t>2014-12-16</w:t>
      </w:r>
    </w:p>
    <w:p w14:paraId="54CB6F77" w14:textId="77777777" w:rsidR="00A12540" w:rsidRDefault="00A12540" w:rsidP="00A12540">
      <w:r w:rsidRPr="00B44CE2">
        <w:rPr>
          <w:b/>
        </w:rPr>
        <w:t>Annotering</w:t>
      </w:r>
      <w:r>
        <w:rPr>
          <w:b/>
        </w:rPr>
        <w:br/>
      </w:r>
      <w:r>
        <w:rPr>
          <w:b/>
          <w:bCs/>
        </w:rPr>
        <w:t>Avsikt med behandlingen i rådet:</w:t>
      </w:r>
      <w:r>
        <w:t xml:space="preserve"> Antagande av rådets position vid första läsning och av uttalandet om rådets skäl. </w:t>
      </w:r>
    </w:p>
    <w:p w14:paraId="54CB6F78" w14:textId="77777777" w:rsidR="00995CBA" w:rsidRDefault="00A12540">
      <w:pPr>
        <w:spacing w:after="280" w:afterAutospacing="1"/>
      </w:pPr>
      <w:r>
        <w:rPr>
          <w:b/>
          <w:bCs/>
        </w:rPr>
        <w:t>Hur regeringen ställer sig till den blivande A-punkten:</w:t>
      </w:r>
      <w:r>
        <w:t xml:space="preserve"> Regeringen kan stödja förslagen. </w:t>
      </w:r>
    </w:p>
    <w:p w14:paraId="54CB6F79" w14:textId="77777777" w:rsidR="00995CBA" w:rsidRDefault="00A12540">
      <w:pPr>
        <w:spacing w:after="280" w:afterAutospacing="1"/>
      </w:pPr>
      <w:r>
        <w:rPr>
          <w:b/>
          <w:bCs/>
        </w:rPr>
        <w:t xml:space="preserve">Bakgrund: </w:t>
      </w:r>
      <w:r>
        <w:t xml:space="preserve">Kommissionens förslag till förordning om typgodkännandekrav för montering av eCallsystem i fordon presenterades i juni 2013 och är en del i strategin att förverkliga och säkerställa ett snabbt och samtidigt genomförande av nödlarmssystemet eCall inom EU. Nödlarmssystemet eCall ska ses som ett tillägg till de nationella 112-tjänsterna och är ett system i fordonet som genom automatisk aktivering vid allvarlig olycka, eller vid manuell aktivering, skickar datauppgifter om fordonets lokalisering, färdriktning, identitet m.m. till vald alarmeringstjänst. Larmcentralen ringer upp fordonet och en linje öppnas via högtalartelefonen. Syftet med nödlarmstjänsten är att är att den enskilde ska få snabb och </w:t>
      </w:r>
      <w:r>
        <w:lastRenderedPageBreak/>
        <w:t>adekvat hjälp vid ett nödläge genom att hjälporganen ska komma fram till det larmande fordonet tidigare.</w:t>
      </w:r>
    </w:p>
    <w:p w14:paraId="54CB6F7C" w14:textId="183C2A9F" w:rsidR="00A12540" w:rsidRDefault="00A12540">
      <w:pPr>
        <w:spacing w:after="280" w:afterAutospacing="1"/>
        <w:rPr>
          <w:noProof/>
        </w:rPr>
      </w:pPr>
      <w:r>
        <w:t>Förslaget till förordning om typgodkännandekrav förhandlades i RAG under våren 2014. ORDF erhöll sedan mandat från KKR i maj, där allmän riktlinje antogs, att inleda förhandlingar med EP. En överenskommelse med EP slöts före jul, vilken bekräftades av rådet (Miljö) den 17 december 2014.</w:t>
      </w:r>
    </w:p>
    <w:p w14:paraId="54CB6F7D" w14:textId="77777777" w:rsidR="00A12540" w:rsidRDefault="00A12540" w:rsidP="00A12540">
      <w:pPr>
        <w:pStyle w:val="Rubrik1"/>
      </w:pPr>
      <w:bookmarkStart w:id="27" w:name="_Toc412711740"/>
      <w:r>
        <w:rPr>
          <w:noProof/>
        </w:rPr>
        <w:t>Negotiations with a view to an Agreement between the European Union and Belarus on the facilitation of the issuance of short-stay visas</w:t>
      </w:r>
      <w:bookmarkEnd w:id="27"/>
    </w:p>
    <w:p w14:paraId="54CB6F7E" w14:textId="0153E6AE" w:rsidR="00A12540" w:rsidRDefault="00A12540" w:rsidP="00A12540">
      <w:pPr>
        <w:rPr>
          <w:lang w:val="en-US"/>
        </w:rPr>
      </w:pPr>
      <w:r>
        <w:rPr>
          <w:noProof/>
          <w:lang w:val="en-US"/>
        </w:rPr>
        <w:t>6012</w:t>
      </w:r>
      <w:r>
        <w:rPr>
          <w:lang w:val="en-US"/>
        </w:rPr>
        <w:t>/15 VISA 34 COEST 55</w:t>
      </w:r>
      <w:r w:rsidR="00E02B7D">
        <w:rPr>
          <w:lang w:val="en-US"/>
        </w:rPr>
        <w:t xml:space="preserve"> </w:t>
      </w:r>
      <w:r>
        <w:rPr>
          <w:lang w:val="en-US"/>
        </w:rPr>
        <w:t>6331/15 VISA 43 COEST 65RESTREINT UE</w:t>
      </w:r>
    </w:p>
    <w:p w14:paraId="54CB6F7F" w14:textId="77777777" w:rsidR="00A12540" w:rsidRDefault="00A12540" w:rsidP="00A12540">
      <w:r>
        <w:rPr>
          <w:b/>
        </w:rPr>
        <w:t>Ansvarigt statsråd</w:t>
      </w:r>
      <w:r>
        <w:rPr>
          <w:b/>
        </w:rPr>
        <w:br/>
      </w:r>
      <w:r>
        <w:rPr>
          <w:noProof/>
        </w:rPr>
        <w:t>Morgan Johansson</w:t>
      </w:r>
    </w:p>
    <w:p w14:paraId="54CB6F84" w14:textId="144EAD75" w:rsidR="00995CBA" w:rsidRDefault="00A12540" w:rsidP="009529E0">
      <w:r w:rsidRPr="00B44CE2">
        <w:rPr>
          <w:b/>
        </w:rPr>
        <w:t>Annotering</w:t>
      </w:r>
      <w:r>
        <w:rPr>
          <w:b/>
        </w:rPr>
        <w:br/>
      </w:r>
      <w:r>
        <w:rPr>
          <w:b/>
          <w:bCs/>
        </w:rPr>
        <w:t>Avsikt med behandlingen i rådet:</w:t>
      </w:r>
      <w:r w:rsidR="009529E0">
        <w:rPr>
          <w:b/>
          <w:bCs/>
        </w:rPr>
        <w:t xml:space="preserve"> </w:t>
      </w:r>
      <w:r>
        <w:t>Antagande av reviderat förhandlingsmandat för förhandlingar om ett viseringsförenklingsavtal mellan EU och Vitryssland. </w:t>
      </w:r>
    </w:p>
    <w:p w14:paraId="54CB6F86" w14:textId="0DD054F4" w:rsidR="00995CBA" w:rsidRDefault="00A12540">
      <w:pPr>
        <w:spacing w:after="280" w:afterAutospacing="1"/>
      </w:pPr>
      <w:r>
        <w:rPr>
          <w:b/>
          <w:bCs/>
        </w:rPr>
        <w:t>Hur regeringen ställer sig till den blivande A-punkten:</w:t>
      </w:r>
      <w:r>
        <w:t xml:space="preserve"> Regeringen avser att rösta ja till förslaget. </w:t>
      </w:r>
    </w:p>
    <w:p w14:paraId="54CB6F88" w14:textId="6525EF49" w:rsidR="00995CBA" w:rsidRDefault="00A12540">
      <w:pPr>
        <w:spacing w:after="280" w:afterAutospacing="1"/>
      </w:pPr>
      <w:r>
        <w:rPr>
          <w:b/>
          <w:bCs/>
        </w:rPr>
        <w:t>Bakgrund:</w:t>
      </w:r>
      <w:r w:rsidR="009529E0">
        <w:rPr>
          <w:b/>
          <w:bCs/>
        </w:rPr>
        <w:t xml:space="preserve"> </w:t>
      </w:r>
      <w:r>
        <w:t xml:space="preserve">Ett förhandlingsmandat för kommissionen avseende ett viseringsförenklingsavtal (VFA) med Vitryssland antogs i början av 2011, men förhandlingar inleddes först i början av 2014. </w:t>
      </w:r>
    </w:p>
    <w:p w14:paraId="54CB6F89" w14:textId="77777777" w:rsidR="00995CBA" w:rsidRDefault="00A12540">
      <w:pPr>
        <w:spacing w:after="280" w:afterAutospacing="1"/>
      </w:pPr>
      <w:r>
        <w:t xml:space="preserve">Förhandlingsmandatet för VFA med Vitryssland skiljer sig åt från hur motsvarande mandat för VFA med övriga länder inom det Östliga Partnerskapet är utformade då det inte innehåller några förenklingar eller viseringsfrihet för diplomater eller innehavare av tjänstepass. Syftet var att avtalet enkom skulle gynna befolkningen i stort. </w:t>
      </w:r>
    </w:p>
    <w:p w14:paraId="54CB6F8B" w14:textId="72B1204D" w:rsidR="00A12540" w:rsidRDefault="00A12540">
      <w:pPr>
        <w:spacing w:after="280" w:afterAutospacing="1"/>
        <w:rPr>
          <w:noProof/>
        </w:rPr>
      </w:pPr>
      <w:r>
        <w:t xml:space="preserve">Under förhandlingarnas gång har denna fråga blivit problematisk och det har inte gått att nå en överenskommelse. I syfte att komma framåt i förhandlingarna har föreslagits att förhandlingsmandatet ska revideras i syfte att möjliggöra att viseringsfrihet för vitryska diplomater ska kunna inkluderas i viseringsförenklingsavtalet, under förutsättning att säkerheten och integriteten i det vitryska systemet för diplomatpass kan garanteras. </w:t>
      </w:r>
    </w:p>
    <w:p w14:paraId="54CB6F8C" w14:textId="77777777" w:rsidR="00A12540" w:rsidRDefault="00A12540" w:rsidP="00A12540">
      <w:pPr>
        <w:pStyle w:val="Rubrik1"/>
      </w:pPr>
      <w:bookmarkStart w:id="28" w:name="_Toc412711741"/>
      <w:r>
        <w:rPr>
          <w:noProof/>
        </w:rPr>
        <w:t>Report on access to law</w:t>
      </w:r>
      <w:bookmarkEnd w:id="28"/>
    </w:p>
    <w:p w14:paraId="54CB6F8D" w14:textId="67F9F1F2" w:rsidR="00A12540" w:rsidRDefault="00A12540" w:rsidP="00A12540">
      <w:pPr>
        <w:rPr>
          <w:lang w:val="en-US"/>
        </w:rPr>
      </w:pPr>
      <w:r>
        <w:rPr>
          <w:noProof/>
          <w:lang w:val="en-US"/>
        </w:rPr>
        <w:t>6363</w:t>
      </w:r>
      <w:r>
        <w:rPr>
          <w:lang w:val="en-US"/>
        </w:rPr>
        <w:t>/15 JURINFO 4</w:t>
      </w:r>
      <w:r w:rsidR="009529E0">
        <w:rPr>
          <w:lang w:val="en-US"/>
        </w:rPr>
        <w:t xml:space="preserve"> </w:t>
      </w:r>
      <w:r>
        <w:rPr>
          <w:lang w:val="en-US"/>
        </w:rPr>
        <w:t>5510/15 JURINFO 3 PARLNAT 10</w:t>
      </w:r>
    </w:p>
    <w:p w14:paraId="54CB6F8E" w14:textId="77777777" w:rsidR="00A12540" w:rsidRDefault="00A12540" w:rsidP="00A12540">
      <w:r>
        <w:rPr>
          <w:b/>
        </w:rPr>
        <w:t>Ansvarigt statsråd</w:t>
      </w:r>
      <w:r>
        <w:rPr>
          <w:b/>
        </w:rPr>
        <w:br/>
      </w:r>
      <w:r>
        <w:rPr>
          <w:noProof/>
        </w:rPr>
        <w:t>Morgan Johansson</w:t>
      </w:r>
    </w:p>
    <w:p w14:paraId="54CB6F92" w14:textId="0ADAB8DE" w:rsidR="00995CBA" w:rsidRDefault="00A12540" w:rsidP="009529E0">
      <w:r w:rsidRPr="00B44CE2">
        <w:rPr>
          <w:b/>
        </w:rPr>
        <w:t>Annotering</w:t>
      </w:r>
      <w:r>
        <w:rPr>
          <w:b/>
        </w:rPr>
        <w:br/>
      </w:r>
      <w:r>
        <w:rPr>
          <w:b/>
          <w:bCs/>
        </w:rPr>
        <w:t>Avsikt med behandlingen i rådet:</w:t>
      </w:r>
    </w:p>
    <w:p w14:paraId="54CB6F93" w14:textId="77777777" w:rsidR="00995CBA" w:rsidRDefault="00A12540">
      <w:pPr>
        <w:spacing w:after="280" w:afterAutospacing="1"/>
      </w:pPr>
      <w:r>
        <w:t>Rådet föreslås godkänna rapporten ”Tillgång till lagstiftning” och dess publicering. </w:t>
      </w:r>
    </w:p>
    <w:p w14:paraId="54CB6F95" w14:textId="2F645A25" w:rsidR="00995CBA" w:rsidRDefault="00A12540">
      <w:pPr>
        <w:spacing w:after="280" w:afterAutospacing="1"/>
      </w:pPr>
      <w:r>
        <w:rPr>
          <w:b/>
          <w:bCs/>
        </w:rPr>
        <w:lastRenderedPageBreak/>
        <w:t>Hur regeringen ställer sig till den blivande A-punkten:</w:t>
      </w:r>
      <w:r>
        <w:t xml:space="preserve"> Regeringen avser rösta ja till att rådet godkänner rapporten och dess publicering. </w:t>
      </w:r>
    </w:p>
    <w:p w14:paraId="54CB6F97" w14:textId="309E5769" w:rsidR="00995CBA" w:rsidRDefault="00A12540">
      <w:pPr>
        <w:spacing w:after="280" w:afterAutospacing="1"/>
      </w:pPr>
      <w:r>
        <w:rPr>
          <w:b/>
          <w:bCs/>
        </w:rPr>
        <w:t>Bakgrund:</w:t>
      </w:r>
      <w:r w:rsidR="009529E0">
        <w:rPr>
          <w:b/>
          <w:bCs/>
        </w:rPr>
        <w:t xml:space="preserve"> </w:t>
      </w:r>
      <w:r>
        <w:t>EU:s medlemsstater arbetar tillsammans för att öka tillgång till information om EU-lagstiftning och medlemsstaternas lagstiftning genom elektroniska medel. Den rapport som nu ska godkännas och publiceras sammanfattar uppnådda resultat och beskriver olika projekt som inletts inom området för e-lagstiftning (e-Law). I rapporten nämns bland annat arbetet med olika informationsdatabaser såsom EUR-Lex, N-Lex och JURE databasen som alla är tillgängliga för allmänheten.</w:t>
      </w:r>
    </w:p>
    <w:p w14:paraId="54CB6F99" w14:textId="086CDD0E" w:rsidR="00A12540" w:rsidRDefault="00A12540">
      <w:pPr>
        <w:spacing w:after="280" w:afterAutospacing="1"/>
        <w:rPr>
          <w:noProof/>
        </w:rPr>
      </w:pPr>
      <w:r>
        <w:t xml:space="preserve">Rapporten är avsedd att spridas till allmänheten i syfte att öka insynen i arbetet och tillgängliggöra kunskap om projekten och resultaten på europeisk och nationell nivå gällande tillgång till information om lagstiftning. Det framtida arbetet inom detta område kommer fortsättningsvis att bevakas och det föreslås att en rapport om framstegen på området ska upprättas åtminstone vart femte år. </w:t>
      </w:r>
    </w:p>
    <w:p w14:paraId="54CB6F9A" w14:textId="77777777" w:rsidR="00A12540" w:rsidRDefault="00A12540" w:rsidP="00A12540">
      <w:pPr>
        <w:pStyle w:val="Rubrik1"/>
      </w:pPr>
      <w:bookmarkStart w:id="29" w:name="_Toc412711742"/>
      <w:r>
        <w:rPr>
          <w:noProof/>
        </w:rPr>
        <w:t>Draft Council conclusions on the Cooperation and Verification Mechanism</w:t>
      </w:r>
      <w:bookmarkEnd w:id="29"/>
    </w:p>
    <w:p w14:paraId="54CB6F9B" w14:textId="4E54739D" w:rsidR="00A12540" w:rsidRDefault="00A12540" w:rsidP="00A12540">
      <w:pPr>
        <w:rPr>
          <w:lang w:val="en-US"/>
        </w:rPr>
      </w:pPr>
      <w:r>
        <w:rPr>
          <w:noProof/>
          <w:lang w:val="en-US"/>
        </w:rPr>
        <w:t>6308</w:t>
      </w:r>
      <w:r>
        <w:rPr>
          <w:lang w:val="en-US"/>
        </w:rPr>
        <w:t>/2/15 REV 2 COVEME 3</w:t>
      </w:r>
    </w:p>
    <w:p w14:paraId="54CB6F9C" w14:textId="77777777" w:rsidR="00A12540" w:rsidRDefault="00A12540" w:rsidP="00A12540">
      <w:r>
        <w:rPr>
          <w:b/>
        </w:rPr>
        <w:t>Ansvarigt statsråd</w:t>
      </w:r>
      <w:r>
        <w:rPr>
          <w:b/>
        </w:rPr>
        <w:br/>
      </w:r>
      <w:r>
        <w:rPr>
          <w:noProof/>
        </w:rPr>
        <w:t>Morgan Johansson</w:t>
      </w:r>
    </w:p>
    <w:p w14:paraId="54CB6FA2" w14:textId="1FA99B80" w:rsidR="00995CBA" w:rsidRDefault="00A12540" w:rsidP="009529E0">
      <w:r w:rsidRPr="00B44CE2">
        <w:rPr>
          <w:b/>
        </w:rPr>
        <w:t>Annotering</w:t>
      </w:r>
      <w:r>
        <w:rPr>
          <w:b/>
        </w:rPr>
        <w:br/>
      </w:r>
      <w:r>
        <w:rPr>
          <w:b/>
          <w:bCs/>
        </w:rPr>
        <w:t>Avsikt med behandling i rådet</w:t>
      </w:r>
      <w:r w:rsidR="009529E0">
        <w:rPr>
          <w:b/>
          <w:bCs/>
        </w:rPr>
        <w:t xml:space="preserve">: </w:t>
      </w:r>
      <w:r>
        <w:t>Rådet föreslås anta rådets slutsatser om Samarbets- och kontrollmekanismen (CVM cooperation and verification mechanism) </w:t>
      </w:r>
    </w:p>
    <w:p w14:paraId="54CB6FA5" w14:textId="554DB9A4" w:rsidR="00995CBA" w:rsidRDefault="00A12540">
      <w:pPr>
        <w:spacing w:after="280" w:afterAutospacing="1"/>
      </w:pPr>
      <w:r>
        <w:rPr>
          <w:b/>
          <w:bCs/>
        </w:rPr>
        <w:t>Hur regeringen ställer sig till den blivande A-punkten</w:t>
      </w:r>
      <w:r w:rsidR="009529E0">
        <w:rPr>
          <w:b/>
          <w:bCs/>
        </w:rPr>
        <w:t xml:space="preserve">: </w:t>
      </w:r>
      <w:r>
        <w:t>Regeringen avser att rösta ja till att rådet antar slutsatser om CVM</w:t>
      </w:r>
      <w:r w:rsidR="009529E0">
        <w:t>.</w:t>
      </w:r>
      <w:r>
        <w:t> </w:t>
      </w:r>
    </w:p>
    <w:p w14:paraId="54CB6FA9" w14:textId="4774CB93" w:rsidR="00A12540" w:rsidRDefault="00A12540">
      <w:pPr>
        <w:spacing w:after="280" w:afterAutospacing="1"/>
        <w:rPr>
          <w:noProof/>
        </w:rPr>
      </w:pPr>
      <w:r>
        <w:rPr>
          <w:b/>
          <w:bCs/>
        </w:rPr>
        <w:t>Bakgrund</w:t>
      </w:r>
      <w:r w:rsidR="009529E0">
        <w:rPr>
          <w:b/>
          <w:bCs/>
        </w:rPr>
        <w:t xml:space="preserve">: </w:t>
      </w:r>
      <w:r>
        <w:t>Slutsatser som stödjer KOM rapporter om CVM för Rumänien och Bulgarien. CVM har sedan dessa länders EU-inträde varit ett viktigt instrument för att rättsväsendet ska fungera bättre, korruption bekämpas och organiserad brottslighet minska. Varje år presenterar KOM rapporter som visar hur länderna lyckats uppnå ett antal mål (benchmarks). De aktuella rapporterna pekar på fortsatt stora problem i Bulgarien där tydliga framsteg inte varit möjliga under den senaste perioden. Fortsatta stora problem i rättsväsendets effektivitet, transparens samt kamp mot korruption och organiserad brottslighet. Beträffande Rumänien har framsteg gjorts, bl.a. genom att de institutioner som bekämpar korruption har stärkts. De rättsliga institutionerna oberoende har stärkts men det finns fortfarande otydliga gränser mellan politiska och juridiska beslut, vilket skapar förvirring hos allmänheten. </w:t>
      </w:r>
    </w:p>
    <w:p w14:paraId="54CB6FAA" w14:textId="77777777" w:rsidR="00A12540" w:rsidRDefault="00A12540" w:rsidP="00A12540">
      <w:pPr>
        <w:pStyle w:val="Rubrik1"/>
      </w:pPr>
      <w:bookmarkStart w:id="30" w:name="_Toc412711743"/>
      <w:r>
        <w:rPr>
          <w:noProof/>
        </w:rPr>
        <w:t>Relations with Kazakhstan</w:t>
      </w:r>
      <w:bookmarkEnd w:id="30"/>
    </w:p>
    <w:p w14:paraId="262697E0" w14:textId="77777777" w:rsidR="009529E0" w:rsidRDefault="00A12540" w:rsidP="00A12540">
      <w:pPr>
        <w:rPr>
          <w:lang w:val="en-US"/>
        </w:rPr>
      </w:pPr>
      <w:r>
        <w:rPr>
          <w:noProof/>
          <w:lang w:val="en-US"/>
        </w:rPr>
        <w:t>–</w:t>
      </w:r>
      <w:r>
        <w:rPr>
          <w:lang w:val="en-US"/>
        </w:rPr>
        <w:t>Establishment of the position of the European Union for the fourteenth meeting of the EU-Kazakhstan Cooperation Council (Brussels, 3 March 2015)</w:t>
      </w:r>
    </w:p>
    <w:p w14:paraId="54CB6FAB" w14:textId="0B907A62" w:rsidR="00A12540" w:rsidRDefault="00A12540" w:rsidP="00A12540">
      <w:pPr>
        <w:rPr>
          <w:lang w:val="en-US"/>
        </w:rPr>
      </w:pPr>
      <w:r>
        <w:rPr>
          <w:noProof/>
          <w:lang w:val="en-US"/>
        </w:rPr>
        <w:t>5690</w:t>
      </w:r>
      <w:r>
        <w:rPr>
          <w:lang w:val="en-US"/>
        </w:rPr>
        <w:t>/15 COEST 30</w:t>
      </w:r>
    </w:p>
    <w:p w14:paraId="54CB6FAC" w14:textId="77777777" w:rsidR="00A12540" w:rsidRDefault="00A12540" w:rsidP="00A12540">
      <w:r>
        <w:rPr>
          <w:b/>
        </w:rPr>
        <w:t>Ansvarigt statsråd</w:t>
      </w:r>
      <w:r>
        <w:rPr>
          <w:b/>
        </w:rPr>
        <w:br/>
      </w:r>
      <w:r>
        <w:rPr>
          <w:noProof/>
        </w:rPr>
        <w:t xml:space="preserve">Margot Wallström </w:t>
      </w:r>
    </w:p>
    <w:p w14:paraId="54CB6FB0" w14:textId="327B0D64" w:rsidR="00995CBA" w:rsidRDefault="00A12540" w:rsidP="009529E0">
      <w:r w:rsidRPr="00B44CE2">
        <w:rPr>
          <w:b/>
        </w:rPr>
        <w:lastRenderedPageBreak/>
        <w:t>Annotering</w:t>
      </w:r>
      <w:r>
        <w:rPr>
          <w:b/>
        </w:rPr>
        <w:br/>
      </w:r>
      <w:r>
        <w:rPr>
          <w:b/>
          <w:bCs/>
        </w:rPr>
        <w:t>Avsikt med behandlingen i rådet:</w:t>
      </w:r>
      <w:r>
        <w:t xml:space="preserve"> Rådet föreslås godkänna EU:s position inför det 14e mötet i samarbetsrådet mellan EU och Kazakstan </w:t>
      </w:r>
    </w:p>
    <w:p w14:paraId="54CB6FB2" w14:textId="1E0843FC" w:rsidR="00995CBA" w:rsidRDefault="00A12540">
      <w:pPr>
        <w:spacing w:after="280" w:afterAutospacing="1"/>
      </w:pPr>
      <w:r>
        <w:rPr>
          <w:b/>
          <w:bCs/>
        </w:rPr>
        <w:t>Hur regeringen ställer sig till den blivande A-punkten:</w:t>
      </w:r>
      <w:r>
        <w:t xml:space="preserve"> Regeringen avser rösta för förslaget på EU:s position inför det 14e mötet i samarbetsrådet mellan EU och Kazakstan </w:t>
      </w:r>
    </w:p>
    <w:p w14:paraId="54CB6FB5" w14:textId="6F77F6E7" w:rsidR="00A12540" w:rsidRDefault="00A12540">
      <w:pPr>
        <w:spacing w:after="280" w:afterAutospacing="1"/>
        <w:rPr>
          <w:noProof/>
        </w:rPr>
      </w:pPr>
      <w:r>
        <w:rPr>
          <w:b/>
          <w:bCs/>
        </w:rPr>
        <w:t>Bakgrund:</w:t>
      </w:r>
      <w:r>
        <w:t xml:space="preserve"> Det 14:e samarbetsrådet EU-Kazakstan planeras att hållas 3 mars 2015 i Bryssel. Mötet utgör en plattform för att diskutera utvecklingen i relationerna EU-Kazakstan. EU:s position klargörs i den annoterade dagordningen. Den annoterade dagordningen antogs vid ett möte i rådsarbetsgruppen COEST 23 februari. </w:t>
      </w:r>
    </w:p>
    <w:p w14:paraId="54CB6FB6" w14:textId="77777777" w:rsidR="00A12540" w:rsidRDefault="00A12540" w:rsidP="00A12540">
      <w:pPr>
        <w:pStyle w:val="Rubrik1"/>
      </w:pPr>
      <w:bookmarkStart w:id="31" w:name="_Toc412711744"/>
      <w:r>
        <w:rPr>
          <w:noProof/>
        </w:rPr>
        <w:t>Draft Council Decision authorising the Commission to open negotiations under Article XXIV:6 of the General Agreement on Tariffs and Trade (GATT) 1994 with the Republic of Armenia and other WTO members, which are relevant for the purposes of the WTO submission made by the Republic of Armenia on 23 October 2014</w:t>
      </w:r>
      <w:bookmarkEnd w:id="31"/>
    </w:p>
    <w:p w14:paraId="065328F1" w14:textId="77777777" w:rsidR="009529E0" w:rsidRDefault="00A12540" w:rsidP="00A12540">
      <w:pPr>
        <w:rPr>
          <w:lang w:val="en-US"/>
        </w:rPr>
      </w:pPr>
      <w:r>
        <w:rPr>
          <w:noProof/>
          <w:lang w:val="en-US"/>
        </w:rPr>
        <w:t>–</w:t>
      </w:r>
      <w:r>
        <w:rPr>
          <w:lang w:val="en-US"/>
        </w:rPr>
        <w:t>Adoption</w:t>
      </w:r>
    </w:p>
    <w:p w14:paraId="54CB6FB7" w14:textId="40F37D6D" w:rsidR="00A12540" w:rsidRDefault="00A12540" w:rsidP="00A12540">
      <w:pPr>
        <w:rPr>
          <w:lang w:val="en-US"/>
        </w:rPr>
      </w:pPr>
      <w:r>
        <w:rPr>
          <w:noProof/>
          <w:lang w:val="en-US"/>
        </w:rPr>
        <w:t>5800</w:t>
      </w:r>
      <w:r>
        <w:rPr>
          <w:lang w:val="en-US"/>
        </w:rPr>
        <w:t>/15 WTO 31 COEST 36</w:t>
      </w:r>
      <w:r w:rsidR="009529E0">
        <w:rPr>
          <w:lang w:val="en-US"/>
        </w:rPr>
        <w:t xml:space="preserve"> </w:t>
      </w:r>
      <w:r>
        <w:rPr>
          <w:lang w:val="en-US"/>
        </w:rPr>
        <w:t>5801/15 WTO 32 COEST 37+ ADD 1</w:t>
      </w:r>
    </w:p>
    <w:p w14:paraId="54CB6FB8" w14:textId="77777777" w:rsidR="00A12540" w:rsidRDefault="00A12540" w:rsidP="00A12540">
      <w:r>
        <w:rPr>
          <w:b/>
        </w:rPr>
        <w:t>Ansvarigt statsråd</w:t>
      </w:r>
      <w:r>
        <w:rPr>
          <w:b/>
        </w:rPr>
        <w:br/>
      </w:r>
      <w:r>
        <w:rPr>
          <w:noProof/>
        </w:rPr>
        <w:t>Margot Wallström</w:t>
      </w:r>
    </w:p>
    <w:p w14:paraId="54CB6FBC" w14:textId="4CE62C18" w:rsidR="00995CBA" w:rsidRDefault="00A12540" w:rsidP="009529E0">
      <w:r w:rsidRPr="00B44CE2">
        <w:rPr>
          <w:b/>
        </w:rPr>
        <w:t>Annotering</w:t>
      </w:r>
      <w:r>
        <w:rPr>
          <w:b/>
        </w:rPr>
        <w:br/>
      </w:r>
      <w:r>
        <w:rPr>
          <w:b/>
          <w:bCs/>
        </w:rPr>
        <w:t>Avsikt med behandlingen</w:t>
      </w:r>
      <w:r w:rsidR="009529E0">
        <w:rPr>
          <w:b/>
          <w:bCs/>
        </w:rPr>
        <w:t xml:space="preserve">: </w:t>
      </w:r>
      <w:r>
        <w:t xml:space="preserve">Rådet föreslås anta utkast till rådsbeslut som tillåter Kommissionen att inleda kompensationsförhandlingar under artikel XXIV:6 av GATT 1994 med Armenien och andra WTO-medlemmar av den Euroasiatiska ekonomiska unionen, till följd av Armeniens medlemskap i sagda union. Rådet föreslås också anta tillhörande förhandlingsdirektiv. </w:t>
      </w:r>
    </w:p>
    <w:p w14:paraId="54CB6FBD" w14:textId="40BCE3A4" w:rsidR="00995CBA" w:rsidRDefault="00A12540">
      <w:pPr>
        <w:spacing w:after="280" w:afterAutospacing="1"/>
      </w:pPr>
      <w:r>
        <w:rPr>
          <w:b/>
          <w:bCs/>
        </w:rPr>
        <w:t>Regeringens ståndpunkt</w:t>
      </w:r>
      <w:r w:rsidR="009529E0">
        <w:rPr>
          <w:b/>
          <w:bCs/>
        </w:rPr>
        <w:t xml:space="preserve">: </w:t>
      </w:r>
      <w:r>
        <w:t xml:space="preserve">Regeringen avser rösta ja till förslaget. </w:t>
      </w:r>
    </w:p>
    <w:p w14:paraId="54CB6FBF" w14:textId="4262FD3C" w:rsidR="00A12540" w:rsidRDefault="00A12540">
      <w:pPr>
        <w:spacing w:after="280" w:afterAutospacing="1"/>
        <w:rPr>
          <w:noProof/>
        </w:rPr>
      </w:pPr>
      <w:r>
        <w:rPr>
          <w:b/>
          <w:bCs/>
        </w:rPr>
        <w:t>Bakgrund</w:t>
      </w:r>
      <w:r w:rsidR="009529E0">
        <w:rPr>
          <w:b/>
          <w:bCs/>
        </w:rPr>
        <w:t xml:space="preserve">: </w:t>
      </w:r>
      <w:r>
        <w:t xml:space="preserve">Den 23 oktober 2014 notifierade Armenien WTO om sin avsikt att modifiera ett större antal tullinjer till följd av sitt medlemskap i Euroasiatiska ekonomiska unionen, samt att inleda förhandlingar med berörda WTO-medlemmar om kompensation för dessa modifieringar i enlighet med artikel XXIV:6 av GATT 1994. Den 29 januari 2015 presenterade </w:t>
      </w:r>
      <w:r w:rsidR="003A6952">
        <w:t>Kommissionen</w:t>
      </w:r>
      <w:r>
        <w:t xml:space="preserve"> en rekommendation om rådsbeslut som ger Kommissionen tillåtelse att inleda dylika kompensationsförhandlingar. Den 6 februari ställde sig den handelspolitiska kommittén bakom rekommendationen, liksom ordförandens förslag till förhandlingsdirektiv. </w:t>
      </w:r>
    </w:p>
    <w:p w14:paraId="54CB6FC0" w14:textId="77777777" w:rsidR="00A12540" w:rsidRDefault="00A12540" w:rsidP="00A12540">
      <w:pPr>
        <w:pStyle w:val="Rubrik1"/>
      </w:pPr>
      <w:bookmarkStart w:id="32" w:name="_Toc412711745"/>
      <w:r>
        <w:rPr>
          <w:noProof/>
        </w:rPr>
        <w:t>Draft Council Decision adopting the rules of procedure of the European Development Fund (EDF) Committee</w:t>
      </w:r>
      <w:bookmarkEnd w:id="32"/>
    </w:p>
    <w:p w14:paraId="2811040D" w14:textId="77777777" w:rsidR="009529E0" w:rsidRDefault="00A12540" w:rsidP="00A12540">
      <w:pPr>
        <w:rPr>
          <w:lang w:val="en-US"/>
        </w:rPr>
      </w:pPr>
      <w:r>
        <w:rPr>
          <w:noProof/>
          <w:lang w:val="en-US"/>
        </w:rPr>
        <w:t>–</w:t>
      </w:r>
      <w:r>
        <w:rPr>
          <w:lang w:val="en-US"/>
        </w:rPr>
        <w:t>Adoption</w:t>
      </w:r>
    </w:p>
    <w:p w14:paraId="54CB6FC1" w14:textId="139ACE24" w:rsidR="00A12540" w:rsidRDefault="00A12540" w:rsidP="00A12540">
      <w:pPr>
        <w:rPr>
          <w:lang w:val="en-US"/>
        </w:rPr>
      </w:pPr>
      <w:r>
        <w:rPr>
          <w:noProof/>
          <w:lang w:val="en-US"/>
        </w:rPr>
        <w:t>5996</w:t>
      </w:r>
      <w:r>
        <w:rPr>
          <w:lang w:val="en-US"/>
        </w:rPr>
        <w:t>/15 ACP 24 FIN 103 PTOM 8</w:t>
      </w:r>
      <w:r w:rsidR="009529E0">
        <w:rPr>
          <w:lang w:val="en-US"/>
        </w:rPr>
        <w:t xml:space="preserve"> </w:t>
      </w:r>
      <w:r>
        <w:rPr>
          <w:lang w:val="en-US"/>
        </w:rPr>
        <w:t>5992/15 ACP 23 FIN 102 PTOM 7</w:t>
      </w:r>
    </w:p>
    <w:p w14:paraId="54CB6FC2" w14:textId="77777777" w:rsidR="00A12540" w:rsidRDefault="00A12540" w:rsidP="00A12540">
      <w:r>
        <w:rPr>
          <w:b/>
        </w:rPr>
        <w:t>Ansvarigt statsråd</w:t>
      </w:r>
      <w:r>
        <w:rPr>
          <w:b/>
        </w:rPr>
        <w:br/>
      </w:r>
      <w:r>
        <w:rPr>
          <w:noProof/>
        </w:rPr>
        <w:t>Isabella Lövin</w:t>
      </w:r>
    </w:p>
    <w:p w14:paraId="54CB6FC6" w14:textId="44E30AF5" w:rsidR="00995CBA" w:rsidRDefault="00A12540" w:rsidP="009529E0">
      <w:r w:rsidRPr="00B44CE2">
        <w:rPr>
          <w:b/>
        </w:rPr>
        <w:lastRenderedPageBreak/>
        <w:t>Annotering</w:t>
      </w:r>
      <w:r>
        <w:rPr>
          <w:b/>
        </w:rPr>
        <w:br/>
      </w:r>
      <w:r>
        <w:rPr>
          <w:b/>
          <w:bCs/>
        </w:rPr>
        <w:t>Avsikt med behandlingen i rådet:</w:t>
      </w:r>
      <w:r>
        <w:t xml:space="preserve"> Rådet föreslås anta arbetsförordningen för EDF-kommittén. </w:t>
      </w:r>
    </w:p>
    <w:p w14:paraId="54CB6FC8" w14:textId="4B9B6885" w:rsidR="00995CBA" w:rsidRDefault="00A12540">
      <w:pPr>
        <w:spacing w:after="280" w:afterAutospacing="1"/>
      </w:pPr>
      <w:r>
        <w:rPr>
          <w:b/>
          <w:bCs/>
        </w:rPr>
        <w:t>Hur regeringen ställer sig till den blivande A-punkten:</w:t>
      </w:r>
      <w:r>
        <w:t xml:space="preserve"> Regeringen avser rösta ja till att rådet antar arbetsförordningen för EDF-kommittén. </w:t>
      </w:r>
    </w:p>
    <w:p w14:paraId="54CB6FCA" w14:textId="2178E8B1" w:rsidR="00995CBA" w:rsidRDefault="00A12540">
      <w:pPr>
        <w:spacing w:after="280" w:afterAutospacing="1"/>
      </w:pPr>
      <w:r>
        <w:rPr>
          <w:b/>
          <w:bCs/>
        </w:rPr>
        <w:t>Bakgrund:</w:t>
      </w:r>
      <w:r w:rsidR="009529E0">
        <w:rPr>
          <w:b/>
          <w:bCs/>
        </w:rPr>
        <w:t xml:space="preserve"> </w:t>
      </w:r>
      <w:r>
        <w:t>En genomförandekommitté för EUF-11 sätts upp i enlighet med artikel 8 i det interna avtalet. Dess ansvarsområden och uppgifter fastställs i artikel 14 i implementeringsförordningen för EUF-11. Kommittén, som utgörs av representanter från samtliga EU:s medlemsstater, har som huvudsaklig uppgift att yttra sig om Kommissionens olika programmeringsdokument inom ramen för EUF-11 innan dessa kan antas av Kommissionen. En annan viktig uppgift är att överse genomförandet av EUF-11.</w:t>
      </w:r>
    </w:p>
    <w:p w14:paraId="54CB6FCB" w14:textId="77777777" w:rsidR="00995CBA" w:rsidRDefault="00A12540">
      <w:pPr>
        <w:spacing w:after="280" w:afterAutospacing="1"/>
      </w:pPr>
      <w:r>
        <w:t xml:space="preserve">Förslag till arbetsordning för EUF-kommittén har lagts fram av Kommissionen. Denna sätter ut i mer detalj hur kommittén ska fungera och arbeta. De ändringar som gjorts handlade om att fastslå redan existerande praxis och att anpassa texten till arbetsordningen som gäller för DCI. </w:t>
      </w:r>
    </w:p>
    <w:p w14:paraId="54CB6FCD" w14:textId="30A7CD95" w:rsidR="00A12540" w:rsidRDefault="00A12540">
      <w:pPr>
        <w:spacing w:after="280" w:afterAutospacing="1"/>
        <w:rPr>
          <w:noProof/>
        </w:rPr>
      </w:pPr>
      <w:r>
        <w:t>Arbetsordningen för EUF-11, liksom implementerings- och finansieringsförordningarna, börjar gälla 1 mars 2015 när det interna avtalet för EUF-11 träder ikraft.</w:t>
      </w:r>
    </w:p>
    <w:p w14:paraId="54CB6FD4" w14:textId="77777777" w:rsidR="00A12540" w:rsidRDefault="00A12540" w:rsidP="00A12540">
      <w:pPr>
        <w:pStyle w:val="Rubrik1"/>
      </w:pPr>
      <w:bookmarkStart w:id="33" w:name="_Toc412711746"/>
      <w:r>
        <w:rPr>
          <w:noProof/>
        </w:rPr>
        <w:t>Council Decision extending the mandate of the European Union Special Representative in Afghanistan</w:t>
      </w:r>
      <w:bookmarkEnd w:id="33"/>
    </w:p>
    <w:p w14:paraId="54CB6FD6" w14:textId="1939C6D7" w:rsidR="00A12540" w:rsidRDefault="00A12540" w:rsidP="00A12540">
      <w:pPr>
        <w:rPr>
          <w:lang w:val="en-US"/>
        </w:rPr>
      </w:pPr>
      <w:r>
        <w:rPr>
          <w:noProof/>
          <w:lang w:val="en-US"/>
        </w:rPr>
        <w:t>6451</w:t>
      </w:r>
      <w:r>
        <w:rPr>
          <w:lang w:val="en-US"/>
        </w:rPr>
        <w:t>/15 PESC 188 COASI 18 CSC 43</w:t>
      </w:r>
      <w:r w:rsidR="009529E0">
        <w:rPr>
          <w:lang w:val="en-US"/>
        </w:rPr>
        <w:t xml:space="preserve"> </w:t>
      </w:r>
      <w:r>
        <w:rPr>
          <w:lang w:val="en-US"/>
        </w:rPr>
        <w:t>5715/15 PESC 93 COASI 8 CSC 16</w:t>
      </w:r>
    </w:p>
    <w:p w14:paraId="54CB6FD7" w14:textId="77777777" w:rsidR="00A12540" w:rsidRDefault="00A12540" w:rsidP="00A12540">
      <w:r>
        <w:rPr>
          <w:b/>
        </w:rPr>
        <w:t>Ansvarigt statsråd</w:t>
      </w:r>
      <w:r>
        <w:rPr>
          <w:b/>
        </w:rPr>
        <w:br/>
      </w:r>
      <w:r>
        <w:rPr>
          <w:noProof/>
        </w:rPr>
        <w:t>Margot Wallström</w:t>
      </w:r>
    </w:p>
    <w:p w14:paraId="54CB6FDB" w14:textId="318D9BB3" w:rsidR="00995CBA" w:rsidRDefault="00A12540" w:rsidP="009529E0">
      <w:r w:rsidRPr="00B44CE2">
        <w:rPr>
          <w:b/>
        </w:rPr>
        <w:t>Annotering</w:t>
      </w:r>
      <w:r>
        <w:rPr>
          <w:b/>
        </w:rPr>
        <w:br/>
      </w:r>
      <w:r>
        <w:rPr>
          <w:b/>
          <w:bCs/>
        </w:rPr>
        <w:t>Avsikt med behandlingen i rådet:</w:t>
      </w:r>
      <w:r>
        <w:t xml:space="preserve"> Rådet föreslås anta rådsslutsatserna. </w:t>
      </w:r>
    </w:p>
    <w:p w14:paraId="54CB6FDD" w14:textId="0136B58C" w:rsidR="00995CBA" w:rsidRDefault="00A12540">
      <w:pPr>
        <w:spacing w:after="280" w:afterAutospacing="1"/>
      </w:pPr>
      <w:r>
        <w:rPr>
          <w:b/>
          <w:bCs/>
        </w:rPr>
        <w:t>Hur regeringen ställer sig till den blivande A-punkten:</w:t>
      </w:r>
      <w:r>
        <w:t xml:space="preserve"> Regeringen avser rösta ja till rådsslutsatserna om en förlängning av mandatet för EU:s särskilda sändebud för Afghanistan (EUSR). </w:t>
      </w:r>
    </w:p>
    <w:p w14:paraId="54CB6FDF" w14:textId="7BFDB41B" w:rsidR="00995CBA" w:rsidRDefault="00A12540">
      <w:pPr>
        <w:spacing w:after="280" w:afterAutospacing="1"/>
      </w:pPr>
      <w:r>
        <w:rPr>
          <w:b/>
          <w:bCs/>
        </w:rPr>
        <w:t>Bakgrund:</w:t>
      </w:r>
      <w:r w:rsidR="009529E0">
        <w:rPr>
          <w:b/>
          <w:bCs/>
        </w:rPr>
        <w:t xml:space="preserve"> </w:t>
      </w:r>
      <w:r>
        <w:t xml:space="preserve">Syftet med rådsslutsatserna är att avvisera en förlängning av mandatet för EUSR-Afghanistan. I rådsslutsatserna godkänns även ett förslag om förstärkning av EUSR-kontoret inom rättssäkerhetsområdet med två internationella och två afghanska experter. Förstärkningen är ett led i utfasningen av EUPOL:s verksamhet och en del av EU:s fortsatta engagemang med att stödja den afghanska rättstaten. Under förhandlingarna gav Sverige sitt stöd till en förlängning av EUSR-mandatet och till förslaget att förstärka EUSR-kontoret. Stöd till förslaget om 3 internationella och 3 lokala experter stöddes först, men efter att flera länder motsatte sig storleken på förstärkningen enades man om 2 internationella och 2 lokala experter till EUSR kontoret. Det nuvarande EUSR mandatet sträcker sig till den 28 februari 2015 och en </w:t>
      </w:r>
      <w:r w:rsidR="003A6952">
        <w:t>förlängning</w:t>
      </w:r>
      <w:r>
        <w:t xml:space="preserve"> gäller från och med 1 mars till 31 oktober 2015.</w:t>
      </w:r>
    </w:p>
    <w:p w14:paraId="54CB6FE0" w14:textId="77777777" w:rsidR="00A12540" w:rsidRDefault="00A12540">
      <w:pPr>
        <w:spacing w:after="280" w:afterAutospacing="1"/>
        <w:rPr>
          <w:noProof/>
        </w:rPr>
      </w:pPr>
    </w:p>
    <w:p w14:paraId="27FA6D7E" w14:textId="36034E73" w:rsidR="00256888" w:rsidRDefault="00256888">
      <w:pPr>
        <w:spacing w:after="280" w:afterAutospacing="1"/>
        <w:rPr>
          <w:noProof/>
        </w:rPr>
      </w:pPr>
    </w:p>
    <w:p w14:paraId="0B094396" w14:textId="77777777" w:rsidR="00256888" w:rsidRPr="00256888" w:rsidRDefault="00256888" w:rsidP="00256888">
      <w:pPr>
        <w:pStyle w:val="Rubrik1"/>
        <w:rPr>
          <w:noProof/>
        </w:rPr>
      </w:pPr>
      <w:bookmarkStart w:id="34" w:name="_Toc412711747"/>
      <w:r w:rsidRPr="00256888">
        <w:rPr>
          <w:noProof/>
        </w:rPr>
        <w:t>Council Decision amending and extending Decision 2010/96/CFSP on a European Union military mission to contribute to the training of Somali security forces (EUTM Somalia)</w:t>
      </w:r>
      <w:bookmarkEnd w:id="34"/>
    </w:p>
    <w:p w14:paraId="553C3E95" w14:textId="77777777" w:rsidR="00E02B7D" w:rsidRDefault="00256888" w:rsidP="00256888">
      <w:pPr>
        <w:shd w:val="clear" w:color="auto" w:fill="FFFFFF"/>
        <w:textAlignment w:val="top"/>
      </w:pPr>
      <w:r w:rsidRPr="00256888">
        <w:t>6125/15 CSDP/PSDC 79 PESC 162 COAFR 59 EUTM SOMALIA 4</w:t>
      </w:r>
      <w:r w:rsidRPr="00256888">
        <w:br/>
        <w:t>RELEX 115 CONUN 30 CSC 29</w:t>
      </w:r>
      <w:r w:rsidRPr="00256888">
        <w:br/>
        <w:t>5875/15 CSDP/PSDC 58 PESC 122 COAFR 40 EUTM SOMALIA 2</w:t>
      </w:r>
      <w:r w:rsidRPr="00256888">
        <w:br/>
        <w:t>RELEX 86 CONUN 21 CSC 24</w:t>
      </w:r>
    </w:p>
    <w:p w14:paraId="19B16537" w14:textId="58387D13" w:rsidR="00256888" w:rsidRPr="00256888" w:rsidRDefault="00256888" w:rsidP="00256888">
      <w:pPr>
        <w:shd w:val="clear" w:color="auto" w:fill="FFFFFF"/>
        <w:textAlignment w:val="top"/>
      </w:pPr>
      <w:r w:rsidRPr="00256888">
        <w:rPr>
          <w:b/>
          <w:bCs/>
        </w:rPr>
        <w:t>Ansvarigt statsråd</w:t>
      </w:r>
      <w:r>
        <w:t>: Margot Wallström</w:t>
      </w:r>
    </w:p>
    <w:p w14:paraId="18C2A3C8" w14:textId="6BC2F9A6" w:rsidR="00256888" w:rsidRPr="00256888" w:rsidRDefault="00256888" w:rsidP="00256888">
      <w:pPr>
        <w:shd w:val="clear" w:color="auto" w:fill="FFFFFF"/>
        <w:textAlignment w:val="top"/>
      </w:pPr>
      <w:r w:rsidRPr="00256888">
        <w:rPr>
          <w:b/>
          <w:bCs/>
        </w:rPr>
        <w:t>Annotering</w:t>
      </w:r>
      <w:r>
        <w:rPr>
          <w:b/>
          <w:bCs/>
        </w:rPr>
        <w:br/>
      </w:r>
      <w:r w:rsidRPr="00256888">
        <w:rPr>
          <w:b/>
          <w:bCs/>
        </w:rPr>
        <w:t>Avsikt med behandlingen i rådet:</w:t>
      </w:r>
      <w:r>
        <w:rPr>
          <w:b/>
          <w:bCs/>
        </w:rPr>
        <w:t xml:space="preserve"> </w:t>
      </w:r>
      <w:r w:rsidRPr="00256888">
        <w:t>Rådet väntas fatta beslut vid ett kommande ministerrådsmöte om ändring och förlängning av rådsbeslut 2010/96/GUSP om Europeiska unionens militära uppdrag i syfte att bidra till utbildning av somaliska säkerhetsstyrkor, EUTM Somalia.</w:t>
      </w:r>
    </w:p>
    <w:p w14:paraId="0FD03AB1" w14:textId="6CB54DE8" w:rsidR="00256888" w:rsidRPr="00256888" w:rsidRDefault="00256888" w:rsidP="00256888">
      <w:pPr>
        <w:pStyle w:val="Normalwebb"/>
        <w:shd w:val="clear" w:color="auto" w:fill="FFFFFF"/>
        <w:ind w:left="714"/>
        <w:textAlignment w:val="top"/>
        <w:rPr>
          <w:rFonts w:eastAsia="Calibri"/>
          <w:sz w:val="22"/>
          <w:szCs w:val="22"/>
          <w:lang w:eastAsia="en-US"/>
        </w:rPr>
      </w:pPr>
      <w:r w:rsidRPr="00256888">
        <w:rPr>
          <w:rFonts w:eastAsia="Calibri"/>
          <w:b/>
          <w:bCs/>
          <w:sz w:val="22"/>
          <w:szCs w:val="22"/>
          <w:lang w:eastAsia="en-US"/>
        </w:rPr>
        <w:t>Hur regeringen ställer sig till den blivande A-punkten:</w:t>
      </w:r>
      <w:r>
        <w:rPr>
          <w:rFonts w:eastAsia="Calibri"/>
          <w:b/>
          <w:bCs/>
          <w:sz w:val="22"/>
          <w:szCs w:val="22"/>
          <w:lang w:eastAsia="en-US"/>
        </w:rPr>
        <w:t xml:space="preserve"> </w:t>
      </w:r>
      <w:r w:rsidRPr="00256888">
        <w:rPr>
          <w:rFonts w:eastAsia="Calibri"/>
          <w:sz w:val="22"/>
          <w:szCs w:val="22"/>
          <w:lang w:eastAsia="en-US"/>
        </w:rPr>
        <w:t>Regeringen avser att rösta ja</w:t>
      </w:r>
      <w:r w:rsidR="003A6952">
        <w:rPr>
          <w:rFonts w:eastAsia="Calibri"/>
          <w:sz w:val="22"/>
          <w:szCs w:val="22"/>
          <w:lang w:eastAsia="en-US"/>
        </w:rPr>
        <w:t>.</w:t>
      </w:r>
      <w:r w:rsidRPr="00256888">
        <w:rPr>
          <w:rFonts w:eastAsia="Calibri"/>
          <w:sz w:val="22"/>
          <w:szCs w:val="22"/>
          <w:lang w:eastAsia="en-US"/>
        </w:rPr>
        <w:t xml:space="preserve"> </w:t>
      </w:r>
    </w:p>
    <w:p w14:paraId="349D7512" w14:textId="218626F0" w:rsidR="00256888" w:rsidRPr="00256888" w:rsidRDefault="00256888" w:rsidP="00256888">
      <w:pPr>
        <w:pStyle w:val="Normalwebb"/>
        <w:shd w:val="clear" w:color="auto" w:fill="FFFFFF"/>
        <w:ind w:left="714"/>
        <w:textAlignment w:val="top"/>
        <w:rPr>
          <w:rFonts w:eastAsia="Calibri"/>
          <w:sz w:val="22"/>
          <w:szCs w:val="22"/>
          <w:lang w:eastAsia="en-US"/>
        </w:rPr>
      </w:pPr>
      <w:r w:rsidRPr="00256888">
        <w:rPr>
          <w:rFonts w:eastAsia="Calibri"/>
          <w:b/>
          <w:bCs/>
          <w:sz w:val="22"/>
          <w:szCs w:val="22"/>
          <w:lang w:eastAsia="en-US"/>
        </w:rPr>
        <w:t>Bakgrund</w:t>
      </w:r>
      <w:r>
        <w:rPr>
          <w:rFonts w:eastAsia="Calibri"/>
          <w:b/>
          <w:bCs/>
          <w:sz w:val="22"/>
          <w:szCs w:val="22"/>
          <w:lang w:eastAsia="en-US"/>
        </w:rPr>
        <w:t xml:space="preserve">: </w:t>
      </w:r>
      <w:r w:rsidRPr="00256888">
        <w:rPr>
          <w:rFonts w:eastAsia="Calibri"/>
          <w:sz w:val="22"/>
          <w:szCs w:val="22"/>
          <w:lang w:eastAsia="en-US"/>
        </w:rPr>
        <w:t>Den 15 februari 2010 antog Europeiska unionens råd rådsbeslut 2010/96/GUSP om Europeiska unionens militära uppdrag i syfte att bidra till utbildning av somaliska säkerhetsstyrkor, EUTM Somalia (European Union Training Mission Somalia). Insatsens mandat förlängdes senast den 22 januari 2013 genom rådsbeslut 2013/44/GUSP och löper för närvarande till den 31 mars 2015.</w:t>
      </w:r>
    </w:p>
    <w:p w14:paraId="17A10E6E" w14:textId="77777777" w:rsidR="00256888" w:rsidRPr="00256888" w:rsidRDefault="00256888" w:rsidP="00256888">
      <w:pPr>
        <w:pStyle w:val="Normalwebb"/>
        <w:shd w:val="clear" w:color="auto" w:fill="FFFFFF"/>
        <w:ind w:left="714"/>
        <w:textAlignment w:val="top"/>
        <w:rPr>
          <w:rFonts w:eastAsia="Calibri"/>
          <w:sz w:val="22"/>
          <w:szCs w:val="22"/>
          <w:lang w:eastAsia="en-US"/>
        </w:rPr>
      </w:pPr>
      <w:r w:rsidRPr="00256888">
        <w:rPr>
          <w:rFonts w:eastAsia="Calibri"/>
          <w:sz w:val="22"/>
          <w:szCs w:val="22"/>
          <w:lang w:eastAsia="en-US"/>
        </w:rPr>
        <w:t>Rådet väntas nu fatta beslut om ändring och förlängning av rådsbeslut 2010/96/GUSP. Ändring och förlängning av rådsbeslutet innebär ett justerat mandat och en förlängning av insatsen till 31 december 2016.</w:t>
      </w:r>
    </w:p>
    <w:p w14:paraId="18B3521A" w14:textId="77777777" w:rsidR="00256888" w:rsidRPr="00256888" w:rsidRDefault="00256888" w:rsidP="00256888">
      <w:pPr>
        <w:pStyle w:val="Normalwebb"/>
        <w:shd w:val="clear" w:color="auto" w:fill="FFFFFF"/>
        <w:ind w:left="714"/>
        <w:textAlignment w:val="top"/>
        <w:rPr>
          <w:rFonts w:eastAsia="Calibri"/>
          <w:sz w:val="22"/>
          <w:szCs w:val="22"/>
          <w:lang w:eastAsia="en-US"/>
        </w:rPr>
      </w:pPr>
      <w:r w:rsidRPr="00256888">
        <w:rPr>
          <w:rFonts w:eastAsia="Calibri"/>
          <w:sz w:val="22"/>
          <w:szCs w:val="22"/>
          <w:lang w:eastAsia="en-US"/>
        </w:rPr>
        <w:t xml:space="preserve">Insatsen genomförs i Somalias huvudstad Mogadishu och dess högkvarter är placerat på Mogadishus internationella flygplats. Fram till och med 2014 genomfördes utbildningen i Uganda. </w:t>
      </w:r>
    </w:p>
    <w:p w14:paraId="7755EA1D" w14:textId="043FBCC1" w:rsidR="00256888" w:rsidRPr="00256888" w:rsidRDefault="00256888" w:rsidP="00256888">
      <w:pPr>
        <w:shd w:val="clear" w:color="auto" w:fill="FFFFFF"/>
        <w:textAlignment w:val="top"/>
        <w:rPr>
          <w:rFonts w:ascii="Arial!important" w:hAnsi="Arial!important"/>
          <w:color w:val="444444"/>
          <w:sz w:val="18"/>
          <w:szCs w:val="18"/>
        </w:rPr>
      </w:pPr>
    </w:p>
    <w:bookmarkEnd w:id="0"/>
    <w:p w14:paraId="54CB6FE1" w14:textId="77777777" w:rsidR="00A12540" w:rsidRPr="00643D86" w:rsidRDefault="00A12540" w:rsidP="00A12540">
      <w:pPr>
        <w:ind w:left="0"/>
        <w:rPr>
          <w:lang w:val="en-US"/>
        </w:rPr>
      </w:pPr>
    </w:p>
    <w:sectPr w:rsidR="00A12540" w:rsidRPr="00643D86" w:rsidSect="00A12540">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B92DF" w14:textId="77777777" w:rsidR="005103D1" w:rsidRDefault="005103D1">
      <w:pPr>
        <w:spacing w:after="0" w:line="240" w:lineRule="auto"/>
      </w:pPr>
      <w:r>
        <w:separator/>
      </w:r>
    </w:p>
  </w:endnote>
  <w:endnote w:type="continuationSeparator" w:id="0">
    <w:p w14:paraId="72D66C45" w14:textId="77777777" w:rsidR="005103D1" w:rsidRDefault="0051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panose1 w:val="00000400000000000000"/>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17FD8" w14:textId="77777777" w:rsidR="005103D1" w:rsidRDefault="005103D1">
      <w:pPr>
        <w:spacing w:after="0" w:line="240" w:lineRule="auto"/>
      </w:pPr>
      <w:r>
        <w:separator/>
      </w:r>
    </w:p>
  </w:footnote>
  <w:footnote w:type="continuationSeparator" w:id="0">
    <w:p w14:paraId="68DABEAB" w14:textId="77777777" w:rsidR="005103D1" w:rsidRDefault="00510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516158"/>
      <w:docPartObj>
        <w:docPartGallery w:val="Page Numbers (Top of Page)"/>
        <w:docPartUnique/>
      </w:docPartObj>
    </w:sdtPr>
    <w:sdtEndPr/>
    <w:sdtContent>
      <w:p w14:paraId="38741233" w14:textId="70283EBF" w:rsidR="005103D1" w:rsidRDefault="005103D1">
        <w:pPr>
          <w:pStyle w:val="Sidhuvud"/>
          <w:jc w:val="right"/>
        </w:pPr>
        <w:r>
          <w:fldChar w:fldCharType="begin"/>
        </w:r>
        <w:r>
          <w:instrText>PAGE   \* MERGEFORMAT</w:instrText>
        </w:r>
        <w:r>
          <w:fldChar w:fldCharType="separate"/>
        </w:r>
        <w:r w:rsidR="00EE25B8">
          <w:rPr>
            <w:noProof/>
          </w:rPr>
          <w:t>7</w:t>
        </w:r>
        <w:r>
          <w:fldChar w:fldCharType="end"/>
        </w:r>
      </w:p>
    </w:sdtContent>
  </w:sdt>
  <w:p w14:paraId="54CB6FE3" w14:textId="77777777" w:rsidR="005103D1" w:rsidRDefault="005103D1" w:rsidP="00A1254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103D1" w14:paraId="54CB6FE9" w14:textId="77777777" w:rsidTr="00A12540">
      <w:tc>
        <w:tcPr>
          <w:tcW w:w="4606" w:type="dxa"/>
        </w:tcPr>
        <w:p w14:paraId="54CB6FE4" w14:textId="251098BD" w:rsidR="005103D1" w:rsidRDefault="005103D1" w:rsidP="00A12540">
          <w:pPr>
            <w:pStyle w:val="Sidhuvud"/>
            <w:ind w:left="0"/>
          </w:pPr>
          <w:r>
            <w:rPr>
              <w:noProof/>
              <w:lang w:eastAsia="sv-SE"/>
            </w:rPr>
            <w:drawing>
              <wp:inline distT="0" distB="0" distL="0" distR="0" wp14:anchorId="54CB6FEF" wp14:editId="54CB6FF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4CB6FE5" w14:textId="77777777" w:rsidR="005103D1" w:rsidRDefault="005103D1" w:rsidP="00A12540">
          <w:pPr>
            <w:ind w:right="916"/>
            <w:rPr>
              <w:rFonts w:ascii="TradeGothic" w:hAnsi="TradeGothic"/>
              <w:b/>
            </w:rPr>
          </w:pPr>
        </w:p>
        <w:p w14:paraId="54CB6FE6" w14:textId="77777777" w:rsidR="005103D1" w:rsidRDefault="005103D1" w:rsidP="00A12540">
          <w:pPr>
            <w:ind w:right="916"/>
          </w:pPr>
          <w:r>
            <w:rPr>
              <w:rFonts w:ascii="TradeGothic" w:hAnsi="TradeGothic"/>
              <w:b/>
            </w:rPr>
            <w:t>Promemoria</w:t>
          </w:r>
        </w:p>
        <w:p w14:paraId="54CB6FE7" w14:textId="77777777" w:rsidR="005103D1" w:rsidRDefault="005103D1" w:rsidP="00A12540">
          <w:pPr>
            <w:jc w:val="right"/>
          </w:pPr>
        </w:p>
        <w:p w14:paraId="54CB6FE8" w14:textId="53924593" w:rsidR="005103D1" w:rsidRDefault="005103D1" w:rsidP="00A12540">
          <w:pPr>
            <w:ind w:right="916"/>
          </w:pPr>
          <w:r>
            <w:rPr>
              <w:rFonts w:ascii="TradeGothic" w:hAnsi="TradeGothic"/>
              <w:b/>
              <w:noProof/>
            </w:rPr>
            <w:t>2015-02-26</w:t>
          </w:r>
          <w:r w:rsidRPr="00934953">
            <w:t xml:space="preserve"> </w:t>
          </w:r>
        </w:p>
      </w:tc>
    </w:tr>
  </w:tbl>
  <w:p w14:paraId="54CB6FEA" w14:textId="77777777" w:rsidR="005103D1" w:rsidRDefault="005103D1" w:rsidP="00A12540">
    <w:pPr>
      <w:pStyle w:val="Avsndare"/>
      <w:framePr w:w="0" w:hRule="auto" w:hSpace="0" w:wrap="auto" w:vAnchor="margin" w:hAnchor="text" w:xAlign="left" w:yAlign="inline"/>
      <w:rPr>
        <w:b/>
        <w:i w:val="0"/>
        <w:sz w:val="22"/>
      </w:rPr>
    </w:pPr>
  </w:p>
  <w:p w14:paraId="54CB6FEB" w14:textId="77777777" w:rsidR="005103D1" w:rsidRDefault="005103D1" w:rsidP="00A12540">
    <w:pPr>
      <w:pStyle w:val="Avsndare"/>
      <w:framePr w:w="0" w:hRule="auto" w:hSpace="0" w:wrap="auto" w:vAnchor="margin" w:hAnchor="text" w:xAlign="left" w:yAlign="inline"/>
      <w:rPr>
        <w:b/>
        <w:i w:val="0"/>
        <w:sz w:val="22"/>
      </w:rPr>
    </w:pPr>
    <w:r>
      <w:rPr>
        <w:b/>
        <w:i w:val="0"/>
        <w:sz w:val="22"/>
      </w:rPr>
      <w:t>Statsrådsberedningen</w:t>
    </w:r>
  </w:p>
  <w:p w14:paraId="54CB6FEC" w14:textId="77777777" w:rsidR="005103D1" w:rsidRDefault="005103D1" w:rsidP="00A12540">
    <w:pPr>
      <w:pStyle w:val="Avsndare"/>
      <w:framePr w:w="0" w:hRule="auto" w:hSpace="0" w:wrap="auto" w:vAnchor="margin" w:hAnchor="text" w:xAlign="left" w:yAlign="inline"/>
    </w:pPr>
  </w:p>
  <w:p w14:paraId="54CB6FED" w14:textId="77777777" w:rsidR="005103D1" w:rsidRDefault="005103D1" w:rsidP="00A12540">
    <w:pPr>
      <w:pStyle w:val="Avsndare"/>
      <w:framePr w:w="0" w:hRule="auto" w:hSpace="0" w:wrap="auto" w:vAnchor="margin" w:hAnchor="text" w:xAlign="left" w:yAlign="inline"/>
    </w:pPr>
    <w:r>
      <w:t>EU-kansliet</w:t>
    </w:r>
  </w:p>
  <w:p w14:paraId="54CB6FEE" w14:textId="77777777" w:rsidR="005103D1" w:rsidRDefault="005103D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B8F08914">
      <w:start w:val="1"/>
      <w:numFmt w:val="decimal"/>
      <w:pStyle w:val="Rubrik1"/>
      <w:lvlText w:val="%1."/>
      <w:lvlJc w:val="left"/>
      <w:pPr>
        <w:ind w:left="720" w:hanging="360"/>
      </w:pPr>
    </w:lvl>
    <w:lvl w:ilvl="1" w:tplc="51AA367C" w:tentative="1">
      <w:start w:val="1"/>
      <w:numFmt w:val="lowerLetter"/>
      <w:lvlText w:val="%2."/>
      <w:lvlJc w:val="left"/>
      <w:pPr>
        <w:ind w:left="1440" w:hanging="360"/>
      </w:pPr>
    </w:lvl>
    <w:lvl w:ilvl="2" w:tplc="AD66A9B0" w:tentative="1">
      <w:start w:val="1"/>
      <w:numFmt w:val="lowerRoman"/>
      <w:lvlText w:val="%3."/>
      <w:lvlJc w:val="right"/>
      <w:pPr>
        <w:ind w:left="2160" w:hanging="180"/>
      </w:pPr>
    </w:lvl>
    <w:lvl w:ilvl="3" w:tplc="634499B8" w:tentative="1">
      <w:start w:val="1"/>
      <w:numFmt w:val="decimal"/>
      <w:lvlText w:val="%4."/>
      <w:lvlJc w:val="left"/>
      <w:pPr>
        <w:ind w:left="2880" w:hanging="360"/>
      </w:pPr>
    </w:lvl>
    <w:lvl w:ilvl="4" w:tplc="C84EF318" w:tentative="1">
      <w:start w:val="1"/>
      <w:numFmt w:val="lowerLetter"/>
      <w:lvlText w:val="%5."/>
      <w:lvlJc w:val="left"/>
      <w:pPr>
        <w:ind w:left="3600" w:hanging="360"/>
      </w:pPr>
    </w:lvl>
    <w:lvl w:ilvl="5" w:tplc="645203B4" w:tentative="1">
      <w:start w:val="1"/>
      <w:numFmt w:val="lowerRoman"/>
      <w:lvlText w:val="%6."/>
      <w:lvlJc w:val="right"/>
      <w:pPr>
        <w:ind w:left="4320" w:hanging="180"/>
      </w:pPr>
    </w:lvl>
    <w:lvl w:ilvl="6" w:tplc="88909500" w:tentative="1">
      <w:start w:val="1"/>
      <w:numFmt w:val="decimal"/>
      <w:lvlText w:val="%7."/>
      <w:lvlJc w:val="left"/>
      <w:pPr>
        <w:ind w:left="5040" w:hanging="360"/>
      </w:pPr>
    </w:lvl>
    <w:lvl w:ilvl="7" w:tplc="CC4AEDD2" w:tentative="1">
      <w:start w:val="1"/>
      <w:numFmt w:val="lowerLetter"/>
      <w:lvlText w:val="%8."/>
      <w:lvlJc w:val="left"/>
      <w:pPr>
        <w:ind w:left="5760" w:hanging="360"/>
      </w:pPr>
    </w:lvl>
    <w:lvl w:ilvl="8" w:tplc="0FE074B2" w:tentative="1">
      <w:start w:val="1"/>
      <w:numFmt w:val="lowerRoman"/>
      <w:lvlText w:val="%9."/>
      <w:lvlJc w:val="right"/>
      <w:pPr>
        <w:ind w:left="6480" w:hanging="180"/>
      </w:pPr>
    </w:lvl>
  </w:abstractNum>
  <w:abstractNum w:abstractNumId="1">
    <w:nsid w:val="73990993"/>
    <w:multiLevelType w:val="hybridMultilevel"/>
    <w:tmpl w:val="3BD822EE"/>
    <w:lvl w:ilvl="0" w:tplc="72768240">
      <w:start w:val="1"/>
      <w:numFmt w:val="decimal"/>
      <w:lvlText w:val="%1."/>
      <w:lvlJc w:val="left"/>
      <w:pPr>
        <w:ind w:left="360" w:hanging="360"/>
      </w:pPr>
      <w:rPr>
        <w:b w:val="0"/>
      </w:rPr>
    </w:lvl>
    <w:lvl w:ilvl="1" w:tplc="45484D96" w:tentative="1">
      <w:start w:val="1"/>
      <w:numFmt w:val="lowerLetter"/>
      <w:lvlText w:val="%2."/>
      <w:lvlJc w:val="left"/>
      <w:pPr>
        <w:ind w:left="1080" w:hanging="360"/>
      </w:pPr>
    </w:lvl>
    <w:lvl w:ilvl="2" w:tplc="EFD8E5E4" w:tentative="1">
      <w:start w:val="1"/>
      <w:numFmt w:val="lowerRoman"/>
      <w:lvlText w:val="%3."/>
      <w:lvlJc w:val="right"/>
      <w:pPr>
        <w:ind w:left="1800" w:hanging="180"/>
      </w:pPr>
    </w:lvl>
    <w:lvl w:ilvl="3" w:tplc="DE5AE102" w:tentative="1">
      <w:start w:val="1"/>
      <w:numFmt w:val="decimal"/>
      <w:lvlText w:val="%4."/>
      <w:lvlJc w:val="left"/>
      <w:pPr>
        <w:ind w:left="2520" w:hanging="360"/>
      </w:pPr>
    </w:lvl>
    <w:lvl w:ilvl="4" w:tplc="CEBA4572" w:tentative="1">
      <w:start w:val="1"/>
      <w:numFmt w:val="lowerLetter"/>
      <w:lvlText w:val="%5."/>
      <w:lvlJc w:val="left"/>
      <w:pPr>
        <w:ind w:left="3240" w:hanging="360"/>
      </w:pPr>
    </w:lvl>
    <w:lvl w:ilvl="5" w:tplc="7C38F230" w:tentative="1">
      <w:start w:val="1"/>
      <w:numFmt w:val="lowerRoman"/>
      <w:lvlText w:val="%6."/>
      <w:lvlJc w:val="right"/>
      <w:pPr>
        <w:ind w:left="3960" w:hanging="180"/>
      </w:pPr>
    </w:lvl>
    <w:lvl w:ilvl="6" w:tplc="E6BE8872" w:tentative="1">
      <w:start w:val="1"/>
      <w:numFmt w:val="decimal"/>
      <w:lvlText w:val="%7."/>
      <w:lvlJc w:val="left"/>
      <w:pPr>
        <w:ind w:left="4680" w:hanging="360"/>
      </w:pPr>
    </w:lvl>
    <w:lvl w:ilvl="7" w:tplc="EBE40E7E" w:tentative="1">
      <w:start w:val="1"/>
      <w:numFmt w:val="lowerLetter"/>
      <w:lvlText w:val="%8."/>
      <w:lvlJc w:val="left"/>
      <w:pPr>
        <w:ind w:left="5400" w:hanging="360"/>
      </w:pPr>
    </w:lvl>
    <w:lvl w:ilvl="8" w:tplc="59162FD8" w:tentative="1">
      <w:start w:val="1"/>
      <w:numFmt w:val="lowerRoman"/>
      <w:lvlText w:val="%9."/>
      <w:lvlJc w:val="right"/>
      <w:pPr>
        <w:ind w:left="612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CBA"/>
    <w:rsid w:val="001411D3"/>
    <w:rsid w:val="00256888"/>
    <w:rsid w:val="003A6952"/>
    <w:rsid w:val="005103D1"/>
    <w:rsid w:val="005637AD"/>
    <w:rsid w:val="00581846"/>
    <w:rsid w:val="005A583E"/>
    <w:rsid w:val="009529E0"/>
    <w:rsid w:val="00995CBA"/>
    <w:rsid w:val="00A12540"/>
    <w:rsid w:val="00BD0054"/>
    <w:rsid w:val="00E02B7D"/>
    <w:rsid w:val="00E838A8"/>
    <w:rsid w:val="00EE25B8"/>
    <w:rsid w:val="00F13D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A12540"/>
    <w:pPr>
      <w:ind w:left="720"/>
      <w:contextualSpacing/>
    </w:pPr>
  </w:style>
  <w:style w:type="paragraph" w:styleId="Normalwebb">
    <w:name w:val="Normal (Web)"/>
    <w:basedOn w:val="Normal"/>
    <w:uiPriority w:val="99"/>
    <w:semiHidden/>
    <w:unhideWhenUsed/>
    <w:rsid w:val="00256888"/>
    <w:pPr>
      <w:spacing w:before="100" w:beforeAutospacing="1" w:after="100" w:afterAutospacing="1" w:line="240" w:lineRule="auto"/>
      <w:ind w:left="0"/>
    </w:pPr>
    <w:rPr>
      <w:rFonts w:eastAsia="Times New Roman"/>
      <w:sz w:val="24"/>
      <w:szCs w:val="24"/>
      <w:lang w:eastAsia="sv-SE"/>
    </w:rPr>
  </w:style>
  <w:style w:type="character" w:customStyle="1" w:styleId="ng-binding">
    <w:name w:val="ng-binding"/>
    <w:basedOn w:val="Standardstycketeckensnitt"/>
    <w:rsid w:val="00256888"/>
  </w:style>
  <w:style w:type="character" w:styleId="Stark">
    <w:name w:val="Strong"/>
    <w:basedOn w:val="Standardstycketeckensnitt"/>
    <w:uiPriority w:val="22"/>
    <w:qFormat/>
    <w:rsid w:val="002568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A12540"/>
    <w:pPr>
      <w:ind w:left="720"/>
      <w:contextualSpacing/>
    </w:pPr>
  </w:style>
  <w:style w:type="paragraph" w:styleId="Normalwebb">
    <w:name w:val="Normal (Web)"/>
    <w:basedOn w:val="Normal"/>
    <w:uiPriority w:val="99"/>
    <w:semiHidden/>
    <w:unhideWhenUsed/>
    <w:rsid w:val="00256888"/>
    <w:pPr>
      <w:spacing w:before="100" w:beforeAutospacing="1" w:after="100" w:afterAutospacing="1" w:line="240" w:lineRule="auto"/>
      <w:ind w:left="0"/>
    </w:pPr>
    <w:rPr>
      <w:rFonts w:eastAsia="Times New Roman"/>
      <w:sz w:val="24"/>
      <w:szCs w:val="24"/>
      <w:lang w:eastAsia="sv-SE"/>
    </w:rPr>
  </w:style>
  <w:style w:type="character" w:customStyle="1" w:styleId="ng-binding">
    <w:name w:val="ng-binding"/>
    <w:basedOn w:val="Standardstycketeckensnitt"/>
    <w:rsid w:val="00256888"/>
  </w:style>
  <w:style w:type="character" w:styleId="Stark">
    <w:name w:val="Strong"/>
    <w:basedOn w:val="Standardstycketeckensnitt"/>
    <w:uiPriority w:val="22"/>
    <w:qFormat/>
    <w:rsid w:val="002568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18542">
      <w:bodyDiv w:val="1"/>
      <w:marLeft w:val="0"/>
      <w:marRight w:val="0"/>
      <w:marTop w:val="0"/>
      <w:marBottom w:val="0"/>
      <w:divBdr>
        <w:top w:val="none" w:sz="0" w:space="0" w:color="auto"/>
        <w:left w:val="none" w:sz="0" w:space="0" w:color="auto"/>
        <w:bottom w:val="none" w:sz="0" w:space="0" w:color="auto"/>
        <w:right w:val="none" w:sz="0" w:space="0" w:color="auto"/>
      </w:divBdr>
      <w:divsChild>
        <w:div w:id="1438408360">
          <w:marLeft w:val="0"/>
          <w:marRight w:val="0"/>
          <w:marTop w:val="0"/>
          <w:marBottom w:val="0"/>
          <w:divBdr>
            <w:top w:val="none" w:sz="0" w:space="0" w:color="auto"/>
            <w:left w:val="none" w:sz="0" w:space="0" w:color="auto"/>
            <w:bottom w:val="none" w:sz="0" w:space="0" w:color="auto"/>
            <w:right w:val="none" w:sz="0" w:space="0" w:color="auto"/>
          </w:divBdr>
          <w:divsChild>
            <w:div w:id="26760904">
              <w:marLeft w:val="0"/>
              <w:marRight w:val="0"/>
              <w:marTop w:val="0"/>
              <w:marBottom w:val="0"/>
              <w:divBdr>
                <w:top w:val="none" w:sz="0" w:space="0" w:color="auto"/>
                <w:left w:val="none" w:sz="0" w:space="0" w:color="auto"/>
                <w:bottom w:val="none" w:sz="0" w:space="0" w:color="auto"/>
                <w:right w:val="none" w:sz="0" w:space="0" w:color="auto"/>
              </w:divBdr>
              <w:divsChild>
                <w:div w:id="109785021">
                  <w:marLeft w:val="0"/>
                  <w:marRight w:val="0"/>
                  <w:marTop w:val="0"/>
                  <w:marBottom w:val="0"/>
                  <w:divBdr>
                    <w:top w:val="none" w:sz="0" w:space="0" w:color="auto"/>
                    <w:left w:val="none" w:sz="0" w:space="0" w:color="auto"/>
                    <w:bottom w:val="none" w:sz="0" w:space="0" w:color="auto"/>
                    <w:right w:val="none" w:sz="0" w:space="0" w:color="auto"/>
                  </w:divBdr>
                  <w:divsChild>
                    <w:div w:id="1057901350">
                      <w:marLeft w:val="0"/>
                      <w:marRight w:val="0"/>
                      <w:marTop w:val="0"/>
                      <w:marBottom w:val="0"/>
                      <w:divBdr>
                        <w:top w:val="none" w:sz="0" w:space="0" w:color="auto"/>
                        <w:left w:val="none" w:sz="0" w:space="0" w:color="auto"/>
                        <w:bottom w:val="none" w:sz="0" w:space="0" w:color="auto"/>
                        <w:right w:val="none" w:sz="0" w:space="0" w:color="auto"/>
                      </w:divBdr>
                      <w:divsChild>
                        <w:div w:id="1754156853">
                          <w:marLeft w:val="2325"/>
                          <w:marRight w:val="0"/>
                          <w:marTop w:val="0"/>
                          <w:marBottom w:val="0"/>
                          <w:divBdr>
                            <w:top w:val="none" w:sz="0" w:space="0" w:color="auto"/>
                            <w:left w:val="none" w:sz="0" w:space="0" w:color="auto"/>
                            <w:bottom w:val="none" w:sz="0" w:space="0" w:color="auto"/>
                            <w:right w:val="none" w:sz="0" w:space="0" w:color="auto"/>
                          </w:divBdr>
                          <w:divsChild>
                            <w:div w:id="980036807">
                              <w:marLeft w:val="0"/>
                              <w:marRight w:val="0"/>
                              <w:marTop w:val="0"/>
                              <w:marBottom w:val="0"/>
                              <w:divBdr>
                                <w:top w:val="none" w:sz="0" w:space="0" w:color="auto"/>
                                <w:left w:val="none" w:sz="0" w:space="0" w:color="auto"/>
                                <w:bottom w:val="none" w:sz="0" w:space="0" w:color="auto"/>
                                <w:right w:val="none" w:sz="0" w:space="0" w:color="auto"/>
                              </w:divBdr>
                              <w:divsChild>
                                <w:div w:id="661815280">
                                  <w:marLeft w:val="0"/>
                                  <w:marRight w:val="0"/>
                                  <w:marTop w:val="0"/>
                                  <w:marBottom w:val="0"/>
                                  <w:divBdr>
                                    <w:top w:val="none" w:sz="0" w:space="0" w:color="auto"/>
                                    <w:left w:val="none" w:sz="0" w:space="0" w:color="auto"/>
                                    <w:bottom w:val="none" w:sz="0" w:space="0" w:color="auto"/>
                                    <w:right w:val="none" w:sz="0" w:space="0" w:color="auto"/>
                                  </w:divBdr>
                                  <w:divsChild>
                                    <w:div w:id="1074661978">
                                      <w:marLeft w:val="0"/>
                                      <w:marRight w:val="0"/>
                                      <w:marTop w:val="0"/>
                                      <w:marBottom w:val="0"/>
                                      <w:divBdr>
                                        <w:top w:val="none" w:sz="0" w:space="0" w:color="auto"/>
                                        <w:left w:val="none" w:sz="0" w:space="0" w:color="auto"/>
                                        <w:bottom w:val="none" w:sz="0" w:space="0" w:color="auto"/>
                                        <w:right w:val="none" w:sz="0" w:space="0" w:color="auto"/>
                                      </w:divBdr>
                                      <w:divsChild>
                                        <w:div w:id="453909934">
                                          <w:marLeft w:val="480"/>
                                          <w:marRight w:val="0"/>
                                          <w:marTop w:val="0"/>
                                          <w:marBottom w:val="0"/>
                                          <w:divBdr>
                                            <w:top w:val="none" w:sz="0" w:space="0" w:color="auto"/>
                                            <w:left w:val="none" w:sz="0" w:space="0" w:color="auto"/>
                                            <w:bottom w:val="none" w:sz="0" w:space="0" w:color="auto"/>
                                            <w:right w:val="none" w:sz="0" w:space="0" w:color="auto"/>
                                          </w:divBdr>
                                          <w:divsChild>
                                            <w:div w:id="1535925649">
                                              <w:marLeft w:val="0"/>
                                              <w:marRight w:val="0"/>
                                              <w:marTop w:val="0"/>
                                              <w:marBottom w:val="0"/>
                                              <w:divBdr>
                                                <w:top w:val="none" w:sz="0" w:space="0" w:color="auto"/>
                                                <w:left w:val="none" w:sz="0" w:space="0" w:color="auto"/>
                                                <w:bottom w:val="none" w:sz="0" w:space="0" w:color="auto"/>
                                                <w:right w:val="none" w:sz="0" w:space="0" w:color="auto"/>
                                              </w:divBdr>
                                              <w:divsChild>
                                                <w:div w:id="132019487">
                                                  <w:marLeft w:val="0"/>
                                                  <w:marRight w:val="0"/>
                                                  <w:marTop w:val="0"/>
                                                  <w:marBottom w:val="0"/>
                                                  <w:divBdr>
                                                    <w:top w:val="none" w:sz="0" w:space="0" w:color="auto"/>
                                                    <w:left w:val="none" w:sz="0" w:space="0" w:color="auto"/>
                                                    <w:bottom w:val="none" w:sz="0" w:space="0" w:color="auto"/>
                                                    <w:right w:val="none" w:sz="0" w:space="0" w:color="auto"/>
                                                  </w:divBdr>
                                                  <w:divsChild>
                                                    <w:div w:id="1741781177">
                                                      <w:marLeft w:val="0"/>
                                                      <w:marRight w:val="0"/>
                                                      <w:marTop w:val="0"/>
                                                      <w:marBottom w:val="0"/>
                                                      <w:divBdr>
                                                        <w:top w:val="none" w:sz="0" w:space="0" w:color="auto"/>
                                                        <w:left w:val="none" w:sz="0" w:space="0" w:color="auto"/>
                                                        <w:bottom w:val="none" w:sz="0" w:space="0" w:color="auto"/>
                                                        <w:right w:val="none" w:sz="0" w:space="0" w:color="auto"/>
                                                      </w:divBdr>
                                                      <w:divsChild>
                                                        <w:div w:id="2109735055">
                                                          <w:marLeft w:val="0"/>
                                                          <w:marRight w:val="0"/>
                                                          <w:marTop w:val="0"/>
                                                          <w:marBottom w:val="0"/>
                                                          <w:divBdr>
                                                            <w:top w:val="none" w:sz="0" w:space="0" w:color="auto"/>
                                                            <w:left w:val="none" w:sz="0" w:space="0" w:color="auto"/>
                                                            <w:bottom w:val="none" w:sz="0" w:space="0" w:color="auto"/>
                                                            <w:right w:val="none" w:sz="0" w:space="0" w:color="auto"/>
                                                          </w:divBdr>
                                                          <w:divsChild>
                                                            <w:div w:id="237983626">
                                                              <w:marLeft w:val="0"/>
                                                              <w:marRight w:val="0"/>
                                                              <w:marTop w:val="0"/>
                                                              <w:marBottom w:val="0"/>
                                                              <w:divBdr>
                                                                <w:top w:val="none" w:sz="0" w:space="0" w:color="auto"/>
                                                                <w:left w:val="none" w:sz="0" w:space="0" w:color="auto"/>
                                                                <w:bottom w:val="none" w:sz="0" w:space="0" w:color="auto"/>
                                                                <w:right w:val="none" w:sz="0" w:space="0" w:color="auto"/>
                                                              </w:divBdr>
                                                              <w:divsChild>
                                                                <w:div w:id="2046132003">
                                                                  <w:marLeft w:val="0"/>
                                                                  <w:marRight w:val="0"/>
                                                                  <w:marTop w:val="0"/>
                                                                  <w:marBottom w:val="0"/>
                                                                  <w:divBdr>
                                                                    <w:top w:val="none" w:sz="0" w:space="0" w:color="auto"/>
                                                                    <w:left w:val="none" w:sz="0" w:space="0" w:color="auto"/>
                                                                    <w:bottom w:val="none" w:sz="0" w:space="0" w:color="auto"/>
                                                                    <w:right w:val="none" w:sz="0" w:space="0" w:color="auto"/>
                                                                  </w:divBdr>
                                                                  <w:divsChild>
                                                                    <w:div w:id="1659110166">
                                                                      <w:marLeft w:val="0"/>
                                                                      <w:marRight w:val="0"/>
                                                                      <w:marTop w:val="96"/>
                                                                      <w:marBottom w:val="0"/>
                                                                      <w:divBdr>
                                                                        <w:top w:val="none" w:sz="0" w:space="0" w:color="auto"/>
                                                                        <w:left w:val="none" w:sz="0" w:space="0" w:color="auto"/>
                                                                        <w:bottom w:val="none" w:sz="0" w:space="0" w:color="auto"/>
                                                                        <w:right w:val="none" w:sz="0" w:space="0" w:color="auto"/>
                                                                      </w:divBdr>
                                                                      <w:divsChild>
                                                                        <w:div w:id="1232423764">
                                                                          <w:marLeft w:val="0"/>
                                                                          <w:marRight w:val="0"/>
                                                                          <w:marTop w:val="72"/>
                                                                          <w:marBottom w:val="0"/>
                                                                          <w:divBdr>
                                                                            <w:top w:val="none" w:sz="0" w:space="0" w:color="auto"/>
                                                                            <w:left w:val="none" w:sz="0" w:space="0" w:color="auto"/>
                                                                            <w:bottom w:val="none" w:sz="0" w:space="0" w:color="auto"/>
                                                                            <w:right w:val="none" w:sz="0" w:space="0" w:color="auto"/>
                                                                          </w:divBdr>
                                                                        </w:div>
                                                                      </w:divsChild>
                                                                    </w:div>
                                                                    <w:div w:id="1865315600">
                                                                      <w:marLeft w:val="0"/>
                                                                      <w:marRight w:val="0"/>
                                                                      <w:marTop w:val="96"/>
                                                                      <w:marBottom w:val="0"/>
                                                                      <w:divBdr>
                                                                        <w:top w:val="none" w:sz="0" w:space="0" w:color="auto"/>
                                                                        <w:left w:val="none" w:sz="0" w:space="0" w:color="auto"/>
                                                                        <w:bottom w:val="none" w:sz="0" w:space="0" w:color="auto"/>
                                                                        <w:right w:val="none" w:sz="0" w:space="0" w:color="auto"/>
                                                                      </w:divBdr>
                                                                      <w:divsChild>
                                                                        <w:div w:id="2026712280">
                                                                          <w:marLeft w:val="0"/>
                                                                          <w:marRight w:val="0"/>
                                                                          <w:marTop w:val="72"/>
                                                                          <w:marBottom w:val="0"/>
                                                                          <w:divBdr>
                                                                            <w:top w:val="none" w:sz="0" w:space="0" w:color="auto"/>
                                                                            <w:left w:val="none" w:sz="0" w:space="0" w:color="auto"/>
                                                                            <w:bottom w:val="none" w:sz="0" w:space="0" w:color="auto"/>
                                                                            <w:right w:val="none" w:sz="0" w:space="0" w:color="auto"/>
                                                                          </w:divBdr>
                                                                        </w:div>
                                                                      </w:divsChild>
                                                                    </w:div>
                                                                    <w:div w:id="913440971">
                                                                      <w:marLeft w:val="0"/>
                                                                      <w:marRight w:val="0"/>
                                                                      <w:marTop w:val="96"/>
                                                                      <w:marBottom w:val="0"/>
                                                                      <w:divBdr>
                                                                        <w:top w:val="none" w:sz="0" w:space="0" w:color="auto"/>
                                                                        <w:left w:val="none" w:sz="0" w:space="0" w:color="auto"/>
                                                                        <w:bottom w:val="none" w:sz="0" w:space="0" w:color="auto"/>
                                                                        <w:right w:val="none" w:sz="0" w:space="0" w:color="auto"/>
                                                                      </w:divBdr>
                                                                      <w:divsChild>
                                                                        <w:div w:id="423840878">
                                                                          <w:marLeft w:val="0"/>
                                                                          <w:marRight w:val="0"/>
                                                                          <w:marTop w:val="0"/>
                                                                          <w:marBottom w:val="0"/>
                                                                          <w:divBdr>
                                                                            <w:top w:val="none" w:sz="0" w:space="0" w:color="auto"/>
                                                                            <w:left w:val="none" w:sz="0" w:space="0" w:color="auto"/>
                                                                            <w:bottom w:val="none" w:sz="0" w:space="0" w:color="auto"/>
                                                                            <w:right w:val="none" w:sz="0" w:space="0" w:color="auto"/>
                                                                          </w:divBdr>
                                                                        </w:div>
                                                                      </w:divsChild>
                                                                    </w:div>
                                                                    <w:div w:id="1212965020">
                                                                      <w:marLeft w:val="0"/>
                                                                      <w:marRight w:val="0"/>
                                                                      <w:marTop w:val="0"/>
                                                                      <w:marBottom w:val="0"/>
                                                                      <w:divBdr>
                                                                        <w:top w:val="none" w:sz="0" w:space="0" w:color="auto"/>
                                                                        <w:left w:val="none" w:sz="0" w:space="0" w:color="auto"/>
                                                                        <w:bottom w:val="none" w:sz="0" w:space="0" w:color="auto"/>
                                                                        <w:right w:val="none" w:sz="0" w:space="0" w:color="auto"/>
                                                                      </w:divBdr>
                                                                      <w:divsChild>
                                                                        <w:div w:id="1405107156">
                                                                          <w:marLeft w:val="0"/>
                                                                          <w:marRight w:val="0"/>
                                                                          <w:marTop w:val="96"/>
                                                                          <w:marBottom w:val="0"/>
                                                                          <w:divBdr>
                                                                            <w:top w:val="none" w:sz="0" w:space="0" w:color="auto"/>
                                                                            <w:left w:val="none" w:sz="0" w:space="0" w:color="auto"/>
                                                                            <w:bottom w:val="none" w:sz="0" w:space="0" w:color="auto"/>
                                                                            <w:right w:val="none" w:sz="0" w:space="0" w:color="auto"/>
                                                                          </w:divBdr>
                                                                          <w:divsChild>
                                                                            <w:div w:id="18262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25303">
                                                                      <w:marLeft w:val="0"/>
                                                                      <w:marRight w:val="0"/>
                                                                      <w:marTop w:val="0"/>
                                                                      <w:marBottom w:val="0"/>
                                                                      <w:divBdr>
                                                                        <w:top w:val="none" w:sz="0" w:space="0" w:color="auto"/>
                                                                        <w:left w:val="none" w:sz="0" w:space="0" w:color="auto"/>
                                                                        <w:bottom w:val="none" w:sz="0" w:space="0" w:color="auto"/>
                                                                        <w:right w:val="none" w:sz="0" w:space="0" w:color="auto"/>
                                                                      </w:divBdr>
                                                                      <w:divsChild>
                                                                        <w:div w:id="1654023047">
                                                                          <w:marLeft w:val="0"/>
                                                                          <w:marRight w:val="0"/>
                                                                          <w:marTop w:val="96"/>
                                                                          <w:marBottom w:val="0"/>
                                                                          <w:divBdr>
                                                                            <w:top w:val="none" w:sz="0" w:space="0" w:color="auto"/>
                                                                            <w:left w:val="none" w:sz="0" w:space="0" w:color="auto"/>
                                                                            <w:bottom w:val="none" w:sz="0" w:space="0" w:color="auto"/>
                                                                            <w:right w:val="none" w:sz="0" w:space="0" w:color="auto"/>
                                                                          </w:divBdr>
                                                                          <w:divsChild>
                                                                            <w:div w:id="17997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17877">
                                                                      <w:marLeft w:val="0"/>
                                                                      <w:marRight w:val="0"/>
                                                                      <w:marTop w:val="96"/>
                                                                      <w:marBottom w:val="0"/>
                                                                      <w:divBdr>
                                                                        <w:top w:val="none" w:sz="0" w:space="0" w:color="auto"/>
                                                                        <w:left w:val="none" w:sz="0" w:space="0" w:color="auto"/>
                                                                        <w:bottom w:val="none" w:sz="0" w:space="0" w:color="auto"/>
                                                                        <w:right w:val="none" w:sz="0" w:space="0" w:color="auto"/>
                                                                      </w:divBdr>
                                                                    </w:div>
                                                                    <w:div w:id="2080130747">
                                                                      <w:marLeft w:val="0"/>
                                                                      <w:marRight w:val="0"/>
                                                                      <w:marTop w:val="96"/>
                                                                      <w:marBottom w:val="0"/>
                                                                      <w:divBdr>
                                                                        <w:top w:val="none" w:sz="0" w:space="0" w:color="auto"/>
                                                                        <w:left w:val="none" w:sz="0" w:space="0" w:color="auto"/>
                                                                        <w:bottom w:val="none" w:sz="0" w:space="0" w:color="auto"/>
                                                                        <w:right w:val="none" w:sz="0" w:space="0" w:color="auto"/>
                                                                      </w:divBdr>
                                                                    </w:div>
                                                                    <w:div w:id="295260409">
                                                                      <w:marLeft w:val="0"/>
                                                                      <w:marRight w:val="0"/>
                                                                      <w:marTop w:val="96"/>
                                                                      <w:marBottom w:val="0"/>
                                                                      <w:divBdr>
                                                                        <w:top w:val="none" w:sz="0" w:space="0" w:color="auto"/>
                                                                        <w:left w:val="none" w:sz="0" w:space="0" w:color="auto"/>
                                                                        <w:bottom w:val="none" w:sz="0" w:space="0" w:color="auto"/>
                                                                        <w:right w:val="none" w:sz="0" w:space="0" w:color="auto"/>
                                                                      </w:divBdr>
                                                                    </w:div>
                                                                    <w:div w:id="209003854">
                                                                      <w:marLeft w:val="0"/>
                                                                      <w:marRight w:val="0"/>
                                                                      <w:marTop w:val="96"/>
                                                                      <w:marBottom w:val="0"/>
                                                                      <w:divBdr>
                                                                        <w:top w:val="none" w:sz="0" w:space="0" w:color="auto"/>
                                                                        <w:left w:val="none" w:sz="0" w:space="0" w:color="auto"/>
                                                                        <w:bottom w:val="none" w:sz="0" w:space="0" w:color="auto"/>
                                                                        <w:right w:val="none" w:sz="0" w:space="0" w:color="auto"/>
                                                                      </w:divBdr>
                                                                    </w:div>
                                                                    <w:div w:id="961544380">
                                                                      <w:marLeft w:val="0"/>
                                                                      <w:marRight w:val="0"/>
                                                                      <w:marTop w:val="96"/>
                                                                      <w:marBottom w:val="0"/>
                                                                      <w:divBdr>
                                                                        <w:top w:val="none" w:sz="0" w:space="0" w:color="auto"/>
                                                                        <w:left w:val="none" w:sz="0" w:space="0" w:color="auto"/>
                                                                        <w:bottom w:val="none" w:sz="0" w:space="0" w:color="auto"/>
                                                                        <w:right w:val="none" w:sz="0" w:space="0" w:color="auto"/>
                                                                      </w:divBdr>
                                                                      <w:divsChild>
                                                                        <w:div w:id="576017439">
                                                                          <w:marLeft w:val="0"/>
                                                                          <w:marRight w:val="0"/>
                                                                          <w:marTop w:val="72"/>
                                                                          <w:marBottom w:val="0"/>
                                                                          <w:divBdr>
                                                                            <w:top w:val="none" w:sz="0" w:space="0" w:color="auto"/>
                                                                            <w:left w:val="none" w:sz="0" w:space="0" w:color="auto"/>
                                                                            <w:bottom w:val="none" w:sz="0" w:space="0" w:color="auto"/>
                                                                            <w:right w:val="none" w:sz="0" w:space="0" w:color="auto"/>
                                                                          </w:divBdr>
                                                                        </w:div>
                                                                      </w:divsChild>
                                                                    </w:div>
                                                                    <w:div w:id="1954970582">
                                                                      <w:marLeft w:val="0"/>
                                                                      <w:marRight w:val="0"/>
                                                                      <w:marTop w:val="96"/>
                                                                      <w:marBottom w:val="0"/>
                                                                      <w:divBdr>
                                                                        <w:top w:val="none" w:sz="0" w:space="0" w:color="auto"/>
                                                                        <w:left w:val="none" w:sz="0" w:space="0" w:color="auto"/>
                                                                        <w:bottom w:val="none" w:sz="0" w:space="0" w:color="auto"/>
                                                                        <w:right w:val="none" w:sz="0" w:space="0" w:color="auto"/>
                                                                      </w:divBdr>
                                                                      <w:divsChild>
                                                                        <w:div w:id="832448287">
                                                                          <w:marLeft w:val="0"/>
                                                                          <w:marRight w:val="0"/>
                                                                          <w:marTop w:val="72"/>
                                                                          <w:marBottom w:val="0"/>
                                                                          <w:divBdr>
                                                                            <w:top w:val="none" w:sz="0" w:space="0" w:color="auto"/>
                                                                            <w:left w:val="none" w:sz="0" w:space="0" w:color="auto"/>
                                                                            <w:bottom w:val="none" w:sz="0" w:space="0" w:color="auto"/>
                                                                            <w:right w:val="none" w:sz="0" w:space="0" w:color="auto"/>
                                                                          </w:divBdr>
                                                                          <w:divsChild>
                                                                            <w:div w:id="1252159500">
                                                                              <w:marLeft w:val="0"/>
                                                                              <w:marRight w:val="0"/>
                                                                              <w:marTop w:val="0"/>
                                                                              <w:marBottom w:val="0"/>
                                                                              <w:divBdr>
                                                                                <w:top w:val="none" w:sz="0" w:space="0" w:color="auto"/>
                                                                                <w:left w:val="none" w:sz="0" w:space="0" w:color="auto"/>
                                                                                <w:bottom w:val="none" w:sz="0" w:space="0" w:color="auto"/>
                                                                                <w:right w:val="none" w:sz="0" w:space="0" w:color="auto"/>
                                                                              </w:divBdr>
                                                                              <w:divsChild>
                                                                                <w:div w:id="999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JE6N4JFJXNNF-9-66738</_dlc_DocId>
    <_dlc_DocIdUrl xmlns="8b66ae41-1ec6-402e-b662-35d1932ca064">
      <Url>http://rkdhs-sb/enhet/EUKansli/_layouts/DocIdRedir.aspx?ID=JE6N4JFJXNNF-9-66738</Url>
      <Description>JE6N4JFJXNNF-9-66738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4F1D0-319C-44BE-AE2F-BB29ED361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E06AD-74B5-4AB0-B6A3-616DCA1D3318}">
  <ds:schemaRefs>
    <ds:schemaRef ds:uri="e4c0beb7-0294-4d25-9600-346807c0961e"/>
    <ds:schemaRef ds:uri="http://purl.org/dc/terms/"/>
    <ds:schemaRef ds:uri="http://purl.org/dc/elements/1.1/"/>
    <ds:schemaRef ds:uri="http://www.w3.org/XML/1998/namespace"/>
    <ds:schemaRef ds:uri="http://schemas.openxmlformats.org/package/2006/metadata/core-properties"/>
    <ds:schemaRef ds:uri="8b66ae41-1ec6-402e-b662-35d1932ca064"/>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384F4E8-6B23-4DE0-8FD4-CED605832A0F}">
  <ds:schemaRefs>
    <ds:schemaRef ds:uri="http://schemas.microsoft.com/sharepoint/v3/contenttype/forms"/>
  </ds:schemaRefs>
</ds:datastoreItem>
</file>

<file path=customXml/itemProps4.xml><?xml version="1.0" encoding="utf-8"?>
<ds:datastoreItem xmlns:ds="http://schemas.openxmlformats.org/officeDocument/2006/customXml" ds:itemID="{795F5F56-FFDB-4C47-A15D-CBAFD38D46F9}">
  <ds:schemaRefs>
    <ds:schemaRef ds:uri="http://schemas.microsoft.com/sharepoint/v3/contenttype/forms/url"/>
  </ds:schemaRefs>
</ds:datastoreItem>
</file>

<file path=customXml/itemProps5.xml><?xml version="1.0" encoding="utf-8"?>
<ds:datastoreItem xmlns:ds="http://schemas.openxmlformats.org/officeDocument/2006/customXml" ds:itemID="{346B597E-A1C5-4E33-9CAA-3D8DA68A8A1F}">
  <ds:schemaRefs>
    <ds:schemaRef ds:uri="http://schemas.microsoft.com/office/2006/metadata/customXsn"/>
  </ds:schemaRefs>
</ds:datastoreItem>
</file>

<file path=customXml/itemProps6.xml><?xml version="1.0" encoding="utf-8"?>
<ds:datastoreItem xmlns:ds="http://schemas.openxmlformats.org/officeDocument/2006/customXml" ds:itemID="{83A43AD4-2039-4CB1-94E8-73A273EF2139}">
  <ds:schemaRefs>
    <ds:schemaRef ds:uri="http://schemas.microsoft.com/sharepoint/events"/>
  </ds:schemaRefs>
</ds:datastoreItem>
</file>

<file path=customXml/itemProps7.xml><?xml version="1.0" encoding="utf-8"?>
<ds:datastoreItem xmlns:ds="http://schemas.openxmlformats.org/officeDocument/2006/customXml" ds:itemID="{50EE90A6-9C62-42CC-BF49-31127E3F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7838</Words>
  <Characters>41544</Characters>
  <Application>Microsoft Office Word</Application>
  <DocSecurity>0</DocSecurity>
  <Lines>346</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4</cp:revision>
  <cp:lastPrinted>2015-02-26T11:56:00Z</cp:lastPrinted>
  <dcterms:created xsi:type="dcterms:W3CDTF">2015-02-26T09:59:00Z</dcterms:created>
  <dcterms:modified xsi:type="dcterms:W3CDTF">2015-02-26T12:15:00Z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1c68f5ed-16b2-4d39-9979-345c062bfb56</vt:lpwstr>
  </property>
</Properties>
</file>