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15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605681" w:rsidRPr="00157B98" w:rsidRDefault="00605681">
            <w:pPr>
              <w:pStyle w:val="HuvudRubrik"/>
            </w:pPr>
            <w:r w:rsidRPr="00157B98">
              <w:t>Regeringskansliet</w:t>
            </w:r>
          </w:p>
          <w:p w:rsidR="00605681" w:rsidRPr="00157B98" w:rsidRDefault="00605681">
            <w:pPr>
              <w:pStyle w:val="HuvudRubrik"/>
            </w:pPr>
            <w:r w:rsidRPr="00157B98">
              <w:t xml:space="preserve">Faktapromemoria  </w:t>
            </w:r>
            <w:r w:rsidRPr="00157B98">
              <w:t>2006/07</w:t>
            </w:r>
            <w:r w:rsidRPr="00157B98">
              <w:t>:</w:t>
            </w:r>
            <w:r w:rsidRPr="00157B98">
              <w:t>FPM98</w:t>
            </w:r>
          </w:p>
        </w:tc>
      </w:tr>
      <w:tr w:rsidR="00000000" w:rsidRPr="0015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605681" w:rsidRPr="00157B98" w:rsidRDefault="00605681">
            <w:pPr>
              <w:pStyle w:val="HuvudRubrik"/>
              <w:rPr>
                <w:sz w:val="28"/>
              </w:rPr>
            </w:pPr>
            <w:r w:rsidRPr="00157B98">
              <w:t>Grönbok om allmänhetens tillgång till EU-dokument</w:t>
            </w:r>
          </w:p>
        </w:tc>
      </w:tr>
      <w:tr w:rsidR="009E1B39" w:rsidRPr="0015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9E1B39" w:rsidRPr="00157B98" w:rsidRDefault="001F29DC">
            <w:pPr>
              <w:pStyle w:val="Departement"/>
              <w:rPr>
                <w:sz w:val="28"/>
              </w:rPr>
            </w:pPr>
            <w:r w:rsidRPr="00157B98">
              <w:t>Justitiedepartementet</w:t>
            </w:r>
          </w:p>
        </w:tc>
      </w:tr>
      <w:tr w:rsidR="009E1B39" w:rsidRPr="0015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9E1B39" w:rsidRPr="00157B98" w:rsidRDefault="004170B6">
            <w:pPr>
              <w:pStyle w:val="Dokumentdatum"/>
            </w:pPr>
            <w:r w:rsidRPr="00157B98">
              <w:t>2007-0</w:t>
            </w:r>
            <w:r w:rsidR="00913396" w:rsidRPr="00157B98">
              <w:t>7-03</w:t>
            </w:r>
          </w:p>
        </w:tc>
      </w:tr>
      <w:tr w:rsidR="009E1B39" w:rsidRPr="0015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9E1B39" w:rsidRPr="00157B98" w:rsidRDefault="009E1B39">
            <w:pPr>
              <w:pStyle w:val="Dokumentbeteckning"/>
            </w:pPr>
            <w:r w:rsidRPr="00157B98">
              <w:t>Dokumentbeteckning</w:t>
            </w:r>
          </w:p>
        </w:tc>
      </w:tr>
      <w:tr w:rsidR="00913396" w:rsidRPr="0015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913396" w:rsidRPr="00157B98" w:rsidRDefault="001F29DC" w:rsidP="001F29DC">
            <w:bookmarkStart w:id="0" w:name="KomNr"/>
            <w:bookmarkEnd w:id="0"/>
            <w:r w:rsidRPr="00157B98">
              <w:t>KOM (2007) 185</w:t>
            </w:r>
          </w:p>
        </w:tc>
      </w:tr>
      <w:tr w:rsidR="001F29DC" w:rsidRPr="0015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1F29DC" w:rsidRPr="00157B98" w:rsidRDefault="001F29DC" w:rsidP="001F29DC">
            <w:pPr>
              <w:pStyle w:val="Dokumentbeteckning-titel"/>
            </w:pPr>
            <w:r w:rsidRPr="00157B98">
              <w:t>Grönbok om allmänhetens tillgång till de Europeiska gemenskaperns institutionernas handlingar. En översyn</w:t>
            </w:r>
          </w:p>
        </w:tc>
      </w:tr>
    </w:tbl>
    <w:p w:rsidR="009E1B39" w:rsidRPr="00157B98" w:rsidRDefault="009E1B39"/>
    <w:p w:rsidR="009E1B39" w:rsidRPr="00157B98" w:rsidRDefault="009E1B39">
      <w:pPr>
        <w:pStyle w:val="Rubrik1"/>
        <w:numPr>
          <w:ilvl w:val="0"/>
          <w:numId w:val="0"/>
        </w:numPr>
      </w:pPr>
      <w:r w:rsidRPr="00157B98">
        <w:t>Sammanfattning</w:t>
      </w:r>
    </w:p>
    <w:p w:rsidR="00772E70" w:rsidRPr="00157B98" w:rsidRDefault="00155708" w:rsidP="00155708">
      <w:r w:rsidRPr="00157B98">
        <w:t xml:space="preserve">Kommissionen beslutade den 9 november 2005 att </w:t>
      </w:r>
      <w:r w:rsidR="00916161" w:rsidRPr="00157B98">
        <w:t>inleda</w:t>
      </w:r>
      <w:r w:rsidRPr="00157B98">
        <w:t xml:space="preserve"> ett europeiskt öppenhetsinitiativ som bl.a. skulle </w:t>
      </w:r>
      <w:r w:rsidR="0090280D" w:rsidRPr="00157B98">
        <w:t>innehålla</w:t>
      </w:r>
      <w:r w:rsidRPr="00157B98">
        <w:t xml:space="preserve"> en </w:t>
      </w:r>
      <w:r w:rsidR="0090280D" w:rsidRPr="00157B98">
        <w:t>översyn</w:t>
      </w:r>
      <w:r w:rsidRPr="00157B98">
        <w:t xml:space="preserve"> av Europaparlamentets och rådets förordning (EG) nr 1049/2001 av den 30 maj 2001 om allmänhetens tillgång till Europaparlamentets, rådets och kommissionens handlingar (</w:t>
      </w:r>
      <w:r w:rsidR="00E70E4E" w:rsidRPr="00157B98">
        <w:t>ö</w:t>
      </w:r>
      <w:r w:rsidRPr="00157B98">
        <w:t xml:space="preserve">ppenhetsförordningen). </w:t>
      </w:r>
    </w:p>
    <w:p w:rsidR="00155708" w:rsidRPr="00157B98" w:rsidRDefault="0090280D" w:rsidP="00155708">
      <w:r w:rsidRPr="00157B98">
        <w:t>Översynen har nu inletts genom att kommissionen den 18 april 2007 la</w:t>
      </w:r>
      <w:r w:rsidR="00A07CC1" w:rsidRPr="00157B98">
        <w:t>gt</w:t>
      </w:r>
      <w:r w:rsidRPr="00157B98">
        <w:t xml:space="preserve"> fram en grönbok om allmänhetens tillgång till Europaparlamentets, rådets och kommissionens handlingar. </w:t>
      </w:r>
      <w:r w:rsidR="00155708" w:rsidRPr="00157B98">
        <w:t xml:space="preserve">I grönboken utvärderas den nu gällande regleringen och tillämpningen av denna. </w:t>
      </w:r>
      <w:r w:rsidR="00772E70" w:rsidRPr="00157B98">
        <w:t>Kommissionens s</w:t>
      </w:r>
      <w:r w:rsidRPr="00157B98">
        <w:t>l</w:t>
      </w:r>
      <w:r w:rsidR="00772E70" w:rsidRPr="00157B98">
        <w:t>utsats är att öppenhetsförordningen i stort har fungerat väl. Härutöver innehåller g</w:t>
      </w:r>
      <w:r w:rsidR="00155708" w:rsidRPr="00157B98">
        <w:t xml:space="preserve">rönboken förslag </w:t>
      </w:r>
      <w:r w:rsidR="00772E70" w:rsidRPr="00157B98">
        <w:t xml:space="preserve">dels </w:t>
      </w:r>
      <w:r w:rsidR="00030B95" w:rsidRPr="00157B98">
        <w:t>avseende</w:t>
      </w:r>
      <w:r w:rsidR="00155708" w:rsidRPr="00157B98">
        <w:t xml:space="preserve"> möjliga förbättringar av förordningen</w:t>
      </w:r>
      <w:r w:rsidR="00A07CC1" w:rsidRPr="00157B98">
        <w:t>,</w:t>
      </w:r>
      <w:r w:rsidR="00155708" w:rsidRPr="00157B98">
        <w:t xml:space="preserve"> </w:t>
      </w:r>
      <w:r w:rsidR="00772E70" w:rsidRPr="00157B98">
        <w:t>dels</w:t>
      </w:r>
      <w:r w:rsidR="00155708" w:rsidRPr="00157B98">
        <w:t xml:space="preserve"> </w:t>
      </w:r>
      <w:r w:rsidR="00030B95" w:rsidRPr="00157B98">
        <w:t>avseende</w:t>
      </w:r>
      <w:r w:rsidR="00155708" w:rsidRPr="00157B98">
        <w:t xml:space="preserve"> praktiska åtgärder för att förbättra möjligheterna att få tillgång till institutionernas handlingar. Dessutom ställs ett antal frågor</w:t>
      </w:r>
      <w:r w:rsidR="00772E70" w:rsidRPr="00157B98">
        <w:t xml:space="preserve"> </w:t>
      </w:r>
      <w:r w:rsidR="00030B95" w:rsidRPr="00157B98">
        <w:t>om</w:t>
      </w:r>
      <w:r w:rsidR="00155708" w:rsidRPr="00157B98">
        <w:t xml:space="preserve"> den gällande ordningen </w:t>
      </w:r>
      <w:r w:rsidR="00030B95" w:rsidRPr="00157B98">
        <w:t>och</w:t>
      </w:r>
      <w:r w:rsidR="00155708" w:rsidRPr="00157B98">
        <w:t xml:space="preserve"> om behovet av eventuella förbättringar.</w:t>
      </w:r>
    </w:p>
    <w:p w:rsidR="004F7F83" w:rsidRPr="00157B98" w:rsidRDefault="00772E70" w:rsidP="004F7F83">
      <w:r w:rsidRPr="00157B98">
        <w:t xml:space="preserve">Syftet </w:t>
      </w:r>
      <w:r w:rsidR="0090280D" w:rsidRPr="00157B98">
        <w:t>m</w:t>
      </w:r>
      <w:r w:rsidRPr="00157B98">
        <w:t>ed översynen är att förbättra allmänhetens tillgång till institutionernas handlingar. Kommissionen välkomnar allmänheten</w:t>
      </w:r>
      <w:r w:rsidR="00492BAB" w:rsidRPr="00157B98">
        <w:t xml:space="preserve"> m.fl.</w:t>
      </w:r>
      <w:r w:rsidRPr="00157B98">
        <w:t xml:space="preserve"> att lämna synpunkter och svara på frågorna i grönboken senast den 15 juli 2007.</w:t>
      </w:r>
      <w:r w:rsidR="004F7F83" w:rsidRPr="00157B98">
        <w:br/>
      </w:r>
      <w:r w:rsidR="004F7F83" w:rsidRPr="00157B98">
        <w:br/>
        <w:t>Öppenhet och handlingsoffentlighet inom unionen är viktiga frågor för Sverige. Regeringen kommer därför vid utformningen av svaren att förorda att öppenhetsförordningen ändras i så öppenhetsvänlig riktning som möjligt.</w:t>
      </w:r>
    </w:p>
    <w:p w:rsidR="009E1B39" w:rsidRPr="00157B98" w:rsidRDefault="009E1B39">
      <w:pPr>
        <w:pStyle w:val="Rubrik1"/>
      </w:pPr>
      <w:r w:rsidRPr="00157B98">
        <w:lastRenderedPageBreak/>
        <w:t>Förslaget</w:t>
      </w:r>
    </w:p>
    <w:p w:rsidR="009E1B39" w:rsidRPr="00157B98" w:rsidRDefault="009E1B39">
      <w:pPr>
        <w:pStyle w:val="Rubrik2"/>
      </w:pPr>
      <w:r w:rsidRPr="00157B98">
        <w:t>Innehåll</w:t>
      </w:r>
    </w:p>
    <w:p w:rsidR="00FD58D3" w:rsidRPr="00157B98" w:rsidRDefault="00FD58D3" w:rsidP="00FD58D3">
      <w:r w:rsidRPr="00157B98">
        <w:t>Kommissionen beslutade den 9 november 2005 att inleda ett europeiskt öppenhetsinitiativ</w:t>
      </w:r>
      <w:r w:rsidR="004F7F83" w:rsidRPr="00157B98">
        <w:t>. Syftet med initiativet var att fastställa områden där det krävs förbättringar och uppmuntra till debatt om dessa frågor. Ämnen som berör</w:t>
      </w:r>
      <w:r w:rsidR="00B508A2" w:rsidRPr="00157B98">
        <w:t>de</w:t>
      </w:r>
      <w:r w:rsidR="004F7F83" w:rsidRPr="00157B98">
        <w:t xml:space="preserve">s </w:t>
      </w:r>
      <w:r w:rsidR="00B508A2" w:rsidRPr="00157B98">
        <w:t xml:space="preserve">var bl.a. behovet av reglering av lobbyverksamheten och frågan om obligatorisk redovisning av mottagarna av EU-stöd. </w:t>
      </w:r>
      <w:r w:rsidRPr="00157B98">
        <w:t xml:space="preserve">I initiativet ingick </w:t>
      </w:r>
      <w:r w:rsidR="00B508A2" w:rsidRPr="00157B98">
        <w:t xml:space="preserve">även </w:t>
      </w:r>
      <w:r w:rsidRPr="00157B98">
        <w:t>en översyn av öppenhetsförordningen som en del i satsningen för att skapa större öppenhet inom EU. Översynen har nu inletts genom att kommissionen den 18 april 2007 la</w:t>
      </w:r>
      <w:r w:rsidR="00A07CC1" w:rsidRPr="00157B98">
        <w:t>gt</w:t>
      </w:r>
      <w:r w:rsidRPr="00157B98">
        <w:t xml:space="preserve"> fram en grönbok om allmänhetens tillgång till Europaparlamentets, rådets och kommissionens handlingar.</w:t>
      </w:r>
    </w:p>
    <w:p w:rsidR="00DE1320" w:rsidRPr="00157B98" w:rsidRDefault="00155708" w:rsidP="00FD58D3">
      <w:r w:rsidRPr="00157B98">
        <w:t>Grönboken består av två delar</w:t>
      </w:r>
      <w:r w:rsidR="00772E70" w:rsidRPr="00157B98">
        <w:t xml:space="preserve">. I den första delen görs </w:t>
      </w:r>
      <w:r w:rsidR="00916161" w:rsidRPr="00157B98">
        <w:t xml:space="preserve">bl.a. </w:t>
      </w:r>
      <w:r w:rsidR="00772E70" w:rsidRPr="00157B98">
        <w:t xml:space="preserve">en analys av hur förordningen har tillämpats och en sammanfattning av </w:t>
      </w:r>
      <w:r w:rsidR="0090280D" w:rsidRPr="00157B98">
        <w:t xml:space="preserve">förstainstansrättens och </w:t>
      </w:r>
      <w:r w:rsidR="00772E70" w:rsidRPr="00157B98">
        <w:t>EG-domstol</w:t>
      </w:r>
      <w:r w:rsidR="0090280D" w:rsidRPr="00157B98">
        <w:t>ens</w:t>
      </w:r>
      <w:r w:rsidR="00772E70" w:rsidRPr="00157B98">
        <w:t xml:space="preserve"> praxis. </w:t>
      </w:r>
      <w:r w:rsidR="00492BAB" w:rsidRPr="00157B98">
        <w:t>I d</w:t>
      </w:r>
      <w:r w:rsidR="00772E70" w:rsidRPr="00157B98">
        <w:t xml:space="preserve">en andra delen </w:t>
      </w:r>
      <w:r w:rsidR="00492BAB" w:rsidRPr="00157B98">
        <w:t>presenterar kommissionen ett antal alternativ</w:t>
      </w:r>
      <w:r w:rsidR="007A0753" w:rsidRPr="00157B98">
        <w:t xml:space="preserve">a ändringar i öppenhetsförordningen </w:t>
      </w:r>
      <w:r w:rsidR="00492BAB" w:rsidRPr="00157B98">
        <w:t xml:space="preserve">som enligt dess uppfattning skulle förbättra reglerna om tillgång till handlingar. Kommissionen presenterar även ett antal praktiska åtgärder </w:t>
      </w:r>
      <w:r w:rsidR="00E00820" w:rsidRPr="00157B98">
        <w:t xml:space="preserve">i </w:t>
      </w:r>
      <w:r w:rsidR="00772E70" w:rsidRPr="00157B98">
        <w:t>syft</w:t>
      </w:r>
      <w:r w:rsidR="00E00820" w:rsidRPr="00157B98">
        <w:t>e att för</w:t>
      </w:r>
      <w:r w:rsidR="00772E70" w:rsidRPr="00157B98">
        <w:t>bättr</w:t>
      </w:r>
      <w:r w:rsidR="00E00820" w:rsidRPr="00157B98">
        <w:t>a</w:t>
      </w:r>
      <w:r w:rsidR="007A0753" w:rsidRPr="00157B98">
        <w:t xml:space="preserve"> öppenheten</w:t>
      </w:r>
      <w:r w:rsidR="00772E70" w:rsidRPr="00157B98">
        <w:t>.</w:t>
      </w:r>
    </w:p>
    <w:p w:rsidR="00DE1320" w:rsidRPr="00157B98" w:rsidRDefault="00AC3BAD" w:rsidP="00DE1320">
      <w:pPr>
        <w:rPr>
          <w:sz w:val="20"/>
        </w:rPr>
      </w:pPr>
      <w:r w:rsidRPr="00157B98">
        <w:t>Kommissionen</w:t>
      </w:r>
      <w:r w:rsidR="007A0753" w:rsidRPr="00157B98">
        <w:t xml:space="preserve"> konstaterar i den första delen </w:t>
      </w:r>
      <w:r w:rsidR="00772E70" w:rsidRPr="00157B98">
        <w:rPr>
          <w:sz w:val="20"/>
        </w:rPr>
        <w:t>att reglerna om allmänhetens tillgång till institutionernas handlingar har fungerat på ett tillfredsställande sätt.</w:t>
      </w:r>
      <w:r w:rsidR="00772E70" w:rsidRPr="00157B98">
        <w:rPr>
          <w:rFonts w:ascii="TimesNewRoman" w:hAnsi="TimesNewRoman" w:cs="TimesNewRoman"/>
          <w:sz w:val="20"/>
        </w:rPr>
        <w:t xml:space="preserve"> Kommissionen menar dock att det </w:t>
      </w:r>
      <w:r w:rsidR="00772E70" w:rsidRPr="00157B98">
        <w:rPr>
          <w:sz w:val="20"/>
        </w:rPr>
        <w:t>finns utrymme för</w:t>
      </w:r>
      <w:r w:rsidR="00D4655F" w:rsidRPr="00157B98">
        <w:rPr>
          <w:sz w:val="20"/>
        </w:rPr>
        <w:t xml:space="preserve"> en tydligare reglering</w:t>
      </w:r>
      <w:r w:rsidR="0090280D" w:rsidRPr="00157B98">
        <w:rPr>
          <w:sz w:val="20"/>
        </w:rPr>
        <w:t xml:space="preserve">. </w:t>
      </w:r>
      <w:r w:rsidR="00D4655F" w:rsidRPr="00157B98">
        <w:rPr>
          <w:sz w:val="20"/>
        </w:rPr>
        <w:t xml:space="preserve">Mot </w:t>
      </w:r>
      <w:r w:rsidR="0090280D" w:rsidRPr="00157B98">
        <w:rPr>
          <w:sz w:val="20"/>
        </w:rPr>
        <w:t xml:space="preserve">bakgrund av hur förordningen har tillämpats, den </w:t>
      </w:r>
      <w:r w:rsidR="00DE1320" w:rsidRPr="00157B98">
        <w:rPr>
          <w:sz w:val="20"/>
        </w:rPr>
        <w:t>rättspraxis</w:t>
      </w:r>
      <w:r w:rsidR="0090280D" w:rsidRPr="00157B98">
        <w:rPr>
          <w:sz w:val="20"/>
        </w:rPr>
        <w:t xml:space="preserve"> som har utvecklats </w:t>
      </w:r>
      <w:r w:rsidR="00DE1320" w:rsidRPr="00157B98">
        <w:rPr>
          <w:sz w:val="20"/>
        </w:rPr>
        <w:t xml:space="preserve">samt den senaste utvecklingen i fråga om öppenhet, </w:t>
      </w:r>
      <w:r w:rsidR="00D4655F" w:rsidRPr="00157B98">
        <w:rPr>
          <w:sz w:val="20"/>
        </w:rPr>
        <w:t>bedömer kommissionen att föränd</w:t>
      </w:r>
      <w:r w:rsidR="007A0753" w:rsidRPr="00157B98">
        <w:rPr>
          <w:sz w:val="20"/>
        </w:rPr>
        <w:t>ringar bör övervägas i fråga om</w:t>
      </w:r>
    </w:p>
    <w:p w:rsidR="00DE1320" w:rsidRPr="00157B98" w:rsidRDefault="007A0753" w:rsidP="00DE1320">
      <w:pPr>
        <w:numPr>
          <w:ilvl w:val="0"/>
          <w:numId w:val="7"/>
        </w:numPr>
        <w:rPr>
          <w:sz w:val="20"/>
        </w:rPr>
      </w:pPr>
      <w:r w:rsidRPr="00157B98">
        <w:rPr>
          <w:sz w:val="20"/>
        </w:rPr>
        <w:t xml:space="preserve">att </w:t>
      </w:r>
      <w:r w:rsidR="00DE1320" w:rsidRPr="00157B98">
        <w:rPr>
          <w:sz w:val="20"/>
        </w:rPr>
        <w:t>förbättra tillgången till register och direkt tillgång till handlingar,</w:t>
      </w:r>
    </w:p>
    <w:p w:rsidR="00DE1320" w:rsidRPr="00157B98" w:rsidRDefault="007A0753" w:rsidP="00DE1320">
      <w:pPr>
        <w:numPr>
          <w:ilvl w:val="0"/>
          <w:numId w:val="7"/>
        </w:numPr>
        <w:rPr>
          <w:sz w:val="20"/>
        </w:rPr>
      </w:pPr>
      <w:r w:rsidRPr="00157B98">
        <w:rPr>
          <w:sz w:val="20"/>
        </w:rPr>
        <w:t xml:space="preserve">att </w:t>
      </w:r>
      <w:r w:rsidR="00DE1320" w:rsidRPr="00157B98">
        <w:rPr>
          <w:sz w:val="20"/>
        </w:rPr>
        <w:t xml:space="preserve">ge bättre information till allmänheten om </w:t>
      </w:r>
      <w:r w:rsidR="00492BAB" w:rsidRPr="00157B98">
        <w:rPr>
          <w:sz w:val="20"/>
        </w:rPr>
        <w:t xml:space="preserve">de </w:t>
      </w:r>
      <w:r w:rsidR="00DE1320" w:rsidRPr="00157B98">
        <w:rPr>
          <w:sz w:val="20"/>
        </w:rPr>
        <w:t>europeiska institutionernas verksamhet,</w:t>
      </w:r>
    </w:p>
    <w:p w:rsidR="00DE1320" w:rsidRPr="00157B98" w:rsidRDefault="007A0753" w:rsidP="00DE1320">
      <w:pPr>
        <w:numPr>
          <w:ilvl w:val="0"/>
          <w:numId w:val="7"/>
        </w:numPr>
        <w:rPr>
          <w:sz w:val="20"/>
        </w:rPr>
      </w:pPr>
      <w:r w:rsidRPr="00157B98">
        <w:rPr>
          <w:sz w:val="20"/>
        </w:rPr>
        <w:t xml:space="preserve">att </w:t>
      </w:r>
      <w:r w:rsidR="00DE1320" w:rsidRPr="00157B98">
        <w:rPr>
          <w:sz w:val="20"/>
        </w:rPr>
        <w:t>klargöra den rättsliga ramen, samt</w:t>
      </w:r>
    </w:p>
    <w:p w:rsidR="005F2277" w:rsidRPr="00157B98" w:rsidRDefault="007A0753" w:rsidP="00DE1320">
      <w:pPr>
        <w:numPr>
          <w:ilvl w:val="0"/>
          <w:numId w:val="7"/>
        </w:numPr>
        <w:rPr>
          <w:sz w:val="20"/>
        </w:rPr>
      </w:pPr>
      <w:r w:rsidRPr="00157B98">
        <w:rPr>
          <w:sz w:val="20"/>
        </w:rPr>
        <w:t xml:space="preserve">att </w:t>
      </w:r>
      <w:r w:rsidR="00DE1320" w:rsidRPr="00157B98">
        <w:rPr>
          <w:sz w:val="20"/>
        </w:rPr>
        <w:t xml:space="preserve">finna den rätta balansen mellan allmänhetens rätt till </w:t>
      </w:r>
      <w:r w:rsidR="00FD58D3" w:rsidRPr="00157B98">
        <w:rPr>
          <w:sz w:val="20"/>
        </w:rPr>
        <w:t>information</w:t>
      </w:r>
      <w:r w:rsidR="00DE1320" w:rsidRPr="00157B98">
        <w:rPr>
          <w:sz w:val="20"/>
        </w:rPr>
        <w:t xml:space="preserve"> och skyddet av offentliga och privata intressen.</w:t>
      </w:r>
    </w:p>
    <w:p w:rsidR="00FD58D3" w:rsidRPr="00157B98" w:rsidRDefault="005F2277" w:rsidP="00FD58D3">
      <w:r w:rsidRPr="00157B98">
        <w:t>I grönboken</w:t>
      </w:r>
      <w:r w:rsidR="00492BAB" w:rsidRPr="00157B98">
        <w:t>s andra del</w:t>
      </w:r>
      <w:r w:rsidRPr="00157B98">
        <w:t xml:space="preserve"> ställer kommissionen ett antal frågor för att undersöka hur myndigheter, organisationer, företag och enskilda ser på öppenheten inom EU. </w:t>
      </w:r>
      <w:r w:rsidR="00FD58D3" w:rsidRPr="00157B98">
        <w:t>Svaren skall vara kommissionen till</w:t>
      </w:r>
      <w:r w:rsidR="006C3500" w:rsidRPr="00157B98">
        <w:t xml:space="preserve"> </w:t>
      </w:r>
      <w:r w:rsidR="00FD58D3" w:rsidRPr="00157B98">
        <w:t xml:space="preserve">handa senast den 15 juli 2007. </w:t>
      </w:r>
      <w:r w:rsidR="0090280D" w:rsidRPr="00157B98">
        <w:t xml:space="preserve">Frågorna tar sikte på områden där det enligt kommissionen kan finnas utrymme för förbättringar. </w:t>
      </w:r>
      <w:r w:rsidRPr="00157B98">
        <w:t>Kommissionen</w:t>
      </w:r>
      <w:r w:rsidR="007A0753" w:rsidRPr="00157B98">
        <w:t xml:space="preserve">s avsikt är att </w:t>
      </w:r>
      <w:r w:rsidRPr="00157B98">
        <w:t xml:space="preserve">på grundval av </w:t>
      </w:r>
      <w:r w:rsidR="0090280D" w:rsidRPr="00157B98">
        <w:t>svaren</w:t>
      </w:r>
      <w:r w:rsidRPr="00157B98">
        <w:t xml:space="preserve"> föreslå konkreta ändringar i öppenhetsförordningen.</w:t>
      </w:r>
      <w:r w:rsidR="0090280D" w:rsidRPr="00157B98">
        <w:t xml:space="preserve"> Frågorna presenteras </w:t>
      </w:r>
      <w:r w:rsidR="00FD58D3" w:rsidRPr="00157B98">
        <w:t xml:space="preserve">i grönboken </w:t>
      </w:r>
      <w:r w:rsidR="0090280D" w:rsidRPr="00157B98">
        <w:t>under ett antal rubriker enligt följande.</w:t>
      </w:r>
      <w:r w:rsidR="00FD58D3" w:rsidRPr="00157B98">
        <w:br/>
      </w:r>
      <w:r w:rsidR="00FD58D3" w:rsidRPr="00157B98">
        <w:br/>
      </w:r>
    </w:p>
    <w:p w:rsidR="00FD58D3" w:rsidRPr="00157B98" w:rsidRDefault="00FD58D3" w:rsidP="00FD58D3">
      <w:pPr>
        <w:pStyle w:val="Rubrik3"/>
      </w:pPr>
      <w:r w:rsidRPr="00157B98">
        <w:t>En aktiv politik för informationsspridning</w:t>
      </w:r>
    </w:p>
    <w:p w:rsidR="00DE1320" w:rsidRPr="00157B98" w:rsidRDefault="00DE1320" w:rsidP="00FD58D3">
      <w:r w:rsidRPr="00157B98">
        <w:t>För att göra lagstift</w:t>
      </w:r>
      <w:r w:rsidR="0090280D" w:rsidRPr="00157B98">
        <w:t xml:space="preserve">ningsprocessen mer tillgänglig </w:t>
      </w:r>
      <w:r w:rsidR="00492BAB" w:rsidRPr="00157B98">
        <w:t xml:space="preserve">för medborgarna </w:t>
      </w:r>
      <w:r w:rsidR="0090280D" w:rsidRPr="00157B98">
        <w:t>diskuterar kommissionen</w:t>
      </w:r>
      <w:r w:rsidR="007A0753" w:rsidRPr="00157B98">
        <w:t xml:space="preserve"> om det är </w:t>
      </w:r>
      <w:r w:rsidR="0090280D" w:rsidRPr="00157B98">
        <w:t xml:space="preserve">möjligt att införa </w:t>
      </w:r>
      <w:r w:rsidR="00204136" w:rsidRPr="00157B98">
        <w:t xml:space="preserve">en tydligare </w:t>
      </w:r>
      <w:r w:rsidRPr="00157B98">
        <w:t xml:space="preserve">definition </w:t>
      </w:r>
      <w:r w:rsidR="00FD58D3" w:rsidRPr="00157B98">
        <w:t xml:space="preserve"> i öppenhetsförordningen </w:t>
      </w:r>
      <w:r w:rsidRPr="00157B98">
        <w:t xml:space="preserve">av vilka typer av handlingar som </w:t>
      </w:r>
      <w:r w:rsidR="007A0753" w:rsidRPr="00157B98">
        <w:t>utgör</w:t>
      </w:r>
      <w:r w:rsidRPr="00157B98">
        <w:t xml:space="preserve"> en del av lagstiftningsprocessen och </w:t>
      </w:r>
      <w:r w:rsidR="00245543" w:rsidRPr="00157B98">
        <w:t xml:space="preserve">som </w:t>
      </w:r>
      <w:r w:rsidRPr="00157B98">
        <w:t xml:space="preserve">därmed i princip bör vara </w:t>
      </w:r>
      <w:r w:rsidR="00245543" w:rsidRPr="00157B98">
        <w:t>tillgängliga</w:t>
      </w:r>
      <w:r w:rsidR="00FD58D3" w:rsidRPr="00157B98">
        <w:t xml:space="preserve"> för allmänheten </w:t>
      </w:r>
      <w:r w:rsidR="00245543" w:rsidRPr="00157B98">
        <w:t>i sin helhet</w:t>
      </w:r>
      <w:r w:rsidRPr="00157B98">
        <w:t xml:space="preserve">. </w:t>
      </w:r>
      <w:r w:rsidR="00204136" w:rsidRPr="00157B98">
        <w:t xml:space="preserve">Kommissionen anför </w:t>
      </w:r>
      <w:r w:rsidR="00492BAB" w:rsidRPr="00157B98">
        <w:t xml:space="preserve">vidare </w:t>
      </w:r>
      <w:r w:rsidR="00204136" w:rsidRPr="00157B98">
        <w:t xml:space="preserve">att </w:t>
      </w:r>
      <w:r w:rsidR="00245543" w:rsidRPr="00157B98">
        <w:t xml:space="preserve">det </w:t>
      </w:r>
      <w:r w:rsidR="00492BAB" w:rsidRPr="00157B98">
        <w:t xml:space="preserve">skulle kunna vara </w:t>
      </w:r>
      <w:r w:rsidR="00245543" w:rsidRPr="00157B98">
        <w:t xml:space="preserve">möjligt för </w:t>
      </w:r>
      <w:r w:rsidR="00204136" w:rsidRPr="00157B98">
        <w:t>i</w:t>
      </w:r>
      <w:r w:rsidRPr="00157B98">
        <w:t xml:space="preserve">nstitutionerna </w:t>
      </w:r>
      <w:r w:rsidR="00245543" w:rsidRPr="00157B98">
        <w:t xml:space="preserve">att </w:t>
      </w:r>
      <w:r w:rsidRPr="00157B98">
        <w:t xml:space="preserve">utforma </w:t>
      </w:r>
      <w:r w:rsidR="00204136" w:rsidRPr="00157B98">
        <w:t xml:space="preserve">en </w:t>
      </w:r>
      <w:r w:rsidRPr="00157B98">
        <w:t xml:space="preserve">policy för att göra handlingar </w:t>
      </w:r>
      <w:r w:rsidR="00245543" w:rsidRPr="00157B98">
        <w:t>mer lät</w:t>
      </w:r>
      <w:r w:rsidRPr="00157B98">
        <w:t>tillgängliga för allmänheten.</w:t>
      </w:r>
      <w:r w:rsidR="00245543" w:rsidRPr="00157B98">
        <w:t xml:space="preserve"> </w:t>
      </w:r>
      <w:r w:rsidR="007A0753" w:rsidRPr="00157B98">
        <w:t>En sådan policy</w:t>
      </w:r>
      <w:r w:rsidR="00245543" w:rsidRPr="00157B98">
        <w:t xml:space="preserve"> skulle dock kräva mer resurser.</w:t>
      </w:r>
    </w:p>
    <w:p w:rsidR="00245543" w:rsidRPr="00157B98" w:rsidRDefault="00543844" w:rsidP="00245543">
      <w:pPr>
        <w:spacing w:line="240" w:lineRule="auto"/>
        <w:rPr>
          <w:bCs/>
          <w:i/>
        </w:rPr>
      </w:pPr>
      <w:r w:rsidRPr="00157B98">
        <w:t xml:space="preserve">De två första frågorna </w:t>
      </w:r>
      <w:r w:rsidR="00245543" w:rsidRPr="00157B98">
        <w:t xml:space="preserve">tar sikte på den </w:t>
      </w:r>
      <w:r w:rsidR="00310250" w:rsidRPr="00157B98">
        <w:t>information som ges genom institutionernas register och webbsidor samt behovet av att främja spridning</w:t>
      </w:r>
      <w:r w:rsidR="00245543" w:rsidRPr="00157B98">
        <w:t xml:space="preserve"> av information.</w:t>
      </w:r>
    </w:p>
    <w:p w:rsidR="00310250" w:rsidRPr="00157B98" w:rsidRDefault="00310250" w:rsidP="00E20110">
      <w:pPr>
        <w:pStyle w:val="Rubrik3"/>
      </w:pPr>
      <w:r w:rsidRPr="00157B98">
        <w:t>Föra in reglerna om tillgång till miljöinformation i det allmänna</w:t>
      </w:r>
      <w:r w:rsidR="00551FEC" w:rsidRPr="00157B98">
        <w:br/>
      </w:r>
      <w:r w:rsidRPr="00157B98">
        <w:t>systemet för tillgång till handlingar</w:t>
      </w:r>
    </w:p>
    <w:p w:rsidR="009F7EA0" w:rsidRPr="00157B98" w:rsidRDefault="00245543" w:rsidP="00A03810">
      <w:r w:rsidRPr="00157B98">
        <w:t>Den 6 september 2006 antog Europaparlamentet och rådet förordningen 1367/2006</w:t>
      </w:r>
      <w:r w:rsidR="006414D4" w:rsidRPr="00157B98">
        <w:rPr>
          <w:rFonts w:ascii="Tahoma" w:hAnsi="Tahoma" w:cs="Tahoma"/>
          <w:sz w:val="17"/>
          <w:szCs w:val="17"/>
        </w:rPr>
        <w:t xml:space="preserve"> </w:t>
      </w:r>
      <w:r w:rsidR="006414D4" w:rsidRPr="00157B98">
        <w:t>om tillämpning av bestämmelserna i Århuskonventionen om tillgång till information, allmänhetens deltagande i beslutsprocesser och tillgång till rättslig prövning i miljöfrågor på gemenskapens institutioner och organ</w:t>
      </w:r>
      <w:r w:rsidR="00492BAB" w:rsidRPr="00157B98">
        <w:t xml:space="preserve"> (Århusförordningen). Århusfö</w:t>
      </w:r>
      <w:r w:rsidR="009F7EA0" w:rsidRPr="00157B98">
        <w:t xml:space="preserve">rordningen, som träder i kraft den 28 juni 2007, innebär att samtliga institutioner och organ skall tillämpa Århuskonventionens regler. </w:t>
      </w:r>
      <w:r w:rsidR="00DA2572" w:rsidRPr="00157B98">
        <w:t>I k</w:t>
      </w:r>
      <w:r w:rsidR="009F7EA0" w:rsidRPr="00157B98">
        <w:t>onventionen</w:t>
      </w:r>
      <w:r w:rsidR="00B508A2" w:rsidRPr="00157B98">
        <w:t xml:space="preserve"> </w:t>
      </w:r>
      <w:r w:rsidR="00CA7FBA" w:rsidRPr="00157B98">
        <w:t>regler</w:t>
      </w:r>
      <w:r w:rsidR="00DA2572" w:rsidRPr="00157B98">
        <w:t>as</w:t>
      </w:r>
      <w:r w:rsidR="00CA7FBA" w:rsidRPr="00157B98">
        <w:t xml:space="preserve"> allmänheten</w:t>
      </w:r>
      <w:r w:rsidR="00DA2572" w:rsidRPr="00157B98">
        <w:t>s rätt</w:t>
      </w:r>
      <w:r w:rsidR="00CA7FBA" w:rsidRPr="00157B98">
        <w:t xml:space="preserve"> </w:t>
      </w:r>
      <w:r w:rsidR="00DA2572" w:rsidRPr="00157B98">
        <w:t xml:space="preserve">att </w:t>
      </w:r>
      <w:r w:rsidR="00CA7FBA" w:rsidRPr="00157B98">
        <w:t xml:space="preserve">få del av fakta om miljön och att påverka myndighetsbeslut som har inverkan på miljön. </w:t>
      </w:r>
      <w:r w:rsidR="00DA2572" w:rsidRPr="00157B98">
        <w:t xml:space="preserve">Konventionen innehåller bl.a. bestämmelser som innebär en </w:t>
      </w:r>
      <w:r w:rsidR="007A0753" w:rsidRPr="00157B98">
        <w:t xml:space="preserve">mer omfattande </w:t>
      </w:r>
      <w:r w:rsidR="009F7EA0" w:rsidRPr="00157B98">
        <w:t xml:space="preserve">skyldighet att </w:t>
      </w:r>
      <w:r w:rsidR="007A0753" w:rsidRPr="00157B98">
        <w:t xml:space="preserve">lämna ut handlingar </w:t>
      </w:r>
      <w:r w:rsidR="009F7EA0" w:rsidRPr="00157B98">
        <w:t xml:space="preserve">som innehåller miljöinformation än </w:t>
      </w:r>
      <w:r w:rsidR="007A0753" w:rsidRPr="00157B98">
        <w:t>vad som g</w:t>
      </w:r>
      <w:r w:rsidR="003A1904" w:rsidRPr="00157B98">
        <w:t>äll</w:t>
      </w:r>
      <w:r w:rsidR="007A0753" w:rsidRPr="00157B98">
        <w:t>er</w:t>
      </w:r>
      <w:r w:rsidR="003A1904" w:rsidRPr="00157B98">
        <w:t xml:space="preserve"> </w:t>
      </w:r>
      <w:r w:rsidR="007A0753" w:rsidRPr="00157B98">
        <w:t>enligt ö</w:t>
      </w:r>
      <w:r w:rsidR="009F7EA0" w:rsidRPr="00157B98">
        <w:t xml:space="preserve">ppenhetsförordningen. Mot bakgrund </w:t>
      </w:r>
      <w:r w:rsidR="006414D4" w:rsidRPr="00157B98">
        <w:t xml:space="preserve">av detta diskuteras det eventuella </w:t>
      </w:r>
      <w:r w:rsidR="004170B6" w:rsidRPr="00157B98">
        <w:t xml:space="preserve">behovet av en harmonisering </w:t>
      </w:r>
      <w:r w:rsidR="006414D4" w:rsidRPr="00157B98">
        <w:t xml:space="preserve">av öppenhetsförordningen </w:t>
      </w:r>
      <w:r w:rsidR="004170B6" w:rsidRPr="00157B98">
        <w:t>med reglerna om tillgång till miljöinformation</w:t>
      </w:r>
      <w:r w:rsidR="00D87429" w:rsidRPr="00157B98">
        <w:t>.</w:t>
      </w:r>
    </w:p>
    <w:p w:rsidR="004170B6" w:rsidRPr="00157B98" w:rsidRDefault="00705884" w:rsidP="00A03810">
      <w:r w:rsidRPr="00157B98">
        <w:t>I d</w:t>
      </w:r>
      <w:r w:rsidR="006414D4" w:rsidRPr="00157B98">
        <w:t xml:space="preserve">en tredje frågan </w:t>
      </w:r>
      <w:r w:rsidRPr="00157B98">
        <w:t xml:space="preserve">vill kommissionen ha svar på </w:t>
      </w:r>
      <w:r w:rsidR="006414D4" w:rsidRPr="00157B98">
        <w:t xml:space="preserve">om det skulle bidra till ökad </w:t>
      </w:r>
      <w:r w:rsidR="007A0753" w:rsidRPr="00157B98">
        <w:t xml:space="preserve">tydlighet </w:t>
      </w:r>
      <w:r w:rsidR="006414D4" w:rsidRPr="00157B98">
        <w:t xml:space="preserve">för medborgarna </w:t>
      </w:r>
      <w:r w:rsidR="009F7EA0" w:rsidRPr="00157B98">
        <w:t xml:space="preserve">om öppenhetsförordningen ändras </w:t>
      </w:r>
      <w:r w:rsidR="007A0753" w:rsidRPr="00157B98">
        <w:t xml:space="preserve">så att den </w:t>
      </w:r>
      <w:r w:rsidR="009F7EA0" w:rsidRPr="00157B98">
        <w:t>överensstämm</w:t>
      </w:r>
      <w:r w:rsidR="007A0753" w:rsidRPr="00157B98">
        <w:t>er</w:t>
      </w:r>
      <w:r w:rsidR="009F7EA0" w:rsidRPr="00157B98">
        <w:t xml:space="preserve"> med bestämmelserna i Århus</w:t>
      </w:r>
      <w:r w:rsidR="00492BAB" w:rsidRPr="00157B98">
        <w:t>förordningen</w:t>
      </w:r>
      <w:r w:rsidR="004170B6" w:rsidRPr="00157B98">
        <w:t>.</w:t>
      </w:r>
    </w:p>
    <w:p w:rsidR="006414D4" w:rsidRPr="00157B98" w:rsidRDefault="006414D4" w:rsidP="00E20110">
      <w:pPr>
        <w:pStyle w:val="Rubrik3"/>
      </w:pPr>
      <w:r w:rsidRPr="00157B98">
        <w:t>Avvägning av</w:t>
      </w:r>
      <w:r w:rsidR="007A0753" w:rsidRPr="00157B98">
        <w:t xml:space="preserve"> motstående </w:t>
      </w:r>
      <w:r w:rsidRPr="00157B98">
        <w:t>intressen</w:t>
      </w:r>
    </w:p>
    <w:p w:rsidR="006414D4" w:rsidRPr="00157B98" w:rsidRDefault="006414D4" w:rsidP="006C3500">
      <w:pPr>
        <w:rPr>
          <w:i/>
        </w:rPr>
      </w:pPr>
      <w:r w:rsidRPr="00157B98">
        <w:rPr>
          <w:i/>
        </w:rPr>
        <w:t>Allmänhetens tillgång till handlingar och skydd</w:t>
      </w:r>
      <w:r w:rsidR="00705884" w:rsidRPr="00157B98">
        <w:rPr>
          <w:i/>
        </w:rPr>
        <w:t>et</w:t>
      </w:r>
      <w:r w:rsidRPr="00157B98">
        <w:rPr>
          <w:i/>
        </w:rPr>
        <w:t xml:space="preserve"> av personuppgifter</w:t>
      </w:r>
    </w:p>
    <w:p w:rsidR="00705884" w:rsidRPr="00157B98" w:rsidRDefault="00FD58D3" w:rsidP="00705884">
      <w:r w:rsidRPr="00157B98">
        <w:t xml:space="preserve">Kommissionen tar upp frågan om avvägning </w:t>
      </w:r>
      <w:r w:rsidR="006414D4" w:rsidRPr="00157B98">
        <w:t xml:space="preserve">mellan </w:t>
      </w:r>
      <w:r w:rsidR="007A0753" w:rsidRPr="00157B98">
        <w:t xml:space="preserve">allmänhetens intresse av tillgång till handlingar </w:t>
      </w:r>
      <w:r w:rsidR="009F7EA0" w:rsidRPr="00157B98">
        <w:t>och skyddet av personuppgifter</w:t>
      </w:r>
      <w:r w:rsidRPr="00157B98">
        <w:t xml:space="preserve"> och anför </w:t>
      </w:r>
      <w:r w:rsidR="006414D4" w:rsidRPr="00157B98">
        <w:rPr>
          <w:bCs/>
        </w:rPr>
        <w:t xml:space="preserve">att det </w:t>
      </w:r>
      <w:r w:rsidR="006414D4" w:rsidRPr="00157B98">
        <w:t xml:space="preserve">är lämpligt att invänta </w:t>
      </w:r>
      <w:r w:rsidR="009F7EA0" w:rsidRPr="00157B98">
        <w:t xml:space="preserve">utfallet av pågående mål i förstainstansrätten </w:t>
      </w:r>
      <w:r w:rsidR="006414D4" w:rsidRPr="00157B98">
        <w:t>innan</w:t>
      </w:r>
      <w:r w:rsidR="00492BAB" w:rsidRPr="00157B98">
        <w:t xml:space="preserve"> det kan bli aktuellt att ändra </w:t>
      </w:r>
      <w:r w:rsidR="00D87429" w:rsidRPr="00157B98">
        <w:t>r</w:t>
      </w:r>
      <w:r w:rsidR="006414D4" w:rsidRPr="00157B98">
        <w:t>eglerna</w:t>
      </w:r>
      <w:r w:rsidRPr="00157B98">
        <w:t xml:space="preserve"> i öppenhetsförordningen</w:t>
      </w:r>
      <w:r w:rsidR="006414D4" w:rsidRPr="00157B98">
        <w:t xml:space="preserve">. Kommissionen </w:t>
      </w:r>
      <w:r w:rsidR="007A0753" w:rsidRPr="00157B98">
        <w:t xml:space="preserve">diskuterar </w:t>
      </w:r>
      <w:r w:rsidR="006414D4" w:rsidRPr="00157B98">
        <w:t xml:space="preserve">dock </w:t>
      </w:r>
      <w:r w:rsidR="006C3500" w:rsidRPr="00157B98">
        <w:t>möjligheten</w:t>
      </w:r>
      <w:r w:rsidRPr="00157B98">
        <w:t xml:space="preserve"> </w:t>
      </w:r>
      <w:r w:rsidR="006414D4" w:rsidRPr="00157B98">
        <w:t xml:space="preserve">att inom </w:t>
      </w:r>
      <w:r w:rsidR="007A0753" w:rsidRPr="00157B98">
        <w:t xml:space="preserve">ramen för nu gällande regler definiera vissa kriterier för utlämnande av personuppgifter. Enligt dessa kriterier skulle personuppgifter kunna lämnas ut om det </w:t>
      </w:r>
      <w:r w:rsidR="006414D4" w:rsidRPr="00157B98">
        <w:t xml:space="preserve">finns ett allmänintresse </w:t>
      </w:r>
      <w:r w:rsidRPr="00157B98">
        <w:t>av</w:t>
      </w:r>
      <w:r w:rsidR="006414D4" w:rsidRPr="00157B98">
        <w:t xml:space="preserve"> utlämnande; detta kan vara fallet då politiskt tillsatta personer företräder det allmänna och informationen som lämnas </w:t>
      </w:r>
      <w:r w:rsidRPr="00157B98">
        <w:t xml:space="preserve">ut </w:t>
      </w:r>
      <w:r w:rsidR="006414D4" w:rsidRPr="00157B98">
        <w:t>endast kan relateras till de uppgifter som ingår i tjänsten, såvida det inte finns särskilda skäl att skydda identiteten (t.ex. utredare).</w:t>
      </w:r>
      <w:r w:rsidR="00E20110" w:rsidRPr="00157B98">
        <w:t xml:space="preserve"> Personuppgifter skulle också kunna lämnas ut om det är </w:t>
      </w:r>
      <w:r w:rsidR="006414D4" w:rsidRPr="00157B98">
        <w:t>uppenbart att utlämnandet inte påverkar personens privatliv eller integritet.</w:t>
      </w:r>
    </w:p>
    <w:p w:rsidR="006C3500" w:rsidRPr="00157B98" w:rsidRDefault="00705884" w:rsidP="006C3500">
      <w:r w:rsidRPr="00157B98">
        <w:t xml:space="preserve">Den fjärde frågan behandlar balansen mellan kravet på öppenhet och skyddet </w:t>
      </w:r>
      <w:r w:rsidR="00FD58D3" w:rsidRPr="00157B98">
        <w:t>av</w:t>
      </w:r>
      <w:r w:rsidRPr="00157B98">
        <w:t xml:space="preserve"> personuppgifter.</w:t>
      </w:r>
    </w:p>
    <w:p w:rsidR="00705884" w:rsidRPr="00157B98" w:rsidRDefault="00705884" w:rsidP="006C3500">
      <w:pPr>
        <w:rPr>
          <w:i/>
        </w:rPr>
      </w:pPr>
      <w:r w:rsidRPr="00157B98">
        <w:rPr>
          <w:i/>
        </w:rPr>
        <w:t xml:space="preserve">Allmänhetens tillgång </w:t>
      </w:r>
      <w:r w:rsidR="00E20110" w:rsidRPr="00157B98">
        <w:rPr>
          <w:i/>
        </w:rPr>
        <w:t xml:space="preserve">till handlingar </w:t>
      </w:r>
      <w:r w:rsidRPr="00157B98">
        <w:rPr>
          <w:i/>
        </w:rPr>
        <w:t>och kommersiella eller ekonomiska intressen</w:t>
      </w:r>
    </w:p>
    <w:p w:rsidR="00705884" w:rsidRPr="00157B98" w:rsidRDefault="00705884" w:rsidP="00705884">
      <w:r w:rsidRPr="00157B98">
        <w:t xml:space="preserve">Enligt kommissionen </w:t>
      </w:r>
      <w:r w:rsidR="00062EA7" w:rsidRPr="00157B98">
        <w:t>inne</w:t>
      </w:r>
      <w:r w:rsidR="00E20110" w:rsidRPr="00157B98">
        <w:t>håller</w:t>
      </w:r>
      <w:r w:rsidR="00062EA7" w:rsidRPr="00157B98">
        <w:t xml:space="preserve"> </w:t>
      </w:r>
      <w:r w:rsidRPr="00157B98">
        <w:t xml:space="preserve">EG-fördraget </w:t>
      </w:r>
      <w:r w:rsidR="00062EA7" w:rsidRPr="00157B98">
        <w:t xml:space="preserve">en avvägning </w:t>
      </w:r>
      <w:r w:rsidRPr="00157B98">
        <w:t xml:space="preserve">mellan principen om öppenhet </w:t>
      </w:r>
      <w:r w:rsidR="00062EA7" w:rsidRPr="00157B98">
        <w:t xml:space="preserve">i </w:t>
      </w:r>
      <w:r w:rsidRPr="00157B98">
        <w:t xml:space="preserve">artikel 255 och </w:t>
      </w:r>
      <w:r w:rsidR="00062EA7" w:rsidRPr="00157B98">
        <w:t xml:space="preserve">skyldigheten </w:t>
      </w:r>
      <w:r w:rsidRPr="00157B98">
        <w:t>i artikel 287</w:t>
      </w:r>
      <w:r w:rsidR="00062EA7" w:rsidRPr="00157B98">
        <w:t xml:space="preserve"> att inte lämna ut uppgifter som omfattas av tystnadsplikt</w:t>
      </w:r>
      <w:r w:rsidRPr="00157B98">
        <w:t xml:space="preserve">, </w:t>
      </w:r>
      <w:r w:rsidR="00062EA7" w:rsidRPr="00157B98">
        <w:t>särskilt i fråga om infor</w:t>
      </w:r>
      <w:r w:rsidRPr="00157B98">
        <w:t>mation om företag, deras aff</w:t>
      </w:r>
      <w:r w:rsidR="00062EA7" w:rsidRPr="00157B98">
        <w:t>ärsförbindelser eller kostnadsförhållanden</w:t>
      </w:r>
      <w:r w:rsidRPr="00157B98">
        <w:t>.</w:t>
      </w:r>
    </w:p>
    <w:p w:rsidR="006C3500" w:rsidRPr="00157B98" w:rsidRDefault="00705884" w:rsidP="006C3500">
      <w:r w:rsidRPr="00157B98">
        <w:t>F</w:t>
      </w:r>
      <w:r w:rsidR="00A03810" w:rsidRPr="00157B98">
        <w:t xml:space="preserve">råga </w:t>
      </w:r>
      <w:r w:rsidR="00062EA7" w:rsidRPr="00157B98">
        <w:t>fem</w:t>
      </w:r>
      <w:r w:rsidR="00551FEC" w:rsidRPr="00157B98">
        <w:t xml:space="preserve"> </w:t>
      </w:r>
      <w:r w:rsidR="00A03810" w:rsidRPr="00157B98">
        <w:t>behandlar balansen mellan kravet på öppenhet och skyddet för affärshemligheter.</w:t>
      </w:r>
    </w:p>
    <w:p w:rsidR="00705884" w:rsidRPr="00157B98" w:rsidRDefault="00705884" w:rsidP="006C3500">
      <w:pPr>
        <w:rPr>
          <w:i/>
        </w:rPr>
      </w:pPr>
      <w:r w:rsidRPr="00157B98">
        <w:rPr>
          <w:i/>
        </w:rPr>
        <w:t xml:space="preserve">Allmänhetens tillgång </w:t>
      </w:r>
      <w:r w:rsidR="00E20110" w:rsidRPr="00157B98">
        <w:rPr>
          <w:i/>
        </w:rPr>
        <w:t xml:space="preserve">till handlingar </w:t>
      </w:r>
      <w:r w:rsidRPr="00157B98">
        <w:rPr>
          <w:i/>
        </w:rPr>
        <w:t>och god förvaltning</w:t>
      </w:r>
    </w:p>
    <w:p w:rsidR="009711B2" w:rsidRPr="00157B98" w:rsidRDefault="00492BAB" w:rsidP="009711B2">
      <w:r w:rsidRPr="00157B98">
        <w:t>Kommissionen framhåller</w:t>
      </w:r>
      <w:r w:rsidR="00062EA7" w:rsidRPr="00157B98">
        <w:t xml:space="preserve"> att h</w:t>
      </w:r>
      <w:r w:rsidR="009711B2" w:rsidRPr="00157B98">
        <w:t xml:space="preserve">andläggningen av framställningar om att få ut handlingar kan vara betungande och menar att institutionerna måste väga intresset av utlämnande mot arbetsbördan. </w:t>
      </w:r>
      <w:r w:rsidR="00062EA7" w:rsidRPr="00157B98">
        <w:t xml:space="preserve">Enligt kommissionen är det </w:t>
      </w:r>
      <w:r w:rsidR="00F97333" w:rsidRPr="00157B98">
        <w:t xml:space="preserve">nödvändigt med vissa förändringar för att kunna </w:t>
      </w:r>
      <w:r w:rsidR="009711B2" w:rsidRPr="00157B98">
        <w:t xml:space="preserve">förena öppenhet </w:t>
      </w:r>
      <w:r w:rsidR="00E20110" w:rsidRPr="00157B98">
        <w:t xml:space="preserve">med </w:t>
      </w:r>
      <w:r w:rsidR="009711B2" w:rsidRPr="00157B98">
        <w:t>god förvaltning.</w:t>
      </w:r>
    </w:p>
    <w:p w:rsidR="00062EA7" w:rsidRPr="00157B98" w:rsidRDefault="009711B2" w:rsidP="00D578FC">
      <w:r w:rsidRPr="00157B98">
        <w:t xml:space="preserve">Kommissionen </w:t>
      </w:r>
      <w:r w:rsidR="00062EA7" w:rsidRPr="00157B98">
        <w:t>anför att</w:t>
      </w:r>
      <w:r w:rsidR="00F97333" w:rsidRPr="00157B98">
        <w:t xml:space="preserve"> det sk</w:t>
      </w:r>
      <w:r w:rsidR="00062EA7" w:rsidRPr="00157B98">
        <w:t xml:space="preserve">ulle kunna införas en möjlighet </w:t>
      </w:r>
      <w:r w:rsidRPr="00157B98">
        <w:t xml:space="preserve">för institutionerna att be sökanden att antingen begränsa sin begäran eller acceptera en realistisk tidsram för </w:t>
      </w:r>
      <w:r w:rsidR="00551FEC" w:rsidRPr="00157B98">
        <w:t>handläggningen</w:t>
      </w:r>
      <w:r w:rsidRPr="00157B98">
        <w:t>. En begäran som ”tydligt avser att blockera en tjänst i dess normala förfarande” sk</w:t>
      </w:r>
      <w:r w:rsidR="00062EA7" w:rsidRPr="00157B98">
        <w:t>u</w:t>
      </w:r>
      <w:r w:rsidRPr="00157B98">
        <w:t>ll</w:t>
      </w:r>
      <w:r w:rsidR="00062EA7" w:rsidRPr="00157B98">
        <w:t>e</w:t>
      </w:r>
      <w:r w:rsidRPr="00157B98">
        <w:t xml:space="preserve"> kunna betraktas som olämplig och avslås på denna grund.</w:t>
      </w:r>
      <w:r w:rsidR="00F97333" w:rsidRPr="00157B98">
        <w:t xml:space="preserve"> </w:t>
      </w:r>
    </w:p>
    <w:p w:rsidR="009711B2" w:rsidRPr="00157B98" w:rsidRDefault="00F97333" w:rsidP="00D578FC">
      <w:r w:rsidRPr="00157B98">
        <w:t xml:space="preserve">Fråga </w:t>
      </w:r>
      <w:r w:rsidR="00062EA7" w:rsidRPr="00157B98">
        <w:t>sex</w:t>
      </w:r>
      <w:r w:rsidRPr="00157B98">
        <w:t xml:space="preserve"> behandlar </w:t>
      </w:r>
      <w:r w:rsidR="00551FEC" w:rsidRPr="00157B98">
        <w:t xml:space="preserve">handläggningen av </w:t>
      </w:r>
      <w:r w:rsidRPr="00157B98">
        <w:t>orimliga eller olämpliga ansökningar.</w:t>
      </w:r>
      <w:r w:rsidR="009711B2" w:rsidRPr="00157B98">
        <w:t xml:space="preserve"> </w:t>
      </w:r>
    </w:p>
    <w:p w:rsidR="00E20110" w:rsidRPr="00157B98" w:rsidRDefault="00E20110" w:rsidP="00A03810">
      <w:pPr>
        <w:rPr>
          <w:bCs/>
        </w:rPr>
      </w:pPr>
      <w:r w:rsidRPr="00157B98">
        <w:t xml:space="preserve">Kommissionen </w:t>
      </w:r>
      <w:r w:rsidR="00030B95" w:rsidRPr="00157B98">
        <w:t>behandlar</w:t>
      </w:r>
      <w:r w:rsidRPr="00157B98">
        <w:t xml:space="preserve"> vidare bl.a. handlingsbegreppet och tar i fråga sju upp</w:t>
      </w:r>
      <w:r w:rsidR="003A1904" w:rsidRPr="00157B98">
        <w:t xml:space="preserve"> frågan om </w:t>
      </w:r>
      <w:r w:rsidRPr="00157B98">
        <w:t xml:space="preserve">viss </w:t>
      </w:r>
      <w:r w:rsidR="009711B2" w:rsidRPr="00157B98">
        <w:t>information som enkelt</w:t>
      </w:r>
      <w:r w:rsidR="00551FEC" w:rsidRPr="00157B98">
        <w:t>,</w:t>
      </w:r>
      <w:r w:rsidR="009711B2" w:rsidRPr="00157B98">
        <w:t xml:space="preserve"> </w:t>
      </w:r>
      <w:r w:rsidR="00551FEC" w:rsidRPr="00157B98">
        <w:t xml:space="preserve">med användande av de sökverktyg som finns, </w:t>
      </w:r>
      <w:r w:rsidR="009711B2" w:rsidRPr="00157B98">
        <w:t xml:space="preserve">kan hämtas från en databas bör betraktas som </w:t>
      </w:r>
      <w:r w:rsidRPr="00157B98">
        <w:t xml:space="preserve">en </w:t>
      </w:r>
      <w:r w:rsidR="009711B2" w:rsidRPr="00157B98">
        <w:t xml:space="preserve">handling enligt </w:t>
      </w:r>
      <w:r w:rsidR="00492BAB" w:rsidRPr="00157B98">
        <w:t>öppenhets</w:t>
      </w:r>
      <w:r w:rsidR="009711B2" w:rsidRPr="00157B98">
        <w:t>förordningen</w:t>
      </w:r>
      <w:r w:rsidR="00F97333" w:rsidRPr="00157B98">
        <w:t>.</w:t>
      </w:r>
      <w:r w:rsidR="003053EE" w:rsidRPr="00157B98">
        <w:t xml:space="preserve"> </w:t>
      </w:r>
      <w:r w:rsidR="00F97333" w:rsidRPr="00157B98">
        <w:t xml:space="preserve">Enligt kommissionen bör </w:t>
      </w:r>
      <w:r w:rsidR="00FD58D3" w:rsidRPr="00157B98">
        <w:t>även</w:t>
      </w:r>
      <w:r w:rsidR="00F97333" w:rsidRPr="00157B98">
        <w:t xml:space="preserve"> förhållandet mellan definitionen av ”handlingar som finns hos institutionerna” och institutionens bestämmelser </w:t>
      </w:r>
      <w:r w:rsidRPr="00157B98">
        <w:t>om r</w:t>
      </w:r>
      <w:r w:rsidR="00F97333" w:rsidRPr="00157B98">
        <w:t>egistrering förtydligas.</w:t>
      </w:r>
      <w:r w:rsidR="00492BAB" w:rsidRPr="00157B98">
        <w:t xml:space="preserve"> </w:t>
      </w:r>
      <w:r w:rsidR="00062EA7" w:rsidRPr="00157B98">
        <w:t xml:space="preserve">Vidare </w:t>
      </w:r>
      <w:r w:rsidR="00030B95" w:rsidRPr="00157B98">
        <w:t>ifrågasätts</w:t>
      </w:r>
      <w:r w:rsidR="00062EA7" w:rsidRPr="00157B98">
        <w:t xml:space="preserve"> </w:t>
      </w:r>
      <w:r w:rsidRPr="00157B98">
        <w:t xml:space="preserve">om det bör införas </w:t>
      </w:r>
      <w:r w:rsidR="008D56F5" w:rsidRPr="00157B98">
        <w:t>regler</w:t>
      </w:r>
      <w:r w:rsidR="00FD58D3" w:rsidRPr="00157B98">
        <w:t xml:space="preserve"> </w:t>
      </w:r>
      <w:r w:rsidR="00030B95" w:rsidRPr="00157B98">
        <w:t>s</w:t>
      </w:r>
      <w:r w:rsidR="00FD58D3" w:rsidRPr="00157B98">
        <w:t xml:space="preserve">om </w:t>
      </w:r>
      <w:r w:rsidR="00030B95" w:rsidRPr="00157B98">
        <w:t xml:space="preserve">innebär </w:t>
      </w:r>
      <w:r w:rsidR="00F97333" w:rsidRPr="00157B98">
        <w:t>att sekretessundantag</w:t>
      </w:r>
      <w:r w:rsidRPr="00157B98">
        <w:t>en i förordningen, för vissa kategorier av handlingar, endast sk</w:t>
      </w:r>
      <w:r w:rsidR="00FD58D3" w:rsidRPr="00157B98">
        <w:t>a</w:t>
      </w:r>
      <w:r w:rsidRPr="00157B98">
        <w:t>ll vara</w:t>
      </w:r>
      <w:r w:rsidR="00F97333" w:rsidRPr="00157B98">
        <w:t xml:space="preserve"> tillämplig</w:t>
      </w:r>
      <w:r w:rsidRPr="00157B98">
        <w:t>a</w:t>
      </w:r>
      <w:r w:rsidR="00F97333" w:rsidRPr="00157B98">
        <w:t xml:space="preserve"> före en viss tidpunkt eller händelse</w:t>
      </w:r>
      <w:r w:rsidR="003053EE" w:rsidRPr="00157B98">
        <w:t xml:space="preserve">. Fråga </w:t>
      </w:r>
      <w:r w:rsidR="008D56F5" w:rsidRPr="00157B98">
        <w:t>åtta</w:t>
      </w:r>
      <w:r w:rsidR="003053EE" w:rsidRPr="00157B98">
        <w:t xml:space="preserve"> tar </w:t>
      </w:r>
      <w:r w:rsidR="00FD58D3" w:rsidRPr="00157B98">
        <w:t xml:space="preserve">mot denna bakgrund </w:t>
      </w:r>
      <w:r w:rsidR="003053EE" w:rsidRPr="00157B98">
        <w:t xml:space="preserve">upp frågan om </w:t>
      </w:r>
      <w:r w:rsidR="003053EE" w:rsidRPr="00157B98">
        <w:rPr>
          <w:bCs/>
        </w:rPr>
        <w:t xml:space="preserve">förordningen bör ange före och efter vilka </w:t>
      </w:r>
      <w:r w:rsidR="00551FEC" w:rsidRPr="00157B98">
        <w:rPr>
          <w:bCs/>
        </w:rPr>
        <w:t>händelser som</w:t>
      </w:r>
      <w:r w:rsidR="003053EE" w:rsidRPr="00157B98">
        <w:rPr>
          <w:bCs/>
        </w:rPr>
        <w:t xml:space="preserve"> </w:t>
      </w:r>
      <w:r w:rsidRPr="00157B98">
        <w:rPr>
          <w:bCs/>
        </w:rPr>
        <w:t>ett sekretess</w:t>
      </w:r>
      <w:r w:rsidR="003053EE" w:rsidRPr="00157B98">
        <w:rPr>
          <w:bCs/>
        </w:rPr>
        <w:t>undantag sk</w:t>
      </w:r>
      <w:r w:rsidR="00551FEC" w:rsidRPr="00157B98">
        <w:rPr>
          <w:bCs/>
        </w:rPr>
        <w:t>all</w:t>
      </w:r>
      <w:r w:rsidR="003053EE" w:rsidRPr="00157B98">
        <w:rPr>
          <w:bCs/>
        </w:rPr>
        <w:t xml:space="preserve"> eller inte sk</w:t>
      </w:r>
      <w:r w:rsidR="00551FEC" w:rsidRPr="00157B98">
        <w:rPr>
          <w:bCs/>
        </w:rPr>
        <w:t>all</w:t>
      </w:r>
      <w:r w:rsidR="003053EE" w:rsidRPr="00157B98">
        <w:rPr>
          <w:bCs/>
        </w:rPr>
        <w:t xml:space="preserve"> tillämpas.</w:t>
      </w:r>
    </w:p>
    <w:p w:rsidR="00E20110" w:rsidRPr="00157B98" w:rsidRDefault="00E20110" w:rsidP="00E20110">
      <w:pPr>
        <w:pStyle w:val="Rubrik3"/>
      </w:pPr>
      <w:r w:rsidRPr="00157B98">
        <w:t>Slutliga kommentarer</w:t>
      </w:r>
    </w:p>
    <w:p w:rsidR="00A03810" w:rsidRPr="00157B98" w:rsidRDefault="00D578FC" w:rsidP="00A03810">
      <w:r w:rsidRPr="00157B98">
        <w:t xml:space="preserve">Grönboken ger slutligen utrymme för egna kommentarer </w:t>
      </w:r>
      <w:r w:rsidR="00B40299" w:rsidRPr="00157B98">
        <w:t>och synpunkter angående r</w:t>
      </w:r>
      <w:r w:rsidRPr="00157B98">
        <w:t>egler</w:t>
      </w:r>
      <w:r w:rsidR="00820471" w:rsidRPr="00157B98">
        <w:t>na</w:t>
      </w:r>
      <w:r w:rsidRPr="00157B98">
        <w:t xml:space="preserve"> om tillgång ti</w:t>
      </w:r>
      <w:r w:rsidR="00820471" w:rsidRPr="00157B98">
        <w:t>ll institutionernas handlingar.</w:t>
      </w:r>
    </w:p>
    <w:p w:rsidR="00F1227E" w:rsidRPr="00157B98" w:rsidRDefault="009E1B39" w:rsidP="00F1227E">
      <w:pPr>
        <w:pStyle w:val="Rubrik2"/>
      </w:pPr>
      <w:r w:rsidRPr="00157B98">
        <w:t>Gällande svenska regler och förslagets effekt på dessa</w:t>
      </w:r>
    </w:p>
    <w:p w:rsidR="009E1B39" w:rsidRPr="00157B98" w:rsidRDefault="000C01DE" w:rsidP="00B87AA1">
      <w:r w:rsidRPr="00157B98">
        <w:t xml:space="preserve">Grönboken behandlar endast frågor som rör tillgången till handlingar som </w:t>
      </w:r>
      <w:r w:rsidR="00820471" w:rsidRPr="00157B98">
        <w:t>innehas av</w:t>
      </w:r>
      <w:r w:rsidRPr="00157B98">
        <w:t xml:space="preserve"> institutionerna</w:t>
      </w:r>
      <w:r w:rsidR="008D56F5" w:rsidRPr="00157B98">
        <w:t>.</w:t>
      </w:r>
      <w:r w:rsidR="000469FE" w:rsidRPr="00157B98">
        <w:t xml:space="preserve"> Gällande svenska regler </w:t>
      </w:r>
      <w:r w:rsidR="00D4655F" w:rsidRPr="00157B98">
        <w:t xml:space="preserve">berörs inte. Innehållet i grönboken har alltså </w:t>
      </w:r>
      <w:r w:rsidR="000469FE" w:rsidRPr="00157B98">
        <w:t xml:space="preserve">inte </w:t>
      </w:r>
      <w:r w:rsidR="00D4655F" w:rsidRPr="00157B98">
        <w:t>n</w:t>
      </w:r>
      <w:r w:rsidRPr="00157B98">
        <w:t>ågon påverkan på den svenska offentlighetsprincipen</w:t>
      </w:r>
      <w:r w:rsidR="00820471" w:rsidRPr="00157B98">
        <w:t xml:space="preserve"> </w:t>
      </w:r>
      <w:r w:rsidRPr="00157B98">
        <w:t>och</w:t>
      </w:r>
      <w:r w:rsidR="00820471" w:rsidRPr="00157B98">
        <w:t xml:space="preserve"> </w:t>
      </w:r>
      <w:r w:rsidRPr="00157B98">
        <w:t>d</w:t>
      </w:r>
      <w:r w:rsidR="00D578FC" w:rsidRPr="00157B98">
        <w:t>e</w:t>
      </w:r>
      <w:r w:rsidR="00820471" w:rsidRPr="00157B98">
        <w:t xml:space="preserve"> </w:t>
      </w:r>
      <w:r w:rsidRPr="00157B98">
        <w:t>grundlagsfästa</w:t>
      </w:r>
      <w:r w:rsidR="00820471" w:rsidRPr="00157B98">
        <w:t xml:space="preserve"> </w:t>
      </w:r>
      <w:r w:rsidRPr="00157B98">
        <w:t>reg</w:t>
      </w:r>
      <w:r w:rsidR="00D4655F" w:rsidRPr="00157B98">
        <w:t>lerna om handlingsoffentlighet.</w:t>
      </w:r>
    </w:p>
    <w:p w:rsidR="009E1B39" w:rsidRPr="00157B98" w:rsidRDefault="009E1B39" w:rsidP="00B87AA1">
      <w:pPr>
        <w:pStyle w:val="Rubrik2"/>
        <w:jc w:val="both"/>
      </w:pPr>
      <w:r w:rsidRPr="00157B98">
        <w:t>Budgetära konsekvenser</w:t>
      </w:r>
    </w:p>
    <w:p w:rsidR="009E1B39" w:rsidRPr="00157B98" w:rsidRDefault="00B87AA1" w:rsidP="00B87AA1">
      <w:r w:rsidRPr="00157B98">
        <w:t>Det går</w:t>
      </w:r>
      <w:r w:rsidR="00030B95" w:rsidRPr="00157B98">
        <w:t xml:space="preserve"> för närvarande</w:t>
      </w:r>
      <w:r w:rsidRPr="00157B98">
        <w:t xml:space="preserve"> inte att förutse några budgetära konsekvenser.</w:t>
      </w:r>
    </w:p>
    <w:p w:rsidR="009E1B39" w:rsidRPr="00157B98" w:rsidRDefault="009E1B39" w:rsidP="00B87AA1">
      <w:pPr>
        <w:pStyle w:val="Rubrik1"/>
        <w:jc w:val="both"/>
      </w:pPr>
      <w:r w:rsidRPr="00157B98">
        <w:t>Ståndpunkter</w:t>
      </w:r>
    </w:p>
    <w:p w:rsidR="009E1B39" w:rsidRPr="00157B98" w:rsidRDefault="009E1B39" w:rsidP="00B87AA1">
      <w:pPr>
        <w:pStyle w:val="Rubrik2"/>
        <w:jc w:val="both"/>
      </w:pPr>
      <w:r w:rsidRPr="00157B98">
        <w:t>Svensk ståndpunkt</w:t>
      </w:r>
    </w:p>
    <w:p w:rsidR="000645A2" w:rsidRPr="00157B98" w:rsidRDefault="00B508A2" w:rsidP="000645A2">
      <w:r w:rsidRPr="00157B98">
        <w:t xml:space="preserve">Regeringen vill ha ett öppet, demokratiskt och dynamiskt EU. Regeringen verkar för att EU skall bli bättre på att ge medborgarna insyn i samarbetet och i gemenskapens institutioner. </w:t>
      </w:r>
      <w:r w:rsidR="00191FB4" w:rsidRPr="00157B98">
        <w:t>Öppenhet och handlingsoffentlighet inom unionen är viktiga frågor</w:t>
      </w:r>
      <w:r w:rsidR="000469FE" w:rsidRPr="00157B98">
        <w:t xml:space="preserve"> för Sverige</w:t>
      </w:r>
      <w:r w:rsidR="00191FB4" w:rsidRPr="00157B98">
        <w:t xml:space="preserve">. </w:t>
      </w:r>
      <w:r w:rsidR="000645A2" w:rsidRPr="00157B98">
        <w:t>Regeringen k</w:t>
      </w:r>
      <w:r w:rsidR="00191FB4" w:rsidRPr="00157B98">
        <w:t xml:space="preserve">ommer </w:t>
      </w:r>
      <w:r w:rsidR="000469FE" w:rsidRPr="00157B98">
        <w:t xml:space="preserve">därför </w:t>
      </w:r>
      <w:r w:rsidR="006C3368" w:rsidRPr="00157B98">
        <w:t>v</w:t>
      </w:r>
      <w:r w:rsidR="00191FB4" w:rsidRPr="00157B98">
        <w:t>i</w:t>
      </w:r>
      <w:r w:rsidR="006C3368" w:rsidRPr="00157B98">
        <w:t>d</w:t>
      </w:r>
      <w:r w:rsidR="00191FB4" w:rsidRPr="00157B98">
        <w:t xml:space="preserve"> utformningen av </w:t>
      </w:r>
      <w:r w:rsidR="00492BAB" w:rsidRPr="00157B98">
        <w:t>svaren</w:t>
      </w:r>
      <w:r w:rsidR="00191FB4" w:rsidRPr="00157B98">
        <w:t xml:space="preserve"> att </w:t>
      </w:r>
      <w:r w:rsidR="006C3368" w:rsidRPr="00157B98">
        <w:t>förorda</w:t>
      </w:r>
      <w:r w:rsidR="00191FB4" w:rsidRPr="00157B98">
        <w:t xml:space="preserve"> att </w:t>
      </w:r>
      <w:r w:rsidR="00492BAB" w:rsidRPr="00157B98">
        <w:t>öppenhets</w:t>
      </w:r>
      <w:r w:rsidR="00191FB4" w:rsidRPr="00157B98">
        <w:t>förordningen</w:t>
      </w:r>
      <w:r w:rsidR="00C165D8" w:rsidRPr="00157B98">
        <w:t xml:space="preserve"> ändras </w:t>
      </w:r>
      <w:r w:rsidR="00191FB4" w:rsidRPr="00157B98">
        <w:t>i</w:t>
      </w:r>
      <w:r w:rsidR="00C165D8" w:rsidRPr="00157B98">
        <w:t xml:space="preserve"> </w:t>
      </w:r>
      <w:r w:rsidR="000469FE" w:rsidRPr="00157B98">
        <w:t xml:space="preserve">så </w:t>
      </w:r>
      <w:r w:rsidR="00191FB4" w:rsidRPr="00157B98">
        <w:t>öppenhetsvänlig riktning</w:t>
      </w:r>
      <w:r w:rsidR="000469FE" w:rsidRPr="00157B98">
        <w:t xml:space="preserve"> som möjligt</w:t>
      </w:r>
      <w:r w:rsidR="00191FB4" w:rsidRPr="00157B98">
        <w:t>. Revideringen av förordningen får inte leda till förändringar som kan uppfattas som ett steg tillb</w:t>
      </w:r>
      <w:r w:rsidR="00191FB4" w:rsidRPr="00157B98">
        <w:t>a</w:t>
      </w:r>
      <w:r w:rsidR="00191FB4" w:rsidRPr="00157B98">
        <w:t>ka för öppenheten.</w:t>
      </w:r>
    </w:p>
    <w:p w:rsidR="000645A2" w:rsidRPr="00157B98" w:rsidRDefault="000469FE" w:rsidP="000645A2">
      <w:r w:rsidRPr="00157B98">
        <w:t>Det är viktigt att s</w:t>
      </w:r>
      <w:r w:rsidR="000645A2" w:rsidRPr="00157B98">
        <w:t xml:space="preserve">amtliga regler som rör allmänhetens tillgång till handlingar finns i öppenhetsförordningen. I konsekvens med detta bör förordningen harmoniseras med Århusförordningen. </w:t>
      </w:r>
      <w:r w:rsidR="00492BAB" w:rsidRPr="00157B98">
        <w:t>A</w:t>
      </w:r>
      <w:r w:rsidR="000645A2" w:rsidRPr="00157B98">
        <w:t xml:space="preserve">v samma skäl </w:t>
      </w:r>
      <w:r w:rsidR="00492BAB" w:rsidRPr="00157B98">
        <w:t xml:space="preserve">bör det </w:t>
      </w:r>
      <w:r w:rsidR="000645A2" w:rsidRPr="00157B98">
        <w:t xml:space="preserve">förtydligas att öppenhetsförordningen har företräde framför dels regler om tillgång till handlingar i andra rättsakter, dels regler om personuppgiftsbehandling. Regeringen ser positivt på att förordningens definition av ”handling” även skall omfatta uppgifter i databaser, vilket överrensstämmer med våra nationella regler (jfr 2 kap. 3 § tryckfrihetsförordningen). </w:t>
      </w:r>
      <w:r w:rsidR="004F7F83" w:rsidRPr="00157B98">
        <w:t xml:space="preserve">Registrering av handlingar är en nyckelfråga för att öppenhetsförordningen skall kunna fungera på ett fullgott sätt. </w:t>
      </w:r>
      <w:r w:rsidR="000645A2" w:rsidRPr="00157B98">
        <w:t xml:space="preserve">Frågan om hur reglerna om registrering </w:t>
      </w:r>
      <w:r w:rsidR="004F7F83" w:rsidRPr="00157B98">
        <w:t xml:space="preserve">kan </w:t>
      </w:r>
      <w:r w:rsidR="000645A2" w:rsidRPr="00157B98">
        <w:t xml:space="preserve">påverka förvaringsbegreppet kommer att </w:t>
      </w:r>
      <w:r w:rsidR="00A07CC1" w:rsidRPr="00157B98">
        <w:t>följas</w:t>
      </w:r>
      <w:r w:rsidR="000645A2" w:rsidRPr="00157B98">
        <w:t xml:space="preserve"> noga. Att en begäran avser ett stort antal handlingar får inte åberopas som skäl för ett avslagsbeslut. Någon rätt att avslå ”olämpliga” ansökningar utan sedvanlig prövning kan inte heller godtas.</w:t>
      </w:r>
    </w:p>
    <w:p w:rsidR="009E1B39" w:rsidRPr="00157B98" w:rsidRDefault="009E1B39">
      <w:pPr>
        <w:pStyle w:val="Rubrik2"/>
      </w:pPr>
      <w:r w:rsidRPr="00157B98">
        <w:t>Medlemsstaternas ståndpunkter</w:t>
      </w:r>
    </w:p>
    <w:p w:rsidR="009E1B39" w:rsidRPr="00157B98" w:rsidRDefault="00155708">
      <w:r w:rsidRPr="00157B98">
        <w:t>Ännu inte kända.</w:t>
      </w:r>
    </w:p>
    <w:p w:rsidR="009E1B39" w:rsidRPr="00157B98" w:rsidRDefault="009E1B39">
      <w:pPr>
        <w:pStyle w:val="Rubrik2"/>
      </w:pPr>
      <w:r w:rsidRPr="00157B98">
        <w:t>Institutionernas ståndpunkter</w:t>
      </w:r>
    </w:p>
    <w:p w:rsidR="009E1B39" w:rsidRPr="00157B98" w:rsidRDefault="000C01DE">
      <w:r w:rsidRPr="00157B98">
        <w:t>Ännu inte kända.</w:t>
      </w:r>
    </w:p>
    <w:p w:rsidR="009E1B39" w:rsidRPr="00157B98" w:rsidRDefault="009E1B39">
      <w:pPr>
        <w:pStyle w:val="Rubrik2"/>
      </w:pPr>
      <w:r w:rsidRPr="00157B98">
        <w:t>Remissinstansernas ståndpunkter</w:t>
      </w:r>
    </w:p>
    <w:p w:rsidR="009E1B39" w:rsidRPr="00157B98" w:rsidRDefault="00155708">
      <w:r w:rsidRPr="00157B98">
        <w:t xml:space="preserve">Grönboken </w:t>
      </w:r>
      <w:r w:rsidR="00AC3BAD" w:rsidRPr="00157B98">
        <w:t xml:space="preserve">har inte sänts ut på </w:t>
      </w:r>
      <w:r w:rsidRPr="00157B98">
        <w:t>remiss.</w:t>
      </w:r>
    </w:p>
    <w:p w:rsidR="009E1B39" w:rsidRPr="00157B98" w:rsidRDefault="009E1B39">
      <w:pPr>
        <w:pStyle w:val="Rubrik1"/>
      </w:pPr>
      <w:r w:rsidRPr="00157B98">
        <w:t>Övrigt</w:t>
      </w:r>
    </w:p>
    <w:p w:rsidR="009E1B39" w:rsidRPr="00157B98" w:rsidRDefault="009E1B39">
      <w:pPr>
        <w:pStyle w:val="Rubrik2"/>
      </w:pPr>
      <w:r w:rsidRPr="00157B98">
        <w:t>Fortsatt behandling av ärendet</w:t>
      </w:r>
    </w:p>
    <w:p w:rsidR="009E1B39" w:rsidRPr="00157B98" w:rsidRDefault="000C01DE" w:rsidP="000C01DE">
      <w:r w:rsidRPr="00157B98">
        <w:t>En konsultationsperiod kommer att pågå till den 15 juli 2007 med möjlighet för allmänheten och andra att lämna synpunkter på innehållet i grönboken. Kommissionen kommer därefter att sammanställa de lämnade synpunkterna i en rapport som beräknas vara färdigställd under september 2007. Kommissionen har beräknat att ett förslag till ändringar i förordningen kan komma att lämnas under oktober 2007.</w:t>
      </w:r>
    </w:p>
    <w:p w:rsidR="009E1B39" w:rsidRPr="00157B98" w:rsidRDefault="009E1B39">
      <w:pPr>
        <w:pStyle w:val="Rubrik2"/>
      </w:pPr>
      <w:r w:rsidRPr="00157B98">
        <w:t>Rättslig grund och beslutsförfarande</w:t>
      </w:r>
    </w:p>
    <w:p w:rsidR="00A357F7" w:rsidRPr="00157B98" w:rsidRDefault="00492BAB" w:rsidP="00A357F7">
      <w:r w:rsidRPr="00157B98">
        <w:t>I a</w:t>
      </w:r>
      <w:r w:rsidR="000C01DE" w:rsidRPr="00157B98">
        <w:t>rt</w:t>
      </w:r>
      <w:r w:rsidR="00DC5EE4" w:rsidRPr="00157B98">
        <w:t>ikel</w:t>
      </w:r>
      <w:r w:rsidR="000C01DE" w:rsidRPr="00157B98">
        <w:t xml:space="preserve"> 255</w:t>
      </w:r>
      <w:r w:rsidR="00DC5EE4" w:rsidRPr="00157B98">
        <w:t xml:space="preserve"> slå</w:t>
      </w:r>
      <w:r w:rsidRPr="00157B98">
        <w:t>s</w:t>
      </w:r>
      <w:r w:rsidR="00DC5EE4" w:rsidRPr="00157B98">
        <w:t xml:space="preserve"> fast </w:t>
      </w:r>
      <w:r w:rsidRPr="00157B98">
        <w:t>att varje unionsmedborgare och varje fysisk eller juridisk person som är bosatt eller har sitt säte i en medlemsstat skall ha rätt till tillgång till Europaparlamentets, rådets och kommissionens handlingar.</w:t>
      </w:r>
      <w:r w:rsidR="004170B6" w:rsidRPr="00157B98">
        <w:t xml:space="preserve"> </w:t>
      </w:r>
      <w:r w:rsidR="00DC5EE4" w:rsidRPr="00157B98">
        <w:t>Bestämmelsen hänvisar till beslutsförfarandet i artikel 251. Rådet fattar beslut med kvalificerad majoritet. Europaparlamentet har medbeslutanderätt.</w:t>
      </w:r>
    </w:p>
    <w:p w:rsidR="009E1B39" w:rsidRPr="00157B98" w:rsidRDefault="009E1B39">
      <w:pPr>
        <w:pStyle w:val="Rubrik2"/>
      </w:pPr>
      <w:r w:rsidRPr="00157B98">
        <w:t>Fackuttryck/termer</w:t>
      </w:r>
    </w:p>
    <w:p w:rsidR="006A3AD5" w:rsidRPr="00157B98" w:rsidRDefault="000C01DE">
      <w:r w:rsidRPr="00157B98">
        <w:t>-</w:t>
      </w:r>
    </w:p>
    <w:sectPr w:rsidR="006A3AD5" w:rsidRPr="00157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681" w:rsidRPr="00157B98" w:rsidRDefault="00605681">
      <w:r w:rsidRPr="00157B98">
        <w:separator/>
      </w:r>
    </w:p>
  </w:endnote>
  <w:endnote w:type="continuationSeparator" w:id="0">
    <w:p w:rsidR="00605681" w:rsidRPr="00157B98" w:rsidRDefault="00605681">
      <w:r w:rsidRPr="00157B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AD5" w:rsidRPr="00157B98" w:rsidRDefault="006A3A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B39" w:rsidRPr="00157B98" w:rsidRDefault="00605681">
    <w:pPr>
      <w:pStyle w:val="SidfotH"/>
      <w:framePr w:wrap="around"/>
    </w:pPr>
    <w:r w:rsidRPr="00157B98">
      <w:t>2</w:t>
    </w:r>
  </w:p>
  <w:p w:rsidR="009E1B39" w:rsidRPr="00157B98" w:rsidRDefault="009E1B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B39" w:rsidRPr="00157B98" w:rsidRDefault="00605681">
    <w:pPr>
      <w:pStyle w:val="SidfotH"/>
      <w:framePr w:wrap="around"/>
    </w:pPr>
    <w:r w:rsidRPr="00157B98">
      <w:t>1</w:t>
    </w:r>
  </w:p>
  <w:p w:rsidR="009E1B39" w:rsidRPr="00157B98" w:rsidRDefault="009E1B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681" w:rsidRPr="00157B98" w:rsidRDefault="00605681">
      <w:r w:rsidRPr="00157B98">
        <w:separator/>
      </w:r>
    </w:p>
  </w:footnote>
  <w:footnote w:type="continuationSeparator" w:id="0">
    <w:p w:rsidR="00605681" w:rsidRPr="00157B98" w:rsidRDefault="00605681">
      <w:r w:rsidRPr="00157B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AD5" w:rsidRPr="00157B98" w:rsidRDefault="006A3A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B39" w:rsidRPr="00157B98" w:rsidRDefault="001F29DC">
    <w:pPr>
      <w:pStyle w:val="Kantrubrik"/>
      <w:framePr w:h="1157" w:hRule="exact" w:wrap="around" w:y="738"/>
    </w:pPr>
    <w:r w:rsidRPr="00157B98">
      <w:t>2006/07</w:t>
    </w:r>
    <w:r w:rsidR="009E1B39" w:rsidRPr="00157B98">
      <w:t>:</w:t>
    </w:r>
    <w:r w:rsidRPr="00157B98">
      <w:t>FPM98</w:t>
    </w:r>
  </w:p>
  <w:p w:rsidR="009E1B39" w:rsidRPr="00157B98" w:rsidRDefault="009E1B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B39" w:rsidRPr="00157B98" w:rsidRDefault="00157B98">
    <w:pPr>
      <w:pStyle w:val="Sidhuvud"/>
    </w:pPr>
    <w:r w:rsidRPr="00157B98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4821151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39" w:rsidRDefault="009E1B39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60125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9E1B39" w:rsidRDefault="009E1B39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60125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CC6788"/>
    <w:multiLevelType w:val="hybridMultilevel"/>
    <w:tmpl w:val="1EB4442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750F54"/>
    <w:multiLevelType w:val="multilevel"/>
    <w:tmpl w:val="7FA0A99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DE4ABB"/>
    <w:multiLevelType w:val="hybridMultilevel"/>
    <w:tmpl w:val="3D7E63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91903706">
    <w:abstractNumId w:val="7"/>
  </w:num>
  <w:num w:numId="2" w16cid:durableId="1899513999">
    <w:abstractNumId w:val="2"/>
  </w:num>
  <w:num w:numId="3" w16cid:durableId="1270426486">
    <w:abstractNumId w:val="4"/>
  </w:num>
  <w:num w:numId="4" w16cid:durableId="2075469863">
    <w:abstractNumId w:val="6"/>
  </w:num>
  <w:num w:numId="5" w16cid:durableId="576330893">
    <w:abstractNumId w:val="8"/>
  </w:num>
  <w:num w:numId="6" w16cid:durableId="30499383">
    <w:abstractNumId w:val="0"/>
  </w:num>
  <w:num w:numId="7" w16cid:durableId="418867507">
    <w:abstractNumId w:val="5"/>
  </w:num>
  <w:num w:numId="8" w16cid:durableId="333797789">
    <w:abstractNumId w:val="3"/>
  </w:num>
  <w:num w:numId="9" w16cid:durableId="31372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7-03"/>
    <w:docVar w:name="Ar" w:val="2006/07"/>
    <w:docVar w:name="Dep" w:val="Justitiedepartementet"/>
    <w:docVar w:name="DepWeb" w:val="Justitiedepartementet"/>
    <w:docVar w:name="GDB1" w:val="KOM (2007) 185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Grönbok om allmänhetens tillgång till de Europeiska gemenskaperns institutionernas handlingar. En översyn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7) 185"/>
    <w:docVar w:name="Nr" w:val="98"/>
    <w:docVar w:name="RD_APPVERSION" w:val="3.00"/>
    <w:docVar w:name="Rub" w:val="Grönbok om allmänhetens tillgång till EU-dokument"/>
    <w:docVar w:name="UppDat" w:val="2007-07-03"/>
    <w:docVar w:name="Utsk" w:val="Konstitutionsutskottet"/>
  </w:docVars>
  <w:rsids>
    <w:rsidRoot w:val="00157B98"/>
    <w:rsid w:val="00000629"/>
    <w:rsid w:val="00030B95"/>
    <w:rsid w:val="000469FE"/>
    <w:rsid w:val="000558BE"/>
    <w:rsid w:val="00062EA7"/>
    <w:rsid w:val="000645A2"/>
    <w:rsid w:val="000A4831"/>
    <w:rsid w:val="000C01DE"/>
    <w:rsid w:val="000C7724"/>
    <w:rsid w:val="000D5665"/>
    <w:rsid w:val="000E1A8E"/>
    <w:rsid w:val="00155708"/>
    <w:rsid w:val="00157B98"/>
    <w:rsid w:val="00191FB4"/>
    <w:rsid w:val="001F29DC"/>
    <w:rsid w:val="00204136"/>
    <w:rsid w:val="00245543"/>
    <w:rsid w:val="003053EE"/>
    <w:rsid w:val="00310250"/>
    <w:rsid w:val="00375D10"/>
    <w:rsid w:val="003A1904"/>
    <w:rsid w:val="003E170F"/>
    <w:rsid w:val="004170B6"/>
    <w:rsid w:val="00432E31"/>
    <w:rsid w:val="00456CFC"/>
    <w:rsid w:val="0047588F"/>
    <w:rsid w:val="00484114"/>
    <w:rsid w:val="00492BAB"/>
    <w:rsid w:val="004A4F6D"/>
    <w:rsid w:val="004C081A"/>
    <w:rsid w:val="004C730B"/>
    <w:rsid w:val="004F7F83"/>
    <w:rsid w:val="00543844"/>
    <w:rsid w:val="00551FEC"/>
    <w:rsid w:val="00560EBA"/>
    <w:rsid w:val="005F2277"/>
    <w:rsid w:val="00605681"/>
    <w:rsid w:val="00623A25"/>
    <w:rsid w:val="00637C81"/>
    <w:rsid w:val="006414D4"/>
    <w:rsid w:val="006A3AD5"/>
    <w:rsid w:val="006C3368"/>
    <w:rsid w:val="006C3500"/>
    <w:rsid w:val="00705884"/>
    <w:rsid w:val="00721745"/>
    <w:rsid w:val="00742D5A"/>
    <w:rsid w:val="00772E70"/>
    <w:rsid w:val="007916D2"/>
    <w:rsid w:val="007A0753"/>
    <w:rsid w:val="007B2102"/>
    <w:rsid w:val="00820471"/>
    <w:rsid w:val="00840325"/>
    <w:rsid w:val="008D2804"/>
    <w:rsid w:val="008D56F5"/>
    <w:rsid w:val="0090280D"/>
    <w:rsid w:val="00913396"/>
    <w:rsid w:val="00916161"/>
    <w:rsid w:val="009162C2"/>
    <w:rsid w:val="0095531D"/>
    <w:rsid w:val="009711B2"/>
    <w:rsid w:val="009B1230"/>
    <w:rsid w:val="009E1B39"/>
    <w:rsid w:val="009E6C1A"/>
    <w:rsid w:val="009F7EA0"/>
    <w:rsid w:val="00A02416"/>
    <w:rsid w:val="00A03810"/>
    <w:rsid w:val="00A07CC1"/>
    <w:rsid w:val="00A20546"/>
    <w:rsid w:val="00A357F7"/>
    <w:rsid w:val="00A84F37"/>
    <w:rsid w:val="00AC3BAD"/>
    <w:rsid w:val="00AD3925"/>
    <w:rsid w:val="00B40299"/>
    <w:rsid w:val="00B508A2"/>
    <w:rsid w:val="00B768D6"/>
    <w:rsid w:val="00B83E4A"/>
    <w:rsid w:val="00B87AA1"/>
    <w:rsid w:val="00C165D8"/>
    <w:rsid w:val="00CA7FBA"/>
    <w:rsid w:val="00CC3D10"/>
    <w:rsid w:val="00CC6BEF"/>
    <w:rsid w:val="00D01D42"/>
    <w:rsid w:val="00D4655F"/>
    <w:rsid w:val="00D578FC"/>
    <w:rsid w:val="00D66D1A"/>
    <w:rsid w:val="00D80ABE"/>
    <w:rsid w:val="00D87429"/>
    <w:rsid w:val="00DA2572"/>
    <w:rsid w:val="00DC5EE4"/>
    <w:rsid w:val="00DE1320"/>
    <w:rsid w:val="00E00820"/>
    <w:rsid w:val="00E20110"/>
    <w:rsid w:val="00E70E4E"/>
    <w:rsid w:val="00E85525"/>
    <w:rsid w:val="00E96943"/>
    <w:rsid w:val="00F1227E"/>
    <w:rsid w:val="00F33316"/>
    <w:rsid w:val="00F97333"/>
    <w:rsid w:val="00FA7249"/>
    <w:rsid w:val="00FB3E86"/>
    <w:rsid w:val="00FD58D3"/>
    <w:rsid w:val="00FE6FF5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5C6293-5694-4601-AF57-FCF07E5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1666</Words>
  <Characters>10647</Characters>
  <Application>Microsoft Office Word</Application>
  <DocSecurity>4</DocSecurity>
  <Lines>208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FPM_200607__98</vt:lpstr>
    </vt:vector>
  </TitlesOfParts>
  <Company>RD-DTSL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FPM_200607__98</dc:title>
  <dc:subject>FPM_200607__98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2007-06-21T08:58:00Z</cp:lastPrinted>
  <dcterms:created xsi:type="dcterms:W3CDTF">2025-12-17T03:17:00Z</dcterms:created>
  <dcterms:modified xsi:type="dcterms:W3CDTF">2025-12-17T03:17:00Z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98</vt:lpwstr>
  </property>
  <property fmtid="{D5CDD505-2E9C-101B-9397-08002B2CF9AE}" pid="4" name="GDB1">
    <vt:lpwstr>KOM (2007) 185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Grönbok om allmänhetens tillgång till EU-dokument</vt:lpwstr>
  </property>
  <property fmtid="{D5CDD505-2E9C-101B-9397-08002B2CF9AE}" pid="8" name="UppDat">
    <vt:lpwstr>2007-07-03</vt:lpwstr>
  </property>
  <property fmtid="{D5CDD505-2E9C-101B-9397-08002B2CF9AE}" pid="9" name="AnkDat">
    <vt:lpwstr>2007-07-03</vt:lpwstr>
  </property>
  <property fmtid="{D5CDD505-2E9C-101B-9397-08002B2CF9AE}" pid="10" name="Utsk">
    <vt:lpwstr>Konstitutionsutskottet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ra1007aa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2;0;0;205</vt:lpwstr>
  </property>
  <property fmtid="{D5CDD505-2E9C-101B-9397-08002B2CF9AE}" pid="41" name="Sprak">
    <vt:lpwstr>Svenska</vt:lpwstr>
  </property>
  <property fmtid="{D5CDD505-2E9C-101B-9397-08002B2CF9AE}" pid="42" name="DokID">
    <vt:i4>80</vt:i4>
  </property>
</Properties>
</file>