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DDDBC-E204-4E17-BAA0-2474EDC11BD2}"/>
</file>

<file path=customXml/itemProps2.xml><?xml version="1.0" encoding="utf-8"?>
<ds:datastoreItem xmlns:ds="http://schemas.openxmlformats.org/officeDocument/2006/customXml" ds:itemID="{A99B7AFA-52D6-4B45-A892-AA887B32E58D}"/>
</file>

<file path=customXml/itemProps3.xml><?xml version="1.0" encoding="utf-8"?>
<ds:datastoreItem xmlns:ds="http://schemas.openxmlformats.org/officeDocument/2006/customXml" ds:itemID="{B110B06B-F425-411B-999E-1373E99A39BE}"/>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