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style1.xml" ContentType="application/vnd.ms-office.chart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1.xml" ContentType="application/vnd.openxmlformats-officedocument.theme+xml"/>
  <Override PartName="/word/charts/colors19.xml" ContentType="application/vnd.ms-office.chartcolorstyl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550805640"/>
        <w:docPartObj>
          <w:docPartGallery w:val="Table of Contents"/>
          <w:docPartUnique/>
        </w:docPartObj>
      </w:sdtPr>
      <w:sdtEndPr>
        <w:rPr>
          <w:b/>
          <w:bCs/>
        </w:rPr>
      </w:sdtEndPr>
      <w:sdtContent>
        <w:p w:rsidRPr="006B7451" w:rsidR="0034266A" w:rsidP="0034266A" w:rsidRDefault="0034266A" w14:paraId="06F482D1" w14:textId="39515F9F">
          <w:pPr>
            <w:pStyle w:val="Innehllsfrteckningsrubrik"/>
          </w:pPr>
          <w:r w:rsidRPr="006B7451">
            <w:t>Innehåll</w:t>
          </w:r>
          <w:r>
            <w:t>sförteckning</w:t>
          </w:r>
        </w:p>
        <w:p w:rsidR="00DD36E2" w:rsidRDefault="00FA472B" w14:paraId="0E2514A1" w14:textId="46A5181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1752513">
            <w:r w:rsidRPr="000A0778" w:rsidR="00DD36E2">
              <w:rPr>
                <w:rStyle w:val="Hyperlnk"/>
                <w:noProof/>
              </w:rPr>
              <w:t>Förslag till riksdagsbeslut</w:t>
            </w:r>
            <w:r w:rsidR="00DD36E2">
              <w:rPr>
                <w:noProof/>
                <w:webHidden/>
              </w:rPr>
              <w:tab/>
            </w:r>
            <w:r w:rsidR="00DD36E2">
              <w:rPr>
                <w:noProof/>
                <w:webHidden/>
              </w:rPr>
              <w:fldChar w:fldCharType="begin"/>
            </w:r>
            <w:r w:rsidR="00DD36E2">
              <w:rPr>
                <w:noProof/>
                <w:webHidden/>
              </w:rPr>
              <w:instrText xml:space="preserve"> PAGEREF _Toc121752513 \h </w:instrText>
            </w:r>
            <w:r w:rsidR="00DD36E2">
              <w:rPr>
                <w:noProof/>
                <w:webHidden/>
              </w:rPr>
            </w:r>
            <w:r w:rsidR="00DD36E2">
              <w:rPr>
                <w:noProof/>
                <w:webHidden/>
              </w:rPr>
              <w:fldChar w:fldCharType="separate"/>
            </w:r>
            <w:r w:rsidR="00A63605">
              <w:rPr>
                <w:noProof/>
                <w:webHidden/>
              </w:rPr>
              <w:t>7</w:t>
            </w:r>
            <w:r w:rsidR="00DD36E2">
              <w:rPr>
                <w:noProof/>
                <w:webHidden/>
              </w:rPr>
              <w:fldChar w:fldCharType="end"/>
            </w:r>
          </w:hyperlink>
        </w:p>
        <w:p w:rsidR="00DD36E2" w:rsidRDefault="002F39CB" w14:paraId="3F952A9F" w14:textId="7423DC0C">
          <w:pPr>
            <w:pStyle w:val="Innehll1"/>
            <w:tabs>
              <w:tab w:val="right" w:leader="dot" w:pos="8494"/>
            </w:tabs>
            <w:rPr>
              <w:rFonts w:eastAsiaTheme="minorEastAsia"/>
              <w:noProof/>
              <w:kern w:val="0"/>
              <w:sz w:val="22"/>
              <w:szCs w:val="22"/>
              <w:lang w:eastAsia="sv-SE"/>
              <w14:numSpacing w14:val="default"/>
            </w:rPr>
          </w:pPr>
          <w:hyperlink w:history="1" w:anchor="_Toc121752514">
            <w:r w:rsidRPr="000A0778" w:rsidR="00DD36E2">
              <w:rPr>
                <w:rStyle w:val="Hyperlnk"/>
                <w:noProof/>
              </w:rPr>
              <w:t>1 Inledning</w:t>
            </w:r>
            <w:r w:rsidR="00DD36E2">
              <w:rPr>
                <w:noProof/>
                <w:webHidden/>
              </w:rPr>
              <w:tab/>
            </w:r>
            <w:r w:rsidR="00DD36E2">
              <w:rPr>
                <w:noProof/>
                <w:webHidden/>
              </w:rPr>
              <w:fldChar w:fldCharType="begin"/>
            </w:r>
            <w:r w:rsidR="00DD36E2">
              <w:rPr>
                <w:noProof/>
                <w:webHidden/>
              </w:rPr>
              <w:instrText xml:space="preserve"> PAGEREF _Toc121752514 \h </w:instrText>
            </w:r>
            <w:r w:rsidR="00DD36E2">
              <w:rPr>
                <w:noProof/>
                <w:webHidden/>
              </w:rPr>
            </w:r>
            <w:r w:rsidR="00DD36E2">
              <w:rPr>
                <w:noProof/>
                <w:webHidden/>
              </w:rPr>
              <w:fldChar w:fldCharType="separate"/>
            </w:r>
            <w:r w:rsidR="00A63605">
              <w:rPr>
                <w:noProof/>
                <w:webHidden/>
              </w:rPr>
              <w:t>8</w:t>
            </w:r>
            <w:r w:rsidR="00DD36E2">
              <w:rPr>
                <w:noProof/>
                <w:webHidden/>
              </w:rPr>
              <w:fldChar w:fldCharType="end"/>
            </w:r>
          </w:hyperlink>
        </w:p>
        <w:p w:rsidR="00DD36E2" w:rsidRDefault="002F39CB" w14:paraId="5890F033" w14:textId="4A89127A">
          <w:pPr>
            <w:pStyle w:val="Innehll2"/>
            <w:tabs>
              <w:tab w:val="right" w:leader="dot" w:pos="8494"/>
            </w:tabs>
            <w:rPr>
              <w:rFonts w:eastAsiaTheme="minorEastAsia"/>
              <w:noProof/>
              <w:kern w:val="0"/>
              <w:sz w:val="22"/>
              <w:szCs w:val="22"/>
              <w:lang w:eastAsia="sv-SE"/>
              <w14:numSpacing w14:val="default"/>
            </w:rPr>
          </w:pPr>
          <w:hyperlink w:history="1" w:anchor="_Toc121752515">
            <w:r w:rsidRPr="000A0778" w:rsidR="00DD36E2">
              <w:rPr>
                <w:rStyle w:val="Hyperlnk"/>
                <w:noProof/>
              </w:rPr>
              <w:t>1.1 Pandemin är även en ekonomisk kris</w:t>
            </w:r>
            <w:r w:rsidR="00DD36E2">
              <w:rPr>
                <w:noProof/>
                <w:webHidden/>
              </w:rPr>
              <w:tab/>
            </w:r>
            <w:r w:rsidR="00DD36E2">
              <w:rPr>
                <w:noProof/>
                <w:webHidden/>
              </w:rPr>
              <w:fldChar w:fldCharType="begin"/>
            </w:r>
            <w:r w:rsidR="00DD36E2">
              <w:rPr>
                <w:noProof/>
                <w:webHidden/>
              </w:rPr>
              <w:instrText xml:space="preserve"> PAGEREF _Toc121752515 \h </w:instrText>
            </w:r>
            <w:r w:rsidR="00DD36E2">
              <w:rPr>
                <w:noProof/>
                <w:webHidden/>
              </w:rPr>
            </w:r>
            <w:r w:rsidR="00DD36E2">
              <w:rPr>
                <w:noProof/>
                <w:webHidden/>
              </w:rPr>
              <w:fldChar w:fldCharType="separate"/>
            </w:r>
            <w:r w:rsidR="00A63605">
              <w:rPr>
                <w:noProof/>
                <w:webHidden/>
              </w:rPr>
              <w:t>8</w:t>
            </w:r>
            <w:r w:rsidR="00DD36E2">
              <w:rPr>
                <w:noProof/>
                <w:webHidden/>
              </w:rPr>
              <w:fldChar w:fldCharType="end"/>
            </w:r>
          </w:hyperlink>
        </w:p>
        <w:p w:rsidR="00DD36E2" w:rsidRDefault="002F39CB" w14:paraId="4B5BB795" w14:textId="2E9CF4CF">
          <w:pPr>
            <w:pStyle w:val="Innehll2"/>
            <w:tabs>
              <w:tab w:val="right" w:leader="dot" w:pos="8494"/>
            </w:tabs>
            <w:rPr>
              <w:rFonts w:eastAsiaTheme="minorEastAsia"/>
              <w:noProof/>
              <w:kern w:val="0"/>
              <w:sz w:val="22"/>
              <w:szCs w:val="22"/>
              <w:lang w:eastAsia="sv-SE"/>
              <w14:numSpacing w14:val="default"/>
            </w:rPr>
          </w:pPr>
          <w:hyperlink w:history="1" w:anchor="_Toc121752516">
            <w:r w:rsidRPr="000A0778" w:rsidR="00DD36E2">
              <w:rPr>
                <w:rStyle w:val="Hyperlnk"/>
                <w:noProof/>
              </w:rPr>
              <w:t>1.2 Vårdskulden ska betalas av</w:t>
            </w:r>
            <w:r w:rsidR="00DD36E2">
              <w:rPr>
                <w:noProof/>
                <w:webHidden/>
              </w:rPr>
              <w:tab/>
            </w:r>
            <w:r w:rsidR="00DD36E2">
              <w:rPr>
                <w:noProof/>
                <w:webHidden/>
              </w:rPr>
              <w:fldChar w:fldCharType="begin"/>
            </w:r>
            <w:r w:rsidR="00DD36E2">
              <w:rPr>
                <w:noProof/>
                <w:webHidden/>
              </w:rPr>
              <w:instrText xml:space="preserve"> PAGEREF _Toc121752516 \h </w:instrText>
            </w:r>
            <w:r w:rsidR="00DD36E2">
              <w:rPr>
                <w:noProof/>
                <w:webHidden/>
              </w:rPr>
            </w:r>
            <w:r w:rsidR="00DD36E2">
              <w:rPr>
                <w:noProof/>
                <w:webHidden/>
              </w:rPr>
              <w:fldChar w:fldCharType="separate"/>
            </w:r>
            <w:r w:rsidR="00A63605">
              <w:rPr>
                <w:noProof/>
                <w:webHidden/>
              </w:rPr>
              <w:t>8</w:t>
            </w:r>
            <w:r w:rsidR="00DD36E2">
              <w:rPr>
                <w:noProof/>
                <w:webHidden/>
              </w:rPr>
              <w:fldChar w:fldCharType="end"/>
            </w:r>
          </w:hyperlink>
        </w:p>
        <w:p w:rsidR="00DD36E2" w:rsidRDefault="002F39CB" w14:paraId="189EADEA" w14:textId="240F166D">
          <w:pPr>
            <w:pStyle w:val="Innehll2"/>
            <w:tabs>
              <w:tab w:val="right" w:leader="dot" w:pos="8494"/>
            </w:tabs>
            <w:rPr>
              <w:rFonts w:eastAsiaTheme="minorEastAsia"/>
              <w:noProof/>
              <w:kern w:val="0"/>
              <w:sz w:val="22"/>
              <w:szCs w:val="22"/>
              <w:lang w:eastAsia="sv-SE"/>
              <w14:numSpacing w14:val="default"/>
            </w:rPr>
          </w:pPr>
          <w:hyperlink w:history="1" w:anchor="_Toc121752517">
            <w:r w:rsidRPr="000A0778" w:rsidR="00DD36E2">
              <w:rPr>
                <w:rStyle w:val="Hyperlnk"/>
                <w:noProof/>
              </w:rPr>
              <w:t>1.3 Gängkriminaliteten ska tryckas tillbaka</w:t>
            </w:r>
            <w:r w:rsidR="00DD36E2">
              <w:rPr>
                <w:noProof/>
                <w:webHidden/>
              </w:rPr>
              <w:tab/>
            </w:r>
            <w:r w:rsidR="00DD36E2">
              <w:rPr>
                <w:noProof/>
                <w:webHidden/>
              </w:rPr>
              <w:fldChar w:fldCharType="begin"/>
            </w:r>
            <w:r w:rsidR="00DD36E2">
              <w:rPr>
                <w:noProof/>
                <w:webHidden/>
              </w:rPr>
              <w:instrText xml:space="preserve"> PAGEREF _Toc121752517 \h </w:instrText>
            </w:r>
            <w:r w:rsidR="00DD36E2">
              <w:rPr>
                <w:noProof/>
                <w:webHidden/>
              </w:rPr>
            </w:r>
            <w:r w:rsidR="00DD36E2">
              <w:rPr>
                <w:noProof/>
                <w:webHidden/>
              </w:rPr>
              <w:fldChar w:fldCharType="separate"/>
            </w:r>
            <w:r w:rsidR="00A63605">
              <w:rPr>
                <w:noProof/>
                <w:webHidden/>
              </w:rPr>
              <w:t>9</w:t>
            </w:r>
            <w:r w:rsidR="00DD36E2">
              <w:rPr>
                <w:noProof/>
                <w:webHidden/>
              </w:rPr>
              <w:fldChar w:fldCharType="end"/>
            </w:r>
          </w:hyperlink>
        </w:p>
        <w:p w:rsidR="00DD36E2" w:rsidRDefault="002F39CB" w14:paraId="1A82BB3C" w14:textId="5C8F2872">
          <w:pPr>
            <w:pStyle w:val="Innehll2"/>
            <w:tabs>
              <w:tab w:val="right" w:leader="dot" w:pos="8494"/>
            </w:tabs>
            <w:rPr>
              <w:rFonts w:eastAsiaTheme="minorEastAsia"/>
              <w:noProof/>
              <w:kern w:val="0"/>
              <w:sz w:val="22"/>
              <w:szCs w:val="22"/>
              <w:lang w:eastAsia="sv-SE"/>
              <w14:numSpacing w14:val="default"/>
            </w:rPr>
          </w:pPr>
          <w:hyperlink w:history="1" w:anchor="_Toc121752518">
            <w:r w:rsidRPr="000A0778" w:rsidR="00DD36E2">
              <w:rPr>
                <w:rStyle w:val="Hyperlnk"/>
                <w:noProof/>
              </w:rPr>
              <w:t>1.4 Pensionerna ska stärkas</w:t>
            </w:r>
            <w:r w:rsidR="00DD36E2">
              <w:rPr>
                <w:noProof/>
                <w:webHidden/>
              </w:rPr>
              <w:tab/>
            </w:r>
            <w:r w:rsidR="00DD36E2">
              <w:rPr>
                <w:noProof/>
                <w:webHidden/>
              </w:rPr>
              <w:fldChar w:fldCharType="begin"/>
            </w:r>
            <w:r w:rsidR="00DD36E2">
              <w:rPr>
                <w:noProof/>
                <w:webHidden/>
              </w:rPr>
              <w:instrText xml:space="preserve"> PAGEREF _Toc121752518 \h </w:instrText>
            </w:r>
            <w:r w:rsidR="00DD36E2">
              <w:rPr>
                <w:noProof/>
                <w:webHidden/>
              </w:rPr>
            </w:r>
            <w:r w:rsidR="00DD36E2">
              <w:rPr>
                <w:noProof/>
                <w:webHidden/>
              </w:rPr>
              <w:fldChar w:fldCharType="separate"/>
            </w:r>
            <w:r w:rsidR="00A63605">
              <w:rPr>
                <w:noProof/>
                <w:webHidden/>
              </w:rPr>
              <w:t>9</w:t>
            </w:r>
            <w:r w:rsidR="00DD36E2">
              <w:rPr>
                <w:noProof/>
                <w:webHidden/>
              </w:rPr>
              <w:fldChar w:fldCharType="end"/>
            </w:r>
          </w:hyperlink>
        </w:p>
        <w:p w:rsidR="00DD36E2" w:rsidRDefault="002F39CB" w14:paraId="24559C61" w14:textId="2DD9699A">
          <w:pPr>
            <w:pStyle w:val="Innehll2"/>
            <w:tabs>
              <w:tab w:val="right" w:leader="dot" w:pos="8494"/>
            </w:tabs>
            <w:rPr>
              <w:rFonts w:eastAsiaTheme="minorEastAsia"/>
              <w:noProof/>
              <w:kern w:val="0"/>
              <w:sz w:val="22"/>
              <w:szCs w:val="22"/>
              <w:lang w:eastAsia="sv-SE"/>
              <w14:numSpacing w14:val="default"/>
            </w:rPr>
          </w:pPr>
          <w:hyperlink w:history="1" w:anchor="_Toc121752519">
            <w:r w:rsidRPr="000A0778" w:rsidR="00DD36E2">
              <w:rPr>
                <w:rStyle w:val="Hyperlnk"/>
                <w:noProof/>
              </w:rPr>
              <w:t>1.5 Svensk välfärd ska återupprättas</w:t>
            </w:r>
            <w:r w:rsidR="00DD36E2">
              <w:rPr>
                <w:noProof/>
                <w:webHidden/>
              </w:rPr>
              <w:tab/>
            </w:r>
            <w:r w:rsidR="00DD36E2">
              <w:rPr>
                <w:noProof/>
                <w:webHidden/>
              </w:rPr>
              <w:fldChar w:fldCharType="begin"/>
            </w:r>
            <w:r w:rsidR="00DD36E2">
              <w:rPr>
                <w:noProof/>
                <w:webHidden/>
              </w:rPr>
              <w:instrText xml:space="preserve"> PAGEREF _Toc121752519 \h </w:instrText>
            </w:r>
            <w:r w:rsidR="00DD36E2">
              <w:rPr>
                <w:noProof/>
                <w:webHidden/>
              </w:rPr>
            </w:r>
            <w:r w:rsidR="00DD36E2">
              <w:rPr>
                <w:noProof/>
                <w:webHidden/>
              </w:rPr>
              <w:fldChar w:fldCharType="separate"/>
            </w:r>
            <w:r w:rsidR="00A63605">
              <w:rPr>
                <w:noProof/>
                <w:webHidden/>
              </w:rPr>
              <w:t>10</w:t>
            </w:r>
            <w:r w:rsidR="00DD36E2">
              <w:rPr>
                <w:noProof/>
                <w:webHidden/>
              </w:rPr>
              <w:fldChar w:fldCharType="end"/>
            </w:r>
          </w:hyperlink>
        </w:p>
        <w:p w:rsidR="00DD36E2" w:rsidRDefault="002F39CB" w14:paraId="035CF5D5" w14:textId="49CFB085">
          <w:pPr>
            <w:pStyle w:val="Innehll2"/>
            <w:tabs>
              <w:tab w:val="right" w:leader="dot" w:pos="8494"/>
            </w:tabs>
            <w:rPr>
              <w:rFonts w:eastAsiaTheme="minorEastAsia"/>
              <w:noProof/>
              <w:kern w:val="0"/>
              <w:sz w:val="22"/>
              <w:szCs w:val="22"/>
              <w:lang w:eastAsia="sv-SE"/>
              <w14:numSpacing w14:val="default"/>
            </w:rPr>
          </w:pPr>
          <w:hyperlink w:history="1" w:anchor="_Toc121752520">
            <w:r w:rsidRPr="000A0778" w:rsidR="00DD36E2">
              <w:rPr>
                <w:rStyle w:val="Hyperlnk"/>
                <w:noProof/>
              </w:rPr>
              <w:t>1.6 En politik som sätter Sverige främst</w:t>
            </w:r>
            <w:r w:rsidR="00DD36E2">
              <w:rPr>
                <w:noProof/>
                <w:webHidden/>
              </w:rPr>
              <w:tab/>
            </w:r>
            <w:r w:rsidR="00DD36E2">
              <w:rPr>
                <w:noProof/>
                <w:webHidden/>
              </w:rPr>
              <w:fldChar w:fldCharType="begin"/>
            </w:r>
            <w:r w:rsidR="00DD36E2">
              <w:rPr>
                <w:noProof/>
                <w:webHidden/>
              </w:rPr>
              <w:instrText xml:space="preserve"> PAGEREF _Toc121752520 \h </w:instrText>
            </w:r>
            <w:r w:rsidR="00DD36E2">
              <w:rPr>
                <w:noProof/>
                <w:webHidden/>
              </w:rPr>
            </w:r>
            <w:r w:rsidR="00DD36E2">
              <w:rPr>
                <w:noProof/>
                <w:webHidden/>
              </w:rPr>
              <w:fldChar w:fldCharType="separate"/>
            </w:r>
            <w:r w:rsidR="00A63605">
              <w:rPr>
                <w:noProof/>
                <w:webHidden/>
              </w:rPr>
              <w:t>10</w:t>
            </w:r>
            <w:r w:rsidR="00DD36E2">
              <w:rPr>
                <w:noProof/>
                <w:webHidden/>
              </w:rPr>
              <w:fldChar w:fldCharType="end"/>
            </w:r>
          </w:hyperlink>
        </w:p>
        <w:p w:rsidR="00DD36E2" w:rsidRDefault="002F39CB" w14:paraId="204F8F86" w14:textId="67FD895F">
          <w:pPr>
            <w:pStyle w:val="Innehll1"/>
            <w:tabs>
              <w:tab w:val="right" w:leader="dot" w:pos="8494"/>
            </w:tabs>
            <w:rPr>
              <w:rFonts w:eastAsiaTheme="minorEastAsia"/>
              <w:noProof/>
              <w:kern w:val="0"/>
              <w:sz w:val="22"/>
              <w:szCs w:val="22"/>
              <w:lang w:eastAsia="sv-SE"/>
              <w14:numSpacing w14:val="default"/>
            </w:rPr>
          </w:pPr>
          <w:hyperlink w:history="1" w:anchor="_Toc121752521">
            <w:r w:rsidRPr="000A0778" w:rsidR="00DD36E2">
              <w:rPr>
                <w:rStyle w:val="Hyperlnk"/>
                <w:noProof/>
              </w:rPr>
              <w:t>2 Den makroekonomiska utvecklingen</w:t>
            </w:r>
            <w:r w:rsidR="00DD36E2">
              <w:rPr>
                <w:noProof/>
                <w:webHidden/>
              </w:rPr>
              <w:tab/>
            </w:r>
            <w:r w:rsidR="00DD36E2">
              <w:rPr>
                <w:noProof/>
                <w:webHidden/>
              </w:rPr>
              <w:fldChar w:fldCharType="begin"/>
            </w:r>
            <w:r w:rsidR="00DD36E2">
              <w:rPr>
                <w:noProof/>
                <w:webHidden/>
              </w:rPr>
              <w:instrText xml:space="preserve"> PAGEREF _Toc121752521 \h </w:instrText>
            </w:r>
            <w:r w:rsidR="00DD36E2">
              <w:rPr>
                <w:noProof/>
                <w:webHidden/>
              </w:rPr>
            </w:r>
            <w:r w:rsidR="00DD36E2">
              <w:rPr>
                <w:noProof/>
                <w:webHidden/>
              </w:rPr>
              <w:fldChar w:fldCharType="separate"/>
            </w:r>
            <w:r w:rsidR="00A63605">
              <w:rPr>
                <w:noProof/>
                <w:webHidden/>
              </w:rPr>
              <w:t>11</w:t>
            </w:r>
            <w:r w:rsidR="00DD36E2">
              <w:rPr>
                <w:noProof/>
                <w:webHidden/>
              </w:rPr>
              <w:fldChar w:fldCharType="end"/>
            </w:r>
          </w:hyperlink>
        </w:p>
        <w:p w:rsidR="00DD36E2" w:rsidRDefault="002F39CB" w14:paraId="2741C26D" w14:textId="3F729EDD">
          <w:pPr>
            <w:pStyle w:val="Innehll2"/>
            <w:tabs>
              <w:tab w:val="right" w:leader="dot" w:pos="8494"/>
            </w:tabs>
            <w:rPr>
              <w:rFonts w:eastAsiaTheme="minorEastAsia"/>
              <w:noProof/>
              <w:kern w:val="0"/>
              <w:sz w:val="22"/>
              <w:szCs w:val="22"/>
              <w:lang w:eastAsia="sv-SE"/>
              <w14:numSpacing w14:val="default"/>
            </w:rPr>
          </w:pPr>
          <w:hyperlink w:history="1" w:anchor="_Toc121752522">
            <w:r w:rsidRPr="000A0778" w:rsidR="00DD36E2">
              <w:rPr>
                <w:rStyle w:val="Hyperlnk"/>
                <w:noProof/>
              </w:rPr>
              <w:t>2.1 Konjunkturläget i omvärlden</w:t>
            </w:r>
            <w:r w:rsidR="00DD36E2">
              <w:rPr>
                <w:noProof/>
                <w:webHidden/>
              </w:rPr>
              <w:tab/>
            </w:r>
            <w:r w:rsidR="00DD36E2">
              <w:rPr>
                <w:noProof/>
                <w:webHidden/>
              </w:rPr>
              <w:fldChar w:fldCharType="begin"/>
            </w:r>
            <w:r w:rsidR="00DD36E2">
              <w:rPr>
                <w:noProof/>
                <w:webHidden/>
              </w:rPr>
              <w:instrText xml:space="preserve"> PAGEREF _Toc121752522 \h </w:instrText>
            </w:r>
            <w:r w:rsidR="00DD36E2">
              <w:rPr>
                <w:noProof/>
                <w:webHidden/>
              </w:rPr>
            </w:r>
            <w:r w:rsidR="00DD36E2">
              <w:rPr>
                <w:noProof/>
                <w:webHidden/>
              </w:rPr>
              <w:fldChar w:fldCharType="separate"/>
            </w:r>
            <w:r w:rsidR="00A63605">
              <w:rPr>
                <w:noProof/>
                <w:webHidden/>
              </w:rPr>
              <w:t>11</w:t>
            </w:r>
            <w:r w:rsidR="00DD36E2">
              <w:rPr>
                <w:noProof/>
                <w:webHidden/>
              </w:rPr>
              <w:fldChar w:fldCharType="end"/>
            </w:r>
          </w:hyperlink>
        </w:p>
        <w:p w:rsidR="00DD36E2" w:rsidRDefault="002F39CB" w14:paraId="20CC92A9" w14:textId="54209E82">
          <w:pPr>
            <w:pStyle w:val="Innehll2"/>
            <w:tabs>
              <w:tab w:val="right" w:leader="dot" w:pos="8494"/>
            </w:tabs>
            <w:rPr>
              <w:rFonts w:eastAsiaTheme="minorEastAsia"/>
              <w:noProof/>
              <w:kern w:val="0"/>
              <w:sz w:val="22"/>
              <w:szCs w:val="22"/>
              <w:lang w:eastAsia="sv-SE"/>
              <w14:numSpacing w14:val="default"/>
            </w:rPr>
          </w:pPr>
          <w:hyperlink w:history="1" w:anchor="_Toc121752523">
            <w:r w:rsidRPr="000A0778" w:rsidR="00DD36E2">
              <w:rPr>
                <w:rStyle w:val="Hyperlnk"/>
                <w:noProof/>
              </w:rPr>
              <w:t>2.2 Konjunkturläget i Sverige</w:t>
            </w:r>
            <w:r w:rsidR="00DD36E2">
              <w:rPr>
                <w:noProof/>
                <w:webHidden/>
              </w:rPr>
              <w:tab/>
            </w:r>
            <w:r w:rsidR="00DD36E2">
              <w:rPr>
                <w:noProof/>
                <w:webHidden/>
              </w:rPr>
              <w:fldChar w:fldCharType="begin"/>
            </w:r>
            <w:r w:rsidR="00DD36E2">
              <w:rPr>
                <w:noProof/>
                <w:webHidden/>
              </w:rPr>
              <w:instrText xml:space="preserve"> PAGEREF _Toc121752523 \h </w:instrText>
            </w:r>
            <w:r w:rsidR="00DD36E2">
              <w:rPr>
                <w:noProof/>
                <w:webHidden/>
              </w:rPr>
            </w:r>
            <w:r w:rsidR="00DD36E2">
              <w:rPr>
                <w:noProof/>
                <w:webHidden/>
              </w:rPr>
              <w:fldChar w:fldCharType="separate"/>
            </w:r>
            <w:r w:rsidR="00A63605">
              <w:rPr>
                <w:noProof/>
                <w:webHidden/>
              </w:rPr>
              <w:t>13</w:t>
            </w:r>
            <w:r w:rsidR="00DD36E2">
              <w:rPr>
                <w:noProof/>
                <w:webHidden/>
              </w:rPr>
              <w:fldChar w:fldCharType="end"/>
            </w:r>
          </w:hyperlink>
        </w:p>
        <w:p w:rsidR="00DD36E2" w:rsidRDefault="002F39CB" w14:paraId="632326AC" w14:textId="432221C2">
          <w:pPr>
            <w:pStyle w:val="Innehll3"/>
            <w:tabs>
              <w:tab w:val="right" w:leader="dot" w:pos="8494"/>
            </w:tabs>
            <w:rPr>
              <w:rFonts w:eastAsiaTheme="minorEastAsia"/>
              <w:noProof/>
              <w:kern w:val="0"/>
              <w:sz w:val="22"/>
              <w:szCs w:val="22"/>
              <w:lang w:eastAsia="sv-SE"/>
              <w14:numSpacing w14:val="default"/>
            </w:rPr>
          </w:pPr>
          <w:hyperlink w:history="1" w:anchor="_Toc121752524">
            <w:r w:rsidRPr="000A0778" w:rsidR="00DD36E2">
              <w:rPr>
                <w:rStyle w:val="Hyperlnk"/>
                <w:noProof/>
              </w:rPr>
              <w:t>Företag</w:t>
            </w:r>
            <w:r w:rsidR="00DD36E2">
              <w:rPr>
                <w:noProof/>
                <w:webHidden/>
              </w:rPr>
              <w:tab/>
            </w:r>
            <w:r w:rsidR="00DD36E2">
              <w:rPr>
                <w:noProof/>
                <w:webHidden/>
              </w:rPr>
              <w:fldChar w:fldCharType="begin"/>
            </w:r>
            <w:r w:rsidR="00DD36E2">
              <w:rPr>
                <w:noProof/>
                <w:webHidden/>
              </w:rPr>
              <w:instrText xml:space="preserve"> PAGEREF _Toc121752524 \h </w:instrText>
            </w:r>
            <w:r w:rsidR="00DD36E2">
              <w:rPr>
                <w:noProof/>
                <w:webHidden/>
              </w:rPr>
            </w:r>
            <w:r w:rsidR="00DD36E2">
              <w:rPr>
                <w:noProof/>
                <w:webHidden/>
              </w:rPr>
              <w:fldChar w:fldCharType="separate"/>
            </w:r>
            <w:r w:rsidR="00A63605">
              <w:rPr>
                <w:noProof/>
                <w:webHidden/>
              </w:rPr>
              <w:t>14</w:t>
            </w:r>
            <w:r w:rsidR="00DD36E2">
              <w:rPr>
                <w:noProof/>
                <w:webHidden/>
              </w:rPr>
              <w:fldChar w:fldCharType="end"/>
            </w:r>
          </w:hyperlink>
        </w:p>
        <w:p w:rsidR="00DD36E2" w:rsidRDefault="002F39CB" w14:paraId="568F870C" w14:textId="24DB6783">
          <w:pPr>
            <w:pStyle w:val="Innehll2"/>
            <w:tabs>
              <w:tab w:val="right" w:leader="dot" w:pos="8494"/>
            </w:tabs>
            <w:rPr>
              <w:rFonts w:eastAsiaTheme="minorEastAsia"/>
              <w:noProof/>
              <w:kern w:val="0"/>
              <w:sz w:val="22"/>
              <w:szCs w:val="22"/>
              <w:lang w:eastAsia="sv-SE"/>
              <w14:numSpacing w14:val="default"/>
            </w:rPr>
          </w:pPr>
          <w:hyperlink w:history="1" w:anchor="_Toc121752525">
            <w:r w:rsidRPr="000A0778" w:rsidR="00DD36E2">
              <w:rPr>
                <w:rStyle w:val="Hyperlnk"/>
                <w:noProof/>
              </w:rPr>
              <w:t>2.3 Utsikter för arbetslösheten</w:t>
            </w:r>
            <w:r w:rsidR="00DD36E2">
              <w:rPr>
                <w:noProof/>
                <w:webHidden/>
              </w:rPr>
              <w:tab/>
            </w:r>
            <w:r w:rsidR="00DD36E2">
              <w:rPr>
                <w:noProof/>
                <w:webHidden/>
              </w:rPr>
              <w:fldChar w:fldCharType="begin"/>
            </w:r>
            <w:r w:rsidR="00DD36E2">
              <w:rPr>
                <w:noProof/>
                <w:webHidden/>
              </w:rPr>
              <w:instrText xml:space="preserve"> PAGEREF _Toc121752525 \h </w:instrText>
            </w:r>
            <w:r w:rsidR="00DD36E2">
              <w:rPr>
                <w:noProof/>
                <w:webHidden/>
              </w:rPr>
            </w:r>
            <w:r w:rsidR="00DD36E2">
              <w:rPr>
                <w:noProof/>
                <w:webHidden/>
              </w:rPr>
              <w:fldChar w:fldCharType="separate"/>
            </w:r>
            <w:r w:rsidR="00A63605">
              <w:rPr>
                <w:noProof/>
                <w:webHidden/>
              </w:rPr>
              <w:t>15</w:t>
            </w:r>
            <w:r w:rsidR="00DD36E2">
              <w:rPr>
                <w:noProof/>
                <w:webHidden/>
              </w:rPr>
              <w:fldChar w:fldCharType="end"/>
            </w:r>
          </w:hyperlink>
        </w:p>
        <w:p w:rsidR="00DD36E2" w:rsidRDefault="002F39CB" w14:paraId="5B3CCD25" w14:textId="4ECD5358">
          <w:pPr>
            <w:pStyle w:val="Innehll2"/>
            <w:tabs>
              <w:tab w:val="right" w:leader="dot" w:pos="8494"/>
            </w:tabs>
            <w:rPr>
              <w:rFonts w:eastAsiaTheme="minorEastAsia"/>
              <w:noProof/>
              <w:kern w:val="0"/>
              <w:sz w:val="22"/>
              <w:szCs w:val="22"/>
              <w:lang w:eastAsia="sv-SE"/>
              <w14:numSpacing w14:val="default"/>
            </w:rPr>
          </w:pPr>
          <w:hyperlink w:history="1" w:anchor="_Toc121752526">
            <w:r w:rsidRPr="000A0778" w:rsidR="00DD36E2">
              <w:rPr>
                <w:rStyle w:val="Hyperlnk"/>
                <w:noProof/>
              </w:rPr>
              <w:t>2.4 Pandemin medför en fortsatt ovisshet</w:t>
            </w:r>
            <w:r w:rsidR="00DD36E2">
              <w:rPr>
                <w:noProof/>
                <w:webHidden/>
              </w:rPr>
              <w:tab/>
            </w:r>
            <w:r w:rsidR="00DD36E2">
              <w:rPr>
                <w:noProof/>
                <w:webHidden/>
              </w:rPr>
              <w:fldChar w:fldCharType="begin"/>
            </w:r>
            <w:r w:rsidR="00DD36E2">
              <w:rPr>
                <w:noProof/>
                <w:webHidden/>
              </w:rPr>
              <w:instrText xml:space="preserve"> PAGEREF _Toc121752526 \h </w:instrText>
            </w:r>
            <w:r w:rsidR="00DD36E2">
              <w:rPr>
                <w:noProof/>
                <w:webHidden/>
              </w:rPr>
            </w:r>
            <w:r w:rsidR="00DD36E2">
              <w:rPr>
                <w:noProof/>
                <w:webHidden/>
              </w:rPr>
              <w:fldChar w:fldCharType="separate"/>
            </w:r>
            <w:r w:rsidR="00A63605">
              <w:rPr>
                <w:noProof/>
                <w:webHidden/>
              </w:rPr>
              <w:t>18</w:t>
            </w:r>
            <w:r w:rsidR="00DD36E2">
              <w:rPr>
                <w:noProof/>
                <w:webHidden/>
              </w:rPr>
              <w:fldChar w:fldCharType="end"/>
            </w:r>
          </w:hyperlink>
        </w:p>
        <w:p w:rsidR="00DD36E2" w:rsidRDefault="002F39CB" w14:paraId="4696F2F6" w14:textId="0C6C59EA">
          <w:pPr>
            <w:pStyle w:val="Innehll1"/>
            <w:tabs>
              <w:tab w:val="right" w:leader="dot" w:pos="8494"/>
            </w:tabs>
            <w:rPr>
              <w:rFonts w:eastAsiaTheme="minorEastAsia"/>
              <w:noProof/>
              <w:kern w:val="0"/>
              <w:sz w:val="22"/>
              <w:szCs w:val="22"/>
              <w:lang w:eastAsia="sv-SE"/>
              <w14:numSpacing w14:val="default"/>
            </w:rPr>
          </w:pPr>
          <w:hyperlink w:history="1" w:anchor="_Toc121752527">
            <w:r w:rsidRPr="000A0778" w:rsidR="00DD36E2">
              <w:rPr>
                <w:rStyle w:val="Hyperlnk"/>
                <w:noProof/>
              </w:rPr>
              <w:t>3 Arbete/företag</w:t>
            </w:r>
            <w:r w:rsidR="00DD36E2">
              <w:rPr>
                <w:noProof/>
                <w:webHidden/>
              </w:rPr>
              <w:tab/>
            </w:r>
            <w:r w:rsidR="00DD36E2">
              <w:rPr>
                <w:noProof/>
                <w:webHidden/>
              </w:rPr>
              <w:fldChar w:fldCharType="begin"/>
            </w:r>
            <w:r w:rsidR="00DD36E2">
              <w:rPr>
                <w:noProof/>
                <w:webHidden/>
              </w:rPr>
              <w:instrText xml:space="preserve"> PAGEREF _Toc121752527 \h </w:instrText>
            </w:r>
            <w:r w:rsidR="00DD36E2">
              <w:rPr>
                <w:noProof/>
                <w:webHidden/>
              </w:rPr>
            </w:r>
            <w:r w:rsidR="00DD36E2">
              <w:rPr>
                <w:noProof/>
                <w:webHidden/>
              </w:rPr>
              <w:fldChar w:fldCharType="separate"/>
            </w:r>
            <w:r w:rsidR="00A63605">
              <w:rPr>
                <w:noProof/>
                <w:webHidden/>
              </w:rPr>
              <w:t>19</w:t>
            </w:r>
            <w:r w:rsidR="00DD36E2">
              <w:rPr>
                <w:noProof/>
                <w:webHidden/>
              </w:rPr>
              <w:fldChar w:fldCharType="end"/>
            </w:r>
          </w:hyperlink>
        </w:p>
        <w:p w:rsidR="00DD36E2" w:rsidRDefault="002F39CB" w14:paraId="27F39E23" w14:textId="4B54B3AF">
          <w:pPr>
            <w:pStyle w:val="Innehll2"/>
            <w:tabs>
              <w:tab w:val="right" w:leader="dot" w:pos="8494"/>
            </w:tabs>
            <w:rPr>
              <w:rFonts w:eastAsiaTheme="minorEastAsia"/>
              <w:noProof/>
              <w:kern w:val="0"/>
              <w:sz w:val="22"/>
              <w:szCs w:val="22"/>
              <w:lang w:eastAsia="sv-SE"/>
              <w14:numSpacing w14:val="default"/>
            </w:rPr>
          </w:pPr>
          <w:hyperlink w:history="1" w:anchor="_Toc121752528">
            <w:r w:rsidRPr="000A0778" w:rsidR="00DD36E2">
              <w:rPr>
                <w:rStyle w:val="Hyperlnk"/>
                <w:noProof/>
              </w:rPr>
              <w:t>3.1 Mer i plånboken för arbetstagare och pensionärer</w:t>
            </w:r>
            <w:r w:rsidR="00DD36E2">
              <w:rPr>
                <w:noProof/>
                <w:webHidden/>
              </w:rPr>
              <w:tab/>
            </w:r>
            <w:r w:rsidR="00DD36E2">
              <w:rPr>
                <w:noProof/>
                <w:webHidden/>
              </w:rPr>
              <w:fldChar w:fldCharType="begin"/>
            </w:r>
            <w:r w:rsidR="00DD36E2">
              <w:rPr>
                <w:noProof/>
                <w:webHidden/>
              </w:rPr>
              <w:instrText xml:space="preserve"> PAGEREF _Toc121752528 \h </w:instrText>
            </w:r>
            <w:r w:rsidR="00DD36E2">
              <w:rPr>
                <w:noProof/>
                <w:webHidden/>
              </w:rPr>
            </w:r>
            <w:r w:rsidR="00DD36E2">
              <w:rPr>
                <w:noProof/>
                <w:webHidden/>
              </w:rPr>
              <w:fldChar w:fldCharType="separate"/>
            </w:r>
            <w:r w:rsidR="00A63605">
              <w:rPr>
                <w:noProof/>
                <w:webHidden/>
              </w:rPr>
              <w:t>19</w:t>
            </w:r>
            <w:r w:rsidR="00DD36E2">
              <w:rPr>
                <w:noProof/>
                <w:webHidden/>
              </w:rPr>
              <w:fldChar w:fldCharType="end"/>
            </w:r>
          </w:hyperlink>
        </w:p>
        <w:p w:rsidR="00DD36E2" w:rsidRDefault="002F39CB" w14:paraId="4806653A" w14:textId="717B3152">
          <w:pPr>
            <w:pStyle w:val="Innehll2"/>
            <w:tabs>
              <w:tab w:val="right" w:leader="dot" w:pos="8494"/>
            </w:tabs>
            <w:rPr>
              <w:rFonts w:eastAsiaTheme="minorEastAsia"/>
              <w:noProof/>
              <w:kern w:val="0"/>
              <w:sz w:val="22"/>
              <w:szCs w:val="22"/>
              <w:lang w:eastAsia="sv-SE"/>
              <w14:numSpacing w14:val="default"/>
            </w:rPr>
          </w:pPr>
          <w:hyperlink w:history="1" w:anchor="_Toc121752529">
            <w:r w:rsidRPr="000A0778" w:rsidR="00DD36E2">
              <w:rPr>
                <w:rStyle w:val="Hyperlnk"/>
                <w:noProof/>
              </w:rPr>
              <w:t>3.2 Utökat växa-stöd och lindrat sjuklöneansvar</w:t>
            </w:r>
            <w:r w:rsidR="00DD36E2">
              <w:rPr>
                <w:noProof/>
                <w:webHidden/>
              </w:rPr>
              <w:tab/>
            </w:r>
            <w:r w:rsidR="00DD36E2">
              <w:rPr>
                <w:noProof/>
                <w:webHidden/>
              </w:rPr>
              <w:fldChar w:fldCharType="begin"/>
            </w:r>
            <w:r w:rsidR="00DD36E2">
              <w:rPr>
                <w:noProof/>
                <w:webHidden/>
              </w:rPr>
              <w:instrText xml:space="preserve"> PAGEREF _Toc121752529 \h </w:instrText>
            </w:r>
            <w:r w:rsidR="00DD36E2">
              <w:rPr>
                <w:noProof/>
                <w:webHidden/>
              </w:rPr>
            </w:r>
            <w:r w:rsidR="00DD36E2">
              <w:rPr>
                <w:noProof/>
                <w:webHidden/>
              </w:rPr>
              <w:fldChar w:fldCharType="separate"/>
            </w:r>
            <w:r w:rsidR="00A63605">
              <w:rPr>
                <w:noProof/>
                <w:webHidden/>
              </w:rPr>
              <w:t>20</w:t>
            </w:r>
            <w:r w:rsidR="00DD36E2">
              <w:rPr>
                <w:noProof/>
                <w:webHidden/>
              </w:rPr>
              <w:fldChar w:fldCharType="end"/>
            </w:r>
          </w:hyperlink>
        </w:p>
        <w:p w:rsidR="00DD36E2" w:rsidRDefault="002F39CB" w14:paraId="38664AF9" w14:textId="050B216D">
          <w:pPr>
            <w:pStyle w:val="Innehll2"/>
            <w:tabs>
              <w:tab w:val="right" w:leader="dot" w:pos="8494"/>
            </w:tabs>
            <w:rPr>
              <w:rFonts w:eastAsiaTheme="minorEastAsia"/>
              <w:noProof/>
              <w:kern w:val="0"/>
              <w:sz w:val="22"/>
              <w:szCs w:val="22"/>
              <w:lang w:eastAsia="sv-SE"/>
              <w14:numSpacing w14:val="default"/>
            </w:rPr>
          </w:pPr>
          <w:hyperlink w:history="1" w:anchor="_Toc121752530">
            <w:r w:rsidRPr="000A0778" w:rsidR="00DD36E2">
              <w:rPr>
                <w:rStyle w:val="Hyperlnk"/>
                <w:noProof/>
              </w:rPr>
              <w:t>3.3 Starta eget-bidrag</w:t>
            </w:r>
            <w:r w:rsidR="00DD36E2">
              <w:rPr>
                <w:noProof/>
                <w:webHidden/>
              </w:rPr>
              <w:tab/>
            </w:r>
            <w:r w:rsidR="00DD36E2">
              <w:rPr>
                <w:noProof/>
                <w:webHidden/>
              </w:rPr>
              <w:fldChar w:fldCharType="begin"/>
            </w:r>
            <w:r w:rsidR="00DD36E2">
              <w:rPr>
                <w:noProof/>
                <w:webHidden/>
              </w:rPr>
              <w:instrText xml:space="preserve"> PAGEREF _Toc121752530 \h </w:instrText>
            </w:r>
            <w:r w:rsidR="00DD36E2">
              <w:rPr>
                <w:noProof/>
                <w:webHidden/>
              </w:rPr>
            </w:r>
            <w:r w:rsidR="00DD36E2">
              <w:rPr>
                <w:noProof/>
                <w:webHidden/>
              </w:rPr>
              <w:fldChar w:fldCharType="separate"/>
            </w:r>
            <w:r w:rsidR="00A63605">
              <w:rPr>
                <w:noProof/>
                <w:webHidden/>
              </w:rPr>
              <w:t>20</w:t>
            </w:r>
            <w:r w:rsidR="00DD36E2">
              <w:rPr>
                <w:noProof/>
                <w:webHidden/>
              </w:rPr>
              <w:fldChar w:fldCharType="end"/>
            </w:r>
          </w:hyperlink>
        </w:p>
        <w:p w:rsidR="00DD36E2" w:rsidRDefault="002F39CB" w14:paraId="4756F152" w14:textId="76BE0760">
          <w:pPr>
            <w:pStyle w:val="Innehll2"/>
            <w:tabs>
              <w:tab w:val="right" w:leader="dot" w:pos="8494"/>
            </w:tabs>
            <w:rPr>
              <w:rFonts w:eastAsiaTheme="minorEastAsia"/>
              <w:noProof/>
              <w:kern w:val="0"/>
              <w:sz w:val="22"/>
              <w:szCs w:val="22"/>
              <w:lang w:eastAsia="sv-SE"/>
              <w14:numSpacing w14:val="default"/>
            </w:rPr>
          </w:pPr>
          <w:hyperlink w:history="1" w:anchor="_Toc121752531">
            <w:r w:rsidRPr="000A0778" w:rsidR="00DD36E2">
              <w:rPr>
                <w:rStyle w:val="Hyperlnk"/>
                <w:noProof/>
              </w:rPr>
              <w:t>3.4 Lärlingsanställningar</w:t>
            </w:r>
            <w:r w:rsidR="00DD36E2">
              <w:rPr>
                <w:noProof/>
                <w:webHidden/>
              </w:rPr>
              <w:tab/>
            </w:r>
            <w:r w:rsidR="00DD36E2">
              <w:rPr>
                <w:noProof/>
                <w:webHidden/>
              </w:rPr>
              <w:fldChar w:fldCharType="begin"/>
            </w:r>
            <w:r w:rsidR="00DD36E2">
              <w:rPr>
                <w:noProof/>
                <w:webHidden/>
              </w:rPr>
              <w:instrText xml:space="preserve"> PAGEREF _Toc121752531 \h </w:instrText>
            </w:r>
            <w:r w:rsidR="00DD36E2">
              <w:rPr>
                <w:noProof/>
                <w:webHidden/>
              </w:rPr>
            </w:r>
            <w:r w:rsidR="00DD36E2">
              <w:rPr>
                <w:noProof/>
                <w:webHidden/>
              </w:rPr>
              <w:fldChar w:fldCharType="separate"/>
            </w:r>
            <w:r w:rsidR="00A63605">
              <w:rPr>
                <w:noProof/>
                <w:webHidden/>
              </w:rPr>
              <w:t>21</w:t>
            </w:r>
            <w:r w:rsidR="00DD36E2">
              <w:rPr>
                <w:noProof/>
                <w:webHidden/>
              </w:rPr>
              <w:fldChar w:fldCharType="end"/>
            </w:r>
          </w:hyperlink>
        </w:p>
        <w:p w:rsidR="00DD36E2" w:rsidRDefault="002F39CB" w14:paraId="6D74BFD6" w14:textId="61D4DA50">
          <w:pPr>
            <w:pStyle w:val="Innehll2"/>
            <w:tabs>
              <w:tab w:val="right" w:leader="dot" w:pos="8494"/>
            </w:tabs>
            <w:rPr>
              <w:rFonts w:eastAsiaTheme="minorEastAsia"/>
              <w:noProof/>
              <w:kern w:val="0"/>
              <w:sz w:val="22"/>
              <w:szCs w:val="22"/>
              <w:lang w:eastAsia="sv-SE"/>
              <w14:numSpacing w14:val="default"/>
            </w:rPr>
          </w:pPr>
          <w:hyperlink w:history="1" w:anchor="_Toc121752532">
            <w:r w:rsidRPr="000A0778" w:rsidR="00DD36E2">
              <w:rPr>
                <w:rStyle w:val="Hyperlnk"/>
                <w:noProof/>
              </w:rPr>
              <w:t>3.5 Utbildning för riktiga jobb</w:t>
            </w:r>
            <w:r w:rsidR="00DD36E2">
              <w:rPr>
                <w:noProof/>
                <w:webHidden/>
              </w:rPr>
              <w:tab/>
            </w:r>
            <w:r w:rsidR="00DD36E2">
              <w:rPr>
                <w:noProof/>
                <w:webHidden/>
              </w:rPr>
              <w:fldChar w:fldCharType="begin"/>
            </w:r>
            <w:r w:rsidR="00DD36E2">
              <w:rPr>
                <w:noProof/>
                <w:webHidden/>
              </w:rPr>
              <w:instrText xml:space="preserve"> PAGEREF _Toc121752532 \h </w:instrText>
            </w:r>
            <w:r w:rsidR="00DD36E2">
              <w:rPr>
                <w:noProof/>
                <w:webHidden/>
              </w:rPr>
            </w:r>
            <w:r w:rsidR="00DD36E2">
              <w:rPr>
                <w:noProof/>
                <w:webHidden/>
              </w:rPr>
              <w:fldChar w:fldCharType="separate"/>
            </w:r>
            <w:r w:rsidR="00A63605">
              <w:rPr>
                <w:noProof/>
                <w:webHidden/>
              </w:rPr>
              <w:t>21</w:t>
            </w:r>
            <w:r w:rsidR="00DD36E2">
              <w:rPr>
                <w:noProof/>
                <w:webHidden/>
              </w:rPr>
              <w:fldChar w:fldCharType="end"/>
            </w:r>
          </w:hyperlink>
        </w:p>
        <w:p w:rsidR="00DD36E2" w:rsidRDefault="002F39CB" w14:paraId="32F067E8" w14:textId="0F7503B0">
          <w:pPr>
            <w:pStyle w:val="Innehll2"/>
            <w:tabs>
              <w:tab w:val="right" w:leader="dot" w:pos="8494"/>
            </w:tabs>
            <w:rPr>
              <w:rFonts w:eastAsiaTheme="minorEastAsia"/>
              <w:noProof/>
              <w:kern w:val="0"/>
              <w:sz w:val="22"/>
              <w:szCs w:val="22"/>
              <w:lang w:eastAsia="sv-SE"/>
              <w14:numSpacing w14:val="default"/>
            </w:rPr>
          </w:pPr>
          <w:hyperlink w:history="1" w:anchor="_Toc121752533">
            <w:r w:rsidRPr="000A0778" w:rsidR="00DD36E2">
              <w:rPr>
                <w:rStyle w:val="Hyperlnk"/>
                <w:noProof/>
              </w:rPr>
              <w:t>3.6 Statligt finansierad a-kassa</w:t>
            </w:r>
            <w:r w:rsidR="00DD36E2">
              <w:rPr>
                <w:noProof/>
                <w:webHidden/>
              </w:rPr>
              <w:tab/>
            </w:r>
            <w:r w:rsidR="00DD36E2">
              <w:rPr>
                <w:noProof/>
                <w:webHidden/>
              </w:rPr>
              <w:fldChar w:fldCharType="begin"/>
            </w:r>
            <w:r w:rsidR="00DD36E2">
              <w:rPr>
                <w:noProof/>
                <w:webHidden/>
              </w:rPr>
              <w:instrText xml:space="preserve"> PAGEREF _Toc121752533 \h </w:instrText>
            </w:r>
            <w:r w:rsidR="00DD36E2">
              <w:rPr>
                <w:noProof/>
                <w:webHidden/>
              </w:rPr>
            </w:r>
            <w:r w:rsidR="00DD36E2">
              <w:rPr>
                <w:noProof/>
                <w:webHidden/>
              </w:rPr>
              <w:fldChar w:fldCharType="separate"/>
            </w:r>
            <w:r w:rsidR="00A63605">
              <w:rPr>
                <w:noProof/>
                <w:webHidden/>
              </w:rPr>
              <w:t>21</w:t>
            </w:r>
            <w:r w:rsidR="00DD36E2">
              <w:rPr>
                <w:noProof/>
                <w:webHidden/>
              </w:rPr>
              <w:fldChar w:fldCharType="end"/>
            </w:r>
          </w:hyperlink>
        </w:p>
        <w:p w:rsidR="00DD36E2" w:rsidRDefault="002F39CB" w14:paraId="4BCF102A" w14:textId="2FDB872A">
          <w:pPr>
            <w:pStyle w:val="Innehll2"/>
            <w:tabs>
              <w:tab w:val="right" w:leader="dot" w:pos="8494"/>
            </w:tabs>
            <w:rPr>
              <w:rFonts w:eastAsiaTheme="minorEastAsia"/>
              <w:noProof/>
              <w:kern w:val="0"/>
              <w:sz w:val="22"/>
              <w:szCs w:val="22"/>
              <w:lang w:eastAsia="sv-SE"/>
              <w14:numSpacing w14:val="default"/>
            </w:rPr>
          </w:pPr>
          <w:hyperlink w:history="1" w:anchor="_Toc121752534">
            <w:r w:rsidRPr="000A0778" w:rsidR="00DD36E2">
              <w:rPr>
                <w:rStyle w:val="Hyperlnk"/>
                <w:noProof/>
              </w:rPr>
              <w:t>3.7 Ökad trygghet på jobbet</w:t>
            </w:r>
            <w:r w:rsidR="00DD36E2">
              <w:rPr>
                <w:noProof/>
                <w:webHidden/>
              </w:rPr>
              <w:tab/>
            </w:r>
            <w:r w:rsidR="00DD36E2">
              <w:rPr>
                <w:noProof/>
                <w:webHidden/>
              </w:rPr>
              <w:fldChar w:fldCharType="begin"/>
            </w:r>
            <w:r w:rsidR="00DD36E2">
              <w:rPr>
                <w:noProof/>
                <w:webHidden/>
              </w:rPr>
              <w:instrText xml:space="preserve"> PAGEREF _Toc121752534 \h </w:instrText>
            </w:r>
            <w:r w:rsidR="00DD36E2">
              <w:rPr>
                <w:noProof/>
                <w:webHidden/>
              </w:rPr>
            </w:r>
            <w:r w:rsidR="00DD36E2">
              <w:rPr>
                <w:noProof/>
                <w:webHidden/>
              </w:rPr>
              <w:fldChar w:fldCharType="separate"/>
            </w:r>
            <w:r w:rsidR="00A63605">
              <w:rPr>
                <w:noProof/>
                <w:webHidden/>
              </w:rPr>
              <w:t>22</w:t>
            </w:r>
            <w:r w:rsidR="00DD36E2">
              <w:rPr>
                <w:noProof/>
                <w:webHidden/>
              </w:rPr>
              <w:fldChar w:fldCharType="end"/>
            </w:r>
          </w:hyperlink>
        </w:p>
        <w:p w:rsidR="00DD36E2" w:rsidRDefault="002F39CB" w14:paraId="61ABEFC6" w14:textId="0784BFC3">
          <w:pPr>
            <w:pStyle w:val="Innehll1"/>
            <w:tabs>
              <w:tab w:val="right" w:leader="dot" w:pos="8494"/>
            </w:tabs>
            <w:rPr>
              <w:rFonts w:eastAsiaTheme="minorEastAsia"/>
              <w:noProof/>
              <w:kern w:val="0"/>
              <w:sz w:val="22"/>
              <w:szCs w:val="22"/>
              <w:lang w:eastAsia="sv-SE"/>
              <w14:numSpacing w14:val="default"/>
            </w:rPr>
          </w:pPr>
          <w:hyperlink w:history="1" w:anchor="_Toc121752535">
            <w:r w:rsidRPr="000A0778" w:rsidR="00DD36E2">
              <w:rPr>
                <w:rStyle w:val="Hyperlnk"/>
                <w:noProof/>
              </w:rPr>
              <w:t>4 Kommunsektorn</w:t>
            </w:r>
            <w:r w:rsidR="00DD36E2">
              <w:rPr>
                <w:noProof/>
                <w:webHidden/>
              </w:rPr>
              <w:tab/>
            </w:r>
            <w:r w:rsidR="00DD36E2">
              <w:rPr>
                <w:noProof/>
                <w:webHidden/>
              </w:rPr>
              <w:fldChar w:fldCharType="begin"/>
            </w:r>
            <w:r w:rsidR="00DD36E2">
              <w:rPr>
                <w:noProof/>
                <w:webHidden/>
              </w:rPr>
              <w:instrText xml:space="preserve"> PAGEREF _Toc121752535 \h </w:instrText>
            </w:r>
            <w:r w:rsidR="00DD36E2">
              <w:rPr>
                <w:noProof/>
                <w:webHidden/>
              </w:rPr>
            </w:r>
            <w:r w:rsidR="00DD36E2">
              <w:rPr>
                <w:noProof/>
                <w:webHidden/>
              </w:rPr>
              <w:fldChar w:fldCharType="separate"/>
            </w:r>
            <w:r w:rsidR="00A63605">
              <w:rPr>
                <w:noProof/>
                <w:webHidden/>
              </w:rPr>
              <w:t>23</w:t>
            </w:r>
            <w:r w:rsidR="00DD36E2">
              <w:rPr>
                <w:noProof/>
                <w:webHidden/>
              </w:rPr>
              <w:fldChar w:fldCharType="end"/>
            </w:r>
          </w:hyperlink>
        </w:p>
        <w:p w:rsidR="00DD36E2" w:rsidRDefault="002F39CB" w14:paraId="1C1A7AF0" w14:textId="4C9ABEC0">
          <w:pPr>
            <w:pStyle w:val="Innehll3"/>
            <w:tabs>
              <w:tab w:val="right" w:leader="dot" w:pos="8494"/>
            </w:tabs>
            <w:rPr>
              <w:rFonts w:eastAsiaTheme="minorEastAsia"/>
              <w:noProof/>
              <w:kern w:val="0"/>
              <w:sz w:val="22"/>
              <w:szCs w:val="22"/>
              <w:lang w:eastAsia="sv-SE"/>
              <w14:numSpacing w14:val="default"/>
            </w:rPr>
          </w:pPr>
          <w:hyperlink w:history="1" w:anchor="_Toc121752536">
            <w:r w:rsidRPr="000A0778" w:rsidR="00DD36E2">
              <w:rPr>
                <w:rStyle w:val="Hyperlnk"/>
                <w:noProof/>
              </w:rPr>
              <w:t>Fler ska försörja färre</w:t>
            </w:r>
            <w:r w:rsidR="00DD36E2">
              <w:rPr>
                <w:noProof/>
                <w:webHidden/>
              </w:rPr>
              <w:tab/>
            </w:r>
            <w:r w:rsidR="00DD36E2">
              <w:rPr>
                <w:noProof/>
                <w:webHidden/>
              </w:rPr>
              <w:fldChar w:fldCharType="begin"/>
            </w:r>
            <w:r w:rsidR="00DD36E2">
              <w:rPr>
                <w:noProof/>
                <w:webHidden/>
              </w:rPr>
              <w:instrText xml:space="preserve"> PAGEREF _Toc121752536 \h </w:instrText>
            </w:r>
            <w:r w:rsidR="00DD36E2">
              <w:rPr>
                <w:noProof/>
                <w:webHidden/>
              </w:rPr>
            </w:r>
            <w:r w:rsidR="00DD36E2">
              <w:rPr>
                <w:noProof/>
                <w:webHidden/>
              </w:rPr>
              <w:fldChar w:fldCharType="separate"/>
            </w:r>
            <w:r w:rsidR="00A63605">
              <w:rPr>
                <w:noProof/>
                <w:webHidden/>
              </w:rPr>
              <w:t>23</w:t>
            </w:r>
            <w:r w:rsidR="00DD36E2">
              <w:rPr>
                <w:noProof/>
                <w:webHidden/>
              </w:rPr>
              <w:fldChar w:fldCharType="end"/>
            </w:r>
          </w:hyperlink>
        </w:p>
        <w:p w:rsidR="00DD36E2" w:rsidRDefault="002F39CB" w14:paraId="3EEB1444" w14:textId="395F4DCA">
          <w:pPr>
            <w:pStyle w:val="Innehll2"/>
            <w:tabs>
              <w:tab w:val="right" w:leader="dot" w:pos="8494"/>
            </w:tabs>
            <w:rPr>
              <w:rFonts w:eastAsiaTheme="minorEastAsia"/>
              <w:noProof/>
              <w:kern w:val="0"/>
              <w:sz w:val="22"/>
              <w:szCs w:val="22"/>
              <w:lang w:eastAsia="sv-SE"/>
              <w14:numSpacing w14:val="default"/>
            </w:rPr>
          </w:pPr>
          <w:hyperlink w:history="1" w:anchor="_Toc121752537">
            <w:r w:rsidRPr="000A0778" w:rsidR="00DD36E2">
              <w:rPr>
                <w:rStyle w:val="Hyperlnk"/>
                <w:noProof/>
              </w:rPr>
              <w:t>4.1 En långsiktig förstärkning av kommunsektorn</w:t>
            </w:r>
            <w:r w:rsidR="00DD36E2">
              <w:rPr>
                <w:noProof/>
                <w:webHidden/>
              </w:rPr>
              <w:tab/>
            </w:r>
            <w:r w:rsidR="00DD36E2">
              <w:rPr>
                <w:noProof/>
                <w:webHidden/>
              </w:rPr>
              <w:fldChar w:fldCharType="begin"/>
            </w:r>
            <w:r w:rsidR="00DD36E2">
              <w:rPr>
                <w:noProof/>
                <w:webHidden/>
              </w:rPr>
              <w:instrText xml:space="preserve"> PAGEREF _Toc121752537 \h </w:instrText>
            </w:r>
            <w:r w:rsidR="00DD36E2">
              <w:rPr>
                <w:noProof/>
                <w:webHidden/>
              </w:rPr>
            </w:r>
            <w:r w:rsidR="00DD36E2">
              <w:rPr>
                <w:noProof/>
                <w:webHidden/>
              </w:rPr>
              <w:fldChar w:fldCharType="separate"/>
            </w:r>
            <w:r w:rsidR="00A63605">
              <w:rPr>
                <w:noProof/>
                <w:webHidden/>
              </w:rPr>
              <w:t>24</w:t>
            </w:r>
            <w:r w:rsidR="00DD36E2">
              <w:rPr>
                <w:noProof/>
                <w:webHidden/>
              </w:rPr>
              <w:fldChar w:fldCharType="end"/>
            </w:r>
          </w:hyperlink>
        </w:p>
        <w:p w:rsidR="00DD36E2" w:rsidRDefault="002F39CB" w14:paraId="5B754EB1" w14:textId="5A129D5E">
          <w:pPr>
            <w:pStyle w:val="Innehll2"/>
            <w:tabs>
              <w:tab w:val="right" w:leader="dot" w:pos="8494"/>
            </w:tabs>
            <w:rPr>
              <w:rFonts w:eastAsiaTheme="minorEastAsia"/>
              <w:noProof/>
              <w:kern w:val="0"/>
              <w:sz w:val="22"/>
              <w:szCs w:val="22"/>
              <w:lang w:eastAsia="sv-SE"/>
              <w14:numSpacing w14:val="default"/>
            </w:rPr>
          </w:pPr>
          <w:hyperlink w:history="1" w:anchor="_Toc121752538">
            <w:r w:rsidRPr="000A0778" w:rsidR="00DD36E2">
              <w:rPr>
                <w:rStyle w:val="Hyperlnk"/>
                <w:noProof/>
              </w:rPr>
              <w:t>4.2 Regionaliserad fastighetsskatt</w:t>
            </w:r>
            <w:r w:rsidR="00DD36E2">
              <w:rPr>
                <w:noProof/>
                <w:webHidden/>
              </w:rPr>
              <w:tab/>
            </w:r>
            <w:r w:rsidR="00DD36E2">
              <w:rPr>
                <w:noProof/>
                <w:webHidden/>
              </w:rPr>
              <w:fldChar w:fldCharType="begin"/>
            </w:r>
            <w:r w:rsidR="00DD36E2">
              <w:rPr>
                <w:noProof/>
                <w:webHidden/>
              </w:rPr>
              <w:instrText xml:space="preserve"> PAGEREF _Toc121752538 \h </w:instrText>
            </w:r>
            <w:r w:rsidR="00DD36E2">
              <w:rPr>
                <w:noProof/>
                <w:webHidden/>
              </w:rPr>
            </w:r>
            <w:r w:rsidR="00DD36E2">
              <w:rPr>
                <w:noProof/>
                <w:webHidden/>
              </w:rPr>
              <w:fldChar w:fldCharType="separate"/>
            </w:r>
            <w:r w:rsidR="00A63605">
              <w:rPr>
                <w:noProof/>
                <w:webHidden/>
              </w:rPr>
              <w:t>25</w:t>
            </w:r>
            <w:r w:rsidR="00DD36E2">
              <w:rPr>
                <w:noProof/>
                <w:webHidden/>
              </w:rPr>
              <w:fldChar w:fldCharType="end"/>
            </w:r>
          </w:hyperlink>
        </w:p>
        <w:p w:rsidR="00DD36E2" w:rsidRDefault="002F39CB" w14:paraId="3E58BBE9" w14:textId="17BBE13D">
          <w:pPr>
            <w:pStyle w:val="Innehll2"/>
            <w:tabs>
              <w:tab w:val="right" w:leader="dot" w:pos="8494"/>
            </w:tabs>
            <w:rPr>
              <w:rFonts w:eastAsiaTheme="minorEastAsia"/>
              <w:noProof/>
              <w:kern w:val="0"/>
              <w:sz w:val="22"/>
              <w:szCs w:val="22"/>
              <w:lang w:eastAsia="sv-SE"/>
              <w14:numSpacing w14:val="default"/>
            </w:rPr>
          </w:pPr>
          <w:hyperlink w:history="1" w:anchor="_Toc121752539">
            <w:r w:rsidRPr="000A0778" w:rsidR="00DD36E2">
              <w:rPr>
                <w:rStyle w:val="Hyperlnk"/>
                <w:noProof/>
              </w:rPr>
              <w:t>4.3 Indirekta effekter och minskade utgifter</w:t>
            </w:r>
            <w:r w:rsidR="00DD36E2">
              <w:rPr>
                <w:noProof/>
                <w:webHidden/>
              </w:rPr>
              <w:tab/>
            </w:r>
            <w:r w:rsidR="00DD36E2">
              <w:rPr>
                <w:noProof/>
                <w:webHidden/>
              </w:rPr>
              <w:fldChar w:fldCharType="begin"/>
            </w:r>
            <w:r w:rsidR="00DD36E2">
              <w:rPr>
                <w:noProof/>
                <w:webHidden/>
              </w:rPr>
              <w:instrText xml:space="preserve"> PAGEREF _Toc121752539 \h </w:instrText>
            </w:r>
            <w:r w:rsidR="00DD36E2">
              <w:rPr>
                <w:noProof/>
                <w:webHidden/>
              </w:rPr>
            </w:r>
            <w:r w:rsidR="00DD36E2">
              <w:rPr>
                <w:noProof/>
                <w:webHidden/>
              </w:rPr>
              <w:fldChar w:fldCharType="separate"/>
            </w:r>
            <w:r w:rsidR="00A63605">
              <w:rPr>
                <w:noProof/>
                <w:webHidden/>
              </w:rPr>
              <w:t>26</w:t>
            </w:r>
            <w:r w:rsidR="00DD36E2">
              <w:rPr>
                <w:noProof/>
                <w:webHidden/>
              </w:rPr>
              <w:fldChar w:fldCharType="end"/>
            </w:r>
          </w:hyperlink>
        </w:p>
        <w:p w:rsidR="00DD36E2" w:rsidRDefault="002F39CB" w14:paraId="6D2DAACA" w14:textId="05186254">
          <w:pPr>
            <w:pStyle w:val="Innehll2"/>
            <w:tabs>
              <w:tab w:val="right" w:leader="dot" w:pos="8494"/>
            </w:tabs>
            <w:rPr>
              <w:rFonts w:eastAsiaTheme="minorEastAsia"/>
              <w:noProof/>
              <w:kern w:val="0"/>
              <w:sz w:val="22"/>
              <w:szCs w:val="22"/>
              <w:lang w:eastAsia="sv-SE"/>
              <w14:numSpacing w14:val="default"/>
            </w:rPr>
          </w:pPr>
          <w:hyperlink w:history="1" w:anchor="_Toc121752540">
            <w:r w:rsidRPr="000A0778" w:rsidR="00DD36E2">
              <w:rPr>
                <w:rStyle w:val="Hyperlnk"/>
                <w:noProof/>
              </w:rPr>
              <w:t>4.4 Sammantagen varaktig förstärkning av kommunsektorn</w:t>
            </w:r>
            <w:r w:rsidR="00DD36E2">
              <w:rPr>
                <w:noProof/>
                <w:webHidden/>
              </w:rPr>
              <w:tab/>
            </w:r>
            <w:r w:rsidR="00DD36E2">
              <w:rPr>
                <w:noProof/>
                <w:webHidden/>
              </w:rPr>
              <w:fldChar w:fldCharType="begin"/>
            </w:r>
            <w:r w:rsidR="00DD36E2">
              <w:rPr>
                <w:noProof/>
                <w:webHidden/>
              </w:rPr>
              <w:instrText xml:space="preserve"> PAGEREF _Toc121752540 \h </w:instrText>
            </w:r>
            <w:r w:rsidR="00DD36E2">
              <w:rPr>
                <w:noProof/>
                <w:webHidden/>
              </w:rPr>
            </w:r>
            <w:r w:rsidR="00DD36E2">
              <w:rPr>
                <w:noProof/>
                <w:webHidden/>
              </w:rPr>
              <w:fldChar w:fldCharType="separate"/>
            </w:r>
            <w:r w:rsidR="00A63605">
              <w:rPr>
                <w:noProof/>
                <w:webHidden/>
              </w:rPr>
              <w:t>27</w:t>
            </w:r>
            <w:r w:rsidR="00DD36E2">
              <w:rPr>
                <w:noProof/>
                <w:webHidden/>
              </w:rPr>
              <w:fldChar w:fldCharType="end"/>
            </w:r>
          </w:hyperlink>
        </w:p>
        <w:p w:rsidR="00DD36E2" w:rsidRDefault="002F39CB" w14:paraId="0BFDFCB9" w14:textId="417AEC99">
          <w:pPr>
            <w:pStyle w:val="Innehll1"/>
            <w:tabs>
              <w:tab w:val="right" w:leader="dot" w:pos="8494"/>
            </w:tabs>
            <w:rPr>
              <w:rFonts w:eastAsiaTheme="minorEastAsia"/>
              <w:noProof/>
              <w:kern w:val="0"/>
              <w:sz w:val="22"/>
              <w:szCs w:val="22"/>
              <w:lang w:eastAsia="sv-SE"/>
              <w14:numSpacing w14:val="default"/>
            </w:rPr>
          </w:pPr>
          <w:hyperlink w:history="1" w:anchor="_Toc121752541">
            <w:r w:rsidRPr="000A0778" w:rsidR="00DD36E2">
              <w:rPr>
                <w:rStyle w:val="Hyperlnk"/>
                <w:noProof/>
              </w:rPr>
              <w:t>5 Vård och omsorg</w:t>
            </w:r>
            <w:r w:rsidR="00DD36E2">
              <w:rPr>
                <w:noProof/>
                <w:webHidden/>
              </w:rPr>
              <w:tab/>
            </w:r>
            <w:r w:rsidR="00DD36E2">
              <w:rPr>
                <w:noProof/>
                <w:webHidden/>
              </w:rPr>
              <w:fldChar w:fldCharType="begin"/>
            </w:r>
            <w:r w:rsidR="00DD36E2">
              <w:rPr>
                <w:noProof/>
                <w:webHidden/>
              </w:rPr>
              <w:instrText xml:space="preserve"> PAGEREF _Toc121752541 \h </w:instrText>
            </w:r>
            <w:r w:rsidR="00DD36E2">
              <w:rPr>
                <w:noProof/>
                <w:webHidden/>
              </w:rPr>
            </w:r>
            <w:r w:rsidR="00DD36E2">
              <w:rPr>
                <w:noProof/>
                <w:webHidden/>
              </w:rPr>
              <w:fldChar w:fldCharType="separate"/>
            </w:r>
            <w:r w:rsidR="00A63605">
              <w:rPr>
                <w:noProof/>
                <w:webHidden/>
              </w:rPr>
              <w:t>27</w:t>
            </w:r>
            <w:r w:rsidR="00DD36E2">
              <w:rPr>
                <w:noProof/>
                <w:webHidden/>
              </w:rPr>
              <w:fldChar w:fldCharType="end"/>
            </w:r>
          </w:hyperlink>
        </w:p>
        <w:p w:rsidR="00DD36E2" w:rsidRDefault="002F39CB" w14:paraId="29D50A11" w14:textId="7DCD581A">
          <w:pPr>
            <w:pStyle w:val="Innehll2"/>
            <w:tabs>
              <w:tab w:val="right" w:leader="dot" w:pos="8494"/>
            </w:tabs>
            <w:rPr>
              <w:rFonts w:eastAsiaTheme="minorEastAsia"/>
              <w:noProof/>
              <w:kern w:val="0"/>
              <w:sz w:val="22"/>
              <w:szCs w:val="22"/>
              <w:lang w:eastAsia="sv-SE"/>
              <w14:numSpacing w14:val="default"/>
            </w:rPr>
          </w:pPr>
          <w:hyperlink w:history="1" w:anchor="_Toc121752542">
            <w:r w:rsidRPr="000A0778" w:rsidR="00DD36E2">
              <w:rPr>
                <w:rStyle w:val="Hyperlnk"/>
                <w:noProof/>
              </w:rPr>
              <w:t>5.1 Minskad vårdskuld</w:t>
            </w:r>
            <w:r w:rsidR="00DD36E2">
              <w:rPr>
                <w:noProof/>
                <w:webHidden/>
              </w:rPr>
              <w:tab/>
            </w:r>
            <w:r w:rsidR="00DD36E2">
              <w:rPr>
                <w:noProof/>
                <w:webHidden/>
              </w:rPr>
              <w:fldChar w:fldCharType="begin"/>
            </w:r>
            <w:r w:rsidR="00DD36E2">
              <w:rPr>
                <w:noProof/>
                <w:webHidden/>
              </w:rPr>
              <w:instrText xml:space="preserve"> PAGEREF _Toc121752542 \h </w:instrText>
            </w:r>
            <w:r w:rsidR="00DD36E2">
              <w:rPr>
                <w:noProof/>
                <w:webHidden/>
              </w:rPr>
            </w:r>
            <w:r w:rsidR="00DD36E2">
              <w:rPr>
                <w:noProof/>
                <w:webHidden/>
              </w:rPr>
              <w:fldChar w:fldCharType="separate"/>
            </w:r>
            <w:r w:rsidR="00A63605">
              <w:rPr>
                <w:noProof/>
                <w:webHidden/>
              </w:rPr>
              <w:t>29</w:t>
            </w:r>
            <w:r w:rsidR="00DD36E2">
              <w:rPr>
                <w:noProof/>
                <w:webHidden/>
              </w:rPr>
              <w:fldChar w:fldCharType="end"/>
            </w:r>
          </w:hyperlink>
        </w:p>
        <w:p w:rsidR="00DD36E2" w:rsidRDefault="002F39CB" w14:paraId="6CF0053D" w14:textId="60EE2A59">
          <w:pPr>
            <w:pStyle w:val="Innehll2"/>
            <w:tabs>
              <w:tab w:val="right" w:leader="dot" w:pos="8494"/>
            </w:tabs>
            <w:rPr>
              <w:rFonts w:eastAsiaTheme="minorEastAsia"/>
              <w:noProof/>
              <w:kern w:val="0"/>
              <w:sz w:val="22"/>
              <w:szCs w:val="22"/>
              <w:lang w:eastAsia="sv-SE"/>
              <w14:numSpacing w14:val="default"/>
            </w:rPr>
          </w:pPr>
          <w:hyperlink w:history="1" w:anchor="_Toc121752543">
            <w:r w:rsidRPr="000A0778" w:rsidR="00DD36E2">
              <w:rPr>
                <w:rStyle w:val="Hyperlnk"/>
                <w:noProof/>
              </w:rPr>
              <w:t>5.2 Personal inom regional sjukvård och kommunal äldreomsorg</w:t>
            </w:r>
            <w:r w:rsidR="00DD36E2">
              <w:rPr>
                <w:noProof/>
                <w:webHidden/>
              </w:rPr>
              <w:tab/>
            </w:r>
            <w:r w:rsidR="00DD36E2">
              <w:rPr>
                <w:noProof/>
                <w:webHidden/>
              </w:rPr>
              <w:fldChar w:fldCharType="begin"/>
            </w:r>
            <w:r w:rsidR="00DD36E2">
              <w:rPr>
                <w:noProof/>
                <w:webHidden/>
              </w:rPr>
              <w:instrText xml:space="preserve"> PAGEREF _Toc121752543 \h </w:instrText>
            </w:r>
            <w:r w:rsidR="00DD36E2">
              <w:rPr>
                <w:noProof/>
                <w:webHidden/>
              </w:rPr>
            </w:r>
            <w:r w:rsidR="00DD36E2">
              <w:rPr>
                <w:noProof/>
                <w:webHidden/>
              </w:rPr>
              <w:fldChar w:fldCharType="separate"/>
            </w:r>
            <w:r w:rsidR="00A63605">
              <w:rPr>
                <w:noProof/>
                <w:webHidden/>
              </w:rPr>
              <w:t>31</w:t>
            </w:r>
            <w:r w:rsidR="00DD36E2">
              <w:rPr>
                <w:noProof/>
                <w:webHidden/>
              </w:rPr>
              <w:fldChar w:fldCharType="end"/>
            </w:r>
          </w:hyperlink>
        </w:p>
        <w:p w:rsidR="00DD36E2" w:rsidRDefault="002F39CB" w14:paraId="4F05F7E9" w14:textId="155F54E1">
          <w:pPr>
            <w:pStyle w:val="Innehll2"/>
            <w:tabs>
              <w:tab w:val="right" w:leader="dot" w:pos="8494"/>
            </w:tabs>
            <w:rPr>
              <w:rFonts w:eastAsiaTheme="minorEastAsia"/>
              <w:noProof/>
              <w:kern w:val="0"/>
              <w:sz w:val="22"/>
              <w:szCs w:val="22"/>
              <w:lang w:eastAsia="sv-SE"/>
              <w14:numSpacing w14:val="default"/>
            </w:rPr>
          </w:pPr>
          <w:hyperlink w:history="1" w:anchor="_Toc121752544">
            <w:r w:rsidRPr="000A0778" w:rsidR="00DD36E2">
              <w:rPr>
                <w:rStyle w:val="Hyperlnk"/>
                <w:noProof/>
              </w:rPr>
              <w:t>5.3 Assistansersättning</w:t>
            </w:r>
            <w:r w:rsidR="00DD36E2">
              <w:rPr>
                <w:noProof/>
                <w:webHidden/>
              </w:rPr>
              <w:tab/>
            </w:r>
            <w:r w:rsidR="00DD36E2">
              <w:rPr>
                <w:noProof/>
                <w:webHidden/>
              </w:rPr>
              <w:fldChar w:fldCharType="begin"/>
            </w:r>
            <w:r w:rsidR="00DD36E2">
              <w:rPr>
                <w:noProof/>
                <w:webHidden/>
              </w:rPr>
              <w:instrText xml:space="preserve"> PAGEREF _Toc121752544 \h </w:instrText>
            </w:r>
            <w:r w:rsidR="00DD36E2">
              <w:rPr>
                <w:noProof/>
                <w:webHidden/>
              </w:rPr>
            </w:r>
            <w:r w:rsidR="00DD36E2">
              <w:rPr>
                <w:noProof/>
                <w:webHidden/>
              </w:rPr>
              <w:fldChar w:fldCharType="separate"/>
            </w:r>
            <w:r w:rsidR="00A63605">
              <w:rPr>
                <w:noProof/>
                <w:webHidden/>
              </w:rPr>
              <w:t>31</w:t>
            </w:r>
            <w:r w:rsidR="00DD36E2">
              <w:rPr>
                <w:noProof/>
                <w:webHidden/>
              </w:rPr>
              <w:fldChar w:fldCharType="end"/>
            </w:r>
          </w:hyperlink>
        </w:p>
        <w:p w:rsidR="00DD36E2" w:rsidRDefault="002F39CB" w14:paraId="33047E23" w14:textId="76A10232">
          <w:pPr>
            <w:pStyle w:val="Innehll2"/>
            <w:tabs>
              <w:tab w:val="right" w:leader="dot" w:pos="8494"/>
            </w:tabs>
            <w:rPr>
              <w:rFonts w:eastAsiaTheme="minorEastAsia"/>
              <w:noProof/>
              <w:kern w:val="0"/>
              <w:sz w:val="22"/>
              <w:szCs w:val="22"/>
              <w:lang w:eastAsia="sv-SE"/>
              <w14:numSpacing w14:val="default"/>
            </w:rPr>
          </w:pPr>
          <w:hyperlink w:history="1" w:anchor="_Toc121752545">
            <w:r w:rsidRPr="000A0778" w:rsidR="00DD36E2">
              <w:rPr>
                <w:rStyle w:val="Hyperlnk"/>
                <w:noProof/>
              </w:rPr>
              <w:t>5.4 Kvinnors hälsa</w:t>
            </w:r>
            <w:r w:rsidR="00DD36E2">
              <w:rPr>
                <w:noProof/>
                <w:webHidden/>
              </w:rPr>
              <w:tab/>
            </w:r>
            <w:r w:rsidR="00DD36E2">
              <w:rPr>
                <w:noProof/>
                <w:webHidden/>
              </w:rPr>
              <w:fldChar w:fldCharType="begin"/>
            </w:r>
            <w:r w:rsidR="00DD36E2">
              <w:rPr>
                <w:noProof/>
                <w:webHidden/>
              </w:rPr>
              <w:instrText xml:space="preserve"> PAGEREF _Toc121752545 \h </w:instrText>
            </w:r>
            <w:r w:rsidR="00DD36E2">
              <w:rPr>
                <w:noProof/>
                <w:webHidden/>
              </w:rPr>
            </w:r>
            <w:r w:rsidR="00DD36E2">
              <w:rPr>
                <w:noProof/>
                <w:webHidden/>
              </w:rPr>
              <w:fldChar w:fldCharType="separate"/>
            </w:r>
            <w:r w:rsidR="00A63605">
              <w:rPr>
                <w:noProof/>
                <w:webHidden/>
              </w:rPr>
              <w:t>32</w:t>
            </w:r>
            <w:r w:rsidR="00DD36E2">
              <w:rPr>
                <w:noProof/>
                <w:webHidden/>
              </w:rPr>
              <w:fldChar w:fldCharType="end"/>
            </w:r>
          </w:hyperlink>
        </w:p>
        <w:p w:rsidR="00DD36E2" w:rsidRDefault="002F39CB" w14:paraId="4E67CC0C" w14:textId="71D02033">
          <w:pPr>
            <w:pStyle w:val="Innehll3"/>
            <w:tabs>
              <w:tab w:val="right" w:leader="dot" w:pos="8494"/>
            </w:tabs>
            <w:rPr>
              <w:rFonts w:eastAsiaTheme="minorEastAsia"/>
              <w:noProof/>
              <w:kern w:val="0"/>
              <w:sz w:val="22"/>
              <w:szCs w:val="22"/>
              <w:lang w:eastAsia="sv-SE"/>
              <w14:numSpacing w14:val="default"/>
            </w:rPr>
          </w:pPr>
          <w:hyperlink w:history="1" w:anchor="_Toc121752546">
            <w:r w:rsidRPr="000A0778" w:rsidR="00DD36E2">
              <w:rPr>
                <w:rStyle w:val="Hyperlnk"/>
                <w:noProof/>
              </w:rPr>
              <w:t>Nationellt forskningsprogram för kvinnors hälsa</w:t>
            </w:r>
            <w:r w:rsidR="00DD36E2">
              <w:rPr>
                <w:noProof/>
                <w:webHidden/>
              </w:rPr>
              <w:tab/>
            </w:r>
            <w:r w:rsidR="00DD36E2">
              <w:rPr>
                <w:noProof/>
                <w:webHidden/>
              </w:rPr>
              <w:fldChar w:fldCharType="begin"/>
            </w:r>
            <w:r w:rsidR="00DD36E2">
              <w:rPr>
                <w:noProof/>
                <w:webHidden/>
              </w:rPr>
              <w:instrText xml:space="preserve"> PAGEREF _Toc121752546 \h </w:instrText>
            </w:r>
            <w:r w:rsidR="00DD36E2">
              <w:rPr>
                <w:noProof/>
                <w:webHidden/>
              </w:rPr>
            </w:r>
            <w:r w:rsidR="00DD36E2">
              <w:rPr>
                <w:noProof/>
                <w:webHidden/>
              </w:rPr>
              <w:fldChar w:fldCharType="separate"/>
            </w:r>
            <w:r w:rsidR="00A63605">
              <w:rPr>
                <w:noProof/>
                <w:webHidden/>
              </w:rPr>
              <w:t>33</w:t>
            </w:r>
            <w:r w:rsidR="00DD36E2">
              <w:rPr>
                <w:noProof/>
                <w:webHidden/>
              </w:rPr>
              <w:fldChar w:fldCharType="end"/>
            </w:r>
          </w:hyperlink>
        </w:p>
        <w:p w:rsidR="00DD36E2" w:rsidRDefault="002F39CB" w14:paraId="7F0BBF33" w14:textId="6A0C97D1">
          <w:pPr>
            <w:pStyle w:val="Innehll2"/>
            <w:tabs>
              <w:tab w:val="right" w:leader="dot" w:pos="8494"/>
            </w:tabs>
            <w:rPr>
              <w:rFonts w:eastAsiaTheme="minorEastAsia"/>
              <w:noProof/>
              <w:kern w:val="0"/>
              <w:sz w:val="22"/>
              <w:szCs w:val="22"/>
              <w:lang w:eastAsia="sv-SE"/>
              <w14:numSpacing w14:val="default"/>
            </w:rPr>
          </w:pPr>
          <w:hyperlink w:history="1" w:anchor="_Toc121752547">
            <w:r w:rsidRPr="000A0778" w:rsidR="00DD36E2">
              <w:rPr>
                <w:rStyle w:val="Hyperlnk"/>
                <w:noProof/>
              </w:rPr>
              <w:t>5.5 Psykisk ohälsa</w:t>
            </w:r>
            <w:r w:rsidR="00DD36E2">
              <w:rPr>
                <w:noProof/>
                <w:webHidden/>
              </w:rPr>
              <w:tab/>
            </w:r>
            <w:r w:rsidR="00DD36E2">
              <w:rPr>
                <w:noProof/>
                <w:webHidden/>
              </w:rPr>
              <w:fldChar w:fldCharType="begin"/>
            </w:r>
            <w:r w:rsidR="00DD36E2">
              <w:rPr>
                <w:noProof/>
                <w:webHidden/>
              </w:rPr>
              <w:instrText xml:space="preserve"> PAGEREF _Toc121752547 \h </w:instrText>
            </w:r>
            <w:r w:rsidR="00DD36E2">
              <w:rPr>
                <w:noProof/>
                <w:webHidden/>
              </w:rPr>
            </w:r>
            <w:r w:rsidR="00DD36E2">
              <w:rPr>
                <w:noProof/>
                <w:webHidden/>
              </w:rPr>
              <w:fldChar w:fldCharType="separate"/>
            </w:r>
            <w:r w:rsidR="00A63605">
              <w:rPr>
                <w:noProof/>
                <w:webHidden/>
              </w:rPr>
              <w:t>33</w:t>
            </w:r>
            <w:r w:rsidR="00DD36E2">
              <w:rPr>
                <w:noProof/>
                <w:webHidden/>
              </w:rPr>
              <w:fldChar w:fldCharType="end"/>
            </w:r>
          </w:hyperlink>
        </w:p>
        <w:p w:rsidR="00DD36E2" w:rsidRDefault="002F39CB" w14:paraId="00B2F560" w14:textId="555335FC">
          <w:pPr>
            <w:pStyle w:val="Innehll3"/>
            <w:tabs>
              <w:tab w:val="right" w:leader="dot" w:pos="8494"/>
            </w:tabs>
            <w:rPr>
              <w:rFonts w:eastAsiaTheme="minorEastAsia"/>
              <w:noProof/>
              <w:kern w:val="0"/>
              <w:sz w:val="22"/>
              <w:szCs w:val="22"/>
              <w:lang w:eastAsia="sv-SE"/>
              <w14:numSpacing w14:val="default"/>
            </w:rPr>
          </w:pPr>
          <w:hyperlink w:history="1" w:anchor="_Toc121752548">
            <w:r w:rsidRPr="000A0778" w:rsidR="00DD36E2">
              <w:rPr>
                <w:rStyle w:val="Hyperlnk"/>
                <w:noProof/>
              </w:rPr>
              <w:t>Långtidscovid, postcovid</w:t>
            </w:r>
            <w:r w:rsidR="00DD36E2">
              <w:rPr>
                <w:noProof/>
                <w:webHidden/>
              </w:rPr>
              <w:tab/>
            </w:r>
            <w:r w:rsidR="00DD36E2">
              <w:rPr>
                <w:noProof/>
                <w:webHidden/>
              </w:rPr>
              <w:fldChar w:fldCharType="begin"/>
            </w:r>
            <w:r w:rsidR="00DD36E2">
              <w:rPr>
                <w:noProof/>
                <w:webHidden/>
              </w:rPr>
              <w:instrText xml:space="preserve"> PAGEREF _Toc121752548 \h </w:instrText>
            </w:r>
            <w:r w:rsidR="00DD36E2">
              <w:rPr>
                <w:noProof/>
                <w:webHidden/>
              </w:rPr>
            </w:r>
            <w:r w:rsidR="00DD36E2">
              <w:rPr>
                <w:noProof/>
                <w:webHidden/>
              </w:rPr>
              <w:fldChar w:fldCharType="separate"/>
            </w:r>
            <w:r w:rsidR="00A63605">
              <w:rPr>
                <w:noProof/>
                <w:webHidden/>
              </w:rPr>
              <w:t>33</w:t>
            </w:r>
            <w:r w:rsidR="00DD36E2">
              <w:rPr>
                <w:noProof/>
                <w:webHidden/>
              </w:rPr>
              <w:fldChar w:fldCharType="end"/>
            </w:r>
          </w:hyperlink>
        </w:p>
        <w:p w:rsidR="00DD36E2" w:rsidRDefault="002F39CB" w14:paraId="6C7C2270" w14:textId="3F1AC7BD">
          <w:pPr>
            <w:pStyle w:val="Innehll3"/>
            <w:tabs>
              <w:tab w:val="right" w:leader="dot" w:pos="8494"/>
            </w:tabs>
            <w:rPr>
              <w:rFonts w:eastAsiaTheme="minorEastAsia"/>
              <w:noProof/>
              <w:kern w:val="0"/>
              <w:sz w:val="22"/>
              <w:szCs w:val="22"/>
              <w:lang w:eastAsia="sv-SE"/>
              <w14:numSpacing w14:val="default"/>
            </w:rPr>
          </w:pPr>
          <w:hyperlink w:history="1" w:anchor="_Toc121752549">
            <w:r w:rsidRPr="000A0778" w:rsidR="00DD36E2">
              <w:rPr>
                <w:rStyle w:val="Hyperlnk"/>
                <w:noProof/>
              </w:rPr>
              <w:t>Barn- och ungdomspsykiatrin</w:t>
            </w:r>
            <w:r w:rsidR="00DD36E2">
              <w:rPr>
                <w:noProof/>
                <w:webHidden/>
              </w:rPr>
              <w:tab/>
            </w:r>
            <w:r w:rsidR="00DD36E2">
              <w:rPr>
                <w:noProof/>
                <w:webHidden/>
              </w:rPr>
              <w:fldChar w:fldCharType="begin"/>
            </w:r>
            <w:r w:rsidR="00DD36E2">
              <w:rPr>
                <w:noProof/>
                <w:webHidden/>
              </w:rPr>
              <w:instrText xml:space="preserve"> PAGEREF _Toc121752549 \h </w:instrText>
            </w:r>
            <w:r w:rsidR="00DD36E2">
              <w:rPr>
                <w:noProof/>
                <w:webHidden/>
              </w:rPr>
            </w:r>
            <w:r w:rsidR="00DD36E2">
              <w:rPr>
                <w:noProof/>
                <w:webHidden/>
              </w:rPr>
              <w:fldChar w:fldCharType="separate"/>
            </w:r>
            <w:r w:rsidR="00A63605">
              <w:rPr>
                <w:noProof/>
                <w:webHidden/>
              </w:rPr>
              <w:t>33</w:t>
            </w:r>
            <w:r w:rsidR="00DD36E2">
              <w:rPr>
                <w:noProof/>
                <w:webHidden/>
              </w:rPr>
              <w:fldChar w:fldCharType="end"/>
            </w:r>
          </w:hyperlink>
        </w:p>
        <w:p w:rsidR="00DD36E2" w:rsidRDefault="002F39CB" w14:paraId="7142163A" w14:textId="6075F549">
          <w:pPr>
            <w:pStyle w:val="Innehll3"/>
            <w:tabs>
              <w:tab w:val="right" w:leader="dot" w:pos="8494"/>
            </w:tabs>
            <w:rPr>
              <w:rFonts w:eastAsiaTheme="minorEastAsia"/>
              <w:noProof/>
              <w:kern w:val="0"/>
              <w:sz w:val="22"/>
              <w:szCs w:val="22"/>
              <w:lang w:eastAsia="sv-SE"/>
              <w14:numSpacing w14:val="default"/>
            </w:rPr>
          </w:pPr>
          <w:hyperlink w:history="1" w:anchor="_Toc121752550">
            <w:r w:rsidRPr="000A0778" w:rsidR="00DD36E2">
              <w:rPr>
                <w:rStyle w:val="Hyperlnk"/>
                <w:noProof/>
              </w:rPr>
              <w:t>Suicid</w:t>
            </w:r>
            <w:r w:rsidR="00DD36E2">
              <w:rPr>
                <w:noProof/>
                <w:webHidden/>
              </w:rPr>
              <w:tab/>
            </w:r>
            <w:r w:rsidR="00DD36E2">
              <w:rPr>
                <w:noProof/>
                <w:webHidden/>
              </w:rPr>
              <w:fldChar w:fldCharType="begin"/>
            </w:r>
            <w:r w:rsidR="00DD36E2">
              <w:rPr>
                <w:noProof/>
                <w:webHidden/>
              </w:rPr>
              <w:instrText xml:space="preserve"> PAGEREF _Toc121752550 \h </w:instrText>
            </w:r>
            <w:r w:rsidR="00DD36E2">
              <w:rPr>
                <w:noProof/>
                <w:webHidden/>
              </w:rPr>
            </w:r>
            <w:r w:rsidR="00DD36E2">
              <w:rPr>
                <w:noProof/>
                <w:webHidden/>
              </w:rPr>
              <w:fldChar w:fldCharType="separate"/>
            </w:r>
            <w:r w:rsidR="00A63605">
              <w:rPr>
                <w:noProof/>
                <w:webHidden/>
              </w:rPr>
              <w:t>34</w:t>
            </w:r>
            <w:r w:rsidR="00DD36E2">
              <w:rPr>
                <w:noProof/>
                <w:webHidden/>
              </w:rPr>
              <w:fldChar w:fldCharType="end"/>
            </w:r>
          </w:hyperlink>
        </w:p>
        <w:p w:rsidR="00DD36E2" w:rsidRDefault="002F39CB" w14:paraId="0F5B97E6" w14:textId="3BAAF0DE">
          <w:pPr>
            <w:pStyle w:val="Innehll3"/>
            <w:tabs>
              <w:tab w:val="right" w:leader="dot" w:pos="8494"/>
            </w:tabs>
            <w:rPr>
              <w:rFonts w:eastAsiaTheme="minorEastAsia"/>
              <w:noProof/>
              <w:kern w:val="0"/>
              <w:sz w:val="22"/>
              <w:szCs w:val="22"/>
              <w:lang w:eastAsia="sv-SE"/>
              <w14:numSpacing w14:val="default"/>
            </w:rPr>
          </w:pPr>
          <w:hyperlink w:history="1" w:anchor="_Toc121752551">
            <w:r w:rsidRPr="000A0778" w:rsidR="00DD36E2">
              <w:rPr>
                <w:rStyle w:val="Hyperlnk"/>
                <w:noProof/>
              </w:rPr>
              <w:t>Behov av breda åtgärder</w:t>
            </w:r>
            <w:r w:rsidR="00DD36E2">
              <w:rPr>
                <w:noProof/>
                <w:webHidden/>
              </w:rPr>
              <w:tab/>
            </w:r>
            <w:r w:rsidR="00DD36E2">
              <w:rPr>
                <w:noProof/>
                <w:webHidden/>
              </w:rPr>
              <w:fldChar w:fldCharType="begin"/>
            </w:r>
            <w:r w:rsidR="00DD36E2">
              <w:rPr>
                <w:noProof/>
                <w:webHidden/>
              </w:rPr>
              <w:instrText xml:space="preserve"> PAGEREF _Toc121752551 \h </w:instrText>
            </w:r>
            <w:r w:rsidR="00DD36E2">
              <w:rPr>
                <w:noProof/>
                <w:webHidden/>
              </w:rPr>
            </w:r>
            <w:r w:rsidR="00DD36E2">
              <w:rPr>
                <w:noProof/>
                <w:webHidden/>
              </w:rPr>
              <w:fldChar w:fldCharType="separate"/>
            </w:r>
            <w:r w:rsidR="00A63605">
              <w:rPr>
                <w:noProof/>
                <w:webHidden/>
              </w:rPr>
              <w:t>35</w:t>
            </w:r>
            <w:r w:rsidR="00DD36E2">
              <w:rPr>
                <w:noProof/>
                <w:webHidden/>
              </w:rPr>
              <w:fldChar w:fldCharType="end"/>
            </w:r>
          </w:hyperlink>
        </w:p>
        <w:p w:rsidR="00DD36E2" w:rsidRDefault="002F39CB" w14:paraId="47DF0A87" w14:textId="2368C8B6">
          <w:pPr>
            <w:pStyle w:val="Innehll1"/>
            <w:tabs>
              <w:tab w:val="right" w:leader="dot" w:pos="8494"/>
            </w:tabs>
            <w:rPr>
              <w:rFonts w:eastAsiaTheme="minorEastAsia"/>
              <w:noProof/>
              <w:kern w:val="0"/>
              <w:sz w:val="22"/>
              <w:szCs w:val="22"/>
              <w:lang w:eastAsia="sv-SE"/>
              <w14:numSpacing w14:val="default"/>
            </w:rPr>
          </w:pPr>
          <w:hyperlink w:history="1" w:anchor="_Toc121752552">
            <w:r w:rsidRPr="000A0778" w:rsidR="00DD36E2">
              <w:rPr>
                <w:rStyle w:val="Hyperlnk"/>
                <w:noProof/>
              </w:rPr>
              <w:t>6 Trygghet</w:t>
            </w:r>
            <w:r w:rsidR="00DD36E2">
              <w:rPr>
                <w:noProof/>
                <w:webHidden/>
              </w:rPr>
              <w:tab/>
            </w:r>
            <w:r w:rsidR="00DD36E2">
              <w:rPr>
                <w:noProof/>
                <w:webHidden/>
              </w:rPr>
              <w:fldChar w:fldCharType="begin"/>
            </w:r>
            <w:r w:rsidR="00DD36E2">
              <w:rPr>
                <w:noProof/>
                <w:webHidden/>
              </w:rPr>
              <w:instrText xml:space="preserve"> PAGEREF _Toc121752552 \h </w:instrText>
            </w:r>
            <w:r w:rsidR="00DD36E2">
              <w:rPr>
                <w:noProof/>
                <w:webHidden/>
              </w:rPr>
            </w:r>
            <w:r w:rsidR="00DD36E2">
              <w:rPr>
                <w:noProof/>
                <w:webHidden/>
              </w:rPr>
              <w:fldChar w:fldCharType="separate"/>
            </w:r>
            <w:r w:rsidR="00A63605">
              <w:rPr>
                <w:noProof/>
                <w:webHidden/>
              </w:rPr>
              <w:t>36</w:t>
            </w:r>
            <w:r w:rsidR="00DD36E2">
              <w:rPr>
                <w:noProof/>
                <w:webHidden/>
              </w:rPr>
              <w:fldChar w:fldCharType="end"/>
            </w:r>
          </w:hyperlink>
        </w:p>
        <w:p w:rsidR="00DD36E2" w:rsidRDefault="002F39CB" w14:paraId="52A3AAD1" w14:textId="0F36197C">
          <w:pPr>
            <w:pStyle w:val="Innehll2"/>
            <w:tabs>
              <w:tab w:val="right" w:leader="dot" w:pos="8494"/>
            </w:tabs>
            <w:rPr>
              <w:rFonts w:eastAsiaTheme="minorEastAsia"/>
              <w:noProof/>
              <w:kern w:val="0"/>
              <w:sz w:val="22"/>
              <w:szCs w:val="22"/>
              <w:lang w:eastAsia="sv-SE"/>
              <w14:numSpacing w14:val="default"/>
            </w:rPr>
          </w:pPr>
          <w:hyperlink w:history="1" w:anchor="_Toc121752553">
            <w:r w:rsidRPr="000A0778" w:rsidR="00DD36E2">
              <w:rPr>
                <w:rStyle w:val="Hyperlnk"/>
                <w:noProof/>
              </w:rPr>
              <w:t>6.1 Förstärkning av Polismyndigheten</w:t>
            </w:r>
            <w:r w:rsidR="00DD36E2">
              <w:rPr>
                <w:noProof/>
                <w:webHidden/>
              </w:rPr>
              <w:tab/>
            </w:r>
            <w:r w:rsidR="00DD36E2">
              <w:rPr>
                <w:noProof/>
                <w:webHidden/>
              </w:rPr>
              <w:fldChar w:fldCharType="begin"/>
            </w:r>
            <w:r w:rsidR="00DD36E2">
              <w:rPr>
                <w:noProof/>
                <w:webHidden/>
              </w:rPr>
              <w:instrText xml:space="preserve"> PAGEREF _Toc121752553 \h </w:instrText>
            </w:r>
            <w:r w:rsidR="00DD36E2">
              <w:rPr>
                <w:noProof/>
                <w:webHidden/>
              </w:rPr>
            </w:r>
            <w:r w:rsidR="00DD36E2">
              <w:rPr>
                <w:noProof/>
                <w:webHidden/>
              </w:rPr>
              <w:fldChar w:fldCharType="separate"/>
            </w:r>
            <w:r w:rsidR="00A63605">
              <w:rPr>
                <w:noProof/>
                <w:webHidden/>
              </w:rPr>
              <w:t>36</w:t>
            </w:r>
            <w:r w:rsidR="00DD36E2">
              <w:rPr>
                <w:noProof/>
                <w:webHidden/>
              </w:rPr>
              <w:fldChar w:fldCharType="end"/>
            </w:r>
          </w:hyperlink>
        </w:p>
        <w:p w:rsidR="00DD36E2" w:rsidRDefault="002F39CB" w14:paraId="6BDD0298" w14:textId="397DB94D">
          <w:pPr>
            <w:pStyle w:val="Innehll3"/>
            <w:tabs>
              <w:tab w:val="right" w:leader="dot" w:pos="8494"/>
            </w:tabs>
            <w:rPr>
              <w:rFonts w:eastAsiaTheme="minorEastAsia"/>
              <w:noProof/>
              <w:kern w:val="0"/>
              <w:sz w:val="22"/>
              <w:szCs w:val="22"/>
              <w:lang w:eastAsia="sv-SE"/>
              <w14:numSpacing w14:val="default"/>
            </w:rPr>
          </w:pPr>
          <w:hyperlink w:history="1" w:anchor="_Toc121752554">
            <w:r w:rsidRPr="000A0778" w:rsidR="00DD36E2">
              <w:rPr>
                <w:rStyle w:val="Hyperlnk"/>
                <w:noProof/>
              </w:rPr>
              <w:t>Särskild lönesatsning</w:t>
            </w:r>
            <w:r w:rsidR="00DD36E2">
              <w:rPr>
                <w:noProof/>
                <w:webHidden/>
              </w:rPr>
              <w:tab/>
            </w:r>
            <w:r w:rsidR="00DD36E2">
              <w:rPr>
                <w:noProof/>
                <w:webHidden/>
              </w:rPr>
              <w:fldChar w:fldCharType="begin"/>
            </w:r>
            <w:r w:rsidR="00DD36E2">
              <w:rPr>
                <w:noProof/>
                <w:webHidden/>
              </w:rPr>
              <w:instrText xml:space="preserve"> PAGEREF _Toc121752554 \h </w:instrText>
            </w:r>
            <w:r w:rsidR="00DD36E2">
              <w:rPr>
                <w:noProof/>
                <w:webHidden/>
              </w:rPr>
            </w:r>
            <w:r w:rsidR="00DD36E2">
              <w:rPr>
                <w:noProof/>
                <w:webHidden/>
              </w:rPr>
              <w:fldChar w:fldCharType="separate"/>
            </w:r>
            <w:r w:rsidR="00A63605">
              <w:rPr>
                <w:noProof/>
                <w:webHidden/>
              </w:rPr>
              <w:t>36</w:t>
            </w:r>
            <w:r w:rsidR="00DD36E2">
              <w:rPr>
                <w:noProof/>
                <w:webHidden/>
              </w:rPr>
              <w:fldChar w:fldCharType="end"/>
            </w:r>
          </w:hyperlink>
        </w:p>
        <w:p w:rsidR="00DD36E2" w:rsidRDefault="002F39CB" w14:paraId="18B965ED" w14:textId="14AFB427">
          <w:pPr>
            <w:pStyle w:val="Innehll3"/>
            <w:tabs>
              <w:tab w:val="right" w:leader="dot" w:pos="8494"/>
            </w:tabs>
            <w:rPr>
              <w:rFonts w:eastAsiaTheme="minorEastAsia"/>
              <w:noProof/>
              <w:kern w:val="0"/>
              <w:sz w:val="22"/>
              <w:szCs w:val="22"/>
              <w:lang w:eastAsia="sv-SE"/>
              <w14:numSpacing w14:val="default"/>
            </w:rPr>
          </w:pPr>
          <w:hyperlink w:history="1" w:anchor="_Toc121752555">
            <w:r w:rsidRPr="000A0778" w:rsidR="00DD36E2">
              <w:rPr>
                <w:rStyle w:val="Hyperlnk"/>
                <w:noProof/>
              </w:rPr>
              <w:t>10 000 fler poliser till 2024</w:t>
            </w:r>
            <w:r w:rsidR="00DD36E2">
              <w:rPr>
                <w:noProof/>
                <w:webHidden/>
              </w:rPr>
              <w:tab/>
            </w:r>
            <w:r w:rsidR="00DD36E2">
              <w:rPr>
                <w:noProof/>
                <w:webHidden/>
              </w:rPr>
              <w:fldChar w:fldCharType="begin"/>
            </w:r>
            <w:r w:rsidR="00DD36E2">
              <w:rPr>
                <w:noProof/>
                <w:webHidden/>
              </w:rPr>
              <w:instrText xml:space="preserve"> PAGEREF _Toc121752555 \h </w:instrText>
            </w:r>
            <w:r w:rsidR="00DD36E2">
              <w:rPr>
                <w:noProof/>
                <w:webHidden/>
              </w:rPr>
            </w:r>
            <w:r w:rsidR="00DD36E2">
              <w:rPr>
                <w:noProof/>
                <w:webHidden/>
              </w:rPr>
              <w:fldChar w:fldCharType="separate"/>
            </w:r>
            <w:r w:rsidR="00A63605">
              <w:rPr>
                <w:noProof/>
                <w:webHidden/>
              </w:rPr>
              <w:t>36</w:t>
            </w:r>
            <w:r w:rsidR="00DD36E2">
              <w:rPr>
                <w:noProof/>
                <w:webHidden/>
              </w:rPr>
              <w:fldChar w:fldCharType="end"/>
            </w:r>
          </w:hyperlink>
        </w:p>
        <w:p w:rsidR="00DD36E2" w:rsidRDefault="002F39CB" w14:paraId="1B87ED5F" w14:textId="19E2053B">
          <w:pPr>
            <w:pStyle w:val="Innehll3"/>
            <w:tabs>
              <w:tab w:val="right" w:leader="dot" w:pos="8494"/>
            </w:tabs>
            <w:rPr>
              <w:rFonts w:eastAsiaTheme="minorEastAsia"/>
              <w:noProof/>
              <w:kern w:val="0"/>
              <w:sz w:val="22"/>
              <w:szCs w:val="22"/>
              <w:lang w:eastAsia="sv-SE"/>
              <w14:numSpacing w14:val="default"/>
            </w:rPr>
          </w:pPr>
          <w:hyperlink w:history="1" w:anchor="_Toc121752556">
            <w:r w:rsidRPr="000A0778" w:rsidR="00DD36E2">
              <w:rPr>
                <w:rStyle w:val="Hyperlnk"/>
                <w:noProof/>
              </w:rPr>
              <w:t>Betald polisutbildning</w:t>
            </w:r>
            <w:r w:rsidR="00DD36E2">
              <w:rPr>
                <w:noProof/>
                <w:webHidden/>
              </w:rPr>
              <w:tab/>
            </w:r>
            <w:r w:rsidR="00DD36E2">
              <w:rPr>
                <w:noProof/>
                <w:webHidden/>
              </w:rPr>
              <w:fldChar w:fldCharType="begin"/>
            </w:r>
            <w:r w:rsidR="00DD36E2">
              <w:rPr>
                <w:noProof/>
                <w:webHidden/>
              </w:rPr>
              <w:instrText xml:space="preserve"> PAGEREF _Toc121752556 \h </w:instrText>
            </w:r>
            <w:r w:rsidR="00DD36E2">
              <w:rPr>
                <w:noProof/>
                <w:webHidden/>
              </w:rPr>
            </w:r>
            <w:r w:rsidR="00DD36E2">
              <w:rPr>
                <w:noProof/>
                <w:webHidden/>
              </w:rPr>
              <w:fldChar w:fldCharType="separate"/>
            </w:r>
            <w:r w:rsidR="00A63605">
              <w:rPr>
                <w:noProof/>
                <w:webHidden/>
              </w:rPr>
              <w:t>37</w:t>
            </w:r>
            <w:r w:rsidR="00DD36E2">
              <w:rPr>
                <w:noProof/>
                <w:webHidden/>
              </w:rPr>
              <w:fldChar w:fldCharType="end"/>
            </w:r>
          </w:hyperlink>
        </w:p>
        <w:p w:rsidR="00DD36E2" w:rsidRDefault="002F39CB" w14:paraId="48AA18CC" w14:textId="762950C0">
          <w:pPr>
            <w:pStyle w:val="Innehll3"/>
            <w:tabs>
              <w:tab w:val="right" w:leader="dot" w:pos="8494"/>
            </w:tabs>
            <w:rPr>
              <w:rFonts w:eastAsiaTheme="minorEastAsia"/>
              <w:noProof/>
              <w:kern w:val="0"/>
              <w:sz w:val="22"/>
              <w:szCs w:val="22"/>
              <w:lang w:eastAsia="sv-SE"/>
              <w14:numSpacing w14:val="default"/>
            </w:rPr>
          </w:pPr>
          <w:hyperlink w:history="1" w:anchor="_Toc121752557">
            <w:r w:rsidRPr="000A0778" w:rsidR="00DD36E2">
              <w:rPr>
                <w:rStyle w:val="Hyperlnk"/>
                <w:noProof/>
              </w:rPr>
              <w:t>Investeringar i den tekniska miljön och kameraövervakning</w:t>
            </w:r>
            <w:r w:rsidR="00DD36E2">
              <w:rPr>
                <w:noProof/>
                <w:webHidden/>
              </w:rPr>
              <w:tab/>
            </w:r>
            <w:r w:rsidR="00DD36E2">
              <w:rPr>
                <w:noProof/>
                <w:webHidden/>
              </w:rPr>
              <w:fldChar w:fldCharType="begin"/>
            </w:r>
            <w:r w:rsidR="00DD36E2">
              <w:rPr>
                <w:noProof/>
                <w:webHidden/>
              </w:rPr>
              <w:instrText xml:space="preserve"> PAGEREF _Toc121752557 \h </w:instrText>
            </w:r>
            <w:r w:rsidR="00DD36E2">
              <w:rPr>
                <w:noProof/>
                <w:webHidden/>
              </w:rPr>
            </w:r>
            <w:r w:rsidR="00DD36E2">
              <w:rPr>
                <w:noProof/>
                <w:webHidden/>
              </w:rPr>
              <w:fldChar w:fldCharType="separate"/>
            </w:r>
            <w:r w:rsidR="00A63605">
              <w:rPr>
                <w:noProof/>
                <w:webHidden/>
              </w:rPr>
              <w:t>37</w:t>
            </w:r>
            <w:r w:rsidR="00DD36E2">
              <w:rPr>
                <w:noProof/>
                <w:webHidden/>
              </w:rPr>
              <w:fldChar w:fldCharType="end"/>
            </w:r>
          </w:hyperlink>
        </w:p>
        <w:p w:rsidR="00DD36E2" w:rsidRDefault="002F39CB" w14:paraId="4086284B" w14:textId="05007919">
          <w:pPr>
            <w:pStyle w:val="Innehll3"/>
            <w:tabs>
              <w:tab w:val="right" w:leader="dot" w:pos="8494"/>
            </w:tabs>
            <w:rPr>
              <w:rFonts w:eastAsiaTheme="minorEastAsia"/>
              <w:noProof/>
              <w:kern w:val="0"/>
              <w:sz w:val="22"/>
              <w:szCs w:val="22"/>
              <w:lang w:eastAsia="sv-SE"/>
              <w14:numSpacing w14:val="default"/>
            </w:rPr>
          </w:pPr>
          <w:hyperlink w:history="1" w:anchor="_Toc121752558">
            <w:r w:rsidRPr="000A0778" w:rsidR="00DD36E2">
              <w:rPr>
                <w:rStyle w:val="Hyperlnk"/>
                <w:noProof/>
              </w:rPr>
              <w:t>Renodling av polisens arbetsuppgifter</w:t>
            </w:r>
            <w:r w:rsidR="00DD36E2">
              <w:rPr>
                <w:noProof/>
                <w:webHidden/>
              </w:rPr>
              <w:tab/>
            </w:r>
            <w:r w:rsidR="00DD36E2">
              <w:rPr>
                <w:noProof/>
                <w:webHidden/>
              </w:rPr>
              <w:fldChar w:fldCharType="begin"/>
            </w:r>
            <w:r w:rsidR="00DD36E2">
              <w:rPr>
                <w:noProof/>
                <w:webHidden/>
              </w:rPr>
              <w:instrText xml:space="preserve"> PAGEREF _Toc121752558 \h </w:instrText>
            </w:r>
            <w:r w:rsidR="00DD36E2">
              <w:rPr>
                <w:noProof/>
                <w:webHidden/>
              </w:rPr>
            </w:r>
            <w:r w:rsidR="00DD36E2">
              <w:rPr>
                <w:noProof/>
                <w:webHidden/>
              </w:rPr>
              <w:fldChar w:fldCharType="separate"/>
            </w:r>
            <w:r w:rsidR="00A63605">
              <w:rPr>
                <w:noProof/>
                <w:webHidden/>
              </w:rPr>
              <w:t>37</w:t>
            </w:r>
            <w:r w:rsidR="00DD36E2">
              <w:rPr>
                <w:noProof/>
                <w:webHidden/>
              </w:rPr>
              <w:fldChar w:fldCharType="end"/>
            </w:r>
          </w:hyperlink>
        </w:p>
        <w:p w:rsidR="00DD36E2" w:rsidRDefault="002F39CB" w14:paraId="75C4AB72" w14:textId="1D4A4C4D">
          <w:pPr>
            <w:pStyle w:val="Innehll3"/>
            <w:tabs>
              <w:tab w:val="right" w:leader="dot" w:pos="8494"/>
            </w:tabs>
            <w:rPr>
              <w:rFonts w:eastAsiaTheme="minorEastAsia"/>
              <w:noProof/>
              <w:kern w:val="0"/>
              <w:sz w:val="22"/>
              <w:szCs w:val="22"/>
              <w:lang w:eastAsia="sv-SE"/>
              <w14:numSpacing w14:val="default"/>
            </w:rPr>
          </w:pPr>
          <w:hyperlink w:history="1" w:anchor="_Toc121752559">
            <w:r w:rsidRPr="000A0778" w:rsidR="00DD36E2">
              <w:rPr>
                <w:rStyle w:val="Hyperlnk"/>
                <w:noProof/>
              </w:rPr>
              <w:t>Förstärkningar av NFC</w:t>
            </w:r>
            <w:r w:rsidR="00DD36E2">
              <w:rPr>
                <w:noProof/>
                <w:webHidden/>
              </w:rPr>
              <w:tab/>
            </w:r>
            <w:r w:rsidR="00DD36E2">
              <w:rPr>
                <w:noProof/>
                <w:webHidden/>
              </w:rPr>
              <w:fldChar w:fldCharType="begin"/>
            </w:r>
            <w:r w:rsidR="00DD36E2">
              <w:rPr>
                <w:noProof/>
                <w:webHidden/>
              </w:rPr>
              <w:instrText xml:space="preserve"> PAGEREF _Toc121752559 \h </w:instrText>
            </w:r>
            <w:r w:rsidR="00DD36E2">
              <w:rPr>
                <w:noProof/>
                <w:webHidden/>
              </w:rPr>
            </w:r>
            <w:r w:rsidR="00DD36E2">
              <w:rPr>
                <w:noProof/>
                <w:webHidden/>
              </w:rPr>
              <w:fldChar w:fldCharType="separate"/>
            </w:r>
            <w:r w:rsidR="00A63605">
              <w:rPr>
                <w:noProof/>
                <w:webHidden/>
              </w:rPr>
              <w:t>37</w:t>
            </w:r>
            <w:r w:rsidR="00DD36E2">
              <w:rPr>
                <w:noProof/>
                <w:webHidden/>
              </w:rPr>
              <w:fldChar w:fldCharType="end"/>
            </w:r>
          </w:hyperlink>
        </w:p>
        <w:p w:rsidR="00DD36E2" w:rsidRDefault="002F39CB" w14:paraId="14F22B54" w14:textId="4AAB25CD">
          <w:pPr>
            <w:pStyle w:val="Innehll3"/>
            <w:tabs>
              <w:tab w:val="right" w:leader="dot" w:pos="8494"/>
            </w:tabs>
            <w:rPr>
              <w:rFonts w:eastAsiaTheme="minorEastAsia"/>
              <w:noProof/>
              <w:kern w:val="0"/>
              <w:sz w:val="22"/>
              <w:szCs w:val="22"/>
              <w:lang w:eastAsia="sv-SE"/>
              <w14:numSpacing w14:val="default"/>
            </w:rPr>
          </w:pPr>
          <w:hyperlink w:history="1" w:anchor="_Toc121752560">
            <w:r w:rsidRPr="000A0778" w:rsidR="00DD36E2">
              <w:rPr>
                <w:rStyle w:val="Hyperlnk"/>
                <w:noProof/>
              </w:rPr>
              <w:t>Stärkt gränspolis</w:t>
            </w:r>
            <w:r w:rsidR="00DD36E2">
              <w:rPr>
                <w:noProof/>
                <w:webHidden/>
              </w:rPr>
              <w:tab/>
            </w:r>
            <w:r w:rsidR="00DD36E2">
              <w:rPr>
                <w:noProof/>
                <w:webHidden/>
              </w:rPr>
              <w:fldChar w:fldCharType="begin"/>
            </w:r>
            <w:r w:rsidR="00DD36E2">
              <w:rPr>
                <w:noProof/>
                <w:webHidden/>
              </w:rPr>
              <w:instrText xml:space="preserve"> PAGEREF _Toc121752560 \h </w:instrText>
            </w:r>
            <w:r w:rsidR="00DD36E2">
              <w:rPr>
                <w:noProof/>
                <w:webHidden/>
              </w:rPr>
            </w:r>
            <w:r w:rsidR="00DD36E2">
              <w:rPr>
                <w:noProof/>
                <w:webHidden/>
              </w:rPr>
              <w:fldChar w:fldCharType="separate"/>
            </w:r>
            <w:r w:rsidR="00A63605">
              <w:rPr>
                <w:noProof/>
                <w:webHidden/>
              </w:rPr>
              <w:t>37</w:t>
            </w:r>
            <w:r w:rsidR="00DD36E2">
              <w:rPr>
                <w:noProof/>
                <w:webHidden/>
              </w:rPr>
              <w:fldChar w:fldCharType="end"/>
            </w:r>
          </w:hyperlink>
        </w:p>
        <w:p w:rsidR="00DD36E2" w:rsidRDefault="002F39CB" w14:paraId="2974F32F" w14:textId="09C55AC4">
          <w:pPr>
            <w:pStyle w:val="Innehll3"/>
            <w:tabs>
              <w:tab w:val="right" w:leader="dot" w:pos="8494"/>
            </w:tabs>
            <w:rPr>
              <w:rFonts w:eastAsiaTheme="minorEastAsia"/>
              <w:noProof/>
              <w:kern w:val="0"/>
              <w:sz w:val="22"/>
              <w:szCs w:val="22"/>
              <w:lang w:eastAsia="sv-SE"/>
              <w14:numSpacing w14:val="default"/>
            </w:rPr>
          </w:pPr>
          <w:hyperlink w:history="1" w:anchor="_Toc121752561">
            <w:r w:rsidRPr="000A0778" w:rsidR="00DD36E2">
              <w:rPr>
                <w:rStyle w:val="Hyperlnk"/>
                <w:noProof/>
              </w:rPr>
              <w:t>En bred förstärkning</w:t>
            </w:r>
            <w:r w:rsidR="00DD36E2">
              <w:rPr>
                <w:noProof/>
                <w:webHidden/>
              </w:rPr>
              <w:tab/>
            </w:r>
            <w:r w:rsidR="00DD36E2">
              <w:rPr>
                <w:noProof/>
                <w:webHidden/>
              </w:rPr>
              <w:fldChar w:fldCharType="begin"/>
            </w:r>
            <w:r w:rsidR="00DD36E2">
              <w:rPr>
                <w:noProof/>
                <w:webHidden/>
              </w:rPr>
              <w:instrText xml:space="preserve"> PAGEREF _Toc121752561 \h </w:instrText>
            </w:r>
            <w:r w:rsidR="00DD36E2">
              <w:rPr>
                <w:noProof/>
                <w:webHidden/>
              </w:rPr>
            </w:r>
            <w:r w:rsidR="00DD36E2">
              <w:rPr>
                <w:noProof/>
                <w:webHidden/>
              </w:rPr>
              <w:fldChar w:fldCharType="separate"/>
            </w:r>
            <w:r w:rsidR="00A63605">
              <w:rPr>
                <w:noProof/>
                <w:webHidden/>
              </w:rPr>
              <w:t>37</w:t>
            </w:r>
            <w:r w:rsidR="00DD36E2">
              <w:rPr>
                <w:noProof/>
                <w:webHidden/>
              </w:rPr>
              <w:fldChar w:fldCharType="end"/>
            </w:r>
          </w:hyperlink>
        </w:p>
        <w:p w:rsidR="00DD36E2" w:rsidRDefault="002F39CB" w14:paraId="06A2185C" w14:textId="78B4CED7">
          <w:pPr>
            <w:pStyle w:val="Innehll2"/>
            <w:tabs>
              <w:tab w:val="right" w:leader="dot" w:pos="8494"/>
            </w:tabs>
            <w:rPr>
              <w:rFonts w:eastAsiaTheme="minorEastAsia"/>
              <w:noProof/>
              <w:kern w:val="0"/>
              <w:sz w:val="22"/>
              <w:szCs w:val="22"/>
              <w:lang w:eastAsia="sv-SE"/>
              <w14:numSpacing w14:val="default"/>
            </w:rPr>
          </w:pPr>
          <w:hyperlink w:history="1" w:anchor="_Toc121752562">
            <w:r w:rsidRPr="000A0778" w:rsidR="00DD36E2">
              <w:rPr>
                <w:rStyle w:val="Hyperlnk"/>
                <w:noProof/>
              </w:rPr>
              <w:t>6.2 Flaskhalsarna ska byggas bort</w:t>
            </w:r>
            <w:r w:rsidR="00DD36E2">
              <w:rPr>
                <w:noProof/>
                <w:webHidden/>
              </w:rPr>
              <w:tab/>
            </w:r>
            <w:r w:rsidR="00DD36E2">
              <w:rPr>
                <w:noProof/>
                <w:webHidden/>
              </w:rPr>
              <w:fldChar w:fldCharType="begin"/>
            </w:r>
            <w:r w:rsidR="00DD36E2">
              <w:rPr>
                <w:noProof/>
                <w:webHidden/>
              </w:rPr>
              <w:instrText xml:space="preserve"> PAGEREF _Toc121752562 \h </w:instrText>
            </w:r>
            <w:r w:rsidR="00DD36E2">
              <w:rPr>
                <w:noProof/>
                <w:webHidden/>
              </w:rPr>
            </w:r>
            <w:r w:rsidR="00DD36E2">
              <w:rPr>
                <w:noProof/>
                <w:webHidden/>
              </w:rPr>
              <w:fldChar w:fldCharType="separate"/>
            </w:r>
            <w:r w:rsidR="00A63605">
              <w:rPr>
                <w:noProof/>
                <w:webHidden/>
              </w:rPr>
              <w:t>38</w:t>
            </w:r>
            <w:r w:rsidR="00DD36E2">
              <w:rPr>
                <w:noProof/>
                <w:webHidden/>
              </w:rPr>
              <w:fldChar w:fldCharType="end"/>
            </w:r>
          </w:hyperlink>
        </w:p>
        <w:p w:rsidR="00DD36E2" w:rsidRDefault="002F39CB" w14:paraId="138D4370" w14:textId="715F0B51">
          <w:pPr>
            <w:pStyle w:val="Innehll2"/>
            <w:tabs>
              <w:tab w:val="right" w:leader="dot" w:pos="8494"/>
            </w:tabs>
            <w:rPr>
              <w:rFonts w:eastAsiaTheme="minorEastAsia"/>
              <w:noProof/>
              <w:kern w:val="0"/>
              <w:sz w:val="22"/>
              <w:szCs w:val="22"/>
              <w:lang w:eastAsia="sv-SE"/>
              <w14:numSpacing w14:val="default"/>
            </w:rPr>
          </w:pPr>
          <w:hyperlink w:history="1" w:anchor="_Toc121752563">
            <w:r w:rsidRPr="000A0778" w:rsidR="00DD36E2">
              <w:rPr>
                <w:rStyle w:val="Hyperlnk"/>
                <w:noProof/>
              </w:rPr>
              <w:t>6.3 Ett riktigt brottsofferperspektiv</w:t>
            </w:r>
            <w:r w:rsidR="00DD36E2">
              <w:rPr>
                <w:noProof/>
                <w:webHidden/>
              </w:rPr>
              <w:tab/>
            </w:r>
            <w:r w:rsidR="00DD36E2">
              <w:rPr>
                <w:noProof/>
                <w:webHidden/>
              </w:rPr>
              <w:fldChar w:fldCharType="begin"/>
            </w:r>
            <w:r w:rsidR="00DD36E2">
              <w:rPr>
                <w:noProof/>
                <w:webHidden/>
              </w:rPr>
              <w:instrText xml:space="preserve"> PAGEREF _Toc121752563 \h </w:instrText>
            </w:r>
            <w:r w:rsidR="00DD36E2">
              <w:rPr>
                <w:noProof/>
                <w:webHidden/>
              </w:rPr>
            </w:r>
            <w:r w:rsidR="00DD36E2">
              <w:rPr>
                <w:noProof/>
                <w:webHidden/>
              </w:rPr>
              <w:fldChar w:fldCharType="separate"/>
            </w:r>
            <w:r w:rsidR="00A63605">
              <w:rPr>
                <w:noProof/>
                <w:webHidden/>
              </w:rPr>
              <w:t>38</w:t>
            </w:r>
            <w:r w:rsidR="00DD36E2">
              <w:rPr>
                <w:noProof/>
                <w:webHidden/>
              </w:rPr>
              <w:fldChar w:fldCharType="end"/>
            </w:r>
          </w:hyperlink>
        </w:p>
        <w:p w:rsidR="00DD36E2" w:rsidRDefault="002F39CB" w14:paraId="2D60D424" w14:textId="60E6037E">
          <w:pPr>
            <w:pStyle w:val="Innehll2"/>
            <w:tabs>
              <w:tab w:val="right" w:leader="dot" w:pos="8494"/>
            </w:tabs>
            <w:rPr>
              <w:rFonts w:eastAsiaTheme="minorEastAsia"/>
              <w:noProof/>
              <w:kern w:val="0"/>
              <w:sz w:val="22"/>
              <w:szCs w:val="22"/>
              <w:lang w:eastAsia="sv-SE"/>
              <w14:numSpacing w14:val="default"/>
            </w:rPr>
          </w:pPr>
          <w:hyperlink w:history="1" w:anchor="_Toc121752564">
            <w:r w:rsidRPr="000A0778" w:rsidR="00DD36E2">
              <w:rPr>
                <w:rStyle w:val="Hyperlnk"/>
                <w:noProof/>
              </w:rPr>
              <w:t>6.4 Våld i nära relationer</w:t>
            </w:r>
            <w:r w:rsidR="00DD36E2">
              <w:rPr>
                <w:noProof/>
                <w:webHidden/>
              </w:rPr>
              <w:tab/>
            </w:r>
            <w:r w:rsidR="00DD36E2">
              <w:rPr>
                <w:noProof/>
                <w:webHidden/>
              </w:rPr>
              <w:fldChar w:fldCharType="begin"/>
            </w:r>
            <w:r w:rsidR="00DD36E2">
              <w:rPr>
                <w:noProof/>
                <w:webHidden/>
              </w:rPr>
              <w:instrText xml:space="preserve"> PAGEREF _Toc121752564 \h </w:instrText>
            </w:r>
            <w:r w:rsidR="00DD36E2">
              <w:rPr>
                <w:noProof/>
                <w:webHidden/>
              </w:rPr>
            </w:r>
            <w:r w:rsidR="00DD36E2">
              <w:rPr>
                <w:noProof/>
                <w:webHidden/>
              </w:rPr>
              <w:fldChar w:fldCharType="separate"/>
            </w:r>
            <w:r w:rsidR="00A63605">
              <w:rPr>
                <w:noProof/>
                <w:webHidden/>
              </w:rPr>
              <w:t>39</w:t>
            </w:r>
            <w:r w:rsidR="00DD36E2">
              <w:rPr>
                <w:noProof/>
                <w:webHidden/>
              </w:rPr>
              <w:fldChar w:fldCharType="end"/>
            </w:r>
          </w:hyperlink>
        </w:p>
        <w:p w:rsidR="00DD36E2" w:rsidRDefault="002F39CB" w14:paraId="76B7223F" w14:textId="0A5734FE">
          <w:pPr>
            <w:pStyle w:val="Innehll3"/>
            <w:tabs>
              <w:tab w:val="right" w:leader="dot" w:pos="8494"/>
            </w:tabs>
            <w:rPr>
              <w:rFonts w:eastAsiaTheme="minorEastAsia"/>
              <w:noProof/>
              <w:kern w:val="0"/>
              <w:sz w:val="22"/>
              <w:szCs w:val="22"/>
              <w:lang w:eastAsia="sv-SE"/>
              <w14:numSpacing w14:val="default"/>
            </w:rPr>
          </w:pPr>
          <w:hyperlink w:history="1" w:anchor="_Toc121752565">
            <w:r w:rsidRPr="000A0778" w:rsidR="00DD36E2">
              <w:rPr>
                <w:rStyle w:val="Hyperlnk"/>
                <w:noProof/>
              </w:rPr>
              <w:t>Kvinnojourer</w:t>
            </w:r>
            <w:r w:rsidR="00DD36E2">
              <w:rPr>
                <w:noProof/>
                <w:webHidden/>
              </w:rPr>
              <w:tab/>
            </w:r>
            <w:r w:rsidR="00DD36E2">
              <w:rPr>
                <w:noProof/>
                <w:webHidden/>
              </w:rPr>
              <w:fldChar w:fldCharType="begin"/>
            </w:r>
            <w:r w:rsidR="00DD36E2">
              <w:rPr>
                <w:noProof/>
                <w:webHidden/>
              </w:rPr>
              <w:instrText xml:space="preserve"> PAGEREF _Toc121752565 \h </w:instrText>
            </w:r>
            <w:r w:rsidR="00DD36E2">
              <w:rPr>
                <w:noProof/>
                <w:webHidden/>
              </w:rPr>
            </w:r>
            <w:r w:rsidR="00DD36E2">
              <w:rPr>
                <w:noProof/>
                <w:webHidden/>
              </w:rPr>
              <w:fldChar w:fldCharType="separate"/>
            </w:r>
            <w:r w:rsidR="00A63605">
              <w:rPr>
                <w:noProof/>
                <w:webHidden/>
              </w:rPr>
              <w:t>40</w:t>
            </w:r>
            <w:r w:rsidR="00DD36E2">
              <w:rPr>
                <w:noProof/>
                <w:webHidden/>
              </w:rPr>
              <w:fldChar w:fldCharType="end"/>
            </w:r>
          </w:hyperlink>
        </w:p>
        <w:p w:rsidR="00DD36E2" w:rsidRDefault="002F39CB" w14:paraId="6AA9BB6D" w14:textId="49362DAC">
          <w:pPr>
            <w:pStyle w:val="Innehll3"/>
            <w:tabs>
              <w:tab w:val="right" w:leader="dot" w:pos="8494"/>
            </w:tabs>
            <w:rPr>
              <w:rFonts w:eastAsiaTheme="minorEastAsia"/>
              <w:noProof/>
              <w:kern w:val="0"/>
              <w:sz w:val="22"/>
              <w:szCs w:val="22"/>
              <w:lang w:eastAsia="sv-SE"/>
              <w14:numSpacing w14:val="default"/>
            </w:rPr>
          </w:pPr>
          <w:hyperlink w:history="1" w:anchor="_Toc121752566">
            <w:r w:rsidRPr="000A0778" w:rsidR="00DD36E2">
              <w:rPr>
                <w:rStyle w:val="Hyperlnk"/>
                <w:noProof/>
              </w:rPr>
              <w:t>Kunskapslyft</w:t>
            </w:r>
            <w:r w:rsidR="00DD36E2">
              <w:rPr>
                <w:noProof/>
                <w:webHidden/>
              </w:rPr>
              <w:tab/>
            </w:r>
            <w:r w:rsidR="00DD36E2">
              <w:rPr>
                <w:noProof/>
                <w:webHidden/>
              </w:rPr>
              <w:fldChar w:fldCharType="begin"/>
            </w:r>
            <w:r w:rsidR="00DD36E2">
              <w:rPr>
                <w:noProof/>
                <w:webHidden/>
              </w:rPr>
              <w:instrText xml:space="preserve"> PAGEREF _Toc121752566 \h </w:instrText>
            </w:r>
            <w:r w:rsidR="00DD36E2">
              <w:rPr>
                <w:noProof/>
                <w:webHidden/>
              </w:rPr>
            </w:r>
            <w:r w:rsidR="00DD36E2">
              <w:rPr>
                <w:noProof/>
                <w:webHidden/>
              </w:rPr>
              <w:fldChar w:fldCharType="separate"/>
            </w:r>
            <w:r w:rsidR="00A63605">
              <w:rPr>
                <w:noProof/>
                <w:webHidden/>
              </w:rPr>
              <w:t>40</w:t>
            </w:r>
            <w:r w:rsidR="00DD36E2">
              <w:rPr>
                <w:noProof/>
                <w:webHidden/>
              </w:rPr>
              <w:fldChar w:fldCharType="end"/>
            </w:r>
          </w:hyperlink>
        </w:p>
        <w:p w:rsidR="00DD36E2" w:rsidRDefault="002F39CB" w14:paraId="0C883E36" w14:textId="2329503B">
          <w:pPr>
            <w:pStyle w:val="Innehll1"/>
            <w:tabs>
              <w:tab w:val="right" w:leader="dot" w:pos="8494"/>
            </w:tabs>
            <w:rPr>
              <w:rFonts w:eastAsiaTheme="minorEastAsia"/>
              <w:noProof/>
              <w:kern w:val="0"/>
              <w:sz w:val="22"/>
              <w:szCs w:val="22"/>
              <w:lang w:eastAsia="sv-SE"/>
              <w14:numSpacing w14:val="default"/>
            </w:rPr>
          </w:pPr>
          <w:hyperlink w:history="1" w:anchor="_Toc121752567">
            <w:r w:rsidRPr="000A0778" w:rsidR="00DD36E2">
              <w:rPr>
                <w:rStyle w:val="Hyperlnk"/>
                <w:noProof/>
              </w:rPr>
              <w:t>7 Skola och utbildning</w:t>
            </w:r>
            <w:r w:rsidR="00DD36E2">
              <w:rPr>
                <w:noProof/>
                <w:webHidden/>
              </w:rPr>
              <w:tab/>
            </w:r>
            <w:r w:rsidR="00DD36E2">
              <w:rPr>
                <w:noProof/>
                <w:webHidden/>
              </w:rPr>
              <w:fldChar w:fldCharType="begin"/>
            </w:r>
            <w:r w:rsidR="00DD36E2">
              <w:rPr>
                <w:noProof/>
                <w:webHidden/>
              </w:rPr>
              <w:instrText xml:space="preserve"> PAGEREF _Toc121752567 \h </w:instrText>
            </w:r>
            <w:r w:rsidR="00DD36E2">
              <w:rPr>
                <w:noProof/>
                <w:webHidden/>
              </w:rPr>
            </w:r>
            <w:r w:rsidR="00DD36E2">
              <w:rPr>
                <w:noProof/>
                <w:webHidden/>
              </w:rPr>
              <w:fldChar w:fldCharType="separate"/>
            </w:r>
            <w:r w:rsidR="00A63605">
              <w:rPr>
                <w:noProof/>
                <w:webHidden/>
              </w:rPr>
              <w:t>41</w:t>
            </w:r>
            <w:r w:rsidR="00DD36E2">
              <w:rPr>
                <w:noProof/>
                <w:webHidden/>
              </w:rPr>
              <w:fldChar w:fldCharType="end"/>
            </w:r>
          </w:hyperlink>
        </w:p>
        <w:p w:rsidR="00DD36E2" w:rsidRDefault="002F39CB" w14:paraId="61C74986" w14:textId="4D2280B8">
          <w:pPr>
            <w:pStyle w:val="Innehll3"/>
            <w:tabs>
              <w:tab w:val="right" w:leader="dot" w:pos="8494"/>
            </w:tabs>
            <w:rPr>
              <w:rFonts w:eastAsiaTheme="minorEastAsia"/>
              <w:noProof/>
              <w:kern w:val="0"/>
              <w:sz w:val="22"/>
              <w:szCs w:val="22"/>
              <w:lang w:eastAsia="sv-SE"/>
              <w14:numSpacing w14:val="default"/>
            </w:rPr>
          </w:pPr>
          <w:hyperlink w:history="1" w:anchor="_Toc121752568">
            <w:r w:rsidRPr="000A0778" w:rsidR="00DD36E2">
              <w:rPr>
                <w:rStyle w:val="Hyperlnk"/>
                <w:noProof/>
              </w:rPr>
              <w:t>Utbildningsväsendets kostnadsutveckling</w:t>
            </w:r>
            <w:r w:rsidR="00DD36E2">
              <w:rPr>
                <w:noProof/>
                <w:webHidden/>
              </w:rPr>
              <w:tab/>
            </w:r>
            <w:r w:rsidR="00DD36E2">
              <w:rPr>
                <w:noProof/>
                <w:webHidden/>
              </w:rPr>
              <w:fldChar w:fldCharType="begin"/>
            </w:r>
            <w:r w:rsidR="00DD36E2">
              <w:rPr>
                <w:noProof/>
                <w:webHidden/>
              </w:rPr>
              <w:instrText xml:space="preserve"> PAGEREF _Toc121752568 \h </w:instrText>
            </w:r>
            <w:r w:rsidR="00DD36E2">
              <w:rPr>
                <w:noProof/>
                <w:webHidden/>
              </w:rPr>
            </w:r>
            <w:r w:rsidR="00DD36E2">
              <w:rPr>
                <w:noProof/>
                <w:webHidden/>
              </w:rPr>
              <w:fldChar w:fldCharType="separate"/>
            </w:r>
            <w:r w:rsidR="00A63605">
              <w:rPr>
                <w:noProof/>
                <w:webHidden/>
              </w:rPr>
              <w:t>41</w:t>
            </w:r>
            <w:r w:rsidR="00DD36E2">
              <w:rPr>
                <w:noProof/>
                <w:webHidden/>
              </w:rPr>
              <w:fldChar w:fldCharType="end"/>
            </w:r>
          </w:hyperlink>
        </w:p>
        <w:p w:rsidR="00DD36E2" w:rsidRDefault="002F39CB" w14:paraId="355C8474" w14:textId="41180BFE">
          <w:pPr>
            <w:pStyle w:val="Innehll3"/>
            <w:tabs>
              <w:tab w:val="right" w:leader="dot" w:pos="8494"/>
            </w:tabs>
            <w:rPr>
              <w:rFonts w:eastAsiaTheme="minorEastAsia"/>
              <w:noProof/>
              <w:kern w:val="0"/>
              <w:sz w:val="22"/>
              <w:szCs w:val="22"/>
              <w:lang w:eastAsia="sv-SE"/>
              <w14:numSpacing w14:val="default"/>
            </w:rPr>
          </w:pPr>
          <w:hyperlink w:history="1" w:anchor="_Toc121752569">
            <w:r w:rsidRPr="000A0778" w:rsidR="00DD36E2">
              <w:rPr>
                <w:rStyle w:val="Hyperlnk"/>
                <w:noProof/>
              </w:rPr>
              <w:t>Skolresultatens utveckling</w:t>
            </w:r>
            <w:r w:rsidR="00DD36E2">
              <w:rPr>
                <w:noProof/>
                <w:webHidden/>
              </w:rPr>
              <w:tab/>
            </w:r>
            <w:r w:rsidR="00DD36E2">
              <w:rPr>
                <w:noProof/>
                <w:webHidden/>
              </w:rPr>
              <w:fldChar w:fldCharType="begin"/>
            </w:r>
            <w:r w:rsidR="00DD36E2">
              <w:rPr>
                <w:noProof/>
                <w:webHidden/>
              </w:rPr>
              <w:instrText xml:space="preserve"> PAGEREF _Toc121752569 \h </w:instrText>
            </w:r>
            <w:r w:rsidR="00DD36E2">
              <w:rPr>
                <w:noProof/>
                <w:webHidden/>
              </w:rPr>
            </w:r>
            <w:r w:rsidR="00DD36E2">
              <w:rPr>
                <w:noProof/>
                <w:webHidden/>
              </w:rPr>
              <w:fldChar w:fldCharType="separate"/>
            </w:r>
            <w:r w:rsidR="00A63605">
              <w:rPr>
                <w:noProof/>
                <w:webHidden/>
              </w:rPr>
              <w:t>41</w:t>
            </w:r>
            <w:r w:rsidR="00DD36E2">
              <w:rPr>
                <w:noProof/>
                <w:webHidden/>
              </w:rPr>
              <w:fldChar w:fldCharType="end"/>
            </w:r>
          </w:hyperlink>
        </w:p>
        <w:p w:rsidR="00DD36E2" w:rsidRDefault="002F39CB" w14:paraId="395229C3" w14:textId="5AEBE15A">
          <w:pPr>
            <w:pStyle w:val="Innehll3"/>
            <w:tabs>
              <w:tab w:val="right" w:leader="dot" w:pos="8494"/>
            </w:tabs>
            <w:rPr>
              <w:rFonts w:eastAsiaTheme="minorEastAsia"/>
              <w:noProof/>
              <w:kern w:val="0"/>
              <w:sz w:val="22"/>
              <w:szCs w:val="22"/>
              <w:lang w:eastAsia="sv-SE"/>
              <w14:numSpacing w14:val="default"/>
            </w:rPr>
          </w:pPr>
          <w:hyperlink w:history="1" w:anchor="_Toc121752570">
            <w:r w:rsidRPr="000A0778" w:rsidR="00DD36E2">
              <w:rPr>
                <w:rStyle w:val="Hyperlnk"/>
                <w:noProof/>
              </w:rPr>
              <w:t>Ordning och reda/trygghet</w:t>
            </w:r>
            <w:r w:rsidR="00DD36E2">
              <w:rPr>
                <w:noProof/>
                <w:webHidden/>
              </w:rPr>
              <w:tab/>
            </w:r>
            <w:r w:rsidR="00DD36E2">
              <w:rPr>
                <w:noProof/>
                <w:webHidden/>
              </w:rPr>
              <w:fldChar w:fldCharType="begin"/>
            </w:r>
            <w:r w:rsidR="00DD36E2">
              <w:rPr>
                <w:noProof/>
                <w:webHidden/>
              </w:rPr>
              <w:instrText xml:space="preserve"> PAGEREF _Toc121752570 \h </w:instrText>
            </w:r>
            <w:r w:rsidR="00DD36E2">
              <w:rPr>
                <w:noProof/>
                <w:webHidden/>
              </w:rPr>
            </w:r>
            <w:r w:rsidR="00DD36E2">
              <w:rPr>
                <w:noProof/>
                <w:webHidden/>
              </w:rPr>
              <w:fldChar w:fldCharType="separate"/>
            </w:r>
            <w:r w:rsidR="00A63605">
              <w:rPr>
                <w:noProof/>
                <w:webHidden/>
              </w:rPr>
              <w:t>42</w:t>
            </w:r>
            <w:r w:rsidR="00DD36E2">
              <w:rPr>
                <w:noProof/>
                <w:webHidden/>
              </w:rPr>
              <w:fldChar w:fldCharType="end"/>
            </w:r>
          </w:hyperlink>
        </w:p>
        <w:p w:rsidR="00DD36E2" w:rsidRDefault="002F39CB" w14:paraId="2018EC97" w14:textId="62EBD524">
          <w:pPr>
            <w:pStyle w:val="Innehll2"/>
            <w:tabs>
              <w:tab w:val="right" w:leader="dot" w:pos="8494"/>
            </w:tabs>
            <w:rPr>
              <w:rFonts w:eastAsiaTheme="minorEastAsia"/>
              <w:noProof/>
              <w:kern w:val="0"/>
              <w:sz w:val="22"/>
              <w:szCs w:val="22"/>
              <w:lang w:eastAsia="sv-SE"/>
              <w14:numSpacing w14:val="default"/>
            </w:rPr>
          </w:pPr>
          <w:hyperlink w:history="1" w:anchor="_Toc121752571">
            <w:r w:rsidRPr="000A0778" w:rsidR="00DD36E2">
              <w:rPr>
                <w:rStyle w:val="Hyperlnk"/>
                <w:noProof/>
              </w:rPr>
              <w:t>7.1 Höjd status för läraryrket</w:t>
            </w:r>
            <w:r w:rsidR="00DD36E2">
              <w:rPr>
                <w:noProof/>
                <w:webHidden/>
              </w:rPr>
              <w:tab/>
            </w:r>
            <w:r w:rsidR="00DD36E2">
              <w:rPr>
                <w:noProof/>
                <w:webHidden/>
              </w:rPr>
              <w:fldChar w:fldCharType="begin"/>
            </w:r>
            <w:r w:rsidR="00DD36E2">
              <w:rPr>
                <w:noProof/>
                <w:webHidden/>
              </w:rPr>
              <w:instrText xml:space="preserve"> PAGEREF _Toc121752571 \h </w:instrText>
            </w:r>
            <w:r w:rsidR="00DD36E2">
              <w:rPr>
                <w:noProof/>
                <w:webHidden/>
              </w:rPr>
            </w:r>
            <w:r w:rsidR="00DD36E2">
              <w:rPr>
                <w:noProof/>
                <w:webHidden/>
              </w:rPr>
              <w:fldChar w:fldCharType="separate"/>
            </w:r>
            <w:r w:rsidR="00A63605">
              <w:rPr>
                <w:noProof/>
                <w:webHidden/>
              </w:rPr>
              <w:t>44</w:t>
            </w:r>
            <w:r w:rsidR="00DD36E2">
              <w:rPr>
                <w:noProof/>
                <w:webHidden/>
              </w:rPr>
              <w:fldChar w:fldCharType="end"/>
            </w:r>
          </w:hyperlink>
        </w:p>
        <w:p w:rsidR="00DD36E2" w:rsidRDefault="002F39CB" w14:paraId="77393305" w14:textId="517125C9">
          <w:pPr>
            <w:pStyle w:val="Innehll2"/>
            <w:tabs>
              <w:tab w:val="right" w:leader="dot" w:pos="8494"/>
            </w:tabs>
            <w:rPr>
              <w:rFonts w:eastAsiaTheme="minorEastAsia"/>
              <w:noProof/>
              <w:kern w:val="0"/>
              <w:sz w:val="22"/>
              <w:szCs w:val="22"/>
              <w:lang w:eastAsia="sv-SE"/>
              <w14:numSpacing w14:val="default"/>
            </w:rPr>
          </w:pPr>
          <w:hyperlink w:history="1" w:anchor="_Toc121752572">
            <w:r w:rsidRPr="000A0778" w:rsidR="00DD36E2">
              <w:rPr>
                <w:rStyle w:val="Hyperlnk"/>
                <w:noProof/>
              </w:rPr>
              <w:t>7.2 Förskolemiljard och slopat karensavdrag</w:t>
            </w:r>
            <w:r w:rsidR="00DD36E2">
              <w:rPr>
                <w:noProof/>
                <w:webHidden/>
              </w:rPr>
              <w:tab/>
            </w:r>
            <w:r w:rsidR="00DD36E2">
              <w:rPr>
                <w:noProof/>
                <w:webHidden/>
              </w:rPr>
              <w:fldChar w:fldCharType="begin"/>
            </w:r>
            <w:r w:rsidR="00DD36E2">
              <w:rPr>
                <w:noProof/>
                <w:webHidden/>
              </w:rPr>
              <w:instrText xml:space="preserve"> PAGEREF _Toc121752572 \h </w:instrText>
            </w:r>
            <w:r w:rsidR="00DD36E2">
              <w:rPr>
                <w:noProof/>
                <w:webHidden/>
              </w:rPr>
            </w:r>
            <w:r w:rsidR="00DD36E2">
              <w:rPr>
                <w:noProof/>
                <w:webHidden/>
              </w:rPr>
              <w:fldChar w:fldCharType="separate"/>
            </w:r>
            <w:r w:rsidR="00A63605">
              <w:rPr>
                <w:noProof/>
                <w:webHidden/>
              </w:rPr>
              <w:t>44</w:t>
            </w:r>
            <w:r w:rsidR="00DD36E2">
              <w:rPr>
                <w:noProof/>
                <w:webHidden/>
              </w:rPr>
              <w:fldChar w:fldCharType="end"/>
            </w:r>
          </w:hyperlink>
        </w:p>
        <w:p w:rsidR="00DD36E2" w:rsidRDefault="002F39CB" w14:paraId="686742AC" w14:textId="6CB81D86">
          <w:pPr>
            <w:pStyle w:val="Innehll2"/>
            <w:tabs>
              <w:tab w:val="right" w:leader="dot" w:pos="8494"/>
            </w:tabs>
            <w:rPr>
              <w:rFonts w:eastAsiaTheme="minorEastAsia"/>
              <w:noProof/>
              <w:kern w:val="0"/>
              <w:sz w:val="22"/>
              <w:szCs w:val="22"/>
              <w:lang w:eastAsia="sv-SE"/>
              <w14:numSpacing w14:val="default"/>
            </w:rPr>
          </w:pPr>
          <w:hyperlink w:history="1" w:anchor="_Toc121752573">
            <w:r w:rsidRPr="000A0778" w:rsidR="00DD36E2">
              <w:rPr>
                <w:rStyle w:val="Hyperlnk"/>
                <w:noProof/>
              </w:rPr>
              <w:t>7.3 Ordning och reda</w:t>
            </w:r>
            <w:r w:rsidR="00DD36E2">
              <w:rPr>
                <w:noProof/>
                <w:webHidden/>
              </w:rPr>
              <w:tab/>
            </w:r>
            <w:r w:rsidR="00DD36E2">
              <w:rPr>
                <w:noProof/>
                <w:webHidden/>
              </w:rPr>
              <w:fldChar w:fldCharType="begin"/>
            </w:r>
            <w:r w:rsidR="00DD36E2">
              <w:rPr>
                <w:noProof/>
                <w:webHidden/>
              </w:rPr>
              <w:instrText xml:space="preserve"> PAGEREF _Toc121752573 \h </w:instrText>
            </w:r>
            <w:r w:rsidR="00DD36E2">
              <w:rPr>
                <w:noProof/>
                <w:webHidden/>
              </w:rPr>
            </w:r>
            <w:r w:rsidR="00DD36E2">
              <w:rPr>
                <w:noProof/>
                <w:webHidden/>
              </w:rPr>
              <w:fldChar w:fldCharType="separate"/>
            </w:r>
            <w:r w:rsidR="00A63605">
              <w:rPr>
                <w:noProof/>
                <w:webHidden/>
              </w:rPr>
              <w:t>45</w:t>
            </w:r>
            <w:r w:rsidR="00DD36E2">
              <w:rPr>
                <w:noProof/>
                <w:webHidden/>
              </w:rPr>
              <w:fldChar w:fldCharType="end"/>
            </w:r>
          </w:hyperlink>
        </w:p>
        <w:p w:rsidR="00DD36E2" w:rsidRDefault="002F39CB" w14:paraId="5C75A410" w14:textId="581554A0">
          <w:pPr>
            <w:pStyle w:val="Innehll2"/>
            <w:tabs>
              <w:tab w:val="right" w:leader="dot" w:pos="8494"/>
            </w:tabs>
            <w:rPr>
              <w:rFonts w:eastAsiaTheme="minorEastAsia"/>
              <w:noProof/>
              <w:kern w:val="0"/>
              <w:sz w:val="22"/>
              <w:szCs w:val="22"/>
              <w:lang w:eastAsia="sv-SE"/>
              <w14:numSpacing w14:val="default"/>
            </w:rPr>
          </w:pPr>
          <w:hyperlink w:history="1" w:anchor="_Toc121752574">
            <w:r w:rsidRPr="000A0778" w:rsidR="00DD36E2">
              <w:rPr>
                <w:rStyle w:val="Hyperlnk"/>
                <w:noProof/>
              </w:rPr>
              <w:t>7.4 Tvååriga yrkesprogram i gymnasieskolan</w:t>
            </w:r>
            <w:r w:rsidR="00DD36E2">
              <w:rPr>
                <w:noProof/>
                <w:webHidden/>
              </w:rPr>
              <w:tab/>
            </w:r>
            <w:r w:rsidR="00DD36E2">
              <w:rPr>
                <w:noProof/>
                <w:webHidden/>
              </w:rPr>
              <w:fldChar w:fldCharType="begin"/>
            </w:r>
            <w:r w:rsidR="00DD36E2">
              <w:rPr>
                <w:noProof/>
                <w:webHidden/>
              </w:rPr>
              <w:instrText xml:space="preserve"> PAGEREF _Toc121752574 \h </w:instrText>
            </w:r>
            <w:r w:rsidR="00DD36E2">
              <w:rPr>
                <w:noProof/>
                <w:webHidden/>
              </w:rPr>
            </w:r>
            <w:r w:rsidR="00DD36E2">
              <w:rPr>
                <w:noProof/>
                <w:webHidden/>
              </w:rPr>
              <w:fldChar w:fldCharType="separate"/>
            </w:r>
            <w:r w:rsidR="00A63605">
              <w:rPr>
                <w:noProof/>
                <w:webHidden/>
              </w:rPr>
              <w:t>45</w:t>
            </w:r>
            <w:r w:rsidR="00DD36E2">
              <w:rPr>
                <w:noProof/>
                <w:webHidden/>
              </w:rPr>
              <w:fldChar w:fldCharType="end"/>
            </w:r>
          </w:hyperlink>
        </w:p>
        <w:p w:rsidR="00DD36E2" w:rsidRDefault="002F39CB" w14:paraId="2823E303" w14:textId="5A98287C">
          <w:pPr>
            <w:pStyle w:val="Innehll2"/>
            <w:tabs>
              <w:tab w:val="right" w:leader="dot" w:pos="8494"/>
            </w:tabs>
            <w:rPr>
              <w:rFonts w:eastAsiaTheme="minorEastAsia"/>
              <w:noProof/>
              <w:kern w:val="0"/>
              <w:sz w:val="22"/>
              <w:szCs w:val="22"/>
              <w:lang w:eastAsia="sv-SE"/>
              <w14:numSpacing w14:val="default"/>
            </w:rPr>
          </w:pPr>
          <w:hyperlink w:history="1" w:anchor="_Toc121752575">
            <w:r w:rsidRPr="000A0778" w:rsidR="00DD36E2">
              <w:rPr>
                <w:rStyle w:val="Hyperlnk"/>
                <w:noProof/>
              </w:rPr>
              <w:t>7.5 Kvalitetssatsning på högskolor och universitet</w:t>
            </w:r>
            <w:r w:rsidR="00DD36E2">
              <w:rPr>
                <w:noProof/>
                <w:webHidden/>
              </w:rPr>
              <w:tab/>
            </w:r>
            <w:r w:rsidR="00DD36E2">
              <w:rPr>
                <w:noProof/>
                <w:webHidden/>
              </w:rPr>
              <w:fldChar w:fldCharType="begin"/>
            </w:r>
            <w:r w:rsidR="00DD36E2">
              <w:rPr>
                <w:noProof/>
                <w:webHidden/>
              </w:rPr>
              <w:instrText xml:space="preserve"> PAGEREF _Toc121752575 \h </w:instrText>
            </w:r>
            <w:r w:rsidR="00DD36E2">
              <w:rPr>
                <w:noProof/>
                <w:webHidden/>
              </w:rPr>
            </w:r>
            <w:r w:rsidR="00DD36E2">
              <w:rPr>
                <w:noProof/>
                <w:webHidden/>
              </w:rPr>
              <w:fldChar w:fldCharType="separate"/>
            </w:r>
            <w:r w:rsidR="00A63605">
              <w:rPr>
                <w:noProof/>
                <w:webHidden/>
              </w:rPr>
              <w:t>45</w:t>
            </w:r>
            <w:r w:rsidR="00DD36E2">
              <w:rPr>
                <w:noProof/>
                <w:webHidden/>
              </w:rPr>
              <w:fldChar w:fldCharType="end"/>
            </w:r>
          </w:hyperlink>
        </w:p>
        <w:p w:rsidR="00DD36E2" w:rsidRDefault="002F39CB" w14:paraId="03C8C4D5" w14:textId="71A9056A">
          <w:pPr>
            <w:pStyle w:val="Innehll2"/>
            <w:tabs>
              <w:tab w:val="right" w:leader="dot" w:pos="8494"/>
            </w:tabs>
            <w:rPr>
              <w:rFonts w:eastAsiaTheme="minorEastAsia"/>
              <w:noProof/>
              <w:kern w:val="0"/>
              <w:sz w:val="22"/>
              <w:szCs w:val="22"/>
              <w:lang w:eastAsia="sv-SE"/>
              <w14:numSpacing w14:val="default"/>
            </w:rPr>
          </w:pPr>
          <w:hyperlink w:history="1" w:anchor="_Toc121752576">
            <w:r w:rsidRPr="000A0778" w:rsidR="00DD36E2">
              <w:rPr>
                <w:rStyle w:val="Hyperlnk"/>
                <w:noProof/>
              </w:rPr>
              <w:t>7.6 Ökad generell skolpeng</w:t>
            </w:r>
            <w:r w:rsidR="00DD36E2">
              <w:rPr>
                <w:noProof/>
                <w:webHidden/>
              </w:rPr>
              <w:tab/>
            </w:r>
            <w:r w:rsidR="00DD36E2">
              <w:rPr>
                <w:noProof/>
                <w:webHidden/>
              </w:rPr>
              <w:fldChar w:fldCharType="begin"/>
            </w:r>
            <w:r w:rsidR="00DD36E2">
              <w:rPr>
                <w:noProof/>
                <w:webHidden/>
              </w:rPr>
              <w:instrText xml:space="preserve"> PAGEREF _Toc121752576 \h </w:instrText>
            </w:r>
            <w:r w:rsidR="00DD36E2">
              <w:rPr>
                <w:noProof/>
                <w:webHidden/>
              </w:rPr>
            </w:r>
            <w:r w:rsidR="00DD36E2">
              <w:rPr>
                <w:noProof/>
                <w:webHidden/>
              </w:rPr>
              <w:fldChar w:fldCharType="separate"/>
            </w:r>
            <w:r w:rsidR="00A63605">
              <w:rPr>
                <w:noProof/>
                <w:webHidden/>
              </w:rPr>
              <w:t>46</w:t>
            </w:r>
            <w:r w:rsidR="00DD36E2">
              <w:rPr>
                <w:noProof/>
                <w:webHidden/>
              </w:rPr>
              <w:fldChar w:fldCharType="end"/>
            </w:r>
          </w:hyperlink>
        </w:p>
        <w:p w:rsidR="00DD36E2" w:rsidRDefault="002F39CB" w14:paraId="4833D195" w14:textId="5B08601D">
          <w:pPr>
            <w:pStyle w:val="Innehll1"/>
            <w:tabs>
              <w:tab w:val="right" w:leader="dot" w:pos="8494"/>
            </w:tabs>
            <w:rPr>
              <w:rFonts w:eastAsiaTheme="minorEastAsia"/>
              <w:noProof/>
              <w:kern w:val="0"/>
              <w:sz w:val="22"/>
              <w:szCs w:val="22"/>
              <w:lang w:eastAsia="sv-SE"/>
              <w14:numSpacing w14:val="default"/>
            </w:rPr>
          </w:pPr>
          <w:hyperlink w:history="1" w:anchor="_Toc121752577">
            <w:r w:rsidRPr="000A0778" w:rsidR="00DD36E2">
              <w:rPr>
                <w:rStyle w:val="Hyperlnk"/>
                <w:noProof/>
              </w:rPr>
              <w:t>8 Pensioner</w:t>
            </w:r>
            <w:r w:rsidR="00DD36E2">
              <w:rPr>
                <w:noProof/>
                <w:webHidden/>
              </w:rPr>
              <w:tab/>
            </w:r>
            <w:r w:rsidR="00DD36E2">
              <w:rPr>
                <w:noProof/>
                <w:webHidden/>
              </w:rPr>
              <w:fldChar w:fldCharType="begin"/>
            </w:r>
            <w:r w:rsidR="00DD36E2">
              <w:rPr>
                <w:noProof/>
                <w:webHidden/>
              </w:rPr>
              <w:instrText xml:space="preserve"> PAGEREF _Toc121752577 \h </w:instrText>
            </w:r>
            <w:r w:rsidR="00DD36E2">
              <w:rPr>
                <w:noProof/>
                <w:webHidden/>
              </w:rPr>
            </w:r>
            <w:r w:rsidR="00DD36E2">
              <w:rPr>
                <w:noProof/>
                <w:webHidden/>
              </w:rPr>
              <w:fldChar w:fldCharType="separate"/>
            </w:r>
            <w:r w:rsidR="00A63605">
              <w:rPr>
                <w:noProof/>
                <w:webHidden/>
              </w:rPr>
              <w:t>47</w:t>
            </w:r>
            <w:r w:rsidR="00DD36E2">
              <w:rPr>
                <w:noProof/>
                <w:webHidden/>
              </w:rPr>
              <w:fldChar w:fldCharType="end"/>
            </w:r>
          </w:hyperlink>
        </w:p>
        <w:p w:rsidR="00DD36E2" w:rsidRDefault="002F39CB" w14:paraId="06FC0F6F" w14:textId="74949FFA">
          <w:pPr>
            <w:pStyle w:val="Innehll2"/>
            <w:tabs>
              <w:tab w:val="right" w:leader="dot" w:pos="8494"/>
            </w:tabs>
            <w:rPr>
              <w:rFonts w:eastAsiaTheme="minorEastAsia"/>
              <w:noProof/>
              <w:kern w:val="0"/>
              <w:sz w:val="22"/>
              <w:szCs w:val="22"/>
              <w:lang w:eastAsia="sv-SE"/>
              <w14:numSpacing w14:val="default"/>
            </w:rPr>
          </w:pPr>
          <w:hyperlink w:history="1" w:anchor="_Toc121752578">
            <w:r w:rsidRPr="000A0778" w:rsidR="00DD36E2">
              <w:rPr>
                <w:rStyle w:val="Hyperlnk"/>
                <w:noProof/>
              </w:rPr>
              <w:t>8.1 Med nuvarande inriktning riskerar kostnaden för grundskyddet att rusa</w:t>
            </w:r>
            <w:r w:rsidR="00DD36E2">
              <w:rPr>
                <w:noProof/>
                <w:webHidden/>
              </w:rPr>
              <w:tab/>
            </w:r>
            <w:r w:rsidR="00DD36E2">
              <w:rPr>
                <w:noProof/>
                <w:webHidden/>
              </w:rPr>
              <w:fldChar w:fldCharType="begin"/>
            </w:r>
            <w:r w:rsidR="00DD36E2">
              <w:rPr>
                <w:noProof/>
                <w:webHidden/>
              </w:rPr>
              <w:instrText xml:space="preserve"> PAGEREF _Toc121752578 \h </w:instrText>
            </w:r>
            <w:r w:rsidR="00DD36E2">
              <w:rPr>
                <w:noProof/>
                <w:webHidden/>
              </w:rPr>
            </w:r>
            <w:r w:rsidR="00DD36E2">
              <w:rPr>
                <w:noProof/>
                <w:webHidden/>
              </w:rPr>
              <w:fldChar w:fldCharType="separate"/>
            </w:r>
            <w:r w:rsidR="00A63605">
              <w:rPr>
                <w:noProof/>
                <w:webHidden/>
              </w:rPr>
              <w:t>47</w:t>
            </w:r>
            <w:r w:rsidR="00DD36E2">
              <w:rPr>
                <w:noProof/>
                <w:webHidden/>
              </w:rPr>
              <w:fldChar w:fldCharType="end"/>
            </w:r>
          </w:hyperlink>
        </w:p>
        <w:p w:rsidR="00DD36E2" w:rsidRDefault="002F39CB" w14:paraId="0EE8C1AF" w14:textId="382CB0E0">
          <w:pPr>
            <w:pStyle w:val="Innehll2"/>
            <w:tabs>
              <w:tab w:val="right" w:leader="dot" w:pos="8494"/>
            </w:tabs>
            <w:rPr>
              <w:rFonts w:eastAsiaTheme="minorEastAsia"/>
              <w:noProof/>
              <w:kern w:val="0"/>
              <w:sz w:val="22"/>
              <w:szCs w:val="22"/>
              <w:lang w:eastAsia="sv-SE"/>
              <w14:numSpacing w14:val="default"/>
            </w:rPr>
          </w:pPr>
          <w:hyperlink w:history="1" w:anchor="_Toc121752579">
            <w:r w:rsidRPr="000A0778" w:rsidR="00DD36E2">
              <w:rPr>
                <w:rStyle w:val="Hyperlnk"/>
                <w:noProof/>
              </w:rPr>
              <w:t>8.2 Pensionen i siffror</w:t>
            </w:r>
            <w:r w:rsidR="00DD36E2">
              <w:rPr>
                <w:noProof/>
                <w:webHidden/>
              </w:rPr>
              <w:tab/>
            </w:r>
            <w:r w:rsidR="00DD36E2">
              <w:rPr>
                <w:noProof/>
                <w:webHidden/>
              </w:rPr>
              <w:fldChar w:fldCharType="begin"/>
            </w:r>
            <w:r w:rsidR="00DD36E2">
              <w:rPr>
                <w:noProof/>
                <w:webHidden/>
              </w:rPr>
              <w:instrText xml:space="preserve"> PAGEREF _Toc121752579 \h </w:instrText>
            </w:r>
            <w:r w:rsidR="00DD36E2">
              <w:rPr>
                <w:noProof/>
                <w:webHidden/>
              </w:rPr>
            </w:r>
            <w:r w:rsidR="00DD36E2">
              <w:rPr>
                <w:noProof/>
                <w:webHidden/>
              </w:rPr>
              <w:fldChar w:fldCharType="separate"/>
            </w:r>
            <w:r w:rsidR="00A63605">
              <w:rPr>
                <w:noProof/>
                <w:webHidden/>
              </w:rPr>
              <w:t>48</w:t>
            </w:r>
            <w:r w:rsidR="00DD36E2">
              <w:rPr>
                <w:noProof/>
                <w:webHidden/>
              </w:rPr>
              <w:fldChar w:fldCharType="end"/>
            </w:r>
          </w:hyperlink>
        </w:p>
        <w:p w:rsidR="00DD36E2" w:rsidRDefault="002F39CB" w14:paraId="125B1E6F" w14:textId="02172EC8">
          <w:pPr>
            <w:pStyle w:val="Innehll2"/>
            <w:tabs>
              <w:tab w:val="right" w:leader="dot" w:pos="8494"/>
            </w:tabs>
            <w:rPr>
              <w:rFonts w:eastAsiaTheme="minorEastAsia"/>
              <w:noProof/>
              <w:kern w:val="0"/>
              <w:sz w:val="22"/>
              <w:szCs w:val="22"/>
              <w:lang w:eastAsia="sv-SE"/>
              <w14:numSpacing w14:val="default"/>
            </w:rPr>
          </w:pPr>
          <w:hyperlink w:history="1" w:anchor="_Toc121752580">
            <w:r w:rsidRPr="000A0778" w:rsidR="00DD36E2">
              <w:rPr>
                <w:rStyle w:val="Hyperlnk"/>
                <w:noProof/>
              </w:rPr>
              <w:t>8.3 Principer för en pensionsreform</w:t>
            </w:r>
            <w:r w:rsidR="00DD36E2">
              <w:rPr>
                <w:noProof/>
                <w:webHidden/>
              </w:rPr>
              <w:tab/>
            </w:r>
            <w:r w:rsidR="00DD36E2">
              <w:rPr>
                <w:noProof/>
                <w:webHidden/>
              </w:rPr>
              <w:fldChar w:fldCharType="begin"/>
            </w:r>
            <w:r w:rsidR="00DD36E2">
              <w:rPr>
                <w:noProof/>
                <w:webHidden/>
              </w:rPr>
              <w:instrText xml:space="preserve"> PAGEREF _Toc121752580 \h </w:instrText>
            </w:r>
            <w:r w:rsidR="00DD36E2">
              <w:rPr>
                <w:noProof/>
                <w:webHidden/>
              </w:rPr>
            </w:r>
            <w:r w:rsidR="00DD36E2">
              <w:rPr>
                <w:noProof/>
                <w:webHidden/>
              </w:rPr>
              <w:fldChar w:fldCharType="separate"/>
            </w:r>
            <w:r w:rsidR="00A63605">
              <w:rPr>
                <w:noProof/>
                <w:webHidden/>
              </w:rPr>
              <w:t>49</w:t>
            </w:r>
            <w:r w:rsidR="00DD36E2">
              <w:rPr>
                <w:noProof/>
                <w:webHidden/>
              </w:rPr>
              <w:fldChar w:fldCharType="end"/>
            </w:r>
          </w:hyperlink>
        </w:p>
        <w:p w:rsidR="00DD36E2" w:rsidRDefault="002F39CB" w14:paraId="4CAB4338" w14:textId="2BCCB91F">
          <w:pPr>
            <w:pStyle w:val="Innehll3"/>
            <w:tabs>
              <w:tab w:val="right" w:leader="dot" w:pos="8494"/>
            </w:tabs>
            <w:rPr>
              <w:rFonts w:eastAsiaTheme="minorEastAsia"/>
              <w:noProof/>
              <w:kern w:val="0"/>
              <w:sz w:val="22"/>
              <w:szCs w:val="22"/>
              <w:lang w:eastAsia="sv-SE"/>
              <w14:numSpacing w14:val="default"/>
            </w:rPr>
          </w:pPr>
          <w:hyperlink w:history="1" w:anchor="_Toc121752581">
            <w:r w:rsidRPr="000A0778" w:rsidR="00DD36E2">
              <w:rPr>
                <w:rStyle w:val="Hyperlnk"/>
                <w:noProof/>
              </w:rPr>
              <w:t>Både nuvarande och kommande pensionärer ska omfattas</w:t>
            </w:r>
            <w:r w:rsidR="00DD36E2">
              <w:rPr>
                <w:noProof/>
                <w:webHidden/>
              </w:rPr>
              <w:tab/>
            </w:r>
            <w:r w:rsidR="00DD36E2">
              <w:rPr>
                <w:noProof/>
                <w:webHidden/>
              </w:rPr>
              <w:fldChar w:fldCharType="begin"/>
            </w:r>
            <w:r w:rsidR="00DD36E2">
              <w:rPr>
                <w:noProof/>
                <w:webHidden/>
              </w:rPr>
              <w:instrText xml:space="preserve"> PAGEREF _Toc121752581 \h </w:instrText>
            </w:r>
            <w:r w:rsidR="00DD36E2">
              <w:rPr>
                <w:noProof/>
                <w:webHidden/>
              </w:rPr>
            </w:r>
            <w:r w:rsidR="00DD36E2">
              <w:rPr>
                <w:noProof/>
                <w:webHidden/>
              </w:rPr>
              <w:fldChar w:fldCharType="separate"/>
            </w:r>
            <w:r w:rsidR="00A63605">
              <w:rPr>
                <w:noProof/>
                <w:webHidden/>
              </w:rPr>
              <w:t>49</w:t>
            </w:r>
            <w:r w:rsidR="00DD36E2">
              <w:rPr>
                <w:noProof/>
                <w:webHidden/>
              </w:rPr>
              <w:fldChar w:fldCharType="end"/>
            </w:r>
          </w:hyperlink>
        </w:p>
        <w:p w:rsidR="00DD36E2" w:rsidRDefault="002F39CB" w14:paraId="613E8C57" w14:textId="758AA632">
          <w:pPr>
            <w:pStyle w:val="Innehll3"/>
            <w:tabs>
              <w:tab w:val="right" w:leader="dot" w:pos="8494"/>
            </w:tabs>
            <w:rPr>
              <w:rFonts w:eastAsiaTheme="minorEastAsia"/>
              <w:noProof/>
              <w:kern w:val="0"/>
              <w:sz w:val="22"/>
              <w:szCs w:val="22"/>
              <w:lang w:eastAsia="sv-SE"/>
              <w14:numSpacing w14:val="default"/>
            </w:rPr>
          </w:pPr>
          <w:hyperlink w:history="1" w:anchor="_Toc121752582">
            <w:r w:rsidRPr="000A0778" w:rsidR="00DD36E2">
              <w:rPr>
                <w:rStyle w:val="Hyperlnk"/>
                <w:noProof/>
              </w:rPr>
              <w:t>Det ska löna sig att arbeta</w:t>
            </w:r>
            <w:r w:rsidR="00DD36E2">
              <w:rPr>
                <w:noProof/>
                <w:webHidden/>
              </w:rPr>
              <w:tab/>
            </w:r>
            <w:r w:rsidR="00DD36E2">
              <w:rPr>
                <w:noProof/>
                <w:webHidden/>
              </w:rPr>
              <w:fldChar w:fldCharType="begin"/>
            </w:r>
            <w:r w:rsidR="00DD36E2">
              <w:rPr>
                <w:noProof/>
                <w:webHidden/>
              </w:rPr>
              <w:instrText xml:space="preserve"> PAGEREF _Toc121752582 \h </w:instrText>
            </w:r>
            <w:r w:rsidR="00DD36E2">
              <w:rPr>
                <w:noProof/>
                <w:webHidden/>
              </w:rPr>
            </w:r>
            <w:r w:rsidR="00DD36E2">
              <w:rPr>
                <w:noProof/>
                <w:webHidden/>
              </w:rPr>
              <w:fldChar w:fldCharType="separate"/>
            </w:r>
            <w:r w:rsidR="00A63605">
              <w:rPr>
                <w:noProof/>
                <w:webHidden/>
              </w:rPr>
              <w:t>49</w:t>
            </w:r>
            <w:r w:rsidR="00DD36E2">
              <w:rPr>
                <w:noProof/>
                <w:webHidden/>
              </w:rPr>
              <w:fldChar w:fldCharType="end"/>
            </w:r>
          </w:hyperlink>
        </w:p>
        <w:p w:rsidR="00DD36E2" w:rsidRDefault="002F39CB" w14:paraId="379ACD02" w14:textId="5DA5FE1B">
          <w:pPr>
            <w:pStyle w:val="Innehll3"/>
            <w:tabs>
              <w:tab w:val="right" w:leader="dot" w:pos="8494"/>
            </w:tabs>
            <w:rPr>
              <w:rFonts w:eastAsiaTheme="minorEastAsia"/>
              <w:noProof/>
              <w:kern w:val="0"/>
              <w:sz w:val="22"/>
              <w:szCs w:val="22"/>
              <w:lang w:eastAsia="sv-SE"/>
              <w14:numSpacing w14:val="default"/>
            </w:rPr>
          </w:pPr>
          <w:hyperlink w:history="1" w:anchor="_Toc121752583">
            <w:r w:rsidRPr="000A0778" w:rsidR="00DD36E2">
              <w:rPr>
                <w:rStyle w:val="Hyperlnk"/>
                <w:noProof/>
              </w:rPr>
              <w:t>Kostnaden ska bäras av staten</w:t>
            </w:r>
            <w:r w:rsidR="00DD36E2">
              <w:rPr>
                <w:noProof/>
                <w:webHidden/>
              </w:rPr>
              <w:tab/>
            </w:r>
            <w:r w:rsidR="00DD36E2">
              <w:rPr>
                <w:noProof/>
                <w:webHidden/>
              </w:rPr>
              <w:fldChar w:fldCharType="begin"/>
            </w:r>
            <w:r w:rsidR="00DD36E2">
              <w:rPr>
                <w:noProof/>
                <w:webHidden/>
              </w:rPr>
              <w:instrText xml:space="preserve"> PAGEREF _Toc121752583 \h </w:instrText>
            </w:r>
            <w:r w:rsidR="00DD36E2">
              <w:rPr>
                <w:noProof/>
                <w:webHidden/>
              </w:rPr>
            </w:r>
            <w:r w:rsidR="00DD36E2">
              <w:rPr>
                <w:noProof/>
                <w:webHidden/>
              </w:rPr>
              <w:fldChar w:fldCharType="separate"/>
            </w:r>
            <w:r w:rsidR="00A63605">
              <w:rPr>
                <w:noProof/>
                <w:webHidden/>
              </w:rPr>
              <w:t>49</w:t>
            </w:r>
            <w:r w:rsidR="00DD36E2">
              <w:rPr>
                <w:noProof/>
                <w:webHidden/>
              </w:rPr>
              <w:fldChar w:fldCharType="end"/>
            </w:r>
          </w:hyperlink>
        </w:p>
        <w:p w:rsidR="00DD36E2" w:rsidRDefault="002F39CB" w14:paraId="48B792AD" w14:textId="6F1572C7">
          <w:pPr>
            <w:pStyle w:val="Innehll3"/>
            <w:tabs>
              <w:tab w:val="right" w:leader="dot" w:pos="8494"/>
            </w:tabs>
            <w:rPr>
              <w:rFonts w:eastAsiaTheme="minorEastAsia"/>
              <w:noProof/>
              <w:kern w:val="0"/>
              <w:sz w:val="22"/>
              <w:szCs w:val="22"/>
              <w:lang w:eastAsia="sv-SE"/>
              <w14:numSpacing w14:val="default"/>
            </w:rPr>
          </w:pPr>
          <w:hyperlink w:history="1" w:anchor="_Toc121752584">
            <w:r w:rsidRPr="000A0778" w:rsidR="00DD36E2">
              <w:rPr>
                <w:rStyle w:val="Hyperlnk"/>
                <w:noProof/>
              </w:rPr>
              <w:t>En höjning av pensioner behöver undvika kannibaleffekter</w:t>
            </w:r>
            <w:r w:rsidR="00DD36E2">
              <w:rPr>
                <w:noProof/>
                <w:webHidden/>
              </w:rPr>
              <w:tab/>
            </w:r>
            <w:r w:rsidR="00DD36E2">
              <w:rPr>
                <w:noProof/>
                <w:webHidden/>
              </w:rPr>
              <w:fldChar w:fldCharType="begin"/>
            </w:r>
            <w:r w:rsidR="00DD36E2">
              <w:rPr>
                <w:noProof/>
                <w:webHidden/>
              </w:rPr>
              <w:instrText xml:space="preserve"> PAGEREF _Toc121752584 \h </w:instrText>
            </w:r>
            <w:r w:rsidR="00DD36E2">
              <w:rPr>
                <w:noProof/>
                <w:webHidden/>
              </w:rPr>
            </w:r>
            <w:r w:rsidR="00DD36E2">
              <w:rPr>
                <w:noProof/>
                <w:webHidden/>
              </w:rPr>
              <w:fldChar w:fldCharType="separate"/>
            </w:r>
            <w:r w:rsidR="00A63605">
              <w:rPr>
                <w:noProof/>
                <w:webHidden/>
              </w:rPr>
              <w:t>50</w:t>
            </w:r>
            <w:r w:rsidR="00DD36E2">
              <w:rPr>
                <w:noProof/>
                <w:webHidden/>
              </w:rPr>
              <w:fldChar w:fldCharType="end"/>
            </w:r>
          </w:hyperlink>
        </w:p>
        <w:p w:rsidR="00DD36E2" w:rsidRDefault="002F39CB" w14:paraId="4582E597" w14:textId="795B7F58">
          <w:pPr>
            <w:pStyle w:val="Innehll3"/>
            <w:tabs>
              <w:tab w:val="right" w:leader="dot" w:pos="8494"/>
            </w:tabs>
            <w:rPr>
              <w:rFonts w:eastAsiaTheme="minorEastAsia"/>
              <w:noProof/>
              <w:kern w:val="0"/>
              <w:sz w:val="22"/>
              <w:szCs w:val="22"/>
              <w:lang w:eastAsia="sv-SE"/>
              <w14:numSpacing w14:val="default"/>
            </w:rPr>
          </w:pPr>
          <w:hyperlink w:history="1" w:anchor="_Toc121752585">
            <w:r w:rsidRPr="000A0778" w:rsidR="00DD36E2">
              <w:rPr>
                <w:rStyle w:val="Hyperlnk"/>
                <w:noProof/>
              </w:rPr>
              <w:t>Pensionssystemet ska bli tydligare och mer överblickbart</w:t>
            </w:r>
            <w:r w:rsidR="00DD36E2">
              <w:rPr>
                <w:noProof/>
                <w:webHidden/>
              </w:rPr>
              <w:tab/>
            </w:r>
            <w:r w:rsidR="00DD36E2">
              <w:rPr>
                <w:noProof/>
                <w:webHidden/>
              </w:rPr>
              <w:fldChar w:fldCharType="begin"/>
            </w:r>
            <w:r w:rsidR="00DD36E2">
              <w:rPr>
                <w:noProof/>
                <w:webHidden/>
              </w:rPr>
              <w:instrText xml:space="preserve"> PAGEREF _Toc121752585 \h </w:instrText>
            </w:r>
            <w:r w:rsidR="00DD36E2">
              <w:rPr>
                <w:noProof/>
                <w:webHidden/>
              </w:rPr>
            </w:r>
            <w:r w:rsidR="00DD36E2">
              <w:rPr>
                <w:noProof/>
                <w:webHidden/>
              </w:rPr>
              <w:fldChar w:fldCharType="separate"/>
            </w:r>
            <w:r w:rsidR="00A63605">
              <w:rPr>
                <w:noProof/>
                <w:webHidden/>
              </w:rPr>
              <w:t>50</w:t>
            </w:r>
            <w:r w:rsidR="00DD36E2">
              <w:rPr>
                <w:noProof/>
                <w:webHidden/>
              </w:rPr>
              <w:fldChar w:fldCharType="end"/>
            </w:r>
          </w:hyperlink>
        </w:p>
        <w:p w:rsidR="00DD36E2" w:rsidRDefault="002F39CB" w14:paraId="49AEBD87" w14:textId="5CB1EBD9">
          <w:pPr>
            <w:pStyle w:val="Innehll2"/>
            <w:tabs>
              <w:tab w:val="right" w:leader="dot" w:pos="8494"/>
            </w:tabs>
            <w:rPr>
              <w:rFonts w:eastAsiaTheme="minorEastAsia"/>
              <w:noProof/>
              <w:kern w:val="0"/>
              <w:sz w:val="22"/>
              <w:szCs w:val="22"/>
              <w:lang w:eastAsia="sv-SE"/>
              <w14:numSpacing w14:val="default"/>
            </w:rPr>
          </w:pPr>
          <w:hyperlink w:history="1" w:anchor="_Toc121752586">
            <w:r w:rsidRPr="000A0778" w:rsidR="00DD36E2">
              <w:rPr>
                <w:rStyle w:val="Hyperlnk"/>
                <w:noProof/>
              </w:rPr>
              <w:t>8.4 Höjda pensionsavsättningar</w:t>
            </w:r>
            <w:r w:rsidR="00DD36E2">
              <w:rPr>
                <w:noProof/>
                <w:webHidden/>
              </w:rPr>
              <w:tab/>
            </w:r>
            <w:r w:rsidR="00DD36E2">
              <w:rPr>
                <w:noProof/>
                <w:webHidden/>
              </w:rPr>
              <w:fldChar w:fldCharType="begin"/>
            </w:r>
            <w:r w:rsidR="00DD36E2">
              <w:rPr>
                <w:noProof/>
                <w:webHidden/>
              </w:rPr>
              <w:instrText xml:space="preserve"> PAGEREF _Toc121752586 \h </w:instrText>
            </w:r>
            <w:r w:rsidR="00DD36E2">
              <w:rPr>
                <w:noProof/>
                <w:webHidden/>
              </w:rPr>
            </w:r>
            <w:r w:rsidR="00DD36E2">
              <w:rPr>
                <w:noProof/>
                <w:webHidden/>
              </w:rPr>
              <w:fldChar w:fldCharType="separate"/>
            </w:r>
            <w:r w:rsidR="00A63605">
              <w:rPr>
                <w:noProof/>
                <w:webHidden/>
              </w:rPr>
              <w:t>50</w:t>
            </w:r>
            <w:r w:rsidR="00DD36E2">
              <w:rPr>
                <w:noProof/>
                <w:webHidden/>
              </w:rPr>
              <w:fldChar w:fldCharType="end"/>
            </w:r>
          </w:hyperlink>
        </w:p>
        <w:p w:rsidR="00DD36E2" w:rsidRDefault="002F39CB" w14:paraId="4FA9BE8E" w14:textId="17A7877E">
          <w:pPr>
            <w:pStyle w:val="Innehll3"/>
            <w:tabs>
              <w:tab w:val="right" w:leader="dot" w:pos="8494"/>
            </w:tabs>
            <w:rPr>
              <w:rFonts w:eastAsiaTheme="minorEastAsia"/>
              <w:noProof/>
              <w:kern w:val="0"/>
              <w:sz w:val="22"/>
              <w:szCs w:val="22"/>
              <w:lang w:eastAsia="sv-SE"/>
              <w14:numSpacing w14:val="default"/>
            </w:rPr>
          </w:pPr>
          <w:hyperlink w:history="1" w:anchor="_Toc121752587">
            <w:r w:rsidRPr="000A0778" w:rsidR="00DD36E2">
              <w:rPr>
                <w:rStyle w:val="Hyperlnk"/>
                <w:noProof/>
              </w:rPr>
              <w:t>Konsekvenser för företagen</w:t>
            </w:r>
            <w:r w:rsidR="00DD36E2">
              <w:rPr>
                <w:noProof/>
                <w:webHidden/>
              </w:rPr>
              <w:tab/>
            </w:r>
            <w:r w:rsidR="00DD36E2">
              <w:rPr>
                <w:noProof/>
                <w:webHidden/>
              </w:rPr>
              <w:fldChar w:fldCharType="begin"/>
            </w:r>
            <w:r w:rsidR="00DD36E2">
              <w:rPr>
                <w:noProof/>
                <w:webHidden/>
              </w:rPr>
              <w:instrText xml:space="preserve"> PAGEREF _Toc121752587 \h </w:instrText>
            </w:r>
            <w:r w:rsidR="00DD36E2">
              <w:rPr>
                <w:noProof/>
                <w:webHidden/>
              </w:rPr>
            </w:r>
            <w:r w:rsidR="00DD36E2">
              <w:rPr>
                <w:noProof/>
                <w:webHidden/>
              </w:rPr>
              <w:fldChar w:fldCharType="separate"/>
            </w:r>
            <w:r w:rsidR="00A63605">
              <w:rPr>
                <w:noProof/>
                <w:webHidden/>
              </w:rPr>
              <w:t>50</w:t>
            </w:r>
            <w:r w:rsidR="00DD36E2">
              <w:rPr>
                <w:noProof/>
                <w:webHidden/>
              </w:rPr>
              <w:fldChar w:fldCharType="end"/>
            </w:r>
          </w:hyperlink>
        </w:p>
        <w:p w:rsidR="00DD36E2" w:rsidRDefault="002F39CB" w14:paraId="3E00379C" w14:textId="7E6616E6">
          <w:pPr>
            <w:pStyle w:val="Innehll3"/>
            <w:tabs>
              <w:tab w:val="right" w:leader="dot" w:pos="8494"/>
            </w:tabs>
            <w:rPr>
              <w:rFonts w:eastAsiaTheme="minorEastAsia"/>
              <w:noProof/>
              <w:kern w:val="0"/>
              <w:sz w:val="22"/>
              <w:szCs w:val="22"/>
              <w:lang w:eastAsia="sv-SE"/>
              <w14:numSpacing w14:val="default"/>
            </w:rPr>
          </w:pPr>
          <w:hyperlink w:history="1" w:anchor="_Toc121752588">
            <w:r w:rsidRPr="000A0778" w:rsidR="00DD36E2">
              <w:rPr>
                <w:rStyle w:val="Hyperlnk"/>
                <w:noProof/>
              </w:rPr>
              <w:t>Konsekvenser för personer med låg pension</w:t>
            </w:r>
            <w:r w:rsidR="00DD36E2">
              <w:rPr>
                <w:noProof/>
                <w:webHidden/>
              </w:rPr>
              <w:tab/>
            </w:r>
            <w:r w:rsidR="00DD36E2">
              <w:rPr>
                <w:noProof/>
                <w:webHidden/>
              </w:rPr>
              <w:fldChar w:fldCharType="begin"/>
            </w:r>
            <w:r w:rsidR="00DD36E2">
              <w:rPr>
                <w:noProof/>
                <w:webHidden/>
              </w:rPr>
              <w:instrText xml:space="preserve"> PAGEREF _Toc121752588 \h </w:instrText>
            </w:r>
            <w:r w:rsidR="00DD36E2">
              <w:rPr>
                <w:noProof/>
                <w:webHidden/>
              </w:rPr>
            </w:r>
            <w:r w:rsidR="00DD36E2">
              <w:rPr>
                <w:noProof/>
                <w:webHidden/>
              </w:rPr>
              <w:fldChar w:fldCharType="separate"/>
            </w:r>
            <w:r w:rsidR="00A63605">
              <w:rPr>
                <w:noProof/>
                <w:webHidden/>
              </w:rPr>
              <w:t>51</w:t>
            </w:r>
            <w:r w:rsidR="00DD36E2">
              <w:rPr>
                <w:noProof/>
                <w:webHidden/>
              </w:rPr>
              <w:fldChar w:fldCharType="end"/>
            </w:r>
          </w:hyperlink>
        </w:p>
        <w:p w:rsidR="00DD36E2" w:rsidRDefault="002F39CB" w14:paraId="29623656" w14:textId="71CAFDD7">
          <w:pPr>
            <w:pStyle w:val="Innehll3"/>
            <w:tabs>
              <w:tab w:val="right" w:leader="dot" w:pos="8494"/>
            </w:tabs>
            <w:rPr>
              <w:rFonts w:eastAsiaTheme="minorEastAsia"/>
              <w:noProof/>
              <w:kern w:val="0"/>
              <w:sz w:val="22"/>
              <w:szCs w:val="22"/>
              <w:lang w:eastAsia="sv-SE"/>
              <w14:numSpacing w14:val="default"/>
            </w:rPr>
          </w:pPr>
          <w:hyperlink w:history="1" w:anchor="_Toc121752589">
            <w:r w:rsidRPr="000A0778" w:rsidR="00DD36E2">
              <w:rPr>
                <w:rStyle w:val="Hyperlnk"/>
                <w:noProof/>
              </w:rPr>
              <w:t>Offentligfinansiell effekt</w:t>
            </w:r>
            <w:r w:rsidR="00DD36E2">
              <w:rPr>
                <w:noProof/>
                <w:webHidden/>
              </w:rPr>
              <w:tab/>
            </w:r>
            <w:r w:rsidR="00DD36E2">
              <w:rPr>
                <w:noProof/>
                <w:webHidden/>
              </w:rPr>
              <w:fldChar w:fldCharType="begin"/>
            </w:r>
            <w:r w:rsidR="00DD36E2">
              <w:rPr>
                <w:noProof/>
                <w:webHidden/>
              </w:rPr>
              <w:instrText xml:space="preserve"> PAGEREF _Toc121752589 \h </w:instrText>
            </w:r>
            <w:r w:rsidR="00DD36E2">
              <w:rPr>
                <w:noProof/>
                <w:webHidden/>
              </w:rPr>
            </w:r>
            <w:r w:rsidR="00DD36E2">
              <w:rPr>
                <w:noProof/>
                <w:webHidden/>
              </w:rPr>
              <w:fldChar w:fldCharType="separate"/>
            </w:r>
            <w:r w:rsidR="00A63605">
              <w:rPr>
                <w:noProof/>
                <w:webHidden/>
              </w:rPr>
              <w:t>52</w:t>
            </w:r>
            <w:r w:rsidR="00DD36E2">
              <w:rPr>
                <w:noProof/>
                <w:webHidden/>
              </w:rPr>
              <w:fldChar w:fldCharType="end"/>
            </w:r>
          </w:hyperlink>
        </w:p>
        <w:p w:rsidR="00DD36E2" w:rsidRDefault="002F39CB" w14:paraId="37CB52D7" w14:textId="28433AA3">
          <w:pPr>
            <w:pStyle w:val="Innehll2"/>
            <w:tabs>
              <w:tab w:val="right" w:leader="dot" w:pos="8494"/>
            </w:tabs>
            <w:rPr>
              <w:rFonts w:eastAsiaTheme="minorEastAsia"/>
              <w:noProof/>
              <w:kern w:val="0"/>
              <w:sz w:val="22"/>
              <w:szCs w:val="22"/>
              <w:lang w:eastAsia="sv-SE"/>
              <w14:numSpacing w14:val="default"/>
            </w:rPr>
          </w:pPr>
          <w:hyperlink w:history="1" w:anchor="_Toc121752590">
            <w:r w:rsidRPr="000A0778" w:rsidR="00DD36E2">
              <w:rPr>
                <w:rStyle w:val="Hyperlnk"/>
                <w:noProof/>
              </w:rPr>
              <w:t>8.5 Bättre möjligheter att pensionsspara privat</w:t>
            </w:r>
            <w:r w:rsidR="00DD36E2">
              <w:rPr>
                <w:noProof/>
                <w:webHidden/>
              </w:rPr>
              <w:tab/>
            </w:r>
            <w:r w:rsidR="00DD36E2">
              <w:rPr>
                <w:noProof/>
                <w:webHidden/>
              </w:rPr>
              <w:fldChar w:fldCharType="begin"/>
            </w:r>
            <w:r w:rsidR="00DD36E2">
              <w:rPr>
                <w:noProof/>
                <w:webHidden/>
              </w:rPr>
              <w:instrText xml:space="preserve"> PAGEREF _Toc121752590 \h </w:instrText>
            </w:r>
            <w:r w:rsidR="00DD36E2">
              <w:rPr>
                <w:noProof/>
                <w:webHidden/>
              </w:rPr>
            </w:r>
            <w:r w:rsidR="00DD36E2">
              <w:rPr>
                <w:noProof/>
                <w:webHidden/>
              </w:rPr>
              <w:fldChar w:fldCharType="separate"/>
            </w:r>
            <w:r w:rsidR="00A63605">
              <w:rPr>
                <w:noProof/>
                <w:webHidden/>
              </w:rPr>
              <w:t>52</w:t>
            </w:r>
            <w:r w:rsidR="00DD36E2">
              <w:rPr>
                <w:noProof/>
                <w:webHidden/>
              </w:rPr>
              <w:fldChar w:fldCharType="end"/>
            </w:r>
          </w:hyperlink>
        </w:p>
        <w:p w:rsidR="00DD36E2" w:rsidRDefault="002F39CB" w14:paraId="0E35D488" w14:textId="4F42ED32">
          <w:pPr>
            <w:pStyle w:val="Innehll3"/>
            <w:tabs>
              <w:tab w:val="right" w:leader="dot" w:pos="8494"/>
            </w:tabs>
            <w:rPr>
              <w:rFonts w:eastAsiaTheme="minorEastAsia"/>
              <w:noProof/>
              <w:kern w:val="0"/>
              <w:sz w:val="22"/>
              <w:szCs w:val="22"/>
              <w:lang w:eastAsia="sv-SE"/>
              <w14:numSpacing w14:val="default"/>
            </w:rPr>
          </w:pPr>
          <w:hyperlink w:history="1" w:anchor="_Toc121752591">
            <w:r w:rsidRPr="000A0778" w:rsidR="00DD36E2">
              <w:rPr>
                <w:rStyle w:val="Hyperlnk"/>
                <w:noProof/>
              </w:rPr>
              <w:t>Återinförandet av privat pensionssparande</w:t>
            </w:r>
            <w:r w:rsidR="00DD36E2">
              <w:rPr>
                <w:noProof/>
                <w:webHidden/>
              </w:rPr>
              <w:tab/>
            </w:r>
            <w:r w:rsidR="00DD36E2">
              <w:rPr>
                <w:noProof/>
                <w:webHidden/>
              </w:rPr>
              <w:fldChar w:fldCharType="begin"/>
            </w:r>
            <w:r w:rsidR="00DD36E2">
              <w:rPr>
                <w:noProof/>
                <w:webHidden/>
              </w:rPr>
              <w:instrText xml:space="preserve"> PAGEREF _Toc121752591 \h </w:instrText>
            </w:r>
            <w:r w:rsidR="00DD36E2">
              <w:rPr>
                <w:noProof/>
                <w:webHidden/>
              </w:rPr>
            </w:r>
            <w:r w:rsidR="00DD36E2">
              <w:rPr>
                <w:noProof/>
                <w:webHidden/>
              </w:rPr>
              <w:fldChar w:fldCharType="separate"/>
            </w:r>
            <w:r w:rsidR="00A63605">
              <w:rPr>
                <w:noProof/>
                <w:webHidden/>
              </w:rPr>
              <w:t>53</w:t>
            </w:r>
            <w:r w:rsidR="00DD36E2">
              <w:rPr>
                <w:noProof/>
                <w:webHidden/>
              </w:rPr>
              <w:fldChar w:fldCharType="end"/>
            </w:r>
          </w:hyperlink>
        </w:p>
        <w:p w:rsidR="00DD36E2" w:rsidRDefault="002F39CB" w14:paraId="42271164" w14:textId="1C8B6A8F">
          <w:pPr>
            <w:pStyle w:val="Innehll3"/>
            <w:tabs>
              <w:tab w:val="right" w:leader="dot" w:pos="8494"/>
            </w:tabs>
            <w:rPr>
              <w:rFonts w:eastAsiaTheme="minorEastAsia"/>
              <w:noProof/>
              <w:kern w:val="0"/>
              <w:sz w:val="22"/>
              <w:szCs w:val="22"/>
              <w:lang w:eastAsia="sv-SE"/>
              <w14:numSpacing w14:val="default"/>
            </w:rPr>
          </w:pPr>
          <w:hyperlink w:history="1" w:anchor="_Toc121752592">
            <w:r w:rsidRPr="000A0778" w:rsidR="00DD36E2">
              <w:rPr>
                <w:rStyle w:val="Hyperlnk"/>
                <w:noProof/>
              </w:rPr>
              <w:t>Sänkt skatt på investeringssparkonto</w:t>
            </w:r>
            <w:r w:rsidR="00DD36E2">
              <w:rPr>
                <w:noProof/>
                <w:webHidden/>
              </w:rPr>
              <w:tab/>
            </w:r>
            <w:r w:rsidR="00DD36E2">
              <w:rPr>
                <w:noProof/>
                <w:webHidden/>
              </w:rPr>
              <w:fldChar w:fldCharType="begin"/>
            </w:r>
            <w:r w:rsidR="00DD36E2">
              <w:rPr>
                <w:noProof/>
                <w:webHidden/>
              </w:rPr>
              <w:instrText xml:space="preserve"> PAGEREF _Toc121752592 \h </w:instrText>
            </w:r>
            <w:r w:rsidR="00DD36E2">
              <w:rPr>
                <w:noProof/>
                <w:webHidden/>
              </w:rPr>
            </w:r>
            <w:r w:rsidR="00DD36E2">
              <w:rPr>
                <w:noProof/>
                <w:webHidden/>
              </w:rPr>
              <w:fldChar w:fldCharType="separate"/>
            </w:r>
            <w:r w:rsidR="00A63605">
              <w:rPr>
                <w:noProof/>
                <w:webHidden/>
              </w:rPr>
              <w:t>53</w:t>
            </w:r>
            <w:r w:rsidR="00DD36E2">
              <w:rPr>
                <w:noProof/>
                <w:webHidden/>
              </w:rPr>
              <w:fldChar w:fldCharType="end"/>
            </w:r>
          </w:hyperlink>
        </w:p>
        <w:p w:rsidR="00DD36E2" w:rsidRDefault="002F39CB" w14:paraId="6FD2F4B4" w14:textId="6E06DB0E">
          <w:pPr>
            <w:pStyle w:val="Innehll2"/>
            <w:tabs>
              <w:tab w:val="right" w:leader="dot" w:pos="8494"/>
            </w:tabs>
            <w:rPr>
              <w:rFonts w:eastAsiaTheme="minorEastAsia"/>
              <w:noProof/>
              <w:kern w:val="0"/>
              <w:sz w:val="22"/>
              <w:szCs w:val="22"/>
              <w:lang w:eastAsia="sv-SE"/>
              <w14:numSpacing w14:val="default"/>
            </w:rPr>
          </w:pPr>
          <w:hyperlink w:history="1" w:anchor="_Toc121752593">
            <w:r w:rsidRPr="000A0778" w:rsidR="00DD36E2">
              <w:rPr>
                <w:rStyle w:val="Hyperlnk"/>
                <w:noProof/>
              </w:rPr>
              <w:t>8.6 Stärkt grundskydd för de mest utsatta</w:t>
            </w:r>
            <w:r w:rsidR="00DD36E2">
              <w:rPr>
                <w:noProof/>
                <w:webHidden/>
              </w:rPr>
              <w:tab/>
            </w:r>
            <w:r w:rsidR="00DD36E2">
              <w:rPr>
                <w:noProof/>
                <w:webHidden/>
              </w:rPr>
              <w:fldChar w:fldCharType="begin"/>
            </w:r>
            <w:r w:rsidR="00DD36E2">
              <w:rPr>
                <w:noProof/>
                <w:webHidden/>
              </w:rPr>
              <w:instrText xml:space="preserve"> PAGEREF _Toc121752593 \h </w:instrText>
            </w:r>
            <w:r w:rsidR="00DD36E2">
              <w:rPr>
                <w:noProof/>
                <w:webHidden/>
              </w:rPr>
            </w:r>
            <w:r w:rsidR="00DD36E2">
              <w:rPr>
                <w:noProof/>
                <w:webHidden/>
              </w:rPr>
              <w:fldChar w:fldCharType="separate"/>
            </w:r>
            <w:r w:rsidR="00A63605">
              <w:rPr>
                <w:noProof/>
                <w:webHidden/>
              </w:rPr>
              <w:t>54</w:t>
            </w:r>
            <w:r w:rsidR="00DD36E2">
              <w:rPr>
                <w:noProof/>
                <w:webHidden/>
              </w:rPr>
              <w:fldChar w:fldCharType="end"/>
            </w:r>
          </w:hyperlink>
        </w:p>
        <w:p w:rsidR="00DD36E2" w:rsidRDefault="002F39CB" w14:paraId="0B029342" w14:textId="071984A9">
          <w:pPr>
            <w:pStyle w:val="Innehll1"/>
            <w:tabs>
              <w:tab w:val="right" w:leader="dot" w:pos="8494"/>
            </w:tabs>
            <w:rPr>
              <w:rFonts w:eastAsiaTheme="minorEastAsia"/>
              <w:noProof/>
              <w:kern w:val="0"/>
              <w:sz w:val="22"/>
              <w:szCs w:val="22"/>
              <w:lang w:eastAsia="sv-SE"/>
              <w14:numSpacing w14:val="default"/>
            </w:rPr>
          </w:pPr>
          <w:hyperlink w:history="1" w:anchor="_Toc121752594">
            <w:r w:rsidRPr="000A0778" w:rsidR="00DD36E2">
              <w:rPr>
                <w:rStyle w:val="Hyperlnk"/>
                <w:noProof/>
              </w:rPr>
              <w:t>9 Ökad trygghet vid sjukdom och funktionsnedsättning</w:t>
            </w:r>
            <w:r w:rsidR="00DD36E2">
              <w:rPr>
                <w:noProof/>
                <w:webHidden/>
              </w:rPr>
              <w:tab/>
            </w:r>
            <w:r w:rsidR="00DD36E2">
              <w:rPr>
                <w:noProof/>
                <w:webHidden/>
              </w:rPr>
              <w:fldChar w:fldCharType="begin"/>
            </w:r>
            <w:r w:rsidR="00DD36E2">
              <w:rPr>
                <w:noProof/>
                <w:webHidden/>
              </w:rPr>
              <w:instrText xml:space="preserve"> PAGEREF _Toc121752594 \h </w:instrText>
            </w:r>
            <w:r w:rsidR="00DD36E2">
              <w:rPr>
                <w:noProof/>
                <w:webHidden/>
              </w:rPr>
            </w:r>
            <w:r w:rsidR="00DD36E2">
              <w:rPr>
                <w:noProof/>
                <w:webHidden/>
              </w:rPr>
              <w:fldChar w:fldCharType="separate"/>
            </w:r>
            <w:r w:rsidR="00A63605">
              <w:rPr>
                <w:noProof/>
                <w:webHidden/>
              </w:rPr>
              <w:t>54</w:t>
            </w:r>
            <w:r w:rsidR="00DD36E2">
              <w:rPr>
                <w:noProof/>
                <w:webHidden/>
              </w:rPr>
              <w:fldChar w:fldCharType="end"/>
            </w:r>
          </w:hyperlink>
        </w:p>
        <w:p w:rsidR="00DD36E2" w:rsidRDefault="002F39CB" w14:paraId="7CD7F3CF" w14:textId="0E4CB6FD">
          <w:pPr>
            <w:pStyle w:val="Innehll3"/>
            <w:tabs>
              <w:tab w:val="right" w:leader="dot" w:pos="8494"/>
            </w:tabs>
            <w:rPr>
              <w:rFonts w:eastAsiaTheme="minorEastAsia"/>
              <w:noProof/>
              <w:kern w:val="0"/>
              <w:sz w:val="22"/>
              <w:szCs w:val="22"/>
              <w:lang w:eastAsia="sv-SE"/>
              <w14:numSpacing w14:val="default"/>
            </w:rPr>
          </w:pPr>
          <w:hyperlink w:history="1" w:anchor="_Toc121752595">
            <w:r w:rsidRPr="000A0778" w:rsidR="00DD36E2">
              <w:rPr>
                <w:rStyle w:val="Hyperlnk"/>
                <w:noProof/>
              </w:rPr>
              <w:t>Förutsättningar för en fungerande socialförsäkring</w:t>
            </w:r>
            <w:r w:rsidR="00DD36E2">
              <w:rPr>
                <w:noProof/>
                <w:webHidden/>
              </w:rPr>
              <w:tab/>
            </w:r>
            <w:r w:rsidR="00DD36E2">
              <w:rPr>
                <w:noProof/>
                <w:webHidden/>
              </w:rPr>
              <w:fldChar w:fldCharType="begin"/>
            </w:r>
            <w:r w:rsidR="00DD36E2">
              <w:rPr>
                <w:noProof/>
                <w:webHidden/>
              </w:rPr>
              <w:instrText xml:space="preserve"> PAGEREF _Toc121752595 \h </w:instrText>
            </w:r>
            <w:r w:rsidR="00DD36E2">
              <w:rPr>
                <w:noProof/>
                <w:webHidden/>
              </w:rPr>
            </w:r>
            <w:r w:rsidR="00DD36E2">
              <w:rPr>
                <w:noProof/>
                <w:webHidden/>
              </w:rPr>
              <w:fldChar w:fldCharType="separate"/>
            </w:r>
            <w:r w:rsidR="00A63605">
              <w:rPr>
                <w:noProof/>
                <w:webHidden/>
              </w:rPr>
              <w:t>54</w:t>
            </w:r>
            <w:r w:rsidR="00DD36E2">
              <w:rPr>
                <w:noProof/>
                <w:webHidden/>
              </w:rPr>
              <w:fldChar w:fldCharType="end"/>
            </w:r>
          </w:hyperlink>
        </w:p>
        <w:p w:rsidR="00DD36E2" w:rsidRDefault="002F39CB" w14:paraId="03B14C2E" w14:textId="57202F9C">
          <w:pPr>
            <w:pStyle w:val="Innehll2"/>
            <w:tabs>
              <w:tab w:val="right" w:leader="dot" w:pos="8494"/>
            </w:tabs>
            <w:rPr>
              <w:rFonts w:eastAsiaTheme="minorEastAsia"/>
              <w:noProof/>
              <w:kern w:val="0"/>
              <w:sz w:val="22"/>
              <w:szCs w:val="22"/>
              <w:lang w:eastAsia="sv-SE"/>
              <w14:numSpacing w14:val="default"/>
            </w:rPr>
          </w:pPr>
          <w:hyperlink w:history="1" w:anchor="_Toc121752596">
            <w:r w:rsidRPr="000A0778" w:rsidR="00DD36E2">
              <w:rPr>
                <w:rStyle w:val="Hyperlnk"/>
                <w:noProof/>
              </w:rPr>
              <w:t>9.1 Förändra bedömningen för sjuk- och aktivitetsersättning</w:t>
            </w:r>
            <w:r w:rsidR="00DD36E2">
              <w:rPr>
                <w:noProof/>
                <w:webHidden/>
              </w:rPr>
              <w:tab/>
            </w:r>
            <w:r w:rsidR="00DD36E2">
              <w:rPr>
                <w:noProof/>
                <w:webHidden/>
              </w:rPr>
              <w:fldChar w:fldCharType="begin"/>
            </w:r>
            <w:r w:rsidR="00DD36E2">
              <w:rPr>
                <w:noProof/>
                <w:webHidden/>
              </w:rPr>
              <w:instrText xml:space="preserve"> PAGEREF _Toc121752596 \h </w:instrText>
            </w:r>
            <w:r w:rsidR="00DD36E2">
              <w:rPr>
                <w:noProof/>
                <w:webHidden/>
              </w:rPr>
            </w:r>
            <w:r w:rsidR="00DD36E2">
              <w:rPr>
                <w:noProof/>
                <w:webHidden/>
              </w:rPr>
              <w:fldChar w:fldCharType="separate"/>
            </w:r>
            <w:r w:rsidR="00A63605">
              <w:rPr>
                <w:noProof/>
                <w:webHidden/>
              </w:rPr>
              <w:t>55</w:t>
            </w:r>
            <w:r w:rsidR="00DD36E2">
              <w:rPr>
                <w:noProof/>
                <w:webHidden/>
              </w:rPr>
              <w:fldChar w:fldCharType="end"/>
            </w:r>
          </w:hyperlink>
        </w:p>
        <w:p w:rsidR="00DD36E2" w:rsidRDefault="002F39CB" w14:paraId="43C43D7A" w14:textId="672651B1">
          <w:pPr>
            <w:pStyle w:val="Innehll2"/>
            <w:tabs>
              <w:tab w:val="right" w:leader="dot" w:pos="8494"/>
            </w:tabs>
            <w:rPr>
              <w:rFonts w:eastAsiaTheme="minorEastAsia"/>
              <w:noProof/>
              <w:kern w:val="0"/>
              <w:sz w:val="22"/>
              <w:szCs w:val="22"/>
              <w:lang w:eastAsia="sv-SE"/>
              <w14:numSpacing w14:val="default"/>
            </w:rPr>
          </w:pPr>
          <w:hyperlink w:history="1" w:anchor="_Toc121752597">
            <w:r w:rsidRPr="000A0778" w:rsidR="00DD36E2">
              <w:rPr>
                <w:rStyle w:val="Hyperlnk"/>
                <w:noProof/>
              </w:rPr>
              <w:t>9.2 Merkostnadsersättning och handikappersättning – inkludera hjälpbehov</w:t>
            </w:r>
            <w:r w:rsidR="00DD36E2">
              <w:rPr>
                <w:noProof/>
                <w:webHidden/>
              </w:rPr>
              <w:tab/>
            </w:r>
            <w:r w:rsidR="00DD36E2">
              <w:rPr>
                <w:noProof/>
                <w:webHidden/>
              </w:rPr>
              <w:fldChar w:fldCharType="begin"/>
            </w:r>
            <w:r w:rsidR="00DD36E2">
              <w:rPr>
                <w:noProof/>
                <w:webHidden/>
              </w:rPr>
              <w:instrText xml:space="preserve"> PAGEREF _Toc121752597 \h </w:instrText>
            </w:r>
            <w:r w:rsidR="00DD36E2">
              <w:rPr>
                <w:noProof/>
                <w:webHidden/>
              </w:rPr>
            </w:r>
            <w:r w:rsidR="00DD36E2">
              <w:rPr>
                <w:noProof/>
                <w:webHidden/>
              </w:rPr>
              <w:fldChar w:fldCharType="separate"/>
            </w:r>
            <w:r w:rsidR="00A63605">
              <w:rPr>
                <w:noProof/>
                <w:webHidden/>
              </w:rPr>
              <w:t>56</w:t>
            </w:r>
            <w:r w:rsidR="00DD36E2">
              <w:rPr>
                <w:noProof/>
                <w:webHidden/>
              </w:rPr>
              <w:fldChar w:fldCharType="end"/>
            </w:r>
          </w:hyperlink>
        </w:p>
        <w:p w:rsidR="00DD36E2" w:rsidRDefault="002F39CB" w14:paraId="5A775712" w14:textId="11477EDF">
          <w:pPr>
            <w:pStyle w:val="Innehll2"/>
            <w:tabs>
              <w:tab w:val="right" w:leader="dot" w:pos="8494"/>
            </w:tabs>
            <w:rPr>
              <w:rFonts w:eastAsiaTheme="minorEastAsia"/>
              <w:noProof/>
              <w:kern w:val="0"/>
              <w:sz w:val="22"/>
              <w:szCs w:val="22"/>
              <w:lang w:eastAsia="sv-SE"/>
              <w14:numSpacing w14:val="default"/>
            </w:rPr>
          </w:pPr>
          <w:hyperlink w:history="1" w:anchor="_Toc121752598">
            <w:r w:rsidRPr="000A0778" w:rsidR="00DD36E2">
              <w:rPr>
                <w:rStyle w:val="Hyperlnk"/>
                <w:noProof/>
              </w:rPr>
              <w:t>9.3 Bidrag för sjukskrivningsprocessen</w:t>
            </w:r>
            <w:r w:rsidR="00DD36E2">
              <w:rPr>
                <w:noProof/>
                <w:webHidden/>
              </w:rPr>
              <w:tab/>
            </w:r>
            <w:r w:rsidR="00DD36E2">
              <w:rPr>
                <w:noProof/>
                <w:webHidden/>
              </w:rPr>
              <w:fldChar w:fldCharType="begin"/>
            </w:r>
            <w:r w:rsidR="00DD36E2">
              <w:rPr>
                <w:noProof/>
                <w:webHidden/>
              </w:rPr>
              <w:instrText xml:space="preserve"> PAGEREF _Toc121752598 \h </w:instrText>
            </w:r>
            <w:r w:rsidR="00DD36E2">
              <w:rPr>
                <w:noProof/>
                <w:webHidden/>
              </w:rPr>
            </w:r>
            <w:r w:rsidR="00DD36E2">
              <w:rPr>
                <w:noProof/>
                <w:webHidden/>
              </w:rPr>
              <w:fldChar w:fldCharType="separate"/>
            </w:r>
            <w:r w:rsidR="00A63605">
              <w:rPr>
                <w:noProof/>
                <w:webHidden/>
              </w:rPr>
              <w:t>56</w:t>
            </w:r>
            <w:r w:rsidR="00DD36E2">
              <w:rPr>
                <w:noProof/>
                <w:webHidden/>
              </w:rPr>
              <w:fldChar w:fldCharType="end"/>
            </w:r>
          </w:hyperlink>
        </w:p>
        <w:p w:rsidR="00DD36E2" w:rsidRDefault="002F39CB" w14:paraId="2F544101" w14:textId="13AF0EA7">
          <w:pPr>
            <w:pStyle w:val="Innehll2"/>
            <w:tabs>
              <w:tab w:val="right" w:leader="dot" w:pos="8494"/>
            </w:tabs>
            <w:rPr>
              <w:rFonts w:eastAsiaTheme="minorEastAsia"/>
              <w:noProof/>
              <w:kern w:val="0"/>
              <w:sz w:val="22"/>
              <w:szCs w:val="22"/>
              <w:lang w:eastAsia="sv-SE"/>
              <w14:numSpacing w14:val="default"/>
            </w:rPr>
          </w:pPr>
          <w:hyperlink w:history="1" w:anchor="_Toc121752599">
            <w:r w:rsidRPr="000A0778" w:rsidR="00DD36E2">
              <w:rPr>
                <w:rStyle w:val="Hyperlnk"/>
                <w:noProof/>
              </w:rPr>
              <w:t>9.4 Bemötande vid psykisk ohälsa och minskade handläggningstider</w:t>
            </w:r>
            <w:r w:rsidR="00DD36E2">
              <w:rPr>
                <w:noProof/>
                <w:webHidden/>
              </w:rPr>
              <w:tab/>
            </w:r>
            <w:r w:rsidR="00DD36E2">
              <w:rPr>
                <w:noProof/>
                <w:webHidden/>
              </w:rPr>
              <w:fldChar w:fldCharType="begin"/>
            </w:r>
            <w:r w:rsidR="00DD36E2">
              <w:rPr>
                <w:noProof/>
                <w:webHidden/>
              </w:rPr>
              <w:instrText xml:space="preserve"> PAGEREF _Toc121752599 \h </w:instrText>
            </w:r>
            <w:r w:rsidR="00DD36E2">
              <w:rPr>
                <w:noProof/>
                <w:webHidden/>
              </w:rPr>
            </w:r>
            <w:r w:rsidR="00DD36E2">
              <w:rPr>
                <w:noProof/>
                <w:webHidden/>
              </w:rPr>
              <w:fldChar w:fldCharType="separate"/>
            </w:r>
            <w:r w:rsidR="00A63605">
              <w:rPr>
                <w:noProof/>
                <w:webHidden/>
              </w:rPr>
              <w:t>57</w:t>
            </w:r>
            <w:r w:rsidR="00DD36E2">
              <w:rPr>
                <w:noProof/>
                <w:webHidden/>
              </w:rPr>
              <w:fldChar w:fldCharType="end"/>
            </w:r>
          </w:hyperlink>
        </w:p>
        <w:p w:rsidR="00DD36E2" w:rsidRDefault="002F39CB" w14:paraId="4E4E99AE" w14:textId="17533273">
          <w:pPr>
            <w:pStyle w:val="Innehll1"/>
            <w:tabs>
              <w:tab w:val="right" w:leader="dot" w:pos="8494"/>
            </w:tabs>
            <w:rPr>
              <w:rFonts w:eastAsiaTheme="minorEastAsia"/>
              <w:noProof/>
              <w:kern w:val="0"/>
              <w:sz w:val="22"/>
              <w:szCs w:val="22"/>
              <w:lang w:eastAsia="sv-SE"/>
              <w14:numSpacing w14:val="default"/>
            </w:rPr>
          </w:pPr>
          <w:hyperlink w:history="1" w:anchor="_Toc121752600">
            <w:r w:rsidRPr="000A0778" w:rsidR="00DD36E2">
              <w:rPr>
                <w:rStyle w:val="Hyperlnk"/>
                <w:noProof/>
              </w:rPr>
              <w:t>10 Trygga familjer grunden för ett tryggt samhälle</w:t>
            </w:r>
            <w:r w:rsidR="00DD36E2">
              <w:rPr>
                <w:noProof/>
                <w:webHidden/>
              </w:rPr>
              <w:tab/>
            </w:r>
            <w:r w:rsidR="00DD36E2">
              <w:rPr>
                <w:noProof/>
                <w:webHidden/>
              </w:rPr>
              <w:fldChar w:fldCharType="begin"/>
            </w:r>
            <w:r w:rsidR="00DD36E2">
              <w:rPr>
                <w:noProof/>
                <w:webHidden/>
              </w:rPr>
              <w:instrText xml:space="preserve"> PAGEREF _Toc121752600 \h </w:instrText>
            </w:r>
            <w:r w:rsidR="00DD36E2">
              <w:rPr>
                <w:noProof/>
                <w:webHidden/>
              </w:rPr>
            </w:r>
            <w:r w:rsidR="00DD36E2">
              <w:rPr>
                <w:noProof/>
                <w:webHidden/>
              </w:rPr>
              <w:fldChar w:fldCharType="separate"/>
            </w:r>
            <w:r w:rsidR="00A63605">
              <w:rPr>
                <w:noProof/>
                <w:webHidden/>
              </w:rPr>
              <w:t>58</w:t>
            </w:r>
            <w:r w:rsidR="00DD36E2">
              <w:rPr>
                <w:noProof/>
                <w:webHidden/>
              </w:rPr>
              <w:fldChar w:fldCharType="end"/>
            </w:r>
          </w:hyperlink>
        </w:p>
        <w:p w:rsidR="00DD36E2" w:rsidRDefault="002F39CB" w14:paraId="386A8BA4" w14:textId="571CFE72">
          <w:pPr>
            <w:pStyle w:val="Innehll2"/>
            <w:tabs>
              <w:tab w:val="right" w:leader="dot" w:pos="8494"/>
            </w:tabs>
            <w:rPr>
              <w:rFonts w:eastAsiaTheme="minorEastAsia"/>
              <w:noProof/>
              <w:kern w:val="0"/>
              <w:sz w:val="22"/>
              <w:szCs w:val="22"/>
              <w:lang w:eastAsia="sv-SE"/>
              <w14:numSpacing w14:val="default"/>
            </w:rPr>
          </w:pPr>
          <w:hyperlink w:history="1" w:anchor="_Toc121752601">
            <w:r w:rsidRPr="000A0778" w:rsidR="00DD36E2">
              <w:rPr>
                <w:rStyle w:val="Hyperlnk"/>
                <w:noProof/>
              </w:rPr>
              <w:t>10.1 Stärk de socioekonomiskt svaga barnfamiljerna</w:t>
            </w:r>
            <w:r w:rsidR="00DD36E2">
              <w:rPr>
                <w:noProof/>
                <w:webHidden/>
              </w:rPr>
              <w:tab/>
            </w:r>
            <w:r w:rsidR="00DD36E2">
              <w:rPr>
                <w:noProof/>
                <w:webHidden/>
              </w:rPr>
              <w:fldChar w:fldCharType="begin"/>
            </w:r>
            <w:r w:rsidR="00DD36E2">
              <w:rPr>
                <w:noProof/>
                <w:webHidden/>
              </w:rPr>
              <w:instrText xml:space="preserve"> PAGEREF _Toc121752601 \h </w:instrText>
            </w:r>
            <w:r w:rsidR="00DD36E2">
              <w:rPr>
                <w:noProof/>
                <w:webHidden/>
              </w:rPr>
            </w:r>
            <w:r w:rsidR="00DD36E2">
              <w:rPr>
                <w:noProof/>
                <w:webHidden/>
              </w:rPr>
              <w:fldChar w:fldCharType="separate"/>
            </w:r>
            <w:r w:rsidR="00A63605">
              <w:rPr>
                <w:noProof/>
                <w:webHidden/>
              </w:rPr>
              <w:t>58</w:t>
            </w:r>
            <w:r w:rsidR="00DD36E2">
              <w:rPr>
                <w:noProof/>
                <w:webHidden/>
              </w:rPr>
              <w:fldChar w:fldCharType="end"/>
            </w:r>
          </w:hyperlink>
        </w:p>
        <w:p w:rsidR="00DD36E2" w:rsidRDefault="002F39CB" w14:paraId="6A7BEDD7" w14:textId="3215016B">
          <w:pPr>
            <w:pStyle w:val="Innehll2"/>
            <w:tabs>
              <w:tab w:val="right" w:leader="dot" w:pos="8494"/>
            </w:tabs>
            <w:rPr>
              <w:rFonts w:eastAsiaTheme="minorEastAsia"/>
              <w:noProof/>
              <w:kern w:val="0"/>
              <w:sz w:val="22"/>
              <w:szCs w:val="22"/>
              <w:lang w:eastAsia="sv-SE"/>
              <w14:numSpacing w14:val="default"/>
            </w:rPr>
          </w:pPr>
          <w:hyperlink w:history="1" w:anchor="_Toc121752602">
            <w:r w:rsidRPr="000A0778" w:rsidR="00DD36E2">
              <w:rPr>
                <w:rStyle w:val="Hyperlnk"/>
                <w:noProof/>
              </w:rPr>
              <w:t>10.2 Bidrag till förstföderskor</w:t>
            </w:r>
            <w:r w:rsidR="00DD36E2">
              <w:rPr>
                <w:noProof/>
                <w:webHidden/>
              </w:rPr>
              <w:tab/>
            </w:r>
            <w:r w:rsidR="00DD36E2">
              <w:rPr>
                <w:noProof/>
                <w:webHidden/>
              </w:rPr>
              <w:fldChar w:fldCharType="begin"/>
            </w:r>
            <w:r w:rsidR="00DD36E2">
              <w:rPr>
                <w:noProof/>
                <w:webHidden/>
              </w:rPr>
              <w:instrText xml:space="preserve"> PAGEREF _Toc121752602 \h </w:instrText>
            </w:r>
            <w:r w:rsidR="00DD36E2">
              <w:rPr>
                <w:noProof/>
                <w:webHidden/>
              </w:rPr>
            </w:r>
            <w:r w:rsidR="00DD36E2">
              <w:rPr>
                <w:noProof/>
                <w:webHidden/>
              </w:rPr>
              <w:fldChar w:fldCharType="separate"/>
            </w:r>
            <w:r w:rsidR="00A63605">
              <w:rPr>
                <w:noProof/>
                <w:webHidden/>
              </w:rPr>
              <w:t>58</w:t>
            </w:r>
            <w:r w:rsidR="00DD36E2">
              <w:rPr>
                <w:noProof/>
                <w:webHidden/>
              </w:rPr>
              <w:fldChar w:fldCharType="end"/>
            </w:r>
          </w:hyperlink>
        </w:p>
        <w:p w:rsidR="00DD36E2" w:rsidRDefault="002F39CB" w14:paraId="2F603416" w14:textId="72A3894C">
          <w:pPr>
            <w:pStyle w:val="Innehll2"/>
            <w:tabs>
              <w:tab w:val="right" w:leader="dot" w:pos="8494"/>
            </w:tabs>
            <w:rPr>
              <w:rFonts w:eastAsiaTheme="minorEastAsia"/>
              <w:noProof/>
              <w:kern w:val="0"/>
              <w:sz w:val="22"/>
              <w:szCs w:val="22"/>
              <w:lang w:eastAsia="sv-SE"/>
              <w14:numSpacing w14:val="default"/>
            </w:rPr>
          </w:pPr>
          <w:hyperlink w:history="1" w:anchor="_Toc121752603">
            <w:r w:rsidRPr="000A0778" w:rsidR="00DD36E2">
              <w:rPr>
                <w:rStyle w:val="Hyperlnk"/>
                <w:noProof/>
              </w:rPr>
              <w:t>10.3 Graviditetsdagar och mödravårdsbesök</w:t>
            </w:r>
            <w:r w:rsidR="00DD36E2">
              <w:rPr>
                <w:noProof/>
                <w:webHidden/>
              </w:rPr>
              <w:tab/>
            </w:r>
            <w:r w:rsidR="00DD36E2">
              <w:rPr>
                <w:noProof/>
                <w:webHidden/>
              </w:rPr>
              <w:fldChar w:fldCharType="begin"/>
            </w:r>
            <w:r w:rsidR="00DD36E2">
              <w:rPr>
                <w:noProof/>
                <w:webHidden/>
              </w:rPr>
              <w:instrText xml:space="preserve"> PAGEREF _Toc121752603 \h </w:instrText>
            </w:r>
            <w:r w:rsidR="00DD36E2">
              <w:rPr>
                <w:noProof/>
                <w:webHidden/>
              </w:rPr>
            </w:r>
            <w:r w:rsidR="00DD36E2">
              <w:rPr>
                <w:noProof/>
                <w:webHidden/>
              </w:rPr>
              <w:fldChar w:fldCharType="separate"/>
            </w:r>
            <w:r w:rsidR="00A63605">
              <w:rPr>
                <w:noProof/>
                <w:webHidden/>
              </w:rPr>
              <w:t>58</w:t>
            </w:r>
            <w:r w:rsidR="00DD36E2">
              <w:rPr>
                <w:noProof/>
                <w:webHidden/>
              </w:rPr>
              <w:fldChar w:fldCharType="end"/>
            </w:r>
          </w:hyperlink>
        </w:p>
        <w:p w:rsidR="00DD36E2" w:rsidRDefault="002F39CB" w14:paraId="18BB07D0" w14:textId="48E93CF6">
          <w:pPr>
            <w:pStyle w:val="Innehll2"/>
            <w:tabs>
              <w:tab w:val="right" w:leader="dot" w:pos="8494"/>
            </w:tabs>
            <w:rPr>
              <w:rFonts w:eastAsiaTheme="minorEastAsia"/>
              <w:noProof/>
              <w:kern w:val="0"/>
              <w:sz w:val="22"/>
              <w:szCs w:val="22"/>
              <w:lang w:eastAsia="sv-SE"/>
              <w14:numSpacing w14:val="default"/>
            </w:rPr>
          </w:pPr>
          <w:hyperlink w:history="1" w:anchor="_Toc121752604">
            <w:r w:rsidRPr="000A0778" w:rsidR="00DD36E2">
              <w:rPr>
                <w:rStyle w:val="Hyperlnk"/>
                <w:noProof/>
              </w:rPr>
              <w:t>10.4 Snabbhetspremie</w:t>
            </w:r>
            <w:r w:rsidR="00DD36E2">
              <w:rPr>
                <w:noProof/>
                <w:webHidden/>
              </w:rPr>
              <w:tab/>
            </w:r>
            <w:r w:rsidR="00DD36E2">
              <w:rPr>
                <w:noProof/>
                <w:webHidden/>
              </w:rPr>
              <w:fldChar w:fldCharType="begin"/>
            </w:r>
            <w:r w:rsidR="00DD36E2">
              <w:rPr>
                <w:noProof/>
                <w:webHidden/>
              </w:rPr>
              <w:instrText xml:space="preserve"> PAGEREF _Toc121752604 \h </w:instrText>
            </w:r>
            <w:r w:rsidR="00DD36E2">
              <w:rPr>
                <w:noProof/>
                <w:webHidden/>
              </w:rPr>
            </w:r>
            <w:r w:rsidR="00DD36E2">
              <w:rPr>
                <w:noProof/>
                <w:webHidden/>
              </w:rPr>
              <w:fldChar w:fldCharType="separate"/>
            </w:r>
            <w:r w:rsidR="00A63605">
              <w:rPr>
                <w:noProof/>
                <w:webHidden/>
              </w:rPr>
              <w:t>59</w:t>
            </w:r>
            <w:r w:rsidR="00DD36E2">
              <w:rPr>
                <w:noProof/>
                <w:webHidden/>
              </w:rPr>
              <w:fldChar w:fldCharType="end"/>
            </w:r>
          </w:hyperlink>
        </w:p>
        <w:p w:rsidR="00DD36E2" w:rsidRDefault="002F39CB" w14:paraId="5A27658B" w14:textId="5BFE5700">
          <w:pPr>
            <w:pStyle w:val="Innehll2"/>
            <w:tabs>
              <w:tab w:val="right" w:leader="dot" w:pos="8494"/>
            </w:tabs>
            <w:rPr>
              <w:rFonts w:eastAsiaTheme="minorEastAsia"/>
              <w:noProof/>
              <w:kern w:val="0"/>
              <w:sz w:val="22"/>
              <w:szCs w:val="22"/>
              <w:lang w:eastAsia="sv-SE"/>
              <w14:numSpacing w14:val="default"/>
            </w:rPr>
          </w:pPr>
          <w:hyperlink w:history="1" w:anchor="_Toc121752605">
            <w:r w:rsidRPr="000A0778" w:rsidR="00DD36E2">
              <w:rPr>
                <w:rStyle w:val="Hyperlnk"/>
                <w:noProof/>
              </w:rPr>
              <w:t>10.5 Fler dubbeldagar</w:t>
            </w:r>
            <w:r w:rsidR="00DD36E2">
              <w:rPr>
                <w:noProof/>
                <w:webHidden/>
              </w:rPr>
              <w:tab/>
            </w:r>
            <w:r w:rsidR="00DD36E2">
              <w:rPr>
                <w:noProof/>
                <w:webHidden/>
              </w:rPr>
              <w:fldChar w:fldCharType="begin"/>
            </w:r>
            <w:r w:rsidR="00DD36E2">
              <w:rPr>
                <w:noProof/>
                <w:webHidden/>
              </w:rPr>
              <w:instrText xml:space="preserve"> PAGEREF _Toc121752605 \h </w:instrText>
            </w:r>
            <w:r w:rsidR="00DD36E2">
              <w:rPr>
                <w:noProof/>
                <w:webHidden/>
              </w:rPr>
            </w:r>
            <w:r w:rsidR="00DD36E2">
              <w:rPr>
                <w:noProof/>
                <w:webHidden/>
              </w:rPr>
              <w:fldChar w:fldCharType="separate"/>
            </w:r>
            <w:r w:rsidR="00A63605">
              <w:rPr>
                <w:noProof/>
                <w:webHidden/>
              </w:rPr>
              <w:t>59</w:t>
            </w:r>
            <w:r w:rsidR="00DD36E2">
              <w:rPr>
                <w:noProof/>
                <w:webHidden/>
              </w:rPr>
              <w:fldChar w:fldCharType="end"/>
            </w:r>
          </w:hyperlink>
        </w:p>
        <w:p w:rsidR="00DD36E2" w:rsidRDefault="002F39CB" w14:paraId="346F5B11" w14:textId="3590198A">
          <w:pPr>
            <w:pStyle w:val="Innehll2"/>
            <w:tabs>
              <w:tab w:val="right" w:leader="dot" w:pos="8494"/>
            </w:tabs>
            <w:rPr>
              <w:rFonts w:eastAsiaTheme="minorEastAsia"/>
              <w:noProof/>
              <w:kern w:val="0"/>
              <w:sz w:val="22"/>
              <w:szCs w:val="22"/>
              <w:lang w:eastAsia="sv-SE"/>
              <w14:numSpacing w14:val="default"/>
            </w:rPr>
          </w:pPr>
          <w:hyperlink w:history="1" w:anchor="_Toc121752606">
            <w:r w:rsidRPr="000A0778" w:rsidR="00DD36E2">
              <w:rPr>
                <w:rStyle w:val="Hyperlnk"/>
                <w:noProof/>
              </w:rPr>
              <w:t>10.6 Tillfällig föräldrapenning vid ett barns födelse eller adoption</w:t>
            </w:r>
            <w:r w:rsidR="00DD36E2">
              <w:rPr>
                <w:noProof/>
                <w:webHidden/>
              </w:rPr>
              <w:tab/>
            </w:r>
            <w:r w:rsidR="00DD36E2">
              <w:rPr>
                <w:noProof/>
                <w:webHidden/>
              </w:rPr>
              <w:fldChar w:fldCharType="begin"/>
            </w:r>
            <w:r w:rsidR="00DD36E2">
              <w:rPr>
                <w:noProof/>
                <w:webHidden/>
              </w:rPr>
              <w:instrText xml:space="preserve"> PAGEREF _Toc121752606 \h </w:instrText>
            </w:r>
            <w:r w:rsidR="00DD36E2">
              <w:rPr>
                <w:noProof/>
                <w:webHidden/>
              </w:rPr>
            </w:r>
            <w:r w:rsidR="00DD36E2">
              <w:rPr>
                <w:noProof/>
                <w:webHidden/>
              </w:rPr>
              <w:fldChar w:fldCharType="separate"/>
            </w:r>
            <w:r w:rsidR="00A63605">
              <w:rPr>
                <w:noProof/>
                <w:webHidden/>
              </w:rPr>
              <w:t>59</w:t>
            </w:r>
            <w:r w:rsidR="00DD36E2">
              <w:rPr>
                <w:noProof/>
                <w:webHidden/>
              </w:rPr>
              <w:fldChar w:fldCharType="end"/>
            </w:r>
          </w:hyperlink>
        </w:p>
        <w:p w:rsidR="00DD36E2" w:rsidRDefault="002F39CB" w14:paraId="2F055F49" w14:textId="13E594A2">
          <w:pPr>
            <w:pStyle w:val="Innehll1"/>
            <w:tabs>
              <w:tab w:val="right" w:leader="dot" w:pos="8494"/>
            </w:tabs>
            <w:rPr>
              <w:rFonts w:eastAsiaTheme="minorEastAsia"/>
              <w:noProof/>
              <w:kern w:val="0"/>
              <w:sz w:val="22"/>
              <w:szCs w:val="22"/>
              <w:lang w:eastAsia="sv-SE"/>
              <w14:numSpacing w14:val="default"/>
            </w:rPr>
          </w:pPr>
          <w:hyperlink w:history="1" w:anchor="_Toc121752607">
            <w:r w:rsidRPr="000A0778" w:rsidR="00DD36E2">
              <w:rPr>
                <w:rStyle w:val="Hyperlnk"/>
                <w:noProof/>
              </w:rPr>
              <w:t>11 Försvar</w:t>
            </w:r>
            <w:r w:rsidR="00DD36E2">
              <w:rPr>
                <w:noProof/>
                <w:webHidden/>
              </w:rPr>
              <w:tab/>
            </w:r>
            <w:r w:rsidR="00DD36E2">
              <w:rPr>
                <w:noProof/>
                <w:webHidden/>
              </w:rPr>
              <w:fldChar w:fldCharType="begin"/>
            </w:r>
            <w:r w:rsidR="00DD36E2">
              <w:rPr>
                <w:noProof/>
                <w:webHidden/>
              </w:rPr>
              <w:instrText xml:space="preserve"> PAGEREF _Toc121752607 \h </w:instrText>
            </w:r>
            <w:r w:rsidR="00DD36E2">
              <w:rPr>
                <w:noProof/>
                <w:webHidden/>
              </w:rPr>
            </w:r>
            <w:r w:rsidR="00DD36E2">
              <w:rPr>
                <w:noProof/>
                <w:webHidden/>
              </w:rPr>
              <w:fldChar w:fldCharType="separate"/>
            </w:r>
            <w:r w:rsidR="00A63605">
              <w:rPr>
                <w:noProof/>
                <w:webHidden/>
              </w:rPr>
              <w:t>61</w:t>
            </w:r>
            <w:r w:rsidR="00DD36E2">
              <w:rPr>
                <w:noProof/>
                <w:webHidden/>
              </w:rPr>
              <w:fldChar w:fldCharType="end"/>
            </w:r>
          </w:hyperlink>
        </w:p>
        <w:p w:rsidR="00DD36E2" w:rsidRDefault="002F39CB" w14:paraId="7C2551A0" w14:textId="0EBA5378">
          <w:pPr>
            <w:pStyle w:val="Innehll1"/>
            <w:tabs>
              <w:tab w:val="right" w:leader="dot" w:pos="8494"/>
            </w:tabs>
            <w:rPr>
              <w:rFonts w:eastAsiaTheme="minorEastAsia"/>
              <w:noProof/>
              <w:kern w:val="0"/>
              <w:sz w:val="22"/>
              <w:szCs w:val="22"/>
              <w:lang w:eastAsia="sv-SE"/>
              <w14:numSpacing w14:val="default"/>
            </w:rPr>
          </w:pPr>
          <w:hyperlink w:history="1" w:anchor="_Toc121752608">
            <w:r w:rsidRPr="000A0778" w:rsidR="00DD36E2">
              <w:rPr>
                <w:rStyle w:val="Hyperlnk"/>
                <w:noProof/>
              </w:rPr>
              <w:t>12 Krisberedskap</w:t>
            </w:r>
            <w:r w:rsidR="00DD36E2">
              <w:rPr>
                <w:noProof/>
                <w:webHidden/>
              </w:rPr>
              <w:tab/>
            </w:r>
            <w:r w:rsidR="00DD36E2">
              <w:rPr>
                <w:noProof/>
                <w:webHidden/>
              </w:rPr>
              <w:fldChar w:fldCharType="begin"/>
            </w:r>
            <w:r w:rsidR="00DD36E2">
              <w:rPr>
                <w:noProof/>
                <w:webHidden/>
              </w:rPr>
              <w:instrText xml:space="preserve"> PAGEREF _Toc121752608 \h </w:instrText>
            </w:r>
            <w:r w:rsidR="00DD36E2">
              <w:rPr>
                <w:noProof/>
                <w:webHidden/>
              </w:rPr>
            </w:r>
            <w:r w:rsidR="00DD36E2">
              <w:rPr>
                <w:noProof/>
                <w:webHidden/>
              </w:rPr>
              <w:fldChar w:fldCharType="separate"/>
            </w:r>
            <w:r w:rsidR="00A63605">
              <w:rPr>
                <w:noProof/>
                <w:webHidden/>
              </w:rPr>
              <w:t>62</w:t>
            </w:r>
            <w:r w:rsidR="00DD36E2">
              <w:rPr>
                <w:noProof/>
                <w:webHidden/>
              </w:rPr>
              <w:fldChar w:fldCharType="end"/>
            </w:r>
          </w:hyperlink>
        </w:p>
        <w:p w:rsidR="00DD36E2" w:rsidRDefault="002F39CB" w14:paraId="3EB96CB9" w14:textId="022F06F2">
          <w:pPr>
            <w:pStyle w:val="Innehll2"/>
            <w:tabs>
              <w:tab w:val="right" w:leader="dot" w:pos="8494"/>
            </w:tabs>
            <w:rPr>
              <w:rFonts w:eastAsiaTheme="minorEastAsia"/>
              <w:noProof/>
              <w:kern w:val="0"/>
              <w:sz w:val="22"/>
              <w:szCs w:val="22"/>
              <w:lang w:eastAsia="sv-SE"/>
              <w14:numSpacing w14:val="default"/>
            </w:rPr>
          </w:pPr>
          <w:hyperlink w:history="1" w:anchor="_Toc121752609">
            <w:r w:rsidRPr="000A0778" w:rsidR="00DD36E2">
              <w:rPr>
                <w:rStyle w:val="Hyperlnk"/>
                <w:noProof/>
              </w:rPr>
              <w:t>12.1 Beredskapslager</w:t>
            </w:r>
            <w:r w:rsidR="00DD36E2">
              <w:rPr>
                <w:noProof/>
                <w:webHidden/>
              </w:rPr>
              <w:tab/>
            </w:r>
            <w:r w:rsidR="00DD36E2">
              <w:rPr>
                <w:noProof/>
                <w:webHidden/>
              </w:rPr>
              <w:fldChar w:fldCharType="begin"/>
            </w:r>
            <w:r w:rsidR="00DD36E2">
              <w:rPr>
                <w:noProof/>
                <w:webHidden/>
              </w:rPr>
              <w:instrText xml:space="preserve"> PAGEREF _Toc121752609 \h </w:instrText>
            </w:r>
            <w:r w:rsidR="00DD36E2">
              <w:rPr>
                <w:noProof/>
                <w:webHidden/>
              </w:rPr>
            </w:r>
            <w:r w:rsidR="00DD36E2">
              <w:rPr>
                <w:noProof/>
                <w:webHidden/>
              </w:rPr>
              <w:fldChar w:fldCharType="separate"/>
            </w:r>
            <w:r w:rsidR="00A63605">
              <w:rPr>
                <w:noProof/>
                <w:webHidden/>
              </w:rPr>
              <w:t>62</w:t>
            </w:r>
            <w:r w:rsidR="00DD36E2">
              <w:rPr>
                <w:noProof/>
                <w:webHidden/>
              </w:rPr>
              <w:fldChar w:fldCharType="end"/>
            </w:r>
          </w:hyperlink>
        </w:p>
        <w:p w:rsidR="00DD36E2" w:rsidRDefault="002F39CB" w14:paraId="6A8CC9F3" w14:textId="55D20A0A">
          <w:pPr>
            <w:pStyle w:val="Innehll2"/>
            <w:tabs>
              <w:tab w:val="right" w:leader="dot" w:pos="8494"/>
            </w:tabs>
            <w:rPr>
              <w:rFonts w:eastAsiaTheme="minorEastAsia"/>
              <w:noProof/>
              <w:kern w:val="0"/>
              <w:sz w:val="22"/>
              <w:szCs w:val="22"/>
              <w:lang w:eastAsia="sv-SE"/>
              <w14:numSpacing w14:val="default"/>
            </w:rPr>
          </w:pPr>
          <w:hyperlink w:history="1" w:anchor="_Toc121752610">
            <w:r w:rsidRPr="000A0778" w:rsidR="00DD36E2">
              <w:rPr>
                <w:rStyle w:val="Hyperlnk"/>
                <w:noProof/>
              </w:rPr>
              <w:t>12.2 Högre självförsörjningsgrad</w:t>
            </w:r>
            <w:r w:rsidR="00DD36E2">
              <w:rPr>
                <w:noProof/>
                <w:webHidden/>
              </w:rPr>
              <w:tab/>
            </w:r>
            <w:r w:rsidR="00DD36E2">
              <w:rPr>
                <w:noProof/>
                <w:webHidden/>
              </w:rPr>
              <w:fldChar w:fldCharType="begin"/>
            </w:r>
            <w:r w:rsidR="00DD36E2">
              <w:rPr>
                <w:noProof/>
                <w:webHidden/>
              </w:rPr>
              <w:instrText xml:space="preserve"> PAGEREF _Toc121752610 \h </w:instrText>
            </w:r>
            <w:r w:rsidR="00DD36E2">
              <w:rPr>
                <w:noProof/>
                <w:webHidden/>
              </w:rPr>
            </w:r>
            <w:r w:rsidR="00DD36E2">
              <w:rPr>
                <w:noProof/>
                <w:webHidden/>
              </w:rPr>
              <w:fldChar w:fldCharType="separate"/>
            </w:r>
            <w:r w:rsidR="00A63605">
              <w:rPr>
                <w:noProof/>
                <w:webHidden/>
              </w:rPr>
              <w:t>62</w:t>
            </w:r>
            <w:r w:rsidR="00DD36E2">
              <w:rPr>
                <w:noProof/>
                <w:webHidden/>
              </w:rPr>
              <w:fldChar w:fldCharType="end"/>
            </w:r>
          </w:hyperlink>
        </w:p>
        <w:p w:rsidR="00DD36E2" w:rsidRDefault="002F39CB" w14:paraId="362C59D4" w14:textId="1606735A">
          <w:pPr>
            <w:pStyle w:val="Innehll2"/>
            <w:tabs>
              <w:tab w:val="right" w:leader="dot" w:pos="8494"/>
            </w:tabs>
            <w:rPr>
              <w:rFonts w:eastAsiaTheme="minorEastAsia"/>
              <w:noProof/>
              <w:kern w:val="0"/>
              <w:sz w:val="22"/>
              <w:szCs w:val="22"/>
              <w:lang w:eastAsia="sv-SE"/>
              <w14:numSpacing w14:val="default"/>
            </w:rPr>
          </w:pPr>
          <w:hyperlink w:history="1" w:anchor="_Toc121752611">
            <w:r w:rsidRPr="000A0778" w:rsidR="00DD36E2">
              <w:rPr>
                <w:rStyle w:val="Hyperlnk"/>
                <w:noProof/>
              </w:rPr>
              <w:t>12.3 Säkra elleveranser</w:t>
            </w:r>
            <w:r w:rsidR="00DD36E2">
              <w:rPr>
                <w:noProof/>
                <w:webHidden/>
              </w:rPr>
              <w:tab/>
            </w:r>
            <w:r w:rsidR="00DD36E2">
              <w:rPr>
                <w:noProof/>
                <w:webHidden/>
              </w:rPr>
              <w:fldChar w:fldCharType="begin"/>
            </w:r>
            <w:r w:rsidR="00DD36E2">
              <w:rPr>
                <w:noProof/>
                <w:webHidden/>
              </w:rPr>
              <w:instrText xml:space="preserve"> PAGEREF _Toc121752611 \h </w:instrText>
            </w:r>
            <w:r w:rsidR="00DD36E2">
              <w:rPr>
                <w:noProof/>
                <w:webHidden/>
              </w:rPr>
            </w:r>
            <w:r w:rsidR="00DD36E2">
              <w:rPr>
                <w:noProof/>
                <w:webHidden/>
              </w:rPr>
              <w:fldChar w:fldCharType="separate"/>
            </w:r>
            <w:r w:rsidR="00A63605">
              <w:rPr>
                <w:noProof/>
                <w:webHidden/>
              </w:rPr>
              <w:t>62</w:t>
            </w:r>
            <w:r w:rsidR="00DD36E2">
              <w:rPr>
                <w:noProof/>
                <w:webHidden/>
              </w:rPr>
              <w:fldChar w:fldCharType="end"/>
            </w:r>
          </w:hyperlink>
        </w:p>
        <w:p w:rsidR="00DD36E2" w:rsidRDefault="002F39CB" w14:paraId="5E7ED8BB" w14:textId="188CB40C">
          <w:pPr>
            <w:pStyle w:val="Innehll2"/>
            <w:tabs>
              <w:tab w:val="right" w:leader="dot" w:pos="8494"/>
            </w:tabs>
            <w:rPr>
              <w:rFonts w:eastAsiaTheme="minorEastAsia"/>
              <w:noProof/>
              <w:kern w:val="0"/>
              <w:sz w:val="22"/>
              <w:szCs w:val="22"/>
              <w:lang w:eastAsia="sv-SE"/>
              <w14:numSpacing w14:val="default"/>
            </w:rPr>
          </w:pPr>
          <w:hyperlink w:history="1" w:anchor="_Toc121752612">
            <w:r w:rsidRPr="000A0778" w:rsidR="00DD36E2">
              <w:rPr>
                <w:rStyle w:val="Hyperlnk"/>
                <w:noProof/>
              </w:rPr>
              <w:t>12.4 Nordisk krisberedskap</w:t>
            </w:r>
            <w:r w:rsidR="00DD36E2">
              <w:rPr>
                <w:noProof/>
                <w:webHidden/>
              </w:rPr>
              <w:tab/>
            </w:r>
            <w:r w:rsidR="00DD36E2">
              <w:rPr>
                <w:noProof/>
                <w:webHidden/>
              </w:rPr>
              <w:fldChar w:fldCharType="begin"/>
            </w:r>
            <w:r w:rsidR="00DD36E2">
              <w:rPr>
                <w:noProof/>
                <w:webHidden/>
              </w:rPr>
              <w:instrText xml:space="preserve"> PAGEREF _Toc121752612 \h </w:instrText>
            </w:r>
            <w:r w:rsidR="00DD36E2">
              <w:rPr>
                <w:noProof/>
                <w:webHidden/>
              </w:rPr>
            </w:r>
            <w:r w:rsidR="00DD36E2">
              <w:rPr>
                <w:noProof/>
                <w:webHidden/>
              </w:rPr>
              <w:fldChar w:fldCharType="separate"/>
            </w:r>
            <w:r w:rsidR="00A63605">
              <w:rPr>
                <w:noProof/>
                <w:webHidden/>
              </w:rPr>
              <w:t>63</w:t>
            </w:r>
            <w:r w:rsidR="00DD36E2">
              <w:rPr>
                <w:noProof/>
                <w:webHidden/>
              </w:rPr>
              <w:fldChar w:fldCharType="end"/>
            </w:r>
          </w:hyperlink>
        </w:p>
        <w:p w:rsidR="00DD36E2" w:rsidRDefault="002F39CB" w14:paraId="434D590C" w14:textId="59CD18F9">
          <w:pPr>
            <w:pStyle w:val="Innehll1"/>
            <w:tabs>
              <w:tab w:val="right" w:leader="dot" w:pos="8494"/>
            </w:tabs>
            <w:rPr>
              <w:rFonts w:eastAsiaTheme="minorEastAsia"/>
              <w:noProof/>
              <w:kern w:val="0"/>
              <w:sz w:val="22"/>
              <w:szCs w:val="22"/>
              <w:lang w:eastAsia="sv-SE"/>
              <w14:numSpacing w14:val="default"/>
            </w:rPr>
          </w:pPr>
          <w:hyperlink w:history="1" w:anchor="_Toc121752613">
            <w:r w:rsidRPr="000A0778" w:rsidR="00DD36E2">
              <w:rPr>
                <w:rStyle w:val="Hyperlnk"/>
                <w:noProof/>
              </w:rPr>
              <w:t>13 Migration och integration</w:t>
            </w:r>
            <w:r w:rsidR="00DD36E2">
              <w:rPr>
                <w:noProof/>
                <w:webHidden/>
              </w:rPr>
              <w:tab/>
            </w:r>
            <w:r w:rsidR="00DD36E2">
              <w:rPr>
                <w:noProof/>
                <w:webHidden/>
              </w:rPr>
              <w:fldChar w:fldCharType="begin"/>
            </w:r>
            <w:r w:rsidR="00DD36E2">
              <w:rPr>
                <w:noProof/>
                <w:webHidden/>
              </w:rPr>
              <w:instrText xml:space="preserve"> PAGEREF _Toc121752613 \h </w:instrText>
            </w:r>
            <w:r w:rsidR="00DD36E2">
              <w:rPr>
                <w:noProof/>
                <w:webHidden/>
              </w:rPr>
            </w:r>
            <w:r w:rsidR="00DD36E2">
              <w:rPr>
                <w:noProof/>
                <w:webHidden/>
              </w:rPr>
              <w:fldChar w:fldCharType="separate"/>
            </w:r>
            <w:r w:rsidR="00A63605">
              <w:rPr>
                <w:noProof/>
                <w:webHidden/>
              </w:rPr>
              <w:t>64</w:t>
            </w:r>
            <w:r w:rsidR="00DD36E2">
              <w:rPr>
                <w:noProof/>
                <w:webHidden/>
              </w:rPr>
              <w:fldChar w:fldCharType="end"/>
            </w:r>
          </w:hyperlink>
        </w:p>
        <w:p w:rsidR="00DD36E2" w:rsidRDefault="002F39CB" w14:paraId="095DF668" w14:textId="0BF358E4">
          <w:pPr>
            <w:pStyle w:val="Innehll2"/>
            <w:tabs>
              <w:tab w:val="right" w:leader="dot" w:pos="8494"/>
            </w:tabs>
            <w:rPr>
              <w:rFonts w:eastAsiaTheme="minorEastAsia"/>
              <w:noProof/>
              <w:kern w:val="0"/>
              <w:sz w:val="22"/>
              <w:szCs w:val="22"/>
              <w:lang w:eastAsia="sv-SE"/>
              <w14:numSpacing w14:val="default"/>
            </w:rPr>
          </w:pPr>
          <w:hyperlink w:history="1" w:anchor="_Toc121752614">
            <w:r w:rsidRPr="000A0778" w:rsidR="00DD36E2">
              <w:rPr>
                <w:rStyle w:val="Hyperlnk"/>
                <w:noProof/>
              </w:rPr>
              <w:t>13.1 Fler utvisningar</w:t>
            </w:r>
            <w:r w:rsidR="00DD36E2">
              <w:rPr>
                <w:noProof/>
                <w:webHidden/>
              </w:rPr>
              <w:tab/>
            </w:r>
            <w:r w:rsidR="00DD36E2">
              <w:rPr>
                <w:noProof/>
                <w:webHidden/>
              </w:rPr>
              <w:fldChar w:fldCharType="begin"/>
            </w:r>
            <w:r w:rsidR="00DD36E2">
              <w:rPr>
                <w:noProof/>
                <w:webHidden/>
              </w:rPr>
              <w:instrText xml:space="preserve"> PAGEREF _Toc121752614 \h </w:instrText>
            </w:r>
            <w:r w:rsidR="00DD36E2">
              <w:rPr>
                <w:noProof/>
                <w:webHidden/>
              </w:rPr>
            </w:r>
            <w:r w:rsidR="00DD36E2">
              <w:rPr>
                <w:noProof/>
                <w:webHidden/>
              </w:rPr>
              <w:fldChar w:fldCharType="separate"/>
            </w:r>
            <w:r w:rsidR="00A63605">
              <w:rPr>
                <w:noProof/>
                <w:webHidden/>
              </w:rPr>
              <w:t>65</w:t>
            </w:r>
            <w:r w:rsidR="00DD36E2">
              <w:rPr>
                <w:noProof/>
                <w:webHidden/>
              </w:rPr>
              <w:fldChar w:fldCharType="end"/>
            </w:r>
          </w:hyperlink>
        </w:p>
        <w:p w:rsidR="00DD36E2" w:rsidRDefault="002F39CB" w14:paraId="74C2AD79" w14:textId="66E11CCA">
          <w:pPr>
            <w:pStyle w:val="Innehll2"/>
            <w:tabs>
              <w:tab w:val="right" w:leader="dot" w:pos="8494"/>
            </w:tabs>
            <w:rPr>
              <w:rFonts w:eastAsiaTheme="minorEastAsia"/>
              <w:noProof/>
              <w:kern w:val="0"/>
              <w:sz w:val="22"/>
              <w:szCs w:val="22"/>
              <w:lang w:eastAsia="sv-SE"/>
              <w14:numSpacing w14:val="default"/>
            </w:rPr>
          </w:pPr>
          <w:hyperlink w:history="1" w:anchor="_Toc121752615">
            <w:r w:rsidRPr="000A0778" w:rsidR="00DD36E2">
              <w:rPr>
                <w:rStyle w:val="Hyperlnk"/>
                <w:noProof/>
              </w:rPr>
              <w:t>13.2 Fler förvarsplatser</w:t>
            </w:r>
            <w:r w:rsidR="00DD36E2">
              <w:rPr>
                <w:noProof/>
                <w:webHidden/>
              </w:rPr>
              <w:tab/>
            </w:r>
            <w:r w:rsidR="00DD36E2">
              <w:rPr>
                <w:noProof/>
                <w:webHidden/>
              </w:rPr>
              <w:fldChar w:fldCharType="begin"/>
            </w:r>
            <w:r w:rsidR="00DD36E2">
              <w:rPr>
                <w:noProof/>
                <w:webHidden/>
              </w:rPr>
              <w:instrText xml:space="preserve"> PAGEREF _Toc121752615 \h </w:instrText>
            </w:r>
            <w:r w:rsidR="00DD36E2">
              <w:rPr>
                <w:noProof/>
                <w:webHidden/>
              </w:rPr>
            </w:r>
            <w:r w:rsidR="00DD36E2">
              <w:rPr>
                <w:noProof/>
                <w:webHidden/>
              </w:rPr>
              <w:fldChar w:fldCharType="separate"/>
            </w:r>
            <w:r w:rsidR="00A63605">
              <w:rPr>
                <w:noProof/>
                <w:webHidden/>
              </w:rPr>
              <w:t>65</w:t>
            </w:r>
            <w:r w:rsidR="00DD36E2">
              <w:rPr>
                <w:noProof/>
                <w:webHidden/>
              </w:rPr>
              <w:fldChar w:fldCharType="end"/>
            </w:r>
          </w:hyperlink>
        </w:p>
        <w:p w:rsidR="00DD36E2" w:rsidRDefault="002F39CB" w14:paraId="6B85F5E9" w14:textId="670C25F2">
          <w:pPr>
            <w:pStyle w:val="Innehll2"/>
            <w:tabs>
              <w:tab w:val="right" w:leader="dot" w:pos="8494"/>
            </w:tabs>
            <w:rPr>
              <w:rFonts w:eastAsiaTheme="minorEastAsia"/>
              <w:noProof/>
              <w:kern w:val="0"/>
              <w:sz w:val="22"/>
              <w:szCs w:val="22"/>
              <w:lang w:eastAsia="sv-SE"/>
              <w14:numSpacing w14:val="default"/>
            </w:rPr>
          </w:pPr>
          <w:hyperlink w:history="1" w:anchor="_Toc121752616">
            <w:r w:rsidRPr="000A0778" w:rsidR="00DD36E2">
              <w:rPr>
                <w:rStyle w:val="Hyperlnk"/>
                <w:noProof/>
              </w:rPr>
              <w:t>13.3 Utvecklat stöd för återvandring</w:t>
            </w:r>
            <w:r w:rsidR="00DD36E2">
              <w:rPr>
                <w:noProof/>
                <w:webHidden/>
              </w:rPr>
              <w:tab/>
            </w:r>
            <w:r w:rsidR="00DD36E2">
              <w:rPr>
                <w:noProof/>
                <w:webHidden/>
              </w:rPr>
              <w:fldChar w:fldCharType="begin"/>
            </w:r>
            <w:r w:rsidR="00DD36E2">
              <w:rPr>
                <w:noProof/>
                <w:webHidden/>
              </w:rPr>
              <w:instrText xml:space="preserve"> PAGEREF _Toc121752616 \h </w:instrText>
            </w:r>
            <w:r w:rsidR="00DD36E2">
              <w:rPr>
                <w:noProof/>
                <w:webHidden/>
              </w:rPr>
            </w:r>
            <w:r w:rsidR="00DD36E2">
              <w:rPr>
                <w:noProof/>
                <w:webHidden/>
              </w:rPr>
              <w:fldChar w:fldCharType="separate"/>
            </w:r>
            <w:r w:rsidR="00A63605">
              <w:rPr>
                <w:noProof/>
                <w:webHidden/>
              </w:rPr>
              <w:t>65</w:t>
            </w:r>
            <w:r w:rsidR="00DD36E2">
              <w:rPr>
                <w:noProof/>
                <w:webHidden/>
              </w:rPr>
              <w:fldChar w:fldCharType="end"/>
            </w:r>
          </w:hyperlink>
        </w:p>
        <w:p w:rsidR="00DD36E2" w:rsidRDefault="002F39CB" w14:paraId="0D37EEB3" w14:textId="47967FEF">
          <w:pPr>
            <w:pStyle w:val="Innehll2"/>
            <w:tabs>
              <w:tab w:val="right" w:leader="dot" w:pos="8494"/>
            </w:tabs>
            <w:rPr>
              <w:rFonts w:eastAsiaTheme="minorEastAsia"/>
              <w:noProof/>
              <w:kern w:val="0"/>
              <w:sz w:val="22"/>
              <w:szCs w:val="22"/>
              <w:lang w:eastAsia="sv-SE"/>
              <w14:numSpacing w14:val="default"/>
            </w:rPr>
          </w:pPr>
          <w:hyperlink w:history="1" w:anchor="_Toc121752617">
            <w:r w:rsidRPr="000A0778" w:rsidR="00DD36E2">
              <w:rPr>
                <w:rStyle w:val="Hyperlnk"/>
                <w:noProof/>
              </w:rPr>
              <w:t>13.4 Obligatorisk förskola för barn till nyanlända i utsatta områden</w:t>
            </w:r>
            <w:r w:rsidR="00DD36E2">
              <w:rPr>
                <w:noProof/>
                <w:webHidden/>
              </w:rPr>
              <w:tab/>
            </w:r>
            <w:r w:rsidR="00DD36E2">
              <w:rPr>
                <w:noProof/>
                <w:webHidden/>
              </w:rPr>
              <w:fldChar w:fldCharType="begin"/>
            </w:r>
            <w:r w:rsidR="00DD36E2">
              <w:rPr>
                <w:noProof/>
                <w:webHidden/>
              </w:rPr>
              <w:instrText xml:space="preserve"> PAGEREF _Toc121752617 \h </w:instrText>
            </w:r>
            <w:r w:rsidR="00DD36E2">
              <w:rPr>
                <w:noProof/>
                <w:webHidden/>
              </w:rPr>
            </w:r>
            <w:r w:rsidR="00DD36E2">
              <w:rPr>
                <w:noProof/>
                <w:webHidden/>
              </w:rPr>
              <w:fldChar w:fldCharType="separate"/>
            </w:r>
            <w:r w:rsidR="00A63605">
              <w:rPr>
                <w:noProof/>
                <w:webHidden/>
              </w:rPr>
              <w:t>66</w:t>
            </w:r>
            <w:r w:rsidR="00DD36E2">
              <w:rPr>
                <w:noProof/>
                <w:webHidden/>
              </w:rPr>
              <w:fldChar w:fldCharType="end"/>
            </w:r>
          </w:hyperlink>
        </w:p>
        <w:p w:rsidR="00DD36E2" w:rsidRDefault="002F39CB" w14:paraId="35CCF0AA" w14:textId="622EBEE1">
          <w:pPr>
            <w:pStyle w:val="Innehll2"/>
            <w:tabs>
              <w:tab w:val="right" w:leader="dot" w:pos="8494"/>
            </w:tabs>
            <w:rPr>
              <w:rFonts w:eastAsiaTheme="minorEastAsia"/>
              <w:noProof/>
              <w:kern w:val="0"/>
              <w:sz w:val="22"/>
              <w:szCs w:val="22"/>
              <w:lang w:eastAsia="sv-SE"/>
              <w14:numSpacing w14:val="default"/>
            </w:rPr>
          </w:pPr>
          <w:hyperlink w:history="1" w:anchor="_Toc121752618">
            <w:r w:rsidRPr="000A0778" w:rsidR="00DD36E2">
              <w:rPr>
                <w:rStyle w:val="Hyperlnk"/>
                <w:noProof/>
              </w:rPr>
              <w:t>13.5 Skattereduktion i stället för flerbarnstillägg</w:t>
            </w:r>
            <w:r w:rsidR="00DD36E2">
              <w:rPr>
                <w:noProof/>
                <w:webHidden/>
              </w:rPr>
              <w:tab/>
            </w:r>
            <w:r w:rsidR="00DD36E2">
              <w:rPr>
                <w:noProof/>
                <w:webHidden/>
              </w:rPr>
              <w:fldChar w:fldCharType="begin"/>
            </w:r>
            <w:r w:rsidR="00DD36E2">
              <w:rPr>
                <w:noProof/>
                <w:webHidden/>
              </w:rPr>
              <w:instrText xml:space="preserve"> PAGEREF _Toc121752618 \h </w:instrText>
            </w:r>
            <w:r w:rsidR="00DD36E2">
              <w:rPr>
                <w:noProof/>
                <w:webHidden/>
              </w:rPr>
            </w:r>
            <w:r w:rsidR="00DD36E2">
              <w:rPr>
                <w:noProof/>
                <w:webHidden/>
              </w:rPr>
              <w:fldChar w:fldCharType="separate"/>
            </w:r>
            <w:r w:rsidR="00A63605">
              <w:rPr>
                <w:noProof/>
                <w:webHidden/>
              </w:rPr>
              <w:t>66</w:t>
            </w:r>
            <w:r w:rsidR="00DD36E2">
              <w:rPr>
                <w:noProof/>
                <w:webHidden/>
              </w:rPr>
              <w:fldChar w:fldCharType="end"/>
            </w:r>
          </w:hyperlink>
        </w:p>
        <w:p w:rsidR="00DD36E2" w:rsidRDefault="002F39CB" w14:paraId="123986F9" w14:textId="3A958AB3">
          <w:pPr>
            <w:pStyle w:val="Innehll1"/>
            <w:tabs>
              <w:tab w:val="right" w:leader="dot" w:pos="8494"/>
            </w:tabs>
            <w:rPr>
              <w:rFonts w:eastAsiaTheme="minorEastAsia"/>
              <w:noProof/>
              <w:kern w:val="0"/>
              <w:sz w:val="22"/>
              <w:szCs w:val="22"/>
              <w:lang w:eastAsia="sv-SE"/>
              <w14:numSpacing w14:val="default"/>
            </w:rPr>
          </w:pPr>
          <w:hyperlink w:history="1" w:anchor="_Toc121752619">
            <w:r w:rsidRPr="000A0778" w:rsidR="00DD36E2">
              <w:rPr>
                <w:rStyle w:val="Hyperlnk"/>
                <w:noProof/>
              </w:rPr>
              <w:t>14 Medborgarskap och välfärd</w:t>
            </w:r>
            <w:r w:rsidR="00DD36E2">
              <w:rPr>
                <w:noProof/>
                <w:webHidden/>
              </w:rPr>
              <w:tab/>
            </w:r>
            <w:r w:rsidR="00DD36E2">
              <w:rPr>
                <w:noProof/>
                <w:webHidden/>
              </w:rPr>
              <w:fldChar w:fldCharType="begin"/>
            </w:r>
            <w:r w:rsidR="00DD36E2">
              <w:rPr>
                <w:noProof/>
                <w:webHidden/>
              </w:rPr>
              <w:instrText xml:space="preserve"> PAGEREF _Toc121752619 \h </w:instrText>
            </w:r>
            <w:r w:rsidR="00DD36E2">
              <w:rPr>
                <w:noProof/>
                <w:webHidden/>
              </w:rPr>
            </w:r>
            <w:r w:rsidR="00DD36E2">
              <w:rPr>
                <w:noProof/>
                <w:webHidden/>
              </w:rPr>
              <w:fldChar w:fldCharType="separate"/>
            </w:r>
            <w:r w:rsidR="00A63605">
              <w:rPr>
                <w:noProof/>
                <w:webHidden/>
              </w:rPr>
              <w:t>68</w:t>
            </w:r>
            <w:r w:rsidR="00DD36E2">
              <w:rPr>
                <w:noProof/>
                <w:webHidden/>
              </w:rPr>
              <w:fldChar w:fldCharType="end"/>
            </w:r>
          </w:hyperlink>
        </w:p>
        <w:p w:rsidR="00DD36E2" w:rsidRDefault="002F39CB" w14:paraId="43FBB06F" w14:textId="328EFB2B">
          <w:pPr>
            <w:pStyle w:val="Innehll2"/>
            <w:tabs>
              <w:tab w:val="right" w:leader="dot" w:pos="8494"/>
            </w:tabs>
            <w:rPr>
              <w:rFonts w:eastAsiaTheme="minorEastAsia"/>
              <w:noProof/>
              <w:kern w:val="0"/>
              <w:sz w:val="22"/>
              <w:szCs w:val="22"/>
              <w:lang w:eastAsia="sv-SE"/>
              <w14:numSpacing w14:val="default"/>
            </w:rPr>
          </w:pPr>
          <w:hyperlink w:history="1" w:anchor="_Toc121752620">
            <w:r w:rsidRPr="000A0778" w:rsidR="00DD36E2">
              <w:rPr>
                <w:rStyle w:val="Hyperlnk"/>
                <w:noProof/>
              </w:rPr>
              <w:t>14.1 Behovet av begränsade bidrag för tredjelandsmedborgare</w:t>
            </w:r>
            <w:r w:rsidR="00DD36E2">
              <w:rPr>
                <w:noProof/>
                <w:webHidden/>
              </w:rPr>
              <w:tab/>
            </w:r>
            <w:r w:rsidR="00DD36E2">
              <w:rPr>
                <w:noProof/>
                <w:webHidden/>
              </w:rPr>
              <w:fldChar w:fldCharType="begin"/>
            </w:r>
            <w:r w:rsidR="00DD36E2">
              <w:rPr>
                <w:noProof/>
                <w:webHidden/>
              </w:rPr>
              <w:instrText xml:space="preserve"> PAGEREF _Toc121752620 \h </w:instrText>
            </w:r>
            <w:r w:rsidR="00DD36E2">
              <w:rPr>
                <w:noProof/>
                <w:webHidden/>
              </w:rPr>
            </w:r>
            <w:r w:rsidR="00DD36E2">
              <w:rPr>
                <w:noProof/>
                <w:webHidden/>
              </w:rPr>
              <w:fldChar w:fldCharType="separate"/>
            </w:r>
            <w:r w:rsidR="00A63605">
              <w:rPr>
                <w:noProof/>
                <w:webHidden/>
              </w:rPr>
              <w:t>68</w:t>
            </w:r>
            <w:r w:rsidR="00DD36E2">
              <w:rPr>
                <w:noProof/>
                <w:webHidden/>
              </w:rPr>
              <w:fldChar w:fldCharType="end"/>
            </w:r>
          </w:hyperlink>
        </w:p>
        <w:p w:rsidR="00DD36E2" w:rsidRDefault="002F39CB" w14:paraId="29AC7216" w14:textId="0565987C">
          <w:pPr>
            <w:pStyle w:val="Innehll3"/>
            <w:tabs>
              <w:tab w:val="right" w:leader="dot" w:pos="8494"/>
            </w:tabs>
            <w:rPr>
              <w:rFonts w:eastAsiaTheme="minorEastAsia"/>
              <w:noProof/>
              <w:kern w:val="0"/>
              <w:sz w:val="22"/>
              <w:szCs w:val="22"/>
              <w:lang w:eastAsia="sv-SE"/>
              <w14:numSpacing w14:val="default"/>
            </w:rPr>
          </w:pPr>
          <w:hyperlink w:history="1" w:anchor="_Toc121752621">
            <w:r w:rsidRPr="000A0778" w:rsidR="00DD36E2">
              <w:rPr>
                <w:rStyle w:val="Hyperlnk"/>
                <w:noProof/>
              </w:rPr>
              <w:t>EU/EES-medborgare bör inte omfattas av begränsningarna</w:t>
            </w:r>
            <w:r w:rsidR="00DD36E2">
              <w:rPr>
                <w:noProof/>
                <w:webHidden/>
              </w:rPr>
              <w:tab/>
            </w:r>
            <w:r w:rsidR="00DD36E2">
              <w:rPr>
                <w:noProof/>
                <w:webHidden/>
              </w:rPr>
              <w:fldChar w:fldCharType="begin"/>
            </w:r>
            <w:r w:rsidR="00DD36E2">
              <w:rPr>
                <w:noProof/>
                <w:webHidden/>
              </w:rPr>
              <w:instrText xml:space="preserve"> PAGEREF _Toc121752621 \h </w:instrText>
            </w:r>
            <w:r w:rsidR="00DD36E2">
              <w:rPr>
                <w:noProof/>
                <w:webHidden/>
              </w:rPr>
            </w:r>
            <w:r w:rsidR="00DD36E2">
              <w:rPr>
                <w:noProof/>
                <w:webHidden/>
              </w:rPr>
              <w:fldChar w:fldCharType="separate"/>
            </w:r>
            <w:r w:rsidR="00A63605">
              <w:rPr>
                <w:noProof/>
                <w:webHidden/>
              </w:rPr>
              <w:t>69</w:t>
            </w:r>
            <w:r w:rsidR="00DD36E2">
              <w:rPr>
                <w:noProof/>
                <w:webHidden/>
              </w:rPr>
              <w:fldChar w:fldCharType="end"/>
            </w:r>
          </w:hyperlink>
        </w:p>
        <w:p w:rsidR="00DD36E2" w:rsidRDefault="002F39CB" w14:paraId="57A16EB6" w14:textId="6D1661CB">
          <w:pPr>
            <w:pStyle w:val="Innehll3"/>
            <w:tabs>
              <w:tab w:val="right" w:leader="dot" w:pos="8494"/>
            </w:tabs>
            <w:rPr>
              <w:rFonts w:eastAsiaTheme="minorEastAsia"/>
              <w:noProof/>
              <w:kern w:val="0"/>
              <w:sz w:val="22"/>
              <w:szCs w:val="22"/>
              <w:lang w:eastAsia="sv-SE"/>
              <w14:numSpacing w14:val="default"/>
            </w:rPr>
          </w:pPr>
          <w:hyperlink w:history="1" w:anchor="_Toc121752622">
            <w:r w:rsidRPr="000A0778" w:rsidR="00DD36E2">
              <w:rPr>
                <w:rStyle w:val="Hyperlnk"/>
                <w:noProof/>
              </w:rPr>
              <w:t>Alla bosättningsbaserade förmåner bör inte omfattas av begränsningarna</w:t>
            </w:r>
            <w:r w:rsidR="00DD36E2">
              <w:rPr>
                <w:noProof/>
                <w:webHidden/>
              </w:rPr>
              <w:tab/>
            </w:r>
            <w:r w:rsidR="00DD36E2">
              <w:rPr>
                <w:noProof/>
                <w:webHidden/>
              </w:rPr>
              <w:fldChar w:fldCharType="begin"/>
            </w:r>
            <w:r w:rsidR="00DD36E2">
              <w:rPr>
                <w:noProof/>
                <w:webHidden/>
              </w:rPr>
              <w:instrText xml:space="preserve"> PAGEREF _Toc121752622 \h </w:instrText>
            </w:r>
            <w:r w:rsidR="00DD36E2">
              <w:rPr>
                <w:noProof/>
                <w:webHidden/>
              </w:rPr>
            </w:r>
            <w:r w:rsidR="00DD36E2">
              <w:rPr>
                <w:noProof/>
                <w:webHidden/>
              </w:rPr>
              <w:fldChar w:fldCharType="separate"/>
            </w:r>
            <w:r w:rsidR="00A63605">
              <w:rPr>
                <w:noProof/>
                <w:webHidden/>
              </w:rPr>
              <w:t>69</w:t>
            </w:r>
            <w:r w:rsidR="00DD36E2">
              <w:rPr>
                <w:noProof/>
                <w:webHidden/>
              </w:rPr>
              <w:fldChar w:fldCharType="end"/>
            </w:r>
          </w:hyperlink>
        </w:p>
        <w:p w:rsidR="00DD36E2" w:rsidRDefault="002F39CB" w14:paraId="67212936" w14:textId="7D63C1F4">
          <w:pPr>
            <w:pStyle w:val="Innehll2"/>
            <w:tabs>
              <w:tab w:val="right" w:leader="dot" w:pos="8494"/>
            </w:tabs>
            <w:rPr>
              <w:rFonts w:eastAsiaTheme="minorEastAsia"/>
              <w:noProof/>
              <w:kern w:val="0"/>
              <w:sz w:val="22"/>
              <w:szCs w:val="22"/>
              <w:lang w:eastAsia="sv-SE"/>
              <w14:numSpacing w14:val="default"/>
            </w:rPr>
          </w:pPr>
          <w:hyperlink w:history="1" w:anchor="_Toc121752623">
            <w:r w:rsidRPr="000A0778" w:rsidR="00DD36E2">
              <w:rPr>
                <w:rStyle w:val="Hyperlnk"/>
                <w:noProof/>
              </w:rPr>
              <w:t>14.2 Arbetet med författningsförslag bör påbörjas omgående</w:t>
            </w:r>
            <w:r w:rsidR="00DD36E2">
              <w:rPr>
                <w:noProof/>
                <w:webHidden/>
              </w:rPr>
              <w:tab/>
            </w:r>
            <w:r w:rsidR="00DD36E2">
              <w:rPr>
                <w:noProof/>
                <w:webHidden/>
              </w:rPr>
              <w:fldChar w:fldCharType="begin"/>
            </w:r>
            <w:r w:rsidR="00DD36E2">
              <w:rPr>
                <w:noProof/>
                <w:webHidden/>
              </w:rPr>
              <w:instrText xml:space="preserve"> PAGEREF _Toc121752623 \h </w:instrText>
            </w:r>
            <w:r w:rsidR="00DD36E2">
              <w:rPr>
                <w:noProof/>
                <w:webHidden/>
              </w:rPr>
            </w:r>
            <w:r w:rsidR="00DD36E2">
              <w:rPr>
                <w:noProof/>
                <w:webHidden/>
              </w:rPr>
              <w:fldChar w:fldCharType="separate"/>
            </w:r>
            <w:r w:rsidR="00A63605">
              <w:rPr>
                <w:noProof/>
                <w:webHidden/>
              </w:rPr>
              <w:t>70</w:t>
            </w:r>
            <w:r w:rsidR="00DD36E2">
              <w:rPr>
                <w:noProof/>
                <w:webHidden/>
              </w:rPr>
              <w:fldChar w:fldCharType="end"/>
            </w:r>
          </w:hyperlink>
        </w:p>
        <w:p w:rsidR="00DD36E2" w:rsidRDefault="002F39CB" w14:paraId="7E36E86F" w14:textId="4E619FEA">
          <w:pPr>
            <w:pStyle w:val="Innehll3"/>
            <w:tabs>
              <w:tab w:val="right" w:leader="dot" w:pos="8494"/>
            </w:tabs>
            <w:rPr>
              <w:rFonts w:eastAsiaTheme="minorEastAsia"/>
              <w:noProof/>
              <w:kern w:val="0"/>
              <w:sz w:val="22"/>
              <w:szCs w:val="22"/>
              <w:lang w:eastAsia="sv-SE"/>
              <w14:numSpacing w14:val="default"/>
            </w:rPr>
          </w:pPr>
          <w:hyperlink w:history="1" w:anchor="_Toc121752624">
            <w:r w:rsidRPr="000A0778" w:rsidR="00DD36E2">
              <w:rPr>
                <w:rStyle w:val="Hyperlnk"/>
                <w:noProof/>
              </w:rPr>
              <w:t>Statens kostnader för vissa bosättningsbaserade förmåner</w:t>
            </w:r>
            <w:r w:rsidR="00DD36E2">
              <w:rPr>
                <w:noProof/>
                <w:webHidden/>
              </w:rPr>
              <w:tab/>
            </w:r>
            <w:r w:rsidR="00DD36E2">
              <w:rPr>
                <w:noProof/>
                <w:webHidden/>
              </w:rPr>
              <w:fldChar w:fldCharType="begin"/>
            </w:r>
            <w:r w:rsidR="00DD36E2">
              <w:rPr>
                <w:noProof/>
                <w:webHidden/>
              </w:rPr>
              <w:instrText xml:space="preserve"> PAGEREF _Toc121752624 \h </w:instrText>
            </w:r>
            <w:r w:rsidR="00DD36E2">
              <w:rPr>
                <w:noProof/>
                <w:webHidden/>
              </w:rPr>
            </w:r>
            <w:r w:rsidR="00DD36E2">
              <w:rPr>
                <w:noProof/>
                <w:webHidden/>
              </w:rPr>
              <w:fldChar w:fldCharType="separate"/>
            </w:r>
            <w:r w:rsidR="00A63605">
              <w:rPr>
                <w:noProof/>
                <w:webHidden/>
              </w:rPr>
              <w:t>70</w:t>
            </w:r>
            <w:r w:rsidR="00DD36E2">
              <w:rPr>
                <w:noProof/>
                <w:webHidden/>
              </w:rPr>
              <w:fldChar w:fldCharType="end"/>
            </w:r>
          </w:hyperlink>
        </w:p>
        <w:p w:rsidR="00DD36E2" w:rsidRDefault="002F39CB" w14:paraId="1B7FF924" w14:textId="50F77471">
          <w:pPr>
            <w:pStyle w:val="Innehll2"/>
            <w:tabs>
              <w:tab w:val="right" w:leader="dot" w:pos="8494"/>
            </w:tabs>
            <w:rPr>
              <w:rFonts w:eastAsiaTheme="minorEastAsia"/>
              <w:noProof/>
              <w:kern w:val="0"/>
              <w:sz w:val="22"/>
              <w:szCs w:val="22"/>
              <w:lang w:eastAsia="sv-SE"/>
              <w14:numSpacing w14:val="default"/>
            </w:rPr>
          </w:pPr>
          <w:hyperlink w:history="1" w:anchor="_Toc121752625">
            <w:r w:rsidRPr="000A0778" w:rsidR="00DD36E2">
              <w:rPr>
                <w:rStyle w:val="Hyperlnk"/>
                <w:noProof/>
              </w:rPr>
              <w:t>14.3 Konsekvenser av de föreslagna förändringarna</w:t>
            </w:r>
            <w:r w:rsidR="00DD36E2">
              <w:rPr>
                <w:noProof/>
                <w:webHidden/>
              </w:rPr>
              <w:tab/>
            </w:r>
            <w:r w:rsidR="00DD36E2">
              <w:rPr>
                <w:noProof/>
                <w:webHidden/>
              </w:rPr>
              <w:fldChar w:fldCharType="begin"/>
            </w:r>
            <w:r w:rsidR="00DD36E2">
              <w:rPr>
                <w:noProof/>
                <w:webHidden/>
              </w:rPr>
              <w:instrText xml:space="preserve"> PAGEREF _Toc121752625 \h </w:instrText>
            </w:r>
            <w:r w:rsidR="00DD36E2">
              <w:rPr>
                <w:noProof/>
                <w:webHidden/>
              </w:rPr>
            </w:r>
            <w:r w:rsidR="00DD36E2">
              <w:rPr>
                <w:noProof/>
                <w:webHidden/>
              </w:rPr>
              <w:fldChar w:fldCharType="separate"/>
            </w:r>
            <w:r w:rsidR="00A63605">
              <w:rPr>
                <w:noProof/>
                <w:webHidden/>
              </w:rPr>
              <w:t>71</w:t>
            </w:r>
            <w:r w:rsidR="00DD36E2">
              <w:rPr>
                <w:noProof/>
                <w:webHidden/>
              </w:rPr>
              <w:fldChar w:fldCharType="end"/>
            </w:r>
          </w:hyperlink>
        </w:p>
        <w:p w:rsidR="00DD36E2" w:rsidRDefault="002F39CB" w14:paraId="178595A6" w14:textId="76F9C2C8">
          <w:pPr>
            <w:pStyle w:val="Innehll3"/>
            <w:tabs>
              <w:tab w:val="right" w:leader="dot" w:pos="8494"/>
            </w:tabs>
            <w:rPr>
              <w:rFonts w:eastAsiaTheme="minorEastAsia"/>
              <w:noProof/>
              <w:kern w:val="0"/>
              <w:sz w:val="22"/>
              <w:szCs w:val="22"/>
              <w:lang w:eastAsia="sv-SE"/>
              <w14:numSpacing w14:val="default"/>
            </w:rPr>
          </w:pPr>
          <w:hyperlink w:history="1" w:anchor="_Toc121752626">
            <w:r w:rsidRPr="000A0778" w:rsidR="00DD36E2">
              <w:rPr>
                <w:rStyle w:val="Hyperlnk"/>
                <w:noProof/>
              </w:rPr>
              <w:t>Ökat antal utfärdade svenska medborgarskap</w:t>
            </w:r>
            <w:r w:rsidR="00DD36E2">
              <w:rPr>
                <w:noProof/>
                <w:webHidden/>
              </w:rPr>
              <w:tab/>
            </w:r>
            <w:r w:rsidR="00DD36E2">
              <w:rPr>
                <w:noProof/>
                <w:webHidden/>
              </w:rPr>
              <w:fldChar w:fldCharType="begin"/>
            </w:r>
            <w:r w:rsidR="00DD36E2">
              <w:rPr>
                <w:noProof/>
                <w:webHidden/>
              </w:rPr>
              <w:instrText xml:space="preserve"> PAGEREF _Toc121752626 \h </w:instrText>
            </w:r>
            <w:r w:rsidR="00DD36E2">
              <w:rPr>
                <w:noProof/>
                <w:webHidden/>
              </w:rPr>
            </w:r>
            <w:r w:rsidR="00DD36E2">
              <w:rPr>
                <w:noProof/>
                <w:webHidden/>
              </w:rPr>
              <w:fldChar w:fldCharType="separate"/>
            </w:r>
            <w:r w:rsidR="00A63605">
              <w:rPr>
                <w:noProof/>
                <w:webHidden/>
              </w:rPr>
              <w:t>71</w:t>
            </w:r>
            <w:r w:rsidR="00DD36E2">
              <w:rPr>
                <w:noProof/>
                <w:webHidden/>
              </w:rPr>
              <w:fldChar w:fldCharType="end"/>
            </w:r>
          </w:hyperlink>
        </w:p>
        <w:p w:rsidR="00DD36E2" w:rsidRDefault="002F39CB" w14:paraId="7ACAC44A" w14:textId="62D290DF">
          <w:pPr>
            <w:pStyle w:val="Innehll3"/>
            <w:tabs>
              <w:tab w:val="right" w:leader="dot" w:pos="8494"/>
            </w:tabs>
            <w:rPr>
              <w:rFonts w:eastAsiaTheme="minorEastAsia"/>
              <w:noProof/>
              <w:kern w:val="0"/>
              <w:sz w:val="22"/>
              <w:szCs w:val="22"/>
              <w:lang w:eastAsia="sv-SE"/>
              <w14:numSpacing w14:val="default"/>
            </w:rPr>
          </w:pPr>
          <w:hyperlink w:history="1" w:anchor="_Toc121752627">
            <w:r w:rsidRPr="000A0778" w:rsidR="00DD36E2">
              <w:rPr>
                <w:rStyle w:val="Hyperlnk"/>
                <w:noProof/>
              </w:rPr>
              <w:t>Ökad kostnad för kommunsektorn</w:t>
            </w:r>
            <w:r w:rsidR="00DD36E2">
              <w:rPr>
                <w:noProof/>
                <w:webHidden/>
              </w:rPr>
              <w:tab/>
            </w:r>
            <w:r w:rsidR="00DD36E2">
              <w:rPr>
                <w:noProof/>
                <w:webHidden/>
              </w:rPr>
              <w:fldChar w:fldCharType="begin"/>
            </w:r>
            <w:r w:rsidR="00DD36E2">
              <w:rPr>
                <w:noProof/>
                <w:webHidden/>
              </w:rPr>
              <w:instrText xml:space="preserve"> PAGEREF _Toc121752627 \h </w:instrText>
            </w:r>
            <w:r w:rsidR="00DD36E2">
              <w:rPr>
                <w:noProof/>
                <w:webHidden/>
              </w:rPr>
            </w:r>
            <w:r w:rsidR="00DD36E2">
              <w:rPr>
                <w:noProof/>
                <w:webHidden/>
              </w:rPr>
              <w:fldChar w:fldCharType="separate"/>
            </w:r>
            <w:r w:rsidR="00A63605">
              <w:rPr>
                <w:noProof/>
                <w:webHidden/>
              </w:rPr>
              <w:t>71</w:t>
            </w:r>
            <w:r w:rsidR="00DD36E2">
              <w:rPr>
                <w:noProof/>
                <w:webHidden/>
              </w:rPr>
              <w:fldChar w:fldCharType="end"/>
            </w:r>
          </w:hyperlink>
        </w:p>
        <w:p w:rsidR="00DD36E2" w:rsidRDefault="002F39CB" w14:paraId="4FD9338F" w14:textId="3875500B">
          <w:pPr>
            <w:pStyle w:val="Innehll3"/>
            <w:tabs>
              <w:tab w:val="right" w:leader="dot" w:pos="8494"/>
            </w:tabs>
            <w:rPr>
              <w:rFonts w:eastAsiaTheme="minorEastAsia"/>
              <w:noProof/>
              <w:kern w:val="0"/>
              <w:sz w:val="22"/>
              <w:szCs w:val="22"/>
              <w:lang w:eastAsia="sv-SE"/>
              <w14:numSpacing w14:val="default"/>
            </w:rPr>
          </w:pPr>
          <w:hyperlink w:history="1" w:anchor="_Toc121752628">
            <w:r w:rsidRPr="000A0778" w:rsidR="00DD36E2">
              <w:rPr>
                <w:rStyle w:val="Hyperlnk"/>
                <w:noProof/>
              </w:rPr>
              <w:t>Minskad invandring</w:t>
            </w:r>
            <w:r w:rsidR="00DD36E2">
              <w:rPr>
                <w:noProof/>
                <w:webHidden/>
              </w:rPr>
              <w:tab/>
            </w:r>
            <w:r w:rsidR="00DD36E2">
              <w:rPr>
                <w:noProof/>
                <w:webHidden/>
              </w:rPr>
              <w:fldChar w:fldCharType="begin"/>
            </w:r>
            <w:r w:rsidR="00DD36E2">
              <w:rPr>
                <w:noProof/>
                <w:webHidden/>
              </w:rPr>
              <w:instrText xml:space="preserve"> PAGEREF _Toc121752628 \h </w:instrText>
            </w:r>
            <w:r w:rsidR="00DD36E2">
              <w:rPr>
                <w:noProof/>
                <w:webHidden/>
              </w:rPr>
            </w:r>
            <w:r w:rsidR="00DD36E2">
              <w:rPr>
                <w:noProof/>
                <w:webHidden/>
              </w:rPr>
              <w:fldChar w:fldCharType="separate"/>
            </w:r>
            <w:r w:rsidR="00A63605">
              <w:rPr>
                <w:noProof/>
                <w:webHidden/>
              </w:rPr>
              <w:t>72</w:t>
            </w:r>
            <w:r w:rsidR="00DD36E2">
              <w:rPr>
                <w:noProof/>
                <w:webHidden/>
              </w:rPr>
              <w:fldChar w:fldCharType="end"/>
            </w:r>
          </w:hyperlink>
        </w:p>
        <w:p w:rsidR="00DD36E2" w:rsidRDefault="002F39CB" w14:paraId="5A9BC559" w14:textId="669F4ED9">
          <w:pPr>
            <w:pStyle w:val="Innehll3"/>
            <w:tabs>
              <w:tab w:val="right" w:leader="dot" w:pos="8494"/>
            </w:tabs>
            <w:rPr>
              <w:rFonts w:eastAsiaTheme="minorEastAsia"/>
              <w:noProof/>
              <w:kern w:val="0"/>
              <w:sz w:val="22"/>
              <w:szCs w:val="22"/>
              <w:lang w:eastAsia="sv-SE"/>
              <w14:numSpacing w14:val="default"/>
            </w:rPr>
          </w:pPr>
          <w:hyperlink w:history="1" w:anchor="_Toc121752629">
            <w:r w:rsidRPr="000A0778" w:rsidR="00DD36E2">
              <w:rPr>
                <w:rStyle w:val="Hyperlnk"/>
                <w:noProof/>
              </w:rPr>
              <w:t>Sysselsättningseffekter</w:t>
            </w:r>
            <w:r w:rsidR="00DD36E2">
              <w:rPr>
                <w:noProof/>
                <w:webHidden/>
              </w:rPr>
              <w:tab/>
            </w:r>
            <w:r w:rsidR="00DD36E2">
              <w:rPr>
                <w:noProof/>
                <w:webHidden/>
              </w:rPr>
              <w:fldChar w:fldCharType="begin"/>
            </w:r>
            <w:r w:rsidR="00DD36E2">
              <w:rPr>
                <w:noProof/>
                <w:webHidden/>
              </w:rPr>
              <w:instrText xml:space="preserve"> PAGEREF _Toc121752629 \h </w:instrText>
            </w:r>
            <w:r w:rsidR="00DD36E2">
              <w:rPr>
                <w:noProof/>
                <w:webHidden/>
              </w:rPr>
            </w:r>
            <w:r w:rsidR="00DD36E2">
              <w:rPr>
                <w:noProof/>
                <w:webHidden/>
              </w:rPr>
              <w:fldChar w:fldCharType="separate"/>
            </w:r>
            <w:r w:rsidR="00A63605">
              <w:rPr>
                <w:noProof/>
                <w:webHidden/>
              </w:rPr>
              <w:t>72</w:t>
            </w:r>
            <w:r w:rsidR="00DD36E2">
              <w:rPr>
                <w:noProof/>
                <w:webHidden/>
              </w:rPr>
              <w:fldChar w:fldCharType="end"/>
            </w:r>
          </w:hyperlink>
        </w:p>
        <w:p w:rsidR="00DD36E2" w:rsidRDefault="002F39CB" w14:paraId="24EEBD5A" w14:textId="0AC937A7">
          <w:pPr>
            <w:pStyle w:val="Innehll1"/>
            <w:tabs>
              <w:tab w:val="right" w:leader="dot" w:pos="8494"/>
            </w:tabs>
            <w:rPr>
              <w:rFonts w:eastAsiaTheme="minorEastAsia"/>
              <w:noProof/>
              <w:kern w:val="0"/>
              <w:sz w:val="22"/>
              <w:szCs w:val="22"/>
              <w:lang w:eastAsia="sv-SE"/>
              <w14:numSpacing w14:val="default"/>
            </w:rPr>
          </w:pPr>
          <w:hyperlink w:history="1" w:anchor="_Toc121752630">
            <w:r w:rsidRPr="000A0778" w:rsidR="00DD36E2">
              <w:rPr>
                <w:rStyle w:val="Hyperlnk"/>
                <w:noProof/>
              </w:rPr>
              <w:t>15 Internationellt bistånd</w:t>
            </w:r>
            <w:r w:rsidR="00DD36E2">
              <w:rPr>
                <w:noProof/>
                <w:webHidden/>
              </w:rPr>
              <w:tab/>
            </w:r>
            <w:r w:rsidR="00DD36E2">
              <w:rPr>
                <w:noProof/>
                <w:webHidden/>
              </w:rPr>
              <w:fldChar w:fldCharType="begin"/>
            </w:r>
            <w:r w:rsidR="00DD36E2">
              <w:rPr>
                <w:noProof/>
                <w:webHidden/>
              </w:rPr>
              <w:instrText xml:space="preserve"> PAGEREF _Toc121752630 \h </w:instrText>
            </w:r>
            <w:r w:rsidR="00DD36E2">
              <w:rPr>
                <w:noProof/>
                <w:webHidden/>
              </w:rPr>
            </w:r>
            <w:r w:rsidR="00DD36E2">
              <w:rPr>
                <w:noProof/>
                <w:webHidden/>
              </w:rPr>
              <w:fldChar w:fldCharType="separate"/>
            </w:r>
            <w:r w:rsidR="00A63605">
              <w:rPr>
                <w:noProof/>
                <w:webHidden/>
              </w:rPr>
              <w:t>73</w:t>
            </w:r>
            <w:r w:rsidR="00DD36E2">
              <w:rPr>
                <w:noProof/>
                <w:webHidden/>
              </w:rPr>
              <w:fldChar w:fldCharType="end"/>
            </w:r>
          </w:hyperlink>
        </w:p>
        <w:p w:rsidR="00DD36E2" w:rsidRDefault="002F39CB" w14:paraId="75E2ED40" w14:textId="20678D79">
          <w:pPr>
            <w:pStyle w:val="Innehll2"/>
            <w:tabs>
              <w:tab w:val="right" w:leader="dot" w:pos="8494"/>
            </w:tabs>
            <w:rPr>
              <w:rFonts w:eastAsiaTheme="minorEastAsia"/>
              <w:noProof/>
              <w:kern w:val="0"/>
              <w:sz w:val="22"/>
              <w:szCs w:val="22"/>
              <w:lang w:eastAsia="sv-SE"/>
              <w14:numSpacing w14:val="default"/>
            </w:rPr>
          </w:pPr>
          <w:hyperlink w:history="1" w:anchor="_Toc121752631">
            <w:r w:rsidRPr="000A0778" w:rsidR="00DD36E2">
              <w:rPr>
                <w:rStyle w:val="Hyperlnk"/>
                <w:noProof/>
              </w:rPr>
              <w:t>15.1 En snävare biståndsram</w:t>
            </w:r>
            <w:r w:rsidR="00DD36E2">
              <w:rPr>
                <w:noProof/>
                <w:webHidden/>
              </w:rPr>
              <w:tab/>
            </w:r>
            <w:r w:rsidR="00DD36E2">
              <w:rPr>
                <w:noProof/>
                <w:webHidden/>
              </w:rPr>
              <w:fldChar w:fldCharType="begin"/>
            </w:r>
            <w:r w:rsidR="00DD36E2">
              <w:rPr>
                <w:noProof/>
                <w:webHidden/>
              </w:rPr>
              <w:instrText xml:space="preserve"> PAGEREF _Toc121752631 \h </w:instrText>
            </w:r>
            <w:r w:rsidR="00DD36E2">
              <w:rPr>
                <w:noProof/>
                <w:webHidden/>
              </w:rPr>
            </w:r>
            <w:r w:rsidR="00DD36E2">
              <w:rPr>
                <w:noProof/>
                <w:webHidden/>
              </w:rPr>
              <w:fldChar w:fldCharType="separate"/>
            </w:r>
            <w:r w:rsidR="00A63605">
              <w:rPr>
                <w:noProof/>
                <w:webHidden/>
              </w:rPr>
              <w:t>74</w:t>
            </w:r>
            <w:r w:rsidR="00DD36E2">
              <w:rPr>
                <w:noProof/>
                <w:webHidden/>
              </w:rPr>
              <w:fldChar w:fldCharType="end"/>
            </w:r>
          </w:hyperlink>
        </w:p>
        <w:p w:rsidR="00DD36E2" w:rsidRDefault="002F39CB" w14:paraId="1DB49C00" w14:textId="37E8CBB7">
          <w:pPr>
            <w:pStyle w:val="Innehll1"/>
            <w:tabs>
              <w:tab w:val="right" w:leader="dot" w:pos="8494"/>
            </w:tabs>
            <w:rPr>
              <w:rFonts w:eastAsiaTheme="minorEastAsia"/>
              <w:noProof/>
              <w:kern w:val="0"/>
              <w:sz w:val="22"/>
              <w:szCs w:val="22"/>
              <w:lang w:eastAsia="sv-SE"/>
              <w14:numSpacing w14:val="default"/>
            </w:rPr>
          </w:pPr>
          <w:hyperlink w:history="1" w:anchor="_Toc121752632">
            <w:r w:rsidRPr="000A0778" w:rsidR="00DD36E2">
              <w:rPr>
                <w:rStyle w:val="Hyperlnk"/>
                <w:noProof/>
              </w:rPr>
              <w:t>16 Kultur och media</w:t>
            </w:r>
            <w:r w:rsidR="00DD36E2">
              <w:rPr>
                <w:noProof/>
                <w:webHidden/>
              </w:rPr>
              <w:tab/>
            </w:r>
            <w:r w:rsidR="00DD36E2">
              <w:rPr>
                <w:noProof/>
                <w:webHidden/>
              </w:rPr>
              <w:fldChar w:fldCharType="begin"/>
            </w:r>
            <w:r w:rsidR="00DD36E2">
              <w:rPr>
                <w:noProof/>
                <w:webHidden/>
              </w:rPr>
              <w:instrText xml:space="preserve"> PAGEREF _Toc121752632 \h </w:instrText>
            </w:r>
            <w:r w:rsidR="00DD36E2">
              <w:rPr>
                <w:noProof/>
                <w:webHidden/>
              </w:rPr>
            </w:r>
            <w:r w:rsidR="00DD36E2">
              <w:rPr>
                <w:noProof/>
                <w:webHidden/>
              </w:rPr>
              <w:fldChar w:fldCharType="separate"/>
            </w:r>
            <w:r w:rsidR="00A63605">
              <w:rPr>
                <w:noProof/>
                <w:webHidden/>
              </w:rPr>
              <w:t>76</w:t>
            </w:r>
            <w:r w:rsidR="00DD36E2">
              <w:rPr>
                <w:noProof/>
                <w:webHidden/>
              </w:rPr>
              <w:fldChar w:fldCharType="end"/>
            </w:r>
          </w:hyperlink>
        </w:p>
        <w:p w:rsidR="00DD36E2" w:rsidRDefault="002F39CB" w14:paraId="34D16745" w14:textId="508EF8B8">
          <w:pPr>
            <w:pStyle w:val="Innehll2"/>
            <w:tabs>
              <w:tab w:val="right" w:leader="dot" w:pos="8494"/>
            </w:tabs>
            <w:rPr>
              <w:rFonts w:eastAsiaTheme="minorEastAsia"/>
              <w:noProof/>
              <w:kern w:val="0"/>
              <w:sz w:val="22"/>
              <w:szCs w:val="22"/>
              <w:lang w:eastAsia="sv-SE"/>
              <w14:numSpacing w14:val="default"/>
            </w:rPr>
          </w:pPr>
          <w:hyperlink w:history="1" w:anchor="_Toc121752633">
            <w:r w:rsidRPr="000A0778" w:rsidR="00DD36E2">
              <w:rPr>
                <w:rStyle w:val="Hyperlnk"/>
                <w:noProof/>
              </w:rPr>
              <w:t>16.1 Värna kulturarvet</w:t>
            </w:r>
            <w:r w:rsidR="00DD36E2">
              <w:rPr>
                <w:noProof/>
                <w:webHidden/>
              </w:rPr>
              <w:tab/>
            </w:r>
            <w:r w:rsidR="00DD36E2">
              <w:rPr>
                <w:noProof/>
                <w:webHidden/>
              </w:rPr>
              <w:fldChar w:fldCharType="begin"/>
            </w:r>
            <w:r w:rsidR="00DD36E2">
              <w:rPr>
                <w:noProof/>
                <w:webHidden/>
              </w:rPr>
              <w:instrText xml:space="preserve"> PAGEREF _Toc121752633 \h </w:instrText>
            </w:r>
            <w:r w:rsidR="00DD36E2">
              <w:rPr>
                <w:noProof/>
                <w:webHidden/>
              </w:rPr>
            </w:r>
            <w:r w:rsidR="00DD36E2">
              <w:rPr>
                <w:noProof/>
                <w:webHidden/>
              </w:rPr>
              <w:fldChar w:fldCharType="separate"/>
            </w:r>
            <w:r w:rsidR="00A63605">
              <w:rPr>
                <w:noProof/>
                <w:webHidden/>
              </w:rPr>
              <w:t>77</w:t>
            </w:r>
            <w:r w:rsidR="00DD36E2">
              <w:rPr>
                <w:noProof/>
                <w:webHidden/>
              </w:rPr>
              <w:fldChar w:fldCharType="end"/>
            </w:r>
          </w:hyperlink>
        </w:p>
        <w:p w:rsidR="00DD36E2" w:rsidRDefault="002F39CB" w14:paraId="60738F8A" w14:textId="6A0A9602">
          <w:pPr>
            <w:pStyle w:val="Innehll2"/>
            <w:tabs>
              <w:tab w:val="right" w:leader="dot" w:pos="8494"/>
            </w:tabs>
            <w:rPr>
              <w:rFonts w:eastAsiaTheme="minorEastAsia"/>
              <w:noProof/>
              <w:kern w:val="0"/>
              <w:sz w:val="22"/>
              <w:szCs w:val="22"/>
              <w:lang w:eastAsia="sv-SE"/>
              <w14:numSpacing w14:val="default"/>
            </w:rPr>
          </w:pPr>
          <w:hyperlink w:history="1" w:anchor="_Toc121752634">
            <w:r w:rsidRPr="000A0778" w:rsidR="00DD36E2">
              <w:rPr>
                <w:rStyle w:val="Hyperlnk"/>
                <w:noProof/>
              </w:rPr>
              <w:t>16.2 Kulturlotsar och Sverigecenter</w:t>
            </w:r>
            <w:r w:rsidR="00DD36E2">
              <w:rPr>
                <w:noProof/>
                <w:webHidden/>
              </w:rPr>
              <w:tab/>
            </w:r>
            <w:r w:rsidR="00DD36E2">
              <w:rPr>
                <w:noProof/>
                <w:webHidden/>
              </w:rPr>
              <w:fldChar w:fldCharType="begin"/>
            </w:r>
            <w:r w:rsidR="00DD36E2">
              <w:rPr>
                <w:noProof/>
                <w:webHidden/>
              </w:rPr>
              <w:instrText xml:space="preserve"> PAGEREF _Toc121752634 \h </w:instrText>
            </w:r>
            <w:r w:rsidR="00DD36E2">
              <w:rPr>
                <w:noProof/>
                <w:webHidden/>
              </w:rPr>
            </w:r>
            <w:r w:rsidR="00DD36E2">
              <w:rPr>
                <w:noProof/>
                <w:webHidden/>
              </w:rPr>
              <w:fldChar w:fldCharType="separate"/>
            </w:r>
            <w:r w:rsidR="00A63605">
              <w:rPr>
                <w:noProof/>
                <w:webHidden/>
              </w:rPr>
              <w:t>77</w:t>
            </w:r>
            <w:r w:rsidR="00DD36E2">
              <w:rPr>
                <w:noProof/>
                <w:webHidden/>
              </w:rPr>
              <w:fldChar w:fldCharType="end"/>
            </w:r>
          </w:hyperlink>
        </w:p>
        <w:p w:rsidR="00DD36E2" w:rsidRDefault="002F39CB" w14:paraId="4C569A4B" w14:textId="4D04C65B">
          <w:pPr>
            <w:pStyle w:val="Innehll2"/>
            <w:tabs>
              <w:tab w:val="right" w:leader="dot" w:pos="8494"/>
            </w:tabs>
            <w:rPr>
              <w:rFonts w:eastAsiaTheme="minorEastAsia"/>
              <w:noProof/>
              <w:kern w:val="0"/>
              <w:sz w:val="22"/>
              <w:szCs w:val="22"/>
              <w:lang w:eastAsia="sv-SE"/>
              <w14:numSpacing w14:val="default"/>
            </w:rPr>
          </w:pPr>
          <w:hyperlink w:history="1" w:anchor="_Toc121752635">
            <w:r w:rsidRPr="000A0778" w:rsidR="00DD36E2">
              <w:rPr>
                <w:rStyle w:val="Hyperlnk"/>
                <w:noProof/>
              </w:rPr>
              <w:t>16.3 Bibliotekssatsning</w:t>
            </w:r>
            <w:r w:rsidR="00DD36E2">
              <w:rPr>
                <w:noProof/>
                <w:webHidden/>
              </w:rPr>
              <w:tab/>
            </w:r>
            <w:r w:rsidR="00DD36E2">
              <w:rPr>
                <w:noProof/>
                <w:webHidden/>
              </w:rPr>
              <w:fldChar w:fldCharType="begin"/>
            </w:r>
            <w:r w:rsidR="00DD36E2">
              <w:rPr>
                <w:noProof/>
                <w:webHidden/>
              </w:rPr>
              <w:instrText xml:space="preserve"> PAGEREF _Toc121752635 \h </w:instrText>
            </w:r>
            <w:r w:rsidR="00DD36E2">
              <w:rPr>
                <w:noProof/>
                <w:webHidden/>
              </w:rPr>
            </w:r>
            <w:r w:rsidR="00DD36E2">
              <w:rPr>
                <w:noProof/>
                <w:webHidden/>
              </w:rPr>
              <w:fldChar w:fldCharType="separate"/>
            </w:r>
            <w:r w:rsidR="00A63605">
              <w:rPr>
                <w:noProof/>
                <w:webHidden/>
              </w:rPr>
              <w:t>78</w:t>
            </w:r>
            <w:r w:rsidR="00DD36E2">
              <w:rPr>
                <w:noProof/>
                <w:webHidden/>
              </w:rPr>
              <w:fldChar w:fldCharType="end"/>
            </w:r>
          </w:hyperlink>
        </w:p>
        <w:p w:rsidR="00DD36E2" w:rsidRDefault="002F39CB" w14:paraId="3169FE12" w14:textId="17FE6D8A">
          <w:pPr>
            <w:pStyle w:val="Innehll2"/>
            <w:tabs>
              <w:tab w:val="right" w:leader="dot" w:pos="8494"/>
            </w:tabs>
            <w:rPr>
              <w:rFonts w:eastAsiaTheme="minorEastAsia"/>
              <w:noProof/>
              <w:kern w:val="0"/>
              <w:sz w:val="22"/>
              <w:szCs w:val="22"/>
              <w:lang w:eastAsia="sv-SE"/>
              <w14:numSpacing w14:val="default"/>
            </w:rPr>
          </w:pPr>
          <w:hyperlink w:history="1" w:anchor="_Toc121752636">
            <w:r w:rsidRPr="000A0778" w:rsidR="00DD36E2">
              <w:rPr>
                <w:rStyle w:val="Hyperlnk"/>
                <w:noProof/>
              </w:rPr>
              <w:t>16.4 Skansen</w:t>
            </w:r>
            <w:r w:rsidR="00DD36E2">
              <w:rPr>
                <w:noProof/>
                <w:webHidden/>
              </w:rPr>
              <w:tab/>
            </w:r>
            <w:r w:rsidR="00DD36E2">
              <w:rPr>
                <w:noProof/>
                <w:webHidden/>
              </w:rPr>
              <w:fldChar w:fldCharType="begin"/>
            </w:r>
            <w:r w:rsidR="00DD36E2">
              <w:rPr>
                <w:noProof/>
                <w:webHidden/>
              </w:rPr>
              <w:instrText xml:space="preserve"> PAGEREF _Toc121752636 \h </w:instrText>
            </w:r>
            <w:r w:rsidR="00DD36E2">
              <w:rPr>
                <w:noProof/>
                <w:webHidden/>
              </w:rPr>
            </w:r>
            <w:r w:rsidR="00DD36E2">
              <w:rPr>
                <w:noProof/>
                <w:webHidden/>
              </w:rPr>
              <w:fldChar w:fldCharType="separate"/>
            </w:r>
            <w:r w:rsidR="00A63605">
              <w:rPr>
                <w:noProof/>
                <w:webHidden/>
              </w:rPr>
              <w:t>78</w:t>
            </w:r>
            <w:r w:rsidR="00DD36E2">
              <w:rPr>
                <w:noProof/>
                <w:webHidden/>
              </w:rPr>
              <w:fldChar w:fldCharType="end"/>
            </w:r>
          </w:hyperlink>
        </w:p>
        <w:p w:rsidR="00DD36E2" w:rsidRDefault="002F39CB" w14:paraId="4A44D5AD" w14:textId="17AEDCB7">
          <w:pPr>
            <w:pStyle w:val="Innehll2"/>
            <w:tabs>
              <w:tab w:val="right" w:leader="dot" w:pos="8494"/>
            </w:tabs>
            <w:rPr>
              <w:rFonts w:eastAsiaTheme="minorEastAsia"/>
              <w:noProof/>
              <w:kern w:val="0"/>
              <w:sz w:val="22"/>
              <w:szCs w:val="22"/>
              <w:lang w:eastAsia="sv-SE"/>
              <w14:numSpacing w14:val="default"/>
            </w:rPr>
          </w:pPr>
          <w:hyperlink w:history="1" w:anchor="_Toc121752637">
            <w:r w:rsidRPr="000A0778" w:rsidR="00DD36E2">
              <w:rPr>
                <w:rStyle w:val="Hyperlnk"/>
                <w:noProof/>
              </w:rPr>
              <w:t>16.5 Folkhälsolyft</w:t>
            </w:r>
            <w:r w:rsidR="00DD36E2">
              <w:rPr>
                <w:noProof/>
                <w:webHidden/>
              </w:rPr>
              <w:tab/>
            </w:r>
            <w:r w:rsidR="00DD36E2">
              <w:rPr>
                <w:noProof/>
                <w:webHidden/>
              </w:rPr>
              <w:fldChar w:fldCharType="begin"/>
            </w:r>
            <w:r w:rsidR="00DD36E2">
              <w:rPr>
                <w:noProof/>
                <w:webHidden/>
              </w:rPr>
              <w:instrText xml:space="preserve"> PAGEREF _Toc121752637 \h </w:instrText>
            </w:r>
            <w:r w:rsidR="00DD36E2">
              <w:rPr>
                <w:noProof/>
                <w:webHidden/>
              </w:rPr>
            </w:r>
            <w:r w:rsidR="00DD36E2">
              <w:rPr>
                <w:noProof/>
                <w:webHidden/>
              </w:rPr>
              <w:fldChar w:fldCharType="separate"/>
            </w:r>
            <w:r w:rsidR="00A63605">
              <w:rPr>
                <w:noProof/>
                <w:webHidden/>
              </w:rPr>
              <w:t>78</w:t>
            </w:r>
            <w:r w:rsidR="00DD36E2">
              <w:rPr>
                <w:noProof/>
                <w:webHidden/>
              </w:rPr>
              <w:fldChar w:fldCharType="end"/>
            </w:r>
          </w:hyperlink>
        </w:p>
        <w:p w:rsidR="00DD36E2" w:rsidRDefault="002F39CB" w14:paraId="4DC61F38" w14:textId="2B516ACE">
          <w:pPr>
            <w:pStyle w:val="Innehll2"/>
            <w:tabs>
              <w:tab w:val="right" w:leader="dot" w:pos="8494"/>
            </w:tabs>
            <w:rPr>
              <w:rFonts w:eastAsiaTheme="minorEastAsia"/>
              <w:noProof/>
              <w:kern w:val="0"/>
              <w:sz w:val="22"/>
              <w:szCs w:val="22"/>
              <w:lang w:eastAsia="sv-SE"/>
              <w14:numSpacing w14:val="default"/>
            </w:rPr>
          </w:pPr>
          <w:hyperlink w:history="1" w:anchor="_Toc121752638">
            <w:r w:rsidRPr="000A0778" w:rsidR="00DD36E2">
              <w:rPr>
                <w:rStyle w:val="Hyperlnk"/>
                <w:noProof/>
              </w:rPr>
              <w:t>16.6 Estetisk hållbarhet</w:t>
            </w:r>
            <w:r w:rsidR="00DD36E2">
              <w:rPr>
                <w:noProof/>
                <w:webHidden/>
              </w:rPr>
              <w:tab/>
            </w:r>
            <w:r w:rsidR="00DD36E2">
              <w:rPr>
                <w:noProof/>
                <w:webHidden/>
              </w:rPr>
              <w:fldChar w:fldCharType="begin"/>
            </w:r>
            <w:r w:rsidR="00DD36E2">
              <w:rPr>
                <w:noProof/>
                <w:webHidden/>
              </w:rPr>
              <w:instrText xml:space="preserve"> PAGEREF _Toc121752638 \h </w:instrText>
            </w:r>
            <w:r w:rsidR="00DD36E2">
              <w:rPr>
                <w:noProof/>
                <w:webHidden/>
              </w:rPr>
            </w:r>
            <w:r w:rsidR="00DD36E2">
              <w:rPr>
                <w:noProof/>
                <w:webHidden/>
              </w:rPr>
              <w:fldChar w:fldCharType="separate"/>
            </w:r>
            <w:r w:rsidR="00A63605">
              <w:rPr>
                <w:noProof/>
                <w:webHidden/>
              </w:rPr>
              <w:t>79</w:t>
            </w:r>
            <w:r w:rsidR="00DD36E2">
              <w:rPr>
                <w:noProof/>
                <w:webHidden/>
              </w:rPr>
              <w:fldChar w:fldCharType="end"/>
            </w:r>
          </w:hyperlink>
        </w:p>
        <w:p w:rsidR="00DD36E2" w:rsidRDefault="002F39CB" w14:paraId="44A88B39" w14:textId="6A0D728B">
          <w:pPr>
            <w:pStyle w:val="Innehll2"/>
            <w:tabs>
              <w:tab w:val="right" w:leader="dot" w:pos="8494"/>
            </w:tabs>
            <w:rPr>
              <w:rFonts w:eastAsiaTheme="minorEastAsia"/>
              <w:noProof/>
              <w:kern w:val="0"/>
              <w:sz w:val="22"/>
              <w:szCs w:val="22"/>
              <w:lang w:eastAsia="sv-SE"/>
              <w14:numSpacing w14:val="default"/>
            </w:rPr>
          </w:pPr>
          <w:hyperlink w:history="1" w:anchor="_Toc121752639">
            <w:r w:rsidRPr="000A0778" w:rsidR="00DD36E2">
              <w:rPr>
                <w:rStyle w:val="Hyperlnk"/>
                <w:noProof/>
              </w:rPr>
              <w:t>16.7 Mediestöd</w:t>
            </w:r>
            <w:r w:rsidR="00DD36E2">
              <w:rPr>
                <w:noProof/>
                <w:webHidden/>
              </w:rPr>
              <w:tab/>
            </w:r>
            <w:r w:rsidR="00DD36E2">
              <w:rPr>
                <w:noProof/>
                <w:webHidden/>
              </w:rPr>
              <w:fldChar w:fldCharType="begin"/>
            </w:r>
            <w:r w:rsidR="00DD36E2">
              <w:rPr>
                <w:noProof/>
                <w:webHidden/>
              </w:rPr>
              <w:instrText xml:space="preserve"> PAGEREF _Toc121752639 \h </w:instrText>
            </w:r>
            <w:r w:rsidR="00DD36E2">
              <w:rPr>
                <w:noProof/>
                <w:webHidden/>
              </w:rPr>
            </w:r>
            <w:r w:rsidR="00DD36E2">
              <w:rPr>
                <w:noProof/>
                <w:webHidden/>
              </w:rPr>
              <w:fldChar w:fldCharType="separate"/>
            </w:r>
            <w:r w:rsidR="00A63605">
              <w:rPr>
                <w:noProof/>
                <w:webHidden/>
              </w:rPr>
              <w:t>79</w:t>
            </w:r>
            <w:r w:rsidR="00DD36E2">
              <w:rPr>
                <w:noProof/>
                <w:webHidden/>
              </w:rPr>
              <w:fldChar w:fldCharType="end"/>
            </w:r>
          </w:hyperlink>
        </w:p>
        <w:p w:rsidR="00DD36E2" w:rsidRDefault="002F39CB" w14:paraId="10F1E86B" w14:textId="0E9ECF07">
          <w:pPr>
            <w:pStyle w:val="Innehll1"/>
            <w:tabs>
              <w:tab w:val="right" w:leader="dot" w:pos="8494"/>
            </w:tabs>
            <w:rPr>
              <w:rFonts w:eastAsiaTheme="minorEastAsia"/>
              <w:noProof/>
              <w:kern w:val="0"/>
              <w:sz w:val="22"/>
              <w:szCs w:val="22"/>
              <w:lang w:eastAsia="sv-SE"/>
              <w14:numSpacing w14:val="default"/>
            </w:rPr>
          </w:pPr>
          <w:hyperlink w:history="1" w:anchor="_Toc121752640">
            <w:r w:rsidRPr="000A0778" w:rsidR="00DD36E2">
              <w:rPr>
                <w:rStyle w:val="Hyperlnk"/>
                <w:noProof/>
              </w:rPr>
              <w:t>17 Hela landet ska leva</w:t>
            </w:r>
            <w:r w:rsidR="00DD36E2">
              <w:rPr>
                <w:noProof/>
                <w:webHidden/>
              </w:rPr>
              <w:tab/>
            </w:r>
            <w:r w:rsidR="00DD36E2">
              <w:rPr>
                <w:noProof/>
                <w:webHidden/>
              </w:rPr>
              <w:fldChar w:fldCharType="begin"/>
            </w:r>
            <w:r w:rsidR="00DD36E2">
              <w:rPr>
                <w:noProof/>
                <w:webHidden/>
              </w:rPr>
              <w:instrText xml:space="preserve"> PAGEREF _Toc121752640 \h </w:instrText>
            </w:r>
            <w:r w:rsidR="00DD36E2">
              <w:rPr>
                <w:noProof/>
                <w:webHidden/>
              </w:rPr>
            </w:r>
            <w:r w:rsidR="00DD36E2">
              <w:rPr>
                <w:noProof/>
                <w:webHidden/>
              </w:rPr>
              <w:fldChar w:fldCharType="separate"/>
            </w:r>
            <w:r w:rsidR="00A63605">
              <w:rPr>
                <w:noProof/>
                <w:webHidden/>
              </w:rPr>
              <w:t>81</w:t>
            </w:r>
            <w:r w:rsidR="00DD36E2">
              <w:rPr>
                <w:noProof/>
                <w:webHidden/>
              </w:rPr>
              <w:fldChar w:fldCharType="end"/>
            </w:r>
          </w:hyperlink>
        </w:p>
        <w:p w:rsidR="00DD36E2" w:rsidRDefault="002F39CB" w14:paraId="2B6E1B20" w14:textId="6BBC1AF1">
          <w:pPr>
            <w:pStyle w:val="Innehll2"/>
            <w:tabs>
              <w:tab w:val="right" w:leader="dot" w:pos="8494"/>
            </w:tabs>
            <w:rPr>
              <w:rFonts w:eastAsiaTheme="minorEastAsia"/>
              <w:noProof/>
              <w:kern w:val="0"/>
              <w:sz w:val="22"/>
              <w:szCs w:val="22"/>
              <w:lang w:eastAsia="sv-SE"/>
              <w14:numSpacing w14:val="default"/>
            </w:rPr>
          </w:pPr>
          <w:hyperlink w:history="1" w:anchor="_Toc121752641">
            <w:r w:rsidRPr="000A0778" w:rsidR="00DD36E2">
              <w:rPr>
                <w:rStyle w:val="Hyperlnk"/>
                <w:noProof/>
              </w:rPr>
              <w:t>17.1 Satsning på areella näringar</w:t>
            </w:r>
            <w:r w:rsidR="00DD36E2">
              <w:rPr>
                <w:noProof/>
                <w:webHidden/>
              </w:rPr>
              <w:tab/>
            </w:r>
            <w:r w:rsidR="00DD36E2">
              <w:rPr>
                <w:noProof/>
                <w:webHidden/>
              </w:rPr>
              <w:fldChar w:fldCharType="begin"/>
            </w:r>
            <w:r w:rsidR="00DD36E2">
              <w:rPr>
                <w:noProof/>
                <w:webHidden/>
              </w:rPr>
              <w:instrText xml:space="preserve"> PAGEREF _Toc121752641 \h </w:instrText>
            </w:r>
            <w:r w:rsidR="00DD36E2">
              <w:rPr>
                <w:noProof/>
                <w:webHidden/>
              </w:rPr>
            </w:r>
            <w:r w:rsidR="00DD36E2">
              <w:rPr>
                <w:noProof/>
                <w:webHidden/>
              </w:rPr>
              <w:fldChar w:fldCharType="separate"/>
            </w:r>
            <w:r w:rsidR="00A63605">
              <w:rPr>
                <w:noProof/>
                <w:webHidden/>
              </w:rPr>
              <w:t>81</w:t>
            </w:r>
            <w:r w:rsidR="00DD36E2">
              <w:rPr>
                <w:noProof/>
                <w:webHidden/>
              </w:rPr>
              <w:fldChar w:fldCharType="end"/>
            </w:r>
          </w:hyperlink>
        </w:p>
        <w:p w:rsidR="00DD36E2" w:rsidRDefault="002F39CB" w14:paraId="3A1374B1" w14:textId="1EAF88C2">
          <w:pPr>
            <w:pStyle w:val="Innehll2"/>
            <w:tabs>
              <w:tab w:val="right" w:leader="dot" w:pos="8494"/>
            </w:tabs>
            <w:rPr>
              <w:rFonts w:eastAsiaTheme="minorEastAsia"/>
              <w:noProof/>
              <w:kern w:val="0"/>
              <w:sz w:val="22"/>
              <w:szCs w:val="22"/>
              <w:lang w:eastAsia="sv-SE"/>
              <w14:numSpacing w14:val="default"/>
            </w:rPr>
          </w:pPr>
          <w:hyperlink w:history="1" w:anchor="_Toc121752642">
            <w:r w:rsidRPr="000A0778" w:rsidR="00DD36E2">
              <w:rPr>
                <w:rStyle w:val="Hyperlnk"/>
                <w:noProof/>
              </w:rPr>
              <w:t>17.2 Prioritera svenskt jordbruk</w:t>
            </w:r>
            <w:r w:rsidR="00DD36E2">
              <w:rPr>
                <w:noProof/>
                <w:webHidden/>
              </w:rPr>
              <w:tab/>
            </w:r>
            <w:r w:rsidR="00DD36E2">
              <w:rPr>
                <w:noProof/>
                <w:webHidden/>
              </w:rPr>
              <w:fldChar w:fldCharType="begin"/>
            </w:r>
            <w:r w:rsidR="00DD36E2">
              <w:rPr>
                <w:noProof/>
                <w:webHidden/>
              </w:rPr>
              <w:instrText xml:space="preserve"> PAGEREF _Toc121752642 \h </w:instrText>
            </w:r>
            <w:r w:rsidR="00DD36E2">
              <w:rPr>
                <w:noProof/>
                <w:webHidden/>
              </w:rPr>
            </w:r>
            <w:r w:rsidR="00DD36E2">
              <w:rPr>
                <w:noProof/>
                <w:webHidden/>
              </w:rPr>
              <w:fldChar w:fldCharType="separate"/>
            </w:r>
            <w:r w:rsidR="00A63605">
              <w:rPr>
                <w:noProof/>
                <w:webHidden/>
              </w:rPr>
              <w:t>81</w:t>
            </w:r>
            <w:r w:rsidR="00DD36E2">
              <w:rPr>
                <w:noProof/>
                <w:webHidden/>
              </w:rPr>
              <w:fldChar w:fldCharType="end"/>
            </w:r>
          </w:hyperlink>
        </w:p>
        <w:p w:rsidR="00DD36E2" w:rsidRDefault="002F39CB" w14:paraId="17706A84" w14:textId="50DD1B7E">
          <w:pPr>
            <w:pStyle w:val="Innehll2"/>
            <w:tabs>
              <w:tab w:val="right" w:leader="dot" w:pos="8494"/>
            </w:tabs>
            <w:rPr>
              <w:rFonts w:eastAsiaTheme="minorEastAsia"/>
              <w:noProof/>
              <w:kern w:val="0"/>
              <w:sz w:val="22"/>
              <w:szCs w:val="22"/>
              <w:lang w:eastAsia="sv-SE"/>
              <w14:numSpacing w14:val="default"/>
            </w:rPr>
          </w:pPr>
          <w:hyperlink w:history="1" w:anchor="_Toc121752643">
            <w:r w:rsidRPr="000A0778" w:rsidR="00DD36E2">
              <w:rPr>
                <w:rStyle w:val="Hyperlnk"/>
                <w:noProof/>
              </w:rPr>
              <w:t>17.3 Ansvarstagande för den nationella livsmedelsstrategin</w:t>
            </w:r>
            <w:r w:rsidR="00DD36E2">
              <w:rPr>
                <w:noProof/>
                <w:webHidden/>
              </w:rPr>
              <w:tab/>
            </w:r>
            <w:r w:rsidR="00DD36E2">
              <w:rPr>
                <w:noProof/>
                <w:webHidden/>
              </w:rPr>
              <w:fldChar w:fldCharType="begin"/>
            </w:r>
            <w:r w:rsidR="00DD36E2">
              <w:rPr>
                <w:noProof/>
                <w:webHidden/>
              </w:rPr>
              <w:instrText xml:space="preserve"> PAGEREF _Toc121752643 \h </w:instrText>
            </w:r>
            <w:r w:rsidR="00DD36E2">
              <w:rPr>
                <w:noProof/>
                <w:webHidden/>
              </w:rPr>
            </w:r>
            <w:r w:rsidR="00DD36E2">
              <w:rPr>
                <w:noProof/>
                <w:webHidden/>
              </w:rPr>
              <w:fldChar w:fldCharType="separate"/>
            </w:r>
            <w:r w:rsidR="00A63605">
              <w:rPr>
                <w:noProof/>
                <w:webHidden/>
              </w:rPr>
              <w:t>82</w:t>
            </w:r>
            <w:r w:rsidR="00DD36E2">
              <w:rPr>
                <w:noProof/>
                <w:webHidden/>
              </w:rPr>
              <w:fldChar w:fldCharType="end"/>
            </w:r>
          </w:hyperlink>
        </w:p>
        <w:p w:rsidR="00DD36E2" w:rsidRDefault="002F39CB" w14:paraId="4EB316FB" w14:textId="73574C42">
          <w:pPr>
            <w:pStyle w:val="Innehll2"/>
            <w:tabs>
              <w:tab w:val="right" w:leader="dot" w:pos="8494"/>
            </w:tabs>
            <w:rPr>
              <w:rFonts w:eastAsiaTheme="minorEastAsia"/>
              <w:noProof/>
              <w:kern w:val="0"/>
              <w:sz w:val="22"/>
              <w:szCs w:val="22"/>
              <w:lang w:eastAsia="sv-SE"/>
              <w14:numSpacing w14:val="default"/>
            </w:rPr>
          </w:pPr>
          <w:hyperlink w:history="1" w:anchor="_Toc121752644">
            <w:r w:rsidRPr="000A0778" w:rsidR="00DD36E2">
              <w:rPr>
                <w:rStyle w:val="Hyperlnk"/>
                <w:noProof/>
              </w:rPr>
              <w:t>17.4 Studieskuldsavdrag för lärare i glesbygd</w:t>
            </w:r>
            <w:r w:rsidR="00DD36E2">
              <w:rPr>
                <w:noProof/>
                <w:webHidden/>
              </w:rPr>
              <w:tab/>
            </w:r>
            <w:r w:rsidR="00DD36E2">
              <w:rPr>
                <w:noProof/>
                <w:webHidden/>
              </w:rPr>
              <w:fldChar w:fldCharType="begin"/>
            </w:r>
            <w:r w:rsidR="00DD36E2">
              <w:rPr>
                <w:noProof/>
                <w:webHidden/>
              </w:rPr>
              <w:instrText xml:space="preserve"> PAGEREF _Toc121752644 \h </w:instrText>
            </w:r>
            <w:r w:rsidR="00DD36E2">
              <w:rPr>
                <w:noProof/>
                <w:webHidden/>
              </w:rPr>
            </w:r>
            <w:r w:rsidR="00DD36E2">
              <w:rPr>
                <w:noProof/>
                <w:webHidden/>
              </w:rPr>
              <w:fldChar w:fldCharType="separate"/>
            </w:r>
            <w:r w:rsidR="00A63605">
              <w:rPr>
                <w:noProof/>
                <w:webHidden/>
              </w:rPr>
              <w:t>82</w:t>
            </w:r>
            <w:r w:rsidR="00DD36E2">
              <w:rPr>
                <w:noProof/>
                <w:webHidden/>
              </w:rPr>
              <w:fldChar w:fldCharType="end"/>
            </w:r>
          </w:hyperlink>
        </w:p>
        <w:p w:rsidR="00DD36E2" w:rsidRDefault="002F39CB" w14:paraId="47856A88" w14:textId="40105F6E">
          <w:pPr>
            <w:pStyle w:val="Innehll1"/>
            <w:tabs>
              <w:tab w:val="right" w:leader="dot" w:pos="8494"/>
            </w:tabs>
            <w:rPr>
              <w:rFonts w:eastAsiaTheme="minorEastAsia"/>
              <w:noProof/>
              <w:kern w:val="0"/>
              <w:sz w:val="22"/>
              <w:szCs w:val="22"/>
              <w:lang w:eastAsia="sv-SE"/>
              <w14:numSpacing w14:val="default"/>
            </w:rPr>
          </w:pPr>
          <w:hyperlink w:history="1" w:anchor="_Toc121752645">
            <w:r w:rsidRPr="000A0778" w:rsidR="00DD36E2">
              <w:rPr>
                <w:rStyle w:val="Hyperlnk"/>
                <w:noProof/>
              </w:rPr>
              <w:t>18 Kommunikationer</w:t>
            </w:r>
            <w:r w:rsidR="00DD36E2">
              <w:rPr>
                <w:noProof/>
                <w:webHidden/>
              </w:rPr>
              <w:tab/>
            </w:r>
            <w:r w:rsidR="00DD36E2">
              <w:rPr>
                <w:noProof/>
                <w:webHidden/>
              </w:rPr>
              <w:fldChar w:fldCharType="begin"/>
            </w:r>
            <w:r w:rsidR="00DD36E2">
              <w:rPr>
                <w:noProof/>
                <w:webHidden/>
              </w:rPr>
              <w:instrText xml:space="preserve"> PAGEREF _Toc121752645 \h </w:instrText>
            </w:r>
            <w:r w:rsidR="00DD36E2">
              <w:rPr>
                <w:noProof/>
                <w:webHidden/>
              </w:rPr>
            </w:r>
            <w:r w:rsidR="00DD36E2">
              <w:rPr>
                <w:noProof/>
                <w:webHidden/>
              </w:rPr>
              <w:fldChar w:fldCharType="separate"/>
            </w:r>
            <w:r w:rsidR="00A63605">
              <w:rPr>
                <w:noProof/>
                <w:webHidden/>
              </w:rPr>
              <w:t>83</w:t>
            </w:r>
            <w:r w:rsidR="00DD36E2">
              <w:rPr>
                <w:noProof/>
                <w:webHidden/>
              </w:rPr>
              <w:fldChar w:fldCharType="end"/>
            </w:r>
          </w:hyperlink>
        </w:p>
        <w:p w:rsidR="00DD36E2" w:rsidRDefault="002F39CB" w14:paraId="6454CAF5" w14:textId="641C041E">
          <w:pPr>
            <w:pStyle w:val="Innehll2"/>
            <w:tabs>
              <w:tab w:val="right" w:leader="dot" w:pos="8494"/>
            </w:tabs>
            <w:rPr>
              <w:rFonts w:eastAsiaTheme="minorEastAsia"/>
              <w:noProof/>
              <w:kern w:val="0"/>
              <w:sz w:val="22"/>
              <w:szCs w:val="22"/>
              <w:lang w:eastAsia="sv-SE"/>
              <w14:numSpacing w14:val="default"/>
            </w:rPr>
          </w:pPr>
          <w:hyperlink w:history="1" w:anchor="_Toc121752646">
            <w:r w:rsidRPr="000A0778" w:rsidR="00DD36E2">
              <w:rPr>
                <w:rStyle w:val="Hyperlnk"/>
                <w:noProof/>
              </w:rPr>
              <w:t>18.1 Sänkt skatt på bensin och diesel</w:t>
            </w:r>
            <w:r w:rsidR="00DD36E2">
              <w:rPr>
                <w:noProof/>
                <w:webHidden/>
              </w:rPr>
              <w:tab/>
            </w:r>
            <w:r w:rsidR="00DD36E2">
              <w:rPr>
                <w:noProof/>
                <w:webHidden/>
              </w:rPr>
              <w:fldChar w:fldCharType="begin"/>
            </w:r>
            <w:r w:rsidR="00DD36E2">
              <w:rPr>
                <w:noProof/>
                <w:webHidden/>
              </w:rPr>
              <w:instrText xml:space="preserve"> PAGEREF _Toc121752646 \h </w:instrText>
            </w:r>
            <w:r w:rsidR="00DD36E2">
              <w:rPr>
                <w:noProof/>
                <w:webHidden/>
              </w:rPr>
            </w:r>
            <w:r w:rsidR="00DD36E2">
              <w:rPr>
                <w:noProof/>
                <w:webHidden/>
              </w:rPr>
              <w:fldChar w:fldCharType="separate"/>
            </w:r>
            <w:r w:rsidR="00A63605">
              <w:rPr>
                <w:noProof/>
                <w:webHidden/>
              </w:rPr>
              <w:t>83</w:t>
            </w:r>
            <w:r w:rsidR="00DD36E2">
              <w:rPr>
                <w:noProof/>
                <w:webHidden/>
              </w:rPr>
              <w:fldChar w:fldCharType="end"/>
            </w:r>
          </w:hyperlink>
        </w:p>
        <w:p w:rsidR="00DD36E2" w:rsidRDefault="002F39CB" w14:paraId="23FAF3E5" w14:textId="0D908BB9">
          <w:pPr>
            <w:pStyle w:val="Innehll2"/>
            <w:tabs>
              <w:tab w:val="right" w:leader="dot" w:pos="8494"/>
            </w:tabs>
            <w:rPr>
              <w:rFonts w:eastAsiaTheme="minorEastAsia"/>
              <w:noProof/>
              <w:kern w:val="0"/>
              <w:sz w:val="22"/>
              <w:szCs w:val="22"/>
              <w:lang w:eastAsia="sv-SE"/>
              <w14:numSpacing w14:val="default"/>
            </w:rPr>
          </w:pPr>
          <w:hyperlink w:history="1" w:anchor="_Toc121752647">
            <w:r w:rsidRPr="000A0778" w:rsidR="00DD36E2">
              <w:rPr>
                <w:rStyle w:val="Hyperlnk"/>
                <w:noProof/>
              </w:rPr>
              <w:t>18.2 Nej till miljöskadlig biodiesel</w:t>
            </w:r>
            <w:r w:rsidR="00DD36E2">
              <w:rPr>
                <w:noProof/>
                <w:webHidden/>
              </w:rPr>
              <w:tab/>
            </w:r>
            <w:r w:rsidR="00DD36E2">
              <w:rPr>
                <w:noProof/>
                <w:webHidden/>
              </w:rPr>
              <w:fldChar w:fldCharType="begin"/>
            </w:r>
            <w:r w:rsidR="00DD36E2">
              <w:rPr>
                <w:noProof/>
                <w:webHidden/>
              </w:rPr>
              <w:instrText xml:space="preserve"> PAGEREF _Toc121752647 \h </w:instrText>
            </w:r>
            <w:r w:rsidR="00DD36E2">
              <w:rPr>
                <w:noProof/>
                <w:webHidden/>
              </w:rPr>
            </w:r>
            <w:r w:rsidR="00DD36E2">
              <w:rPr>
                <w:noProof/>
                <w:webHidden/>
              </w:rPr>
              <w:fldChar w:fldCharType="separate"/>
            </w:r>
            <w:r w:rsidR="00A63605">
              <w:rPr>
                <w:noProof/>
                <w:webHidden/>
              </w:rPr>
              <w:t>83</w:t>
            </w:r>
            <w:r w:rsidR="00DD36E2">
              <w:rPr>
                <w:noProof/>
                <w:webHidden/>
              </w:rPr>
              <w:fldChar w:fldCharType="end"/>
            </w:r>
          </w:hyperlink>
        </w:p>
        <w:p w:rsidR="00DD36E2" w:rsidRDefault="002F39CB" w14:paraId="6D6B5854" w14:textId="7342E27C">
          <w:pPr>
            <w:pStyle w:val="Innehll2"/>
            <w:tabs>
              <w:tab w:val="right" w:leader="dot" w:pos="8494"/>
            </w:tabs>
            <w:rPr>
              <w:rFonts w:eastAsiaTheme="minorEastAsia"/>
              <w:noProof/>
              <w:kern w:val="0"/>
              <w:sz w:val="22"/>
              <w:szCs w:val="22"/>
              <w:lang w:eastAsia="sv-SE"/>
              <w14:numSpacing w14:val="default"/>
            </w:rPr>
          </w:pPr>
          <w:hyperlink w:history="1" w:anchor="_Toc121752648">
            <w:r w:rsidRPr="000A0778" w:rsidR="00DD36E2">
              <w:rPr>
                <w:rStyle w:val="Hyperlnk"/>
                <w:noProof/>
              </w:rPr>
              <w:t>18.3 Höjd milersättning</w:t>
            </w:r>
            <w:r w:rsidR="00DD36E2">
              <w:rPr>
                <w:noProof/>
                <w:webHidden/>
              </w:rPr>
              <w:tab/>
            </w:r>
            <w:r w:rsidR="00DD36E2">
              <w:rPr>
                <w:noProof/>
                <w:webHidden/>
              </w:rPr>
              <w:fldChar w:fldCharType="begin"/>
            </w:r>
            <w:r w:rsidR="00DD36E2">
              <w:rPr>
                <w:noProof/>
                <w:webHidden/>
              </w:rPr>
              <w:instrText xml:space="preserve"> PAGEREF _Toc121752648 \h </w:instrText>
            </w:r>
            <w:r w:rsidR="00DD36E2">
              <w:rPr>
                <w:noProof/>
                <w:webHidden/>
              </w:rPr>
            </w:r>
            <w:r w:rsidR="00DD36E2">
              <w:rPr>
                <w:noProof/>
                <w:webHidden/>
              </w:rPr>
              <w:fldChar w:fldCharType="separate"/>
            </w:r>
            <w:r w:rsidR="00A63605">
              <w:rPr>
                <w:noProof/>
                <w:webHidden/>
              </w:rPr>
              <w:t>84</w:t>
            </w:r>
            <w:r w:rsidR="00DD36E2">
              <w:rPr>
                <w:noProof/>
                <w:webHidden/>
              </w:rPr>
              <w:fldChar w:fldCharType="end"/>
            </w:r>
          </w:hyperlink>
        </w:p>
        <w:p w:rsidR="00DD36E2" w:rsidRDefault="002F39CB" w14:paraId="4A287AF0" w14:textId="1993B759">
          <w:pPr>
            <w:pStyle w:val="Innehll2"/>
            <w:tabs>
              <w:tab w:val="right" w:leader="dot" w:pos="8494"/>
            </w:tabs>
            <w:rPr>
              <w:rFonts w:eastAsiaTheme="minorEastAsia"/>
              <w:noProof/>
              <w:kern w:val="0"/>
              <w:sz w:val="22"/>
              <w:szCs w:val="22"/>
              <w:lang w:eastAsia="sv-SE"/>
              <w14:numSpacing w14:val="default"/>
            </w:rPr>
          </w:pPr>
          <w:hyperlink w:history="1" w:anchor="_Toc121752649">
            <w:r w:rsidRPr="000A0778" w:rsidR="00DD36E2">
              <w:rPr>
                <w:rStyle w:val="Hyperlnk"/>
                <w:noProof/>
              </w:rPr>
              <w:t>18.4 Avskaffad bonus malus</w:t>
            </w:r>
            <w:r w:rsidR="00DD36E2">
              <w:rPr>
                <w:noProof/>
                <w:webHidden/>
              </w:rPr>
              <w:tab/>
            </w:r>
            <w:r w:rsidR="00DD36E2">
              <w:rPr>
                <w:noProof/>
                <w:webHidden/>
              </w:rPr>
              <w:fldChar w:fldCharType="begin"/>
            </w:r>
            <w:r w:rsidR="00DD36E2">
              <w:rPr>
                <w:noProof/>
                <w:webHidden/>
              </w:rPr>
              <w:instrText xml:space="preserve"> PAGEREF _Toc121752649 \h </w:instrText>
            </w:r>
            <w:r w:rsidR="00DD36E2">
              <w:rPr>
                <w:noProof/>
                <w:webHidden/>
              </w:rPr>
            </w:r>
            <w:r w:rsidR="00DD36E2">
              <w:rPr>
                <w:noProof/>
                <w:webHidden/>
              </w:rPr>
              <w:fldChar w:fldCharType="separate"/>
            </w:r>
            <w:r w:rsidR="00A63605">
              <w:rPr>
                <w:noProof/>
                <w:webHidden/>
              </w:rPr>
              <w:t>84</w:t>
            </w:r>
            <w:r w:rsidR="00DD36E2">
              <w:rPr>
                <w:noProof/>
                <w:webHidden/>
              </w:rPr>
              <w:fldChar w:fldCharType="end"/>
            </w:r>
          </w:hyperlink>
        </w:p>
        <w:p w:rsidR="00DD36E2" w:rsidRDefault="002F39CB" w14:paraId="0E011CBC" w14:textId="3B2C70D1">
          <w:pPr>
            <w:pStyle w:val="Innehll2"/>
            <w:tabs>
              <w:tab w:val="right" w:leader="dot" w:pos="8494"/>
            </w:tabs>
            <w:rPr>
              <w:rFonts w:eastAsiaTheme="minorEastAsia"/>
              <w:noProof/>
              <w:kern w:val="0"/>
              <w:sz w:val="22"/>
              <w:szCs w:val="22"/>
              <w:lang w:eastAsia="sv-SE"/>
              <w14:numSpacing w14:val="default"/>
            </w:rPr>
          </w:pPr>
          <w:hyperlink w:history="1" w:anchor="_Toc121752650">
            <w:r w:rsidRPr="000A0778" w:rsidR="00DD36E2">
              <w:rPr>
                <w:rStyle w:val="Hyperlnk"/>
                <w:noProof/>
              </w:rPr>
              <w:t>18.5 Satsningar på infrastruktur</w:t>
            </w:r>
            <w:r w:rsidR="00DD36E2">
              <w:rPr>
                <w:noProof/>
                <w:webHidden/>
              </w:rPr>
              <w:tab/>
            </w:r>
            <w:r w:rsidR="00DD36E2">
              <w:rPr>
                <w:noProof/>
                <w:webHidden/>
              </w:rPr>
              <w:fldChar w:fldCharType="begin"/>
            </w:r>
            <w:r w:rsidR="00DD36E2">
              <w:rPr>
                <w:noProof/>
                <w:webHidden/>
              </w:rPr>
              <w:instrText xml:space="preserve"> PAGEREF _Toc121752650 \h </w:instrText>
            </w:r>
            <w:r w:rsidR="00DD36E2">
              <w:rPr>
                <w:noProof/>
                <w:webHidden/>
              </w:rPr>
            </w:r>
            <w:r w:rsidR="00DD36E2">
              <w:rPr>
                <w:noProof/>
                <w:webHidden/>
              </w:rPr>
              <w:fldChar w:fldCharType="separate"/>
            </w:r>
            <w:r w:rsidR="00A63605">
              <w:rPr>
                <w:noProof/>
                <w:webHidden/>
              </w:rPr>
              <w:t>85</w:t>
            </w:r>
            <w:r w:rsidR="00DD36E2">
              <w:rPr>
                <w:noProof/>
                <w:webHidden/>
              </w:rPr>
              <w:fldChar w:fldCharType="end"/>
            </w:r>
          </w:hyperlink>
        </w:p>
        <w:p w:rsidR="00DD36E2" w:rsidRDefault="002F39CB" w14:paraId="5BB82014" w14:textId="00397EA5">
          <w:pPr>
            <w:pStyle w:val="Innehll2"/>
            <w:tabs>
              <w:tab w:val="right" w:leader="dot" w:pos="8494"/>
            </w:tabs>
            <w:rPr>
              <w:rFonts w:eastAsiaTheme="minorEastAsia"/>
              <w:noProof/>
              <w:kern w:val="0"/>
              <w:sz w:val="22"/>
              <w:szCs w:val="22"/>
              <w:lang w:eastAsia="sv-SE"/>
              <w14:numSpacing w14:val="default"/>
            </w:rPr>
          </w:pPr>
          <w:hyperlink w:history="1" w:anchor="_Toc121752651">
            <w:r w:rsidRPr="000A0778" w:rsidR="00DD36E2">
              <w:rPr>
                <w:rStyle w:val="Hyperlnk"/>
                <w:noProof/>
              </w:rPr>
              <w:t>18.6 Avskaffad trängselskatt</w:t>
            </w:r>
            <w:r w:rsidR="00DD36E2">
              <w:rPr>
                <w:noProof/>
                <w:webHidden/>
              </w:rPr>
              <w:tab/>
            </w:r>
            <w:r w:rsidR="00DD36E2">
              <w:rPr>
                <w:noProof/>
                <w:webHidden/>
              </w:rPr>
              <w:fldChar w:fldCharType="begin"/>
            </w:r>
            <w:r w:rsidR="00DD36E2">
              <w:rPr>
                <w:noProof/>
                <w:webHidden/>
              </w:rPr>
              <w:instrText xml:space="preserve"> PAGEREF _Toc121752651 \h </w:instrText>
            </w:r>
            <w:r w:rsidR="00DD36E2">
              <w:rPr>
                <w:noProof/>
                <w:webHidden/>
              </w:rPr>
            </w:r>
            <w:r w:rsidR="00DD36E2">
              <w:rPr>
                <w:noProof/>
                <w:webHidden/>
              </w:rPr>
              <w:fldChar w:fldCharType="separate"/>
            </w:r>
            <w:r w:rsidR="00A63605">
              <w:rPr>
                <w:noProof/>
                <w:webHidden/>
              </w:rPr>
              <w:t>85</w:t>
            </w:r>
            <w:r w:rsidR="00DD36E2">
              <w:rPr>
                <w:noProof/>
                <w:webHidden/>
              </w:rPr>
              <w:fldChar w:fldCharType="end"/>
            </w:r>
          </w:hyperlink>
        </w:p>
        <w:p w:rsidR="00DD36E2" w:rsidRDefault="002F39CB" w14:paraId="41B3798E" w14:textId="47C15098">
          <w:pPr>
            <w:pStyle w:val="Innehll2"/>
            <w:tabs>
              <w:tab w:val="right" w:leader="dot" w:pos="8494"/>
            </w:tabs>
            <w:rPr>
              <w:rFonts w:eastAsiaTheme="minorEastAsia"/>
              <w:noProof/>
              <w:kern w:val="0"/>
              <w:sz w:val="22"/>
              <w:szCs w:val="22"/>
              <w:lang w:eastAsia="sv-SE"/>
              <w14:numSpacing w14:val="default"/>
            </w:rPr>
          </w:pPr>
          <w:hyperlink w:history="1" w:anchor="_Toc121752652">
            <w:r w:rsidRPr="000A0778" w:rsidR="00DD36E2">
              <w:rPr>
                <w:rStyle w:val="Hyperlnk"/>
                <w:noProof/>
              </w:rPr>
              <w:t>18.7 Avskaffad flygskatt</w:t>
            </w:r>
            <w:r w:rsidR="00DD36E2">
              <w:rPr>
                <w:noProof/>
                <w:webHidden/>
              </w:rPr>
              <w:tab/>
            </w:r>
            <w:r w:rsidR="00DD36E2">
              <w:rPr>
                <w:noProof/>
                <w:webHidden/>
              </w:rPr>
              <w:fldChar w:fldCharType="begin"/>
            </w:r>
            <w:r w:rsidR="00DD36E2">
              <w:rPr>
                <w:noProof/>
                <w:webHidden/>
              </w:rPr>
              <w:instrText xml:space="preserve"> PAGEREF _Toc121752652 \h </w:instrText>
            </w:r>
            <w:r w:rsidR="00DD36E2">
              <w:rPr>
                <w:noProof/>
                <w:webHidden/>
              </w:rPr>
            </w:r>
            <w:r w:rsidR="00DD36E2">
              <w:rPr>
                <w:noProof/>
                <w:webHidden/>
              </w:rPr>
              <w:fldChar w:fldCharType="separate"/>
            </w:r>
            <w:r w:rsidR="00A63605">
              <w:rPr>
                <w:noProof/>
                <w:webHidden/>
              </w:rPr>
              <w:t>86</w:t>
            </w:r>
            <w:r w:rsidR="00DD36E2">
              <w:rPr>
                <w:noProof/>
                <w:webHidden/>
              </w:rPr>
              <w:fldChar w:fldCharType="end"/>
            </w:r>
          </w:hyperlink>
        </w:p>
        <w:p w:rsidR="00DD36E2" w:rsidRDefault="002F39CB" w14:paraId="1D4B11B5" w14:textId="0A6B533E">
          <w:pPr>
            <w:pStyle w:val="Innehll1"/>
            <w:tabs>
              <w:tab w:val="right" w:leader="dot" w:pos="8494"/>
            </w:tabs>
            <w:rPr>
              <w:rFonts w:eastAsiaTheme="minorEastAsia"/>
              <w:noProof/>
              <w:kern w:val="0"/>
              <w:sz w:val="22"/>
              <w:szCs w:val="22"/>
              <w:lang w:eastAsia="sv-SE"/>
              <w14:numSpacing w14:val="default"/>
            </w:rPr>
          </w:pPr>
          <w:hyperlink w:history="1" w:anchor="_Toc121752653">
            <w:r w:rsidRPr="000A0778" w:rsidR="00DD36E2">
              <w:rPr>
                <w:rStyle w:val="Hyperlnk"/>
                <w:noProof/>
              </w:rPr>
              <w:t>19 Energi, miljö och klimat</w:t>
            </w:r>
            <w:r w:rsidR="00DD36E2">
              <w:rPr>
                <w:noProof/>
                <w:webHidden/>
              </w:rPr>
              <w:tab/>
            </w:r>
            <w:r w:rsidR="00DD36E2">
              <w:rPr>
                <w:noProof/>
                <w:webHidden/>
              </w:rPr>
              <w:fldChar w:fldCharType="begin"/>
            </w:r>
            <w:r w:rsidR="00DD36E2">
              <w:rPr>
                <w:noProof/>
                <w:webHidden/>
              </w:rPr>
              <w:instrText xml:space="preserve"> PAGEREF _Toc121752653 \h </w:instrText>
            </w:r>
            <w:r w:rsidR="00DD36E2">
              <w:rPr>
                <w:noProof/>
                <w:webHidden/>
              </w:rPr>
            </w:r>
            <w:r w:rsidR="00DD36E2">
              <w:rPr>
                <w:noProof/>
                <w:webHidden/>
              </w:rPr>
              <w:fldChar w:fldCharType="separate"/>
            </w:r>
            <w:r w:rsidR="00A63605">
              <w:rPr>
                <w:noProof/>
                <w:webHidden/>
              </w:rPr>
              <w:t>87</w:t>
            </w:r>
            <w:r w:rsidR="00DD36E2">
              <w:rPr>
                <w:noProof/>
                <w:webHidden/>
              </w:rPr>
              <w:fldChar w:fldCharType="end"/>
            </w:r>
          </w:hyperlink>
        </w:p>
        <w:p w:rsidR="00DD36E2" w:rsidRDefault="002F39CB" w14:paraId="63F30D6A" w14:textId="6C0FDFAF">
          <w:pPr>
            <w:pStyle w:val="Innehll3"/>
            <w:tabs>
              <w:tab w:val="right" w:leader="dot" w:pos="8494"/>
            </w:tabs>
            <w:rPr>
              <w:rFonts w:eastAsiaTheme="minorEastAsia"/>
              <w:noProof/>
              <w:kern w:val="0"/>
              <w:sz w:val="22"/>
              <w:szCs w:val="22"/>
              <w:lang w:eastAsia="sv-SE"/>
              <w14:numSpacing w14:val="default"/>
            </w:rPr>
          </w:pPr>
          <w:hyperlink w:history="1" w:anchor="_Toc121752654">
            <w:r w:rsidRPr="000A0778" w:rsidR="00DD36E2">
              <w:rPr>
                <w:rStyle w:val="Hyperlnk"/>
                <w:noProof/>
              </w:rPr>
              <w:t>Utveckling av koldioxidutsläpp</w:t>
            </w:r>
            <w:r w:rsidR="00DD36E2">
              <w:rPr>
                <w:noProof/>
                <w:webHidden/>
              </w:rPr>
              <w:tab/>
            </w:r>
            <w:r w:rsidR="00DD36E2">
              <w:rPr>
                <w:noProof/>
                <w:webHidden/>
              </w:rPr>
              <w:fldChar w:fldCharType="begin"/>
            </w:r>
            <w:r w:rsidR="00DD36E2">
              <w:rPr>
                <w:noProof/>
                <w:webHidden/>
              </w:rPr>
              <w:instrText xml:space="preserve"> PAGEREF _Toc121752654 \h </w:instrText>
            </w:r>
            <w:r w:rsidR="00DD36E2">
              <w:rPr>
                <w:noProof/>
                <w:webHidden/>
              </w:rPr>
            </w:r>
            <w:r w:rsidR="00DD36E2">
              <w:rPr>
                <w:noProof/>
                <w:webHidden/>
              </w:rPr>
              <w:fldChar w:fldCharType="separate"/>
            </w:r>
            <w:r w:rsidR="00A63605">
              <w:rPr>
                <w:noProof/>
                <w:webHidden/>
              </w:rPr>
              <w:t>87</w:t>
            </w:r>
            <w:r w:rsidR="00DD36E2">
              <w:rPr>
                <w:noProof/>
                <w:webHidden/>
              </w:rPr>
              <w:fldChar w:fldCharType="end"/>
            </w:r>
          </w:hyperlink>
        </w:p>
        <w:p w:rsidR="00DD36E2" w:rsidRDefault="002F39CB" w14:paraId="7E569257" w14:textId="3A287022">
          <w:pPr>
            <w:pStyle w:val="Innehll3"/>
            <w:tabs>
              <w:tab w:val="right" w:leader="dot" w:pos="8494"/>
            </w:tabs>
            <w:rPr>
              <w:rFonts w:eastAsiaTheme="minorEastAsia"/>
              <w:noProof/>
              <w:kern w:val="0"/>
              <w:sz w:val="22"/>
              <w:szCs w:val="22"/>
              <w:lang w:eastAsia="sv-SE"/>
              <w14:numSpacing w14:val="default"/>
            </w:rPr>
          </w:pPr>
          <w:hyperlink w:history="1" w:anchor="_Toc121752655">
            <w:r w:rsidRPr="000A0778" w:rsidR="00DD36E2">
              <w:rPr>
                <w:rStyle w:val="Hyperlnk"/>
                <w:noProof/>
              </w:rPr>
              <w:t>Strategi för klimatförändringar</w:t>
            </w:r>
            <w:r w:rsidR="00DD36E2">
              <w:rPr>
                <w:noProof/>
                <w:webHidden/>
              </w:rPr>
              <w:tab/>
            </w:r>
            <w:r w:rsidR="00DD36E2">
              <w:rPr>
                <w:noProof/>
                <w:webHidden/>
              </w:rPr>
              <w:fldChar w:fldCharType="begin"/>
            </w:r>
            <w:r w:rsidR="00DD36E2">
              <w:rPr>
                <w:noProof/>
                <w:webHidden/>
              </w:rPr>
              <w:instrText xml:space="preserve"> PAGEREF _Toc121752655 \h </w:instrText>
            </w:r>
            <w:r w:rsidR="00DD36E2">
              <w:rPr>
                <w:noProof/>
                <w:webHidden/>
              </w:rPr>
            </w:r>
            <w:r w:rsidR="00DD36E2">
              <w:rPr>
                <w:noProof/>
                <w:webHidden/>
              </w:rPr>
              <w:fldChar w:fldCharType="separate"/>
            </w:r>
            <w:r w:rsidR="00A63605">
              <w:rPr>
                <w:noProof/>
                <w:webHidden/>
              </w:rPr>
              <w:t>91</w:t>
            </w:r>
            <w:r w:rsidR="00DD36E2">
              <w:rPr>
                <w:noProof/>
                <w:webHidden/>
              </w:rPr>
              <w:fldChar w:fldCharType="end"/>
            </w:r>
          </w:hyperlink>
        </w:p>
        <w:p w:rsidR="00DD36E2" w:rsidRDefault="002F39CB" w14:paraId="5A3916F4" w14:textId="5B20FD61">
          <w:pPr>
            <w:pStyle w:val="Innehll2"/>
            <w:tabs>
              <w:tab w:val="right" w:leader="dot" w:pos="8494"/>
            </w:tabs>
            <w:rPr>
              <w:rFonts w:eastAsiaTheme="minorEastAsia"/>
              <w:noProof/>
              <w:kern w:val="0"/>
              <w:sz w:val="22"/>
              <w:szCs w:val="22"/>
              <w:lang w:eastAsia="sv-SE"/>
              <w14:numSpacing w14:val="default"/>
            </w:rPr>
          </w:pPr>
          <w:hyperlink w:history="1" w:anchor="_Toc121752656">
            <w:r w:rsidRPr="000A0778" w:rsidR="00DD36E2">
              <w:rPr>
                <w:rStyle w:val="Hyperlnk"/>
                <w:noProof/>
              </w:rPr>
              <w:t>19.1 Fossilfri elproduktion</w:t>
            </w:r>
            <w:r w:rsidR="00DD36E2">
              <w:rPr>
                <w:noProof/>
                <w:webHidden/>
              </w:rPr>
              <w:tab/>
            </w:r>
            <w:r w:rsidR="00DD36E2">
              <w:rPr>
                <w:noProof/>
                <w:webHidden/>
              </w:rPr>
              <w:fldChar w:fldCharType="begin"/>
            </w:r>
            <w:r w:rsidR="00DD36E2">
              <w:rPr>
                <w:noProof/>
                <w:webHidden/>
              </w:rPr>
              <w:instrText xml:space="preserve"> PAGEREF _Toc121752656 \h </w:instrText>
            </w:r>
            <w:r w:rsidR="00DD36E2">
              <w:rPr>
                <w:noProof/>
                <w:webHidden/>
              </w:rPr>
            </w:r>
            <w:r w:rsidR="00DD36E2">
              <w:rPr>
                <w:noProof/>
                <w:webHidden/>
              </w:rPr>
              <w:fldChar w:fldCharType="separate"/>
            </w:r>
            <w:r w:rsidR="00A63605">
              <w:rPr>
                <w:noProof/>
                <w:webHidden/>
              </w:rPr>
              <w:t>91</w:t>
            </w:r>
            <w:r w:rsidR="00DD36E2">
              <w:rPr>
                <w:noProof/>
                <w:webHidden/>
              </w:rPr>
              <w:fldChar w:fldCharType="end"/>
            </w:r>
          </w:hyperlink>
        </w:p>
        <w:p w:rsidR="00DD36E2" w:rsidRDefault="002F39CB" w14:paraId="5B327883" w14:textId="12D786B3">
          <w:pPr>
            <w:pStyle w:val="Innehll2"/>
            <w:tabs>
              <w:tab w:val="right" w:leader="dot" w:pos="8494"/>
            </w:tabs>
            <w:rPr>
              <w:rFonts w:eastAsiaTheme="minorEastAsia"/>
              <w:noProof/>
              <w:kern w:val="0"/>
              <w:sz w:val="22"/>
              <w:szCs w:val="22"/>
              <w:lang w:eastAsia="sv-SE"/>
              <w14:numSpacing w14:val="default"/>
            </w:rPr>
          </w:pPr>
          <w:hyperlink w:history="1" w:anchor="_Toc121752657">
            <w:r w:rsidRPr="000A0778" w:rsidR="00DD36E2">
              <w:rPr>
                <w:rStyle w:val="Hyperlnk"/>
                <w:noProof/>
              </w:rPr>
              <w:t>19.2 Internationella klimatinvesteringar och bio-CCS</w:t>
            </w:r>
            <w:r w:rsidR="00DD36E2">
              <w:rPr>
                <w:noProof/>
                <w:webHidden/>
              </w:rPr>
              <w:tab/>
            </w:r>
            <w:r w:rsidR="00DD36E2">
              <w:rPr>
                <w:noProof/>
                <w:webHidden/>
              </w:rPr>
              <w:fldChar w:fldCharType="begin"/>
            </w:r>
            <w:r w:rsidR="00DD36E2">
              <w:rPr>
                <w:noProof/>
                <w:webHidden/>
              </w:rPr>
              <w:instrText xml:space="preserve"> PAGEREF _Toc121752657 \h </w:instrText>
            </w:r>
            <w:r w:rsidR="00DD36E2">
              <w:rPr>
                <w:noProof/>
                <w:webHidden/>
              </w:rPr>
            </w:r>
            <w:r w:rsidR="00DD36E2">
              <w:rPr>
                <w:noProof/>
                <w:webHidden/>
              </w:rPr>
              <w:fldChar w:fldCharType="separate"/>
            </w:r>
            <w:r w:rsidR="00A63605">
              <w:rPr>
                <w:noProof/>
                <w:webHidden/>
              </w:rPr>
              <w:t>91</w:t>
            </w:r>
            <w:r w:rsidR="00DD36E2">
              <w:rPr>
                <w:noProof/>
                <w:webHidden/>
              </w:rPr>
              <w:fldChar w:fldCharType="end"/>
            </w:r>
          </w:hyperlink>
        </w:p>
        <w:p w:rsidR="00DD36E2" w:rsidRDefault="002F39CB" w14:paraId="3A462CAE" w14:textId="40B6B8D0">
          <w:pPr>
            <w:pStyle w:val="Innehll2"/>
            <w:tabs>
              <w:tab w:val="right" w:leader="dot" w:pos="8494"/>
            </w:tabs>
            <w:rPr>
              <w:rFonts w:eastAsiaTheme="minorEastAsia"/>
              <w:noProof/>
              <w:kern w:val="0"/>
              <w:sz w:val="22"/>
              <w:szCs w:val="22"/>
              <w:lang w:eastAsia="sv-SE"/>
              <w14:numSpacing w14:val="default"/>
            </w:rPr>
          </w:pPr>
          <w:hyperlink w:history="1" w:anchor="_Toc121752658">
            <w:r w:rsidRPr="000A0778" w:rsidR="00DD36E2">
              <w:rPr>
                <w:rStyle w:val="Hyperlnk"/>
                <w:noProof/>
              </w:rPr>
              <w:t>19.3 Laddinfrastruktur</w:t>
            </w:r>
            <w:r w:rsidR="00DD36E2">
              <w:rPr>
                <w:noProof/>
                <w:webHidden/>
              </w:rPr>
              <w:tab/>
            </w:r>
            <w:r w:rsidR="00DD36E2">
              <w:rPr>
                <w:noProof/>
                <w:webHidden/>
              </w:rPr>
              <w:fldChar w:fldCharType="begin"/>
            </w:r>
            <w:r w:rsidR="00DD36E2">
              <w:rPr>
                <w:noProof/>
                <w:webHidden/>
              </w:rPr>
              <w:instrText xml:space="preserve"> PAGEREF _Toc121752658 \h </w:instrText>
            </w:r>
            <w:r w:rsidR="00DD36E2">
              <w:rPr>
                <w:noProof/>
                <w:webHidden/>
              </w:rPr>
            </w:r>
            <w:r w:rsidR="00DD36E2">
              <w:rPr>
                <w:noProof/>
                <w:webHidden/>
              </w:rPr>
              <w:fldChar w:fldCharType="separate"/>
            </w:r>
            <w:r w:rsidR="00A63605">
              <w:rPr>
                <w:noProof/>
                <w:webHidden/>
              </w:rPr>
              <w:t>92</w:t>
            </w:r>
            <w:r w:rsidR="00DD36E2">
              <w:rPr>
                <w:noProof/>
                <w:webHidden/>
              </w:rPr>
              <w:fldChar w:fldCharType="end"/>
            </w:r>
          </w:hyperlink>
        </w:p>
        <w:p w:rsidR="00DD36E2" w:rsidRDefault="002F39CB" w14:paraId="312CE90D" w14:textId="734603DA">
          <w:pPr>
            <w:pStyle w:val="Innehll2"/>
            <w:tabs>
              <w:tab w:val="right" w:leader="dot" w:pos="8494"/>
            </w:tabs>
            <w:rPr>
              <w:rFonts w:eastAsiaTheme="minorEastAsia"/>
              <w:noProof/>
              <w:kern w:val="0"/>
              <w:sz w:val="22"/>
              <w:szCs w:val="22"/>
              <w:lang w:eastAsia="sv-SE"/>
              <w14:numSpacing w14:val="default"/>
            </w:rPr>
          </w:pPr>
          <w:hyperlink w:history="1" w:anchor="_Toc121752659">
            <w:r w:rsidRPr="000A0778" w:rsidR="00DD36E2">
              <w:rPr>
                <w:rStyle w:val="Hyperlnk"/>
                <w:noProof/>
              </w:rPr>
              <w:t>19.4 Ökade forskningsanslag för miljöteknik och bioekonomi</w:t>
            </w:r>
            <w:r w:rsidR="00DD36E2">
              <w:rPr>
                <w:noProof/>
                <w:webHidden/>
              </w:rPr>
              <w:tab/>
            </w:r>
            <w:r w:rsidR="00DD36E2">
              <w:rPr>
                <w:noProof/>
                <w:webHidden/>
              </w:rPr>
              <w:fldChar w:fldCharType="begin"/>
            </w:r>
            <w:r w:rsidR="00DD36E2">
              <w:rPr>
                <w:noProof/>
                <w:webHidden/>
              </w:rPr>
              <w:instrText xml:space="preserve"> PAGEREF _Toc121752659 \h </w:instrText>
            </w:r>
            <w:r w:rsidR="00DD36E2">
              <w:rPr>
                <w:noProof/>
                <w:webHidden/>
              </w:rPr>
            </w:r>
            <w:r w:rsidR="00DD36E2">
              <w:rPr>
                <w:noProof/>
                <w:webHidden/>
              </w:rPr>
              <w:fldChar w:fldCharType="separate"/>
            </w:r>
            <w:r w:rsidR="00A63605">
              <w:rPr>
                <w:noProof/>
                <w:webHidden/>
              </w:rPr>
              <w:t>92</w:t>
            </w:r>
            <w:r w:rsidR="00DD36E2">
              <w:rPr>
                <w:noProof/>
                <w:webHidden/>
              </w:rPr>
              <w:fldChar w:fldCharType="end"/>
            </w:r>
          </w:hyperlink>
        </w:p>
        <w:p w:rsidR="00DD36E2" w:rsidRDefault="002F39CB" w14:paraId="22F56966" w14:textId="4533157E">
          <w:pPr>
            <w:pStyle w:val="Innehll2"/>
            <w:tabs>
              <w:tab w:val="right" w:leader="dot" w:pos="8494"/>
            </w:tabs>
            <w:rPr>
              <w:rFonts w:eastAsiaTheme="minorEastAsia"/>
              <w:noProof/>
              <w:kern w:val="0"/>
              <w:sz w:val="22"/>
              <w:szCs w:val="22"/>
              <w:lang w:eastAsia="sv-SE"/>
              <w14:numSpacing w14:val="default"/>
            </w:rPr>
          </w:pPr>
          <w:hyperlink w:history="1" w:anchor="_Toc121752660">
            <w:r w:rsidRPr="000A0778" w:rsidR="00DD36E2">
              <w:rPr>
                <w:rStyle w:val="Hyperlnk"/>
                <w:noProof/>
              </w:rPr>
              <w:t>19.5 Renare närområden</w:t>
            </w:r>
            <w:r w:rsidR="00DD36E2">
              <w:rPr>
                <w:noProof/>
                <w:webHidden/>
              </w:rPr>
              <w:tab/>
            </w:r>
            <w:r w:rsidR="00DD36E2">
              <w:rPr>
                <w:noProof/>
                <w:webHidden/>
              </w:rPr>
              <w:fldChar w:fldCharType="begin"/>
            </w:r>
            <w:r w:rsidR="00DD36E2">
              <w:rPr>
                <w:noProof/>
                <w:webHidden/>
              </w:rPr>
              <w:instrText xml:space="preserve"> PAGEREF _Toc121752660 \h </w:instrText>
            </w:r>
            <w:r w:rsidR="00DD36E2">
              <w:rPr>
                <w:noProof/>
                <w:webHidden/>
              </w:rPr>
            </w:r>
            <w:r w:rsidR="00DD36E2">
              <w:rPr>
                <w:noProof/>
                <w:webHidden/>
              </w:rPr>
              <w:fldChar w:fldCharType="separate"/>
            </w:r>
            <w:r w:rsidR="00A63605">
              <w:rPr>
                <w:noProof/>
                <w:webHidden/>
              </w:rPr>
              <w:t>93</w:t>
            </w:r>
            <w:r w:rsidR="00DD36E2">
              <w:rPr>
                <w:noProof/>
                <w:webHidden/>
              </w:rPr>
              <w:fldChar w:fldCharType="end"/>
            </w:r>
          </w:hyperlink>
        </w:p>
        <w:p w:rsidR="00DD36E2" w:rsidRDefault="002F39CB" w14:paraId="3BD92115" w14:textId="6875629E">
          <w:pPr>
            <w:pStyle w:val="Innehll2"/>
            <w:tabs>
              <w:tab w:val="right" w:leader="dot" w:pos="8494"/>
            </w:tabs>
            <w:rPr>
              <w:rFonts w:eastAsiaTheme="minorEastAsia"/>
              <w:noProof/>
              <w:kern w:val="0"/>
              <w:sz w:val="22"/>
              <w:szCs w:val="22"/>
              <w:lang w:eastAsia="sv-SE"/>
              <w14:numSpacing w14:val="default"/>
            </w:rPr>
          </w:pPr>
          <w:hyperlink w:history="1" w:anchor="_Toc121752661">
            <w:r w:rsidRPr="000A0778" w:rsidR="00DD36E2">
              <w:rPr>
                <w:rStyle w:val="Hyperlnk"/>
                <w:noProof/>
              </w:rPr>
              <w:t>19.6 Avskaffad skatt på avfallsförbränning</w:t>
            </w:r>
            <w:r w:rsidR="00DD36E2">
              <w:rPr>
                <w:noProof/>
                <w:webHidden/>
              </w:rPr>
              <w:tab/>
            </w:r>
            <w:r w:rsidR="00DD36E2">
              <w:rPr>
                <w:noProof/>
                <w:webHidden/>
              </w:rPr>
              <w:fldChar w:fldCharType="begin"/>
            </w:r>
            <w:r w:rsidR="00DD36E2">
              <w:rPr>
                <w:noProof/>
                <w:webHidden/>
              </w:rPr>
              <w:instrText xml:space="preserve"> PAGEREF _Toc121752661 \h </w:instrText>
            </w:r>
            <w:r w:rsidR="00DD36E2">
              <w:rPr>
                <w:noProof/>
                <w:webHidden/>
              </w:rPr>
            </w:r>
            <w:r w:rsidR="00DD36E2">
              <w:rPr>
                <w:noProof/>
                <w:webHidden/>
              </w:rPr>
              <w:fldChar w:fldCharType="separate"/>
            </w:r>
            <w:r w:rsidR="00A63605">
              <w:rPr>
                <w:noProof/>
                <w:webHidden/>
              </w:rPr>
              <w:t>93</w:t>
            </w:r>
            <w:r w:rsidR="00DD36E2">
              <w:rPr>
                <w:noProof/>
                <w:webHidden/>
              </w:rPr>
              <w:fldChar w:fldCharType="end"/>
            </w:r>
          </w:hyperlink>
        </w:p>
        <w:p w:rsidR="00DD36E2" w:rsidRDefault="002F39CB" w14:paraId="13D6F0DB" w14:textId="1790D528">
          <w:pPr>
            <w:pStyle w:val="Innehll1"/>
            <w:tabs>
              <w:tab w:val="right" w:leader="dot" w:pos="8494"/>
            </w:tabs>
            <w:rPr>
              <w:rFonts w:eastAsiaTheme="minorEastAsia"/>
              <w:noProof/>
              <w:kern w:val="0"/>
              <w:sz w:val="22"/>
              <w:szCs w:val="22"/>
              <w:lang w:eastAsia="sv-SE"/>
              <w14:numSpacing w14:val="default"/>
            </w:rPr>
          </w:pPr>
          <w:hyperlink w:history="1" w:anchor="_Toc121752662">
            <w:r w:rsidRPr="000A0778" w:rsidR="00DD36E2">
              <w:rPr>
                <w:rStyle w:val="Hyperlnk"/>
                <w:noProof/>
              </w:rPr>
              <w:t>20 Bostäder</w:t>
            </w:r>
            <w:r w:rsidR="00DD36E2">
              <w:rPr>
                <w:noProof/>
                <w:webHidden/>
              </w:rPr>
              <w:tab/>
            </w:r>
            <w:r w:rsidR="00DD36E2">
              <w:rPr>
                <w:noProof/>
                <w:webHidden/>
              </w:rPr>
              <w:fldChar w:fldCharType="begin"/>
            </w:r>
            <w:r w:rsidR="00DD36E2">
              <w:rPr>
                <w:noProof/>
                <w:webHidden/>
              </w:rPr>
              <w:instrText xml:space="preserve"> PAGEREF _Toc121752662 \h </w:instrText>
            </w:r>
            <w:r w:rsidR="00DD36E2">
              <w:rPr>
                <w:noProof/>
                <w:webHidden/>
              </w:rPr>
            </w:r>
            <w:r w:rsidR="00DD36E2">
              <w:rPr>
                <w:noProof/>
                <w:webHidden/>
              </w:rPr>
              <w:fldChar w:fldCharType="separate"/>
            </w:r>
            <w:r w:rsidR="00A63605">
              <w:rPr>
                <w:noProof/>
                <w:webHidden/>
              </w:rPr>
              <w:t>94</w:t>
            </w:r>
            <w:r w:rsidR="00DD36E2">
              <w:rPr>
                <w:noProof/>
                <w:webHidden/>
              </w:rPr>
              <w:fldChar w:fldCharType="end"/>
            </w:r>
          </w:hyperlink>
        </w:p>
        <w:p w:rsidR="00DD36E2" w:rsidRDefault="002F39CB" w14:paraId="37E2CD50" w14:textId="6357B5B7">
          <w:pPr>
            <w:pStyle w:val="Innehll2"/>
            <w:tabs>
              <w:tab w:val="right" w:leader="dot" w:pos="8494"/>
            </w:tabs>
            <w:rPr>
              <w:rFonts w:eastAsiaTheme="minorEastAsia"/>
              <w:noProof/>
              <w:kern w:val="0"/>
              <w:sz w:val="22"/>
              <w:szCs w:val="22"/>
              <w:lang w:eastAsia="sv-SE"/>
              <w14:numSpacing w14:val="default"/>
            </w:rPr>
          </w:pPr>
          <w:hyperlink w:history="1" w:anchor="_Toc121752663">
            <w:r w:rsidRPr="000A0778" w:rsidR="00DD36E2">
              <w:rPr>
                <w:rStyle w:val="Hyperlnk"/>
                <w:noProof/>
              </w:rPr>
              <w:t>20.1 Bosparande och bolån för unga</w:t>
            </w:r>
            <w:r w:rsidR="00DD36E2">
              <w:rPr>
                <w:noProof/>
                <w:webHidden/>
              </w:rPr>
              <w:tab/>
            </w:r>
            <w:r w:rsidR="00DD36E2">
              <w:rPr>
                <w:noProof/>
                <w:webHidden/>
              </w:rPr>
              <w:fldChar w:fldCharType="begin"/>
            </w:r>
            <w:r w:rsidR="00DD36E2">
              <w:rPr>
                <w:noProof/>
                <w:webHidden/>
              </w:rPr>
              <w:instrText xml:space="preserve"> PAGEREF _Toc121752663 \h </w:instrText>
            </w:r>
            <w:r w:rsidR="00DD36E2">
              <w:rPr>
                <w:noProof/>
                <w:webHidden/>
              </w:rPr>
            </w:r>
            <w:r w:rsidR="00DD36E2">
              <w:rPr>
                <w:noProof/>
                <w:webHidden/>
              </w:rPr>
              <w:fldChar w:fldCharType="separate"/>
            </w:r>
            <w:r w:rsidR="00A63605">
              <w:rPr>
                <w:noProof/>
                <w:webHidden/>
              </w:rPr>
              <w:t>94</w:t>
            </w:r>
            <w:r w:rsidR="00DD36E2">
              <w:rPr>
                <w:noProof/>
                <w:webHidden/>
              </w:rPr>
              <w:fldChar w:fldCharType="end"/>
            </w:r>
          </w:hyperlink>
        </w:p>
        <w:p w:rsidR="00DD36E2" w:rsidRDefault="002F39CB" w14:paraId="12EB420B" w14:textId="29A3BC8E">
          <w:pPr>
            <w:pStyle w:val="Innehll2"/>
            <w:tabs>
              <w:tab w:val="right" w:leader="dot" w:pos="8494"/>
            </w:tabs>
            <w:rPr>
              <w:rFonts w:eastAsiaTheme="minorEastAsia"/>
              <w:noProof/>
              <w:kern w:val="0"/>
              <w:sz w:val="22"/>
              <w:szCs w:val="22"/>
              <w:lang w:eastAsia="sv-SE"/>
              <w14:numSpacing w14:val="default"/>
            </w:rPr>
          </w:pPr>
          <w:hyperlink w:history="1" w:anchor="_Toc121752664">
            <w:r w:rsidRPr="000A0778" w:rsidR="00DD36E2">
              <w:rPr>
                <w:rStyle w:val="Hyperlnk"/>
                <w:noProof/>
              </w:rPr>
              <w:t>20.2 Klassificera studentbostäder som elevhem</w:t>
            </w:r>
            <w:r w:rsidR="00DD36E2">
              <w:rPr>
                <w:noProof/>
                <w:webHidden/>
              </w:rPr>
              <w:tab/>
            </w:r>
            <w:r w:rsidR="00DD36E2">
              <w:rPr>
                <w:noProof/>
                <w:webHidden/>
              </w:rPr>
              <w:fldChar w:fldCharType="begin"/>
            </w:r>
            <w:r w:rsidR="00DD36E2">
              <w:rPr>
                <w:noProof/>
                <w:webHidden/>
              </w:rPr>
              <w:instrText xml:space="preserve"> PAGEREF _Toc121752664 \h </w:instrText>
            </w:r>
            <w:r w:rsidR="00DD36E2">
              <w:rPr>
                <w:noProof/>
                <w:webHidden/>
              </w:rPr>
            </w:r>
            <w:r w:rsidR="00DD36E2">
              <w:rPr>
                <w:noProof/>
                <w:webHidden/>
              </w:rPr>
              <w:fldChar w:fldCharType="separate"/>
            </w:r>
            <w:r w:rsidR="00A63605">
              <w:rPr>
                <w:noProof/>
                <w:webHidden/>
              </w:rPr>
              <w:t>94</w:t>
            </w:r>
            <w:r w:rsidR="00DD36E2">
              <w:rPr>
                <w:noProof/>
                <w:webHidden/>
              </w:rPr>
              <w:fldChar w:fldCharType="end"/>
            </w:r>
          </w:hyperlink>
        </w:p>
        <w:p w:rsidR="00DD36E2" w:rsidRDefault="002F39CB" w14:paraId="66515A83" w14:textId="699F32CF">
          <w:pPr>
            <w:pStyle w:val="Innehll2"/>
            <w:tabs>
              <w:tab w:val="right" w:leader="dot" w:pos="8494"/>
            </w:tabs>
            <w:rPr>
              <w:rFonts w:eastAsiaTheme="minorEastAsia"/>
              <w:noProof/>
              <w:kern w:val="0"/>
              <w:sz w:val="22"/>
              <w:szCs w:val="22"/>
              <w:lang w:eastAsia="sv-SE"/>
              <w14:numSpacing w14:val="default"/>
            </w:rPr>
          </w:pPr>
          <w:hyperlink w:history="1" w:anchor="_Toc121752665">
            <w:r w:rsidRPr="000A0778" w:rsidR="00DD36E2">
              <w:rPr>
                <w:rStyle w:val="Hyperlnk"/>
                <w:noProof/>
              </w:rPr>
              <w:t>20.3 Höjt schablonavdrag vid uthyrning av en bostad</w:t>
            </w:r>
            <w:r w:rsidR="00DD36E2">
              <w:rPr>
                <w:noProof/>
                <w:webHidden/>
              </w:rPr>
              <w:tab/>
            </w:r>
            <w:r w:rsidR="00DD36E2">
              <w:rPr>
                <w:noProof/>
                <w:webHidden/>
              </w:rPr>
              <w:fldChar w:fldCharType="begin"/>
            </w:r>
            <w:r w:rsidR="00DD36E2">
              <w:rPr>
                <w:noProof/>
                <w:webHidden/>
              </w:rPr>
              <w:instrText xml:space="preserve"> PAGEREF _Toc121752665 \h </w:instrText>
            </w:r>
            <w:r w:rsidR="00DD36E2">
              <w:rPr>
                <w:noProof/>
                <w:webHidden/>
              </w:rPr>
            </w:r>
            <w:r w:rsidR="00DD36E2">
              <w:rPr>
                <w:noProof/>
                <w:webHidden/>
              </w:rPr>
              <w:fldChar w:fldCharType="separate"/>
            </w:r>
            <w:r w:rsidR="00A63605">
              <w:rPr>
                <w:noProof/>
                <w:webHidden/>
              </w:rPr>
              <w:t>95</w:t>
            </w:r>
            <w:r w:rsidR="00DD36E2">
              <w:rPr>
                <w:noProof/>
                <w:webHidden/>
              </w:rPr>
              <w:fldChar w:fldCharType="end"/>
            </w:r>
          </w:hyperlink>
        </w:p>
        <w:p w:rsidR="00DD36E2" w:rsidRDefault="002F39CB" w14:paraId="5A0A4E79" w14:textId="4230C67D">
          <w:pPr>
            <w:pStyle w:val="Innehll2"/>
            <w:tabs>
              <w:tab w:val="right" w:leader="dot" w:pos="8494"/>
            </w:tabs>
            <w:rPr>
              <w:rFonts w:eastAsiaTheme="minorEastAsia"/>
              <w:noProof/>
              <w:kern w:val="0"/>
              <w:sz w:val="22"/>
              <w:szCs w:val="22"/>
              <w:lang w:eastAsia="sv-SE"/>
              <w14:numSpacing w14:val="default"/>
            </w:rPr>
          </w:pPr>
          <w:hyperlink w:history="1" w:anchor="_Toc121752666">
            <w:r w:rsidRPr="000A0778" w:rsidR="00DD36E2">
              <w:rPr>
                <w:rStyle w:val="Hyperlnk"/>
                <w:noProof/>
              </w:rPr>
              <w:t>20.4 Sänkt avgiftstak i fråga om skattereduktion för fastighetsavgift</w:t>
            </w:r>
            <w:r w:rsidR="00DD36E2">
              <w:rPr>
                <w:noProof/>
                <w:webHidden/>
              </w:rPr>
              <w:tab/>
            </w:r>
            <w:r w:rsidR="00DD36E2">
              <w:rPr>
                <w:noProof/>
                <w:webHidden/>
              </w:rPr>
              <w:fldChar w:fldCharType="begin"/>
            </w:r>
            <w:r w:rsidR="00DD36E2">
              <w:rPr>
                <w:noProof/>
                <w:webHidden/>
              </w:rPr>
              <w:instrText xml:space="preserve"> PAGEREF _Toc121752666 \h </w:instrText>
            </w:r>
            <w:r w:rsidR="00DD36E2">
              <w:rPr>
                <w:noProof/>
                <w:webHidden/>
              </w:rPr>
            </w:r>
            <w:r w:rsidR="00DD36E2">
              <w:rPr>
                <w:noProof/>
                <w:webHidden/>
              </w:rPr>
              <w:fldChar w:fldCharType="separate"/>
            </w:r>
            <w:r w:rsidR="00A63605">
              <w:rPr>
                <w:noProof/>
                <w:webHidden/>
              </w:rPr>
              <w:t>95</w:t>
            </w:r>
            <w:r w:rsidR="00DD36E2">
              <w:rPr>
                <w:noProof/>
                <w:webHidden/>
              </w:rPr>
              <w:fldChar w:fldCharType="end"/>
            </w:r>
          </w:hyperlink>
        </w:p>
        <w:p w:rsidR="00DD36E2" w:rsidRDefault="002F39CB" w14:paraId="58714D99" w14:textId="7C2C1ED1">
          <w:pPr>
            <w:pStyle w:val="Innehll2"/>
            <w:tabs>
              <w:tab w:val="right" w:leader="dot" w:pos="8494"/>
            </w:tabs>
            <w:rPr>
              <w:rFonts w:eastAsiaTheme="minorEastAsia"/>
              <w:noProof/>
              <w:kern w:val="0"/>
              <w:sz w:val="22"/>
              <w:szCs w:val="22"/>
              <w:lang w:eastAsia="sv-SE"/>
              <w14:numSpacing w14:val="default"/>
            </w:rPr>
          </w:pPr>
          <w:hyperlink w:history="1" w:anchor="_Toc121752667">
            <w:r w:rsidRPr="000A0778" w:rsidR="00DD36E2">
              <w:rPr>
                <w:rStyle w:val="Hyperlnk"/>
                <w:noProof/>
              </w:rPr>
              <w:t>20.5 Ökad trygghet i utsatta områden</w:t>
            </w:r>
            <w:r w:rsidR="00DD36E2">
              <w:rPr>
                <w:noProof/>
                <w:webHidden/>
              </w:rPr>
              <w:tab/>
            </w:r>
            <w:r w:rsidR="00DD36E2">
              <w:rPr>
                <w:noProof/>
                <w:webHidden/>
              </w:rPr>
              <w:fldChar w:fldCharType="begin"/>
            </w:r>
            <w:r w:rsidR="00DD36E2">
              <w:rPr>
                <w:noProof/>
                <w:webHidden/>
              </w:rPr>
              <w:instrText xml:space="preserve"> PAGEREF _Toc121752667 \h </w:instrText>
            </w:r>
            <w:r w:rsidR="00DD36E2">
              <w:rPr>
                <w:noProof/>
                <w:webHidden/>
              </w:rPr>
            </w:r>
            <w:r w:rsidR="00DD36E2">
              <w:rPr>
                <w:noProof/>
                <w:webHidden/>
              </w:rPr>
              <w:fldChar w:fldCharType="separate"/>
            </w:r>
            <w:r w:rsidR="00A63605">
              <w:rPr>
                <w:noProof/>
                <w:webHidden/>
              </w:rPr>
              <w:t>95</w:t>
            </w:r>
            <w:r w:rsidR="00DD36E2">
              <w:rPr>
                <w:noProof/>
                <w:webHidden/>
              </w:rPr>
              <w:fldChar w:fldCharType="end"/>
            </w:r>
          </w:hyperlink>
        </w:p>
        <w:p w:rsidR="00DD36E2" w:rsidRDefault="002F39CB" w14:paraId="0DBAD807" w14:textId="760BA61F">
          <w:pPr>
            <w:pStyle w:val="Innehll1"/>
            <w:tabs>
              <w:tab w:val="right" w:leader="dot" w:pos="8494"/>
            </w:tabs>
            <w:rPr>
              <w:rFonts w:eastAsiaTheme="minorEastAsia"/>
              <w:noProof/>
              <w:kern w:val="0"/>
              <w:sz w:val="22"/>
              <w:szCs w:val="22"/>
              <w:lang w:eastAsia="sv-SE"/>
              <w14:numSpacing w14:val="default"/>
            </w:rPr>
          </w:pPr>
          <w:hyperlink w:history="1" w:anchor="_Toc121752668">
            <w:r w:rsidRPr="000A0778" w:rsidR="00DD36E2">
              <w:rPr>
                <w:rStyle w:val="Hyperlnk"/>
                <w:noProof/>
              </w:rPr>
              <w:t>21 Skatter</w:t>
            </w:r>
            <w:r w:rsidR="00DD36E2">
              <w:rPr>
                <w:noProof/>
                <w:webHidden/>
              </w:rPr>
              <w:tab/>
            </w:r>
            <w:r w:rsidR="00DD36E2">
              <w:rPr>
                <w:noProof/>
                <w:webHidden/>
              </w:rPr>
              <w:fldChar w:fldCharType="begin"/>
            </w:r>
            <w:r w:rsidR="00DD36E2">
              <w:rPr>
                <w:noProof/>
                <w:webHidden/>
              </w:rPr>
              <w:instrText xml:space="preserve"> PAGEREF _Toc121752668 \h </w:instrText>
            </w:r>
            <w:r w:rsidR="00DD36E2">
              <w:rPr>
                <w:noProof/>
                <w:webHidden/>
              </w:rPr>
            </w:r>
            <w:r w:rsidR="00DD36E2">
              <w:rPr>
                <w:noProof/>
                <w:webHidden/>
              </w:rPr>
              <w:fldChar w:fldCharType="separate"/>
            </w:r>
            <w:r w:rsidR="00A63605">
              <w:rPr>
                <w:noProof/>
                <w:webHidden/>
              </w:rPr>
              <w:t>97</w:t>
            </w:r>
            <w:r w:rsidR="00DD36E2">
              <w:rPr>
                <w:noProof/>
                <w:webHidden/>
              </w:rPr>
              <w:fldChar w:fldCharType="end"/>
            </w:r>
          </w:hyperlink>
        </w:p>
        <w:p w:rsidR="00DD36E2" w:rsidRDefault="002F39CB" w14:paraId="53FE382B" w14:textId="51C73391">
          <w:pPr>
            <w:pStyle w:val="Innehll2"/>
            <w:tabs>
              <w:tab w:val="right" w:leader="dot" w:pos="8494"/>
            </w:tabs>
            <w:rPr>
              <w:rFonts w:eastAsiaTheme="minorEastAsia"/>
              <w:noProof/>
              <w:kern w:val="0"/>
              <w:sz w:val="22"/>
              <w:szCs w:val="22"/>
              <w:lang w:eastAsia="sv-SE"/>
              <w14:numSpacing w14:val="default"/>
            </w:rPr>
          </w:pPr>
          <w:hyperlink w:history="1" w:anchor="_Toc121752669">
            <w:r w:rsidRPr="000A0778" w:rsidR="00DD36E2">
              <w:rPr>
                <w:rStyle w:val="Hyperlnk"/>
                <w:noProof/>
              </w:rPr>
              <w:t>21.1 Återställd SINK-skatt</w:t>
            </w:r>
            <w:r w:rsidR="00DD36E2">
              <w:rPr>
                <w:noProof/>
                <w:webHidden/>
              </w:rPr>
              <w:tab/>
            </w:r>
            <w:r w:rsidR="00DD36E2">
              <w:rPr>
                <w:noProof/>
                <w:webHidden/>
              </w:rPr>
              <w:fldChar w:fldCharType="begin"/>
            </w:r>
            <w:r w:rsidR="00DD36E2">
              <w:rPr>
                <w:noProof/>
                <w:webHidden/>
              </w:rPr>
              <w:instrText xml:space="preserve"> PAGEREF _Toc121752669 \h </w:instrText>
            </w:r>
            <w:r w:rsidR="00DD36E2">
              <w:rPr>
                <w:noProof/>
                <w:webHidden/>
              </w:rPr>
            </w:r>
            <w:r w:rsidR="00DD36E2">
              <w:rPr>
                <w:noProof/>
                <w:webHidden/>
              </w:rPr>
              <w:fldChar w:fldCharType="separate"/>
            </w:r>
            <w:r w:rsidR="00A63605">
              <w:rPr>
                <w:noProof/>
                <w:webHidden/>
              </w:rPr>
              <w:t>97</w:t>
            </w:r>
            <w:r w:rsidR="00DD36E2">
              <w:rPr>
                <w:noProof/>
                <w:webHidden/>
              </w:rPr>
              <w:fldChar w:fldCharType="end"/>
            </w:r>
          </w:hyperlink>
        </w:p>
        <w:p w:rsidR="00DD36E2" w:rsidRDefault="002F39CB" w14:paraId="5ABDA93A" w14:textId="37908D77">
          <w:pPr>
            <w:pStyle w:val="Innehll2"/>
            <w:tabs>
              <w:tab w:val="right" w:leader="dot" w:pos="8494"/>
            </w:tabs>
            <w:rPr>
              <w:rFonts w:eastAsiaTheme="minorEastAsia"/>
              <w:noProof/>
              <w:kern w:val="0"/>
              <w:sz w:val="22"/>
              <w:szCs w:val="22"/>
              <w:lang w:eastAsia="sv-SE"/>
              <w14:numSpacing w14:val="default"/>
            </w:rPr>
          </w:pPr>
          <w:hyperlink w:history="1" w:anchor="_Toc121752670">
            <w:r w:rsidRPr="000A0778" w:rsidR="00DD36E2">
              <w:rPr>
                <w:rStyle w:val="Hyperlnk"/>
                <w:noProof/>
              </w:rPr>
              <w:t>21.2 Utfasade ränteavdrag</w:t>
            </w:r>
            <w:r w:rsidR="00DD36E2">
              <w:rPr>
                <w:noProof/>
                <w:webHidden/>
              </w:rPr>
              <w:tab/>
            </w:r>
            <w:r w:rsidR="00DD36E2">
              <w:rPr>
                <w:noProof/>
                <w:webHidden/>
              </w:rPr>
              <w:fldChar w:fldCharType="begin"/>
            </w:r>
            <w:r w:rsidR="00DD36E2">
              <w:rPr>
                <w:noProof/>
                <w:webHidden/>
              </w:rPr>
              <w:instrText xml:space="preserve"> PAGEREF _Toc121752670 \h </w:instrText>
            </w:r>
            <w:r w:rsidR="00DD36E2">
              <w:rPr>
                <w:noProof/>
                <w:webHidden/>
              </w:rPr>
            </w:r>
            <w:r w:rsidR="00DD36E2">
              <w:rPr>
                <w:noProof/>
                <w:webHidden/>
              </w:rPr>
              <w:fldChar w:fldCharType="separate"/>
            </w:r>
            <w:r w:rsidR="00A63605">
              <w:rPr>
                <w:noProof/>
                <w:webHidden/>
              </w:rPr>
              <w:t>97</w:t>
            </w:r>
            <w:r w:rsidR="00DD36E2">
              <w:rPr>
                <w:noProof/>
                <w:webHidden/>
              </w:rPr>
              <w:fldChar w:fldCharType="end"/>
            </w:r>
          </w:hyperlink>
        </w:p>
        <w:p w:rsidR="00DD36E2" w:rsidRDefault="002F39CB" w14:paraId="39120D95" w14:textId="0555BB8B">
          <w:pPr>
            <w:pStyle w:val="Innehll2"/>
            <w:tabs>
              <w:tab w:val="right" w:leader="dot" w:pos="8494"/>
            </w:tabs>
            <w:rPr>
              <w:rFonts w:eastAsiaTheme="minorEastAsia"/>
              <w:noProof/>
              <w:kern w:val="0"/>
              <w:sz w:val="22"/>
              <w:szCs w:val="22"/>
              <w:lang w:eastAsia="sv-SE"/>
              <w14:numSpacing w14:val="default"/>
            </w:rPr>
          </w:pPr>
          <w:hyperlink w:history="1" w:anchor="_Toc121752671">
            <w:r w:rsidRPr="000A0778" w:rsidR="00DD36E2">
              <w:rPr>
                <w:rStyle w:val="Hyperlnk"/>
                <w:noProof/>
              </w:rPr>
              <w:t>21.3 Sänkt skatt på investeringssparkonton och kapitalförsäkringar</w:t>
            </w:r>
            <w:r w:rsidR="00DD36E2">
              <w:rPr>
                <w:noProof/>
                <w:webHidden/>
              </w:rPr>
              <w:tab/>
            </w:r>
            <w:r w:rsidR="00DD36E2">
              <w:rPr>
                <w:noProof/>
                <w:webHidden/>
              </w:rPr>
              <w:fldChar w:fldCharType="begin"/>
            </w:r>
            <w:r w:rsidR="00DD36E2">
              <w:rPr>
                <w:noProof/>
                <w:webHidden/>
              </w:rPr>
              <w:instrText xml:space="preserve"> PAGEREF _Toc121752671 \h </w:instrText>
            </w:r>
            <w:r w:rsidR="00DD36E2">
              <w:rPr>
                <w:noProof/>
                <w:webHidden/>
              </w:rPr>
            </w:r>
            <w:r w:rsidR="00DD36E2">
              <w:rPr>
                <w:noProof/>
                <w:webHidden/>
              </w:rPr>
              <w:fldChar w:fldCharType="separate"/>
            </w:r>
            <w:r w:rsidR="00A63605">
              <w:rPr>
                <w:noProof/>
                <w:webHidden/>
              </w:rPr>
              <w:t>98</w:t>
            </w:r>
            <w:r w:rsidR="00DD36E2">
              <w:rPr>
                <w:noProof/>
                <w:webHidden/>
              </w:rPr>
              <w:fldChar w:fldCharType="end"/>
            </w:r>
          </w:hyperlink>
        </w:p>
        <w:p w:rsidR="00DD36E2" w:rsidRDefault="002F39CB" w14:paraId="049FDC1B" w14:textId="563816FD">
          <w:pPr>
            <w:pStyle w:val="Innehll2"/>
            <w:tabs>
              <w:tab w:val="right" w:leader="dot" w:pos="8494"/>
            </w:tabs>
            <w:rPr>
              <w:rFonts w:eastAsiaTheme="minorEastAsia"/>
              <w:noProof/>
              <w:kern w:val="0"/>
              <w:sz w:val="22"/>
              <w:szCs w:val="22"/>
              <w:lang w:eastAsia="sv-SE"/>
              <w14:numSpacing w14:val="default"/>
            </w:rPr>
          </w:pPr>
          <w:hyperlink w:history="1" w:anchor="_Toc121752672">
            <w:r w:rsidRPr="000A0778" w:rsidR="00DD36E2">
              <w:rPr>
                <w:rStyle w:val="Hyperlnk"/>
                <w:noProof/>
              </w:rPr>
              <w:t>21.4 Lägre skatt på bensin och diesel</w:t>
            </w:r>
            <w:r w:rsidR="00DD36E2">
              <w:rPr>
                <w:noProof/>
                <w:webHidden/>
              </w:rPr>
              <w:tab/>
            </w:r>
            <w:r w:rsidR="00DD36E2">
              <w:rPr>
                <w:noProof/>
                <w:webHidden/>
              </w:rPr>
              <w:fldChar w:fldCharType="begin"/>
            </w:r>
            <w:r w:rsidR="00DD36E2">
              <w:rPr>
                <w:noProof/>
                <w:webHidden/>
              </w:rPr>
              <w:instrText xml:space="preserve"> PAGEREF _Toc121752672 \h </w:instrText>
            </w:r>
            <w:r w:rsidR="00DD36E2">
              <w:rPr>
                <w:noProof/>
                <w:webHidden/>
              </w:rPr>
            </w:r>
            <w:r w:rsidR="00DD36E2">
              <w:rPr>
                <w:noProof/>
                <w:webHidden/>
              </w:rPr>
              <w:fldChar w:fldCharType="separate"/>
            </w:r>
            <w:r w:rsidR="00A63605">
              <w:rPr>
                <w:noProof/>
                <w:webHidden/>
              </w:rPr>
              <w:t>98</w:t>
            </w:r>
            <w:r w:rsidR="00DD36E2">
              <w:rPr>
                <w:noProof/>
                <w:webHidden/>
              </w:rPr>
              <w:fldChar w:fldCharType="end"/>
            </w:r>
          </w:hyperlink>
        </w:p>
        <w:p w:rsidR="00DD36E2" w:rsidRDefault="002F39CB" w14:paraId="03CBBC86" w14:textId="71C1C9A2">
          <w:pPr>
            <w:pStyle w:val="Innehll2"/>
            <w:tabs>
              <w:tab w:val="right" w:leader="dot" w:pos="8494"/>
            </w:tabs>
            <w:rPr>
              <w:rFonts w:eastAsiaTheme="minorEastAsia"/>
              <w:noProof/>
              <w:kern w:val="0"/>
              <w:sz w:val="22"/>
              <w:szCs w:val="22"/>
              <w:lang w:eastAsia="sv-SE"/>
              <w14:numSpacing w14:val="default"/>
            </w:rPr>
          </w:pPr>
          <w:hyperlink w:history="1" w:anchor="_Toc121752673">
            <w:r w:rsidRPr="000A0778" w:rsidR="00DD36E2">
              <w:rPr>
                <w:rStyle w:val="Hyperlnk"/>
                <w:noProof/>
              </w:rPr>
              <w:t>21.5 Avskaffad flygskatt</w:t>
            </w:r>
            <w:r w:rsidR="00DD36E2">
              <w:rPr>
                <w:noProof/>
                <w:webHidden/>
              </w:rPr>
              <w:tab/>
            </w:r>
            <w:r w:rsidR="00DD36E2">
              <w:rPr>
                <w:noProof/>
                <w:webHidden/>
              </w:rPr>
              <w:fldChar w:fldCharType="begin"/>
            </w:r>
            <w:r w:rsidR="00DD36E2">
              <w:rPr>
                <w:noProof/>
                <w:webHidden/>
              </w:rPr>
              <w:instrText xml:space="preserve"> PAGEREF _Toc121752673 \h </w:instrText>
            </w:r>
            <w:r w:rsidR="00DD36E2">
              <w:rPr>
                <w:noProof/>
                <w:webHidden/>
              </w:rPr>
            </w:r>
            <w:r w:rsidR="00DD36E2">
              <w:rPr>
                <w:noProof/>
                <w:webHidden/>
              </w:rPr>
              <w:fldChar w:fldCharType="separate"/>
            </w:r>
            <w:r w:rsidR="00A63605">
              <w:rPr>
                <w:noProof/>
                <w:webHidden/>
              </w:rPr>
              <w:t>98</w:t>
            </w:r>
            <w:r w:rsidR="00DD36E2">
              <w:rPr>
                <w:noProof/>
                <w:webHidden/>
              </w:rPr>
              <w:fldChar w:fldCharType="end"/>
            </w:r>
          </w:hyperlink>
        </w:p>
        <w:p w:rsidR="00DD36E2" w:rsidRDefault="002F39CB" w14:paraId="3A0C0372" w14:textId="0AC9F5D2">
          <w:pPr>
            <w:pStyle w:val="Innehll2"/>
            <w:tabs>
              <w:tab w:val="right" w:leader="dot" w:pos="8494"/>
            </w:tabs>
            <w:rPr>
              <w:rFonts w:eastAsiaTheme="minorEastAsia"/>
              <w:noProof/>
              <w:kern w:val="0"/>
              <w:sz w:val="22"/>
              <w:szCs w:val="22"/>
              <w:lang w:eastAsia="sv-SE"/>
              <w14:numSpacing w14:val="default"/>
            </w:rPr>
          </w:pPr>
          <w:hyperlink w:history="1" w:anchor="_Toc121752674">
            <w:r w:rsidRPr="000A0778" w:rsidR="00DD36E2">
              <w:rPr>
                <w:rStyle w:val="Hyperlnk"/>
                <w:noProof/>
              </w:rPr>
              <w:t>21.6 Avskaffad kemikalieskatt</w:t>
            </w:r>
            <w:r w:rsidR="00DD36E2">
              <w:rPr>
                <w:noProof/>
                <w:webHidden/>
              </w:rPr>
              <w:tab/>
            </w:r>
            <w:r w:rsidR="00DD36E2">
              <w:rPr>
                <w:noProof/>
                <w:webHidden/>
              </w:rPr>
              <w:fldChar w:fldCharType="begin"/>
            </w:r>
            <w:r w:rsidR="00DD36E2">
              <w:rPr>
                <w:noProof/>
                <w:webHidden/>
              </w:rPr>
              <w:instrText xml:space="preserve"> PAGEREF _Toc121752674 \h </w:instrText>
            </w:r>
            <w:r w:rsidR="00DD36E2">
              <w:rPr>
                <w:noProof/>
                <w:webHidden/>
              </w:rPr>
            </w:r>
            <w:r w:rsidR="00DD36E2">
              <w:rPr>
                <w:noProof/>
                <w:webHidden/>
              </w:rPr>
              <w:fldChar w:fldCharType="separate"/>
            </w:r>
            <w:r w:rsidR="00A63605">
              <w:rPr>
                <w:noProof/>
                <w:webHidden/>
              </w:rPr>
              <w:t>98</w:t>
            </w:r>
            <w:r w:rsidR="00DD36E2">
              <w:rPr>
                <w:noProof/>
                <w:webHidden/>
              </w:rPr>
              <w:fldChar w:fldCharType="end"/>
            </w:r>
          </w:hyperlink>
        </w:p>
        <w:p w:rsidR="00DD36E2" w:rsidRDefault="002F39CB" w14:paraId="79ED110A" w14:textId="7873DD7A">
          <w:pPr>
            <w:pStyle w:val="Innehll2"/>
            <w:tabs>
              <w:tab w:val="right" w:leader="dot" w:pos="8494"/>
            </w:tabs>
            <w:rPr>
              <w:rFonts w:eastAsiaTheme="minorEastAsia"/>
              <w:noProof/>
              <w:kern w:val="0"/>
              <w:sz w:val="22"/>
              <w:szCs w:val="22"/>
              <w:lang w:eastAsia="sv-SE"/>
              <w14:numSpacing w14:val="default"/>
            </w:rPr>
          </w:pPr>
          <w:hyperlink w:history="1" w:anchor="_Toc121752675">
            <w:r w:rsidRPr="000A0778" w:rsidR="00DD36E2">
              <w:rPr>
                <w:rStyle w:val="Hyperlnk"/>
                <w:noProof/>
              </w:rPr>
              <w:t>21.7 Avskaffad skatt på plastpåsar</w:t>
            </w:r>
            <w:r w:rsidR="00DD36E2">
              <w:rPr>
                <w:noProof/>
                <w:webHidden/>
              </w:rPr>
              <w:tab/>
            </w:r>
            <w:r w:rsidR="00DD36E2">
              <w:rPr>
                <w:noProof/>
                <w:webHidden/>
              </w:rPr>
              <w:fldChar w:fldCharType="begin"/>
            </w:r>
            <w:r w:rsidR="00DD36E2">
              <w:rPr>
                <w:noProof/>
                <w:webHidden/>
              </w:rPr>
              <w:instrText xml:space="preserve"> PAGEREF _Toc121752675 \h </w:instrText>
            </w:r>
            <w:r w:rsidR="00DD36E2">
              <w:rPr>
                <w:noProof/>
                <w:webHidden/>
              </w:rPr>
            </w:r>
            <w:r w:rsidR="00DD36E2">
              <w:rPr>
                <w:noProof/>
                <w:webHidden/>
              </w:rPr>
              <w:fldChar w:fldCharType="separate"/>
            </w:r>
            <w:r w:rsidR="00A63605">
              <w:rPr>
                <w:noProof/>
                <w:webHidden/>
              </w:rPr>
              <w:t>98</w:t>
            </w:r>
            <w:r w:rsidR="00DD36E2">
              <w:rPr>
                <w:noProof/>
                <w:webHidden/>
              </w:rPr>
              <w:fldChar w:fldCharType="end"/>
            </w:r>
          </w:hyperlink>
        </w:p>
        <w:p w:rsidR="00DD36E2" w:rsidRDefault="002F39CB" w14:paraId="16B3AAAA" w14:textId="1757E2C6">
          <w:pPr>
            <w:pStyle w:val="Innehll2"/>
            <w:tabs>
              <w:tab w:val="right" w:leader="dot" w:pos="8494"/>
            </w:tabs>
            <w:rPr>
              <w:rFonts w:eastAsiaTheme="minorEastAsia"/>
              <w:noProof/>
              <w:kern w:val="0"/>
              <w:sz w:val="22"/>
              <w:szCs w:val="22"/>
              <w:lang w:eastAsia="sv-SE"/>
              <w14:numSpacing w14:val="default"/>
            </w:rPr>
          </w:pPr>
          <w:hyperlink w:history="1" w:anchor="_Toc121752676">
            <w:r w:rsidRPr="000A0778" w:rsidR="00DD36E2">
              <w:rPr>
                <w:rStyle w:val="Hyperlnk"/>
                <w:noProof/>
              </w:rPr>
              <w:t>21.8 Avskaffad skatt på avfallsförbränning</w:t>
            </w:r>
            <w:r w:rsidR="00DD36E2">
              <w:rPr>
                <w:noProof/>
                <w:webHidden/>
              </w:rPr>
              <w:tab/>
            </w:r>
            <w:r w:rsidR="00DD36E2">
              <w:rPr>
                <w:noProof/>
                <w:webHidden/>
              </w:rPr>
              <w:fldChar w:fldCharType="begin"/>
            </w:r>
            <w:r w:rsidR="00DD36E2">
              <w:rPr>
                <w:noProof/>
                <w:webHidden/>
              </w:rPr>
              <w:instrText xml:space="preserve"> PAGEREF _Toc121752676 \h </w:instrText>
            </w:r>
            <w:r w:rsidR="00DD36E2">
              <w:rPr>
                <w:noProof/>
                <w:webHidden/>
              </w:rPr>
            </w:r>
            <w:r w:rsidR="00DD36E2">
              <w:rPr>
                <w:noProof/>
                <w:webHidden/>
              </w:rPr>
              <w:fldChar w:fldCharType="separate"/>
            </w:r>
            <w:r w:rsidR="00A63605">
              <w:rPr>
                <w:noProof/>
                <w:webHidden/>
              </w:rPr>
              <w:t>99</w:t>
            </w:r>
            <w:r w:rsidR="00DD36E2">
              <w:rPr>
                <w:noProof/>
                <w:webHidden/>
              </w:rPr>
              <w:fldChar w:fldCharType="end"/>
            </w:r>
          </w:hyperlink>
        </w:p>
        <w:p w:rsidR="00DD36E2" w:rsidRDefault="002F39CB" w14:paraId="05A70351" w14:textId="2A27278F">
          <w:pPr>
            <w:pStyle w:val="Innehll2"/>
            <w:tabs>
              <w:tab w:val="right" w:leader="dot" w:pos="8494"/>
            </w:tabs>
            <w:rPr>
              <w:rFonts w:eastAsiaTheme="minorEastAsia"/>
              <w:noProof/>
              <w:kern w:val="0"/>
              <w:sz w:val="22"/>
              <w:szCs w:val="22"/>
              <w:lang w:eastAsia="sv-SE"/>
              <w14:numSpacing w14:val="default"/>
            </w:rPr>
          </w:pPr>
          <w:hyperlink w:history="1" w:anchor="_Toc121752677">
            <w:r w:rsidRPr="000A0778" w:rsidR="00DD36E2">
              <w:rPr>
                <w:rStyle w:val="Hyperlnk"/>
                <w:noProof/>
              </w:rPr>
              <w:t>21.9 Avskaffad bonus malus</w:t>
            </w:r>
            <w:r w:rsidR="00DD36E2">
              <w:rPr>
                <w:noProof/>
                <w:webHidden/>
              </w:rPr>
              <w:tab/>
            </w:r>
            <w:r w:rsidR="00DD36E2">
              <w:rPr>
                <w:noProof/>
                <w:webHidden/>
              </w:rPr>
              <w:fldChar w:fldCharType="begin"/>
            </w:r>
            <w:r w:rsidR="00DD36E2">
              <w:rPr>
                <w:noProof/>
                <w:webHidden/>
              </w:rPr>
              <w:instrText xml:space="preserve"> PAGEREF _Toc121752677 \h </w:instrText>
            </w:r>
            <w:r w:rsidR="00DD36E2">
              <w:rPr>
                <w:noProof/>
                <w:webHidden/>
              </w:rPr>
            </w:r>
            <w:r w:rsidR="00DD36E2">
              <w:rPr>
                <w:noProof/>
                <w:webHidden/>
              </w:rPr>
              <w:fldChar w:fldCharType="separate"/>
            </w:r>
            <w:r w:rsidR="00A63605">
              <w:rPr>
                <w:noProof/>
                <w:webHidden/>
              </w:rPr>
              <w:t>99</w:t>
            </w:r>
            <w:r w:rsidR="00DD36E2">
              <w:rPr>
                <w:noProof/>
                <w:webHidden/>
              </w:rPr>
              <w:fldChar w:fldCharType="end"/>
            </w:r>
          </w:hyperlink>
        </w:p>
        <w:p w:rsidR="00DD36E2" w:rsidRDefault="002F39CB" w14:paraId="7336FFCE" w14:textId="5F9AFA93">
          <w:pPr>
            <w:pStyle w:val="Innehll2"/>
            <w:tabs>
              <w:tab w:val="right" w:leader="dot" w:pos="8494"/>
            </w:tabs>
            <w:rPr>
              <w:rFonts w:eastAsiaTheme="minorEastAsia"/>
              <w:noProof/>
              <w:kern w:val="0"/>
              <w:sz w:val="22"/>
              <w:szCs w:val="22"/>
              <w:lang w:eastAsia="sv-SE"/>
              <w14:numSpacing w14:val="default"/>
            </w:rPr>
          </w:pPr>
          <w:hyperlink w:history="1" w:anchor="_Toc121752678">
            <w:r w:rsidRPr="000A0778" w:rsidR="00DD36E2">
              <w:rPr>
                <w:rStyle w:val="Hyperlnk"/>
                <w:noProof/>
              </w:rPr>
              <w:t>21.10 Nej till justerad förmånsbeskattning av tjänstebilar</w:t>
            </w:r>
            <w:r w:rsidR="00DD36E2">
              <w:rPr>
                <w:noProof/>
                <w:webHidden/>
              </w:rPr>
              <w:tab/>
            </w:r>
            <w:r w:rsidR="00DD36E2">
              <w:rPr>
                <w:noProof/>
                <w:webHidden/>
              </w:rPr>
              <w:fldChar w:fldCharType="begin"/>
            </w:r>
            <w:r w:rsidR="00DD36E2">
              <w:rPr>
                <w:noProof/>
                <w:webHidden/>
              </w:rPr>
              <w:instrText xml:space="preserve"> PAGEREF _Toc121752678 \h </w:instrText>
            </w:r>
            <w:r w:rsidR="00DD36E2">
              <w:rPr>
                <w:noProof/>
                <w:webHidden/>
              </w:rPr>
            </w:r>
            <w:r w:rsidR="00DD36E2">
              <w:rPr>
                <w:noProof/>
                <w:webHidden/>
              </w:rPr>
              <w:fldChar w:fldCharType="separate"/>
            </w:r>
            <w:r w:rsidR="00A63605">
              <w:rPr>
                <w:noProof/>
                <w:webHidden/>
              </w:rPr>
              <w:t>99</w:t>
            </w:r>
            <w:r w:rsidR="00DD36E2">
              <w:rPr>
                <w:noProof/>
                <w:webHidden/>
              </w:rPr>
              <w:fldChar w:fldCharType="end"/>
            </w:r>
          </w:hyperlink>
        </w:p>
        <w:p w:rsidR="00DD36E2" w:rsidRDefault="002F39CB" w14:paraId="200089AF" w14:textId="59872111">
          <w:pPr>
            <w:pStyle w:val="Innehll2"/>
            <w:tabs>
              <w:tab w:val="right" w:leader="dot" w:pos="8494"/>
            </w:tabs>
            <w:rPr>
              <w:rFonts w:eastAsiaTheme="minorEastAsia"/>
              <w:noProof/>
              <w:kern w:val="0"/>
              <w:sz w:val="22"/>
              <w:szCs w:val="22"/>
              <w:lang w:eastAsia="sv-SE"/>
              <w14:numSpacing w14:val="default"/>
            </w:rPr>
          </w:pPr>
          <w:hyperlink w:history="1" w:anchor="_Toc121752679">
            <w:r w:rsidRPr="000A0778" w:rsidR="00DD36E2">
              <w:rPr>
                <w:rStyle w:val="Hyperlnk"/>
                <w:noProof/>
              </w:rPr>
              <w:t>21.11 Återställda momssatser</w:t>
            </w:r>
            <w:r w:rsidR="00DD36E2">
              <w:rPr>
                <w:noProof/>
                <w:webHidden/>
              </w:rPr>
              <w:tab/>
            </w:r>
            <w:r w:rsidR="00DD36E2">
              <w:rPr>
                <w:noProof/>
                <w:webHidden/>
              </w:rPr>
              <w:fldChar w:fldCharType="begin"/>
            </w:r>
            <w:r w:rsidR="00DD36E2">
              <w:rPr>
                <w:noProof/>
                <w:webHidden/>
              </w:rPr>
              <w:instrText xml:space="preserve"> PAGEREF _Toc121752679 \h </w:instrText>
            </w:r>
            <w:r w:rsidR="00DD36E2">
              <w:rPr>
                <w:noProof/>
                <w:webHidden/>
              </w:rPr>
            </w:r>
            <w:r w:rsidR="00DD36E2">
              <w:rPr>
                <w:noProof/>
                <w:webHidden/>
              </w:rPr>
              <w:fldChar w:fldCharType="separate"/>
            </w:r>
            <w:r w:rsidR="00A63605">
              <w:rPr>
                <w:noProof/>
                <w:webHidden/>
              </w:rPr>
              <w:t>99</w:t>
            </w:r>
            <w:r w:rsidR="00DD36E2">
              <w:rPr>
                <w:noProof/>
                <w:webHidden/>
              </w:rPr>
              <w:fldChar w:fldCharType="end"/>
            </w:r>
          </w:hyperlink>
        </w:p>
        <w:p w:rsidR="00DD36E2" w:rsidRDefault="002F39CB" w14:paraId="4FAEBE30" w14:textId="39A3267C">
          <w:pPr>
            <w:pStyle w:val="Innehll2"/>
            <w:tabs>
              <w:tab w:val="right" w:leader="dot" w:pos="8494"/>
            </w:tabs>
            <w:rPr>
              <w:rFonts w:eastAsiaTheme="minorEastAsia"/>
              <w:noProof/>
              <w:kern w:val="0"/>
              <w:sz w:val="22"/>
              <w:szCs w:val="22"/>
              <w:lang w:eastAsia="sv-SE"/>
              <w14:numSpacing w14:val="default"/>
            </w:rPr>
          </w:pPr>
          <w:hyperlink w:history="1" w:anchor="_Toc121752680">
            <w:r w:rsidRPr="000A0778" w:rsidR="00DD36E2">
              <w:rPr>
                <w:rStyle w:val="Hyperlnk"/>
                <w:noProof/>
              </w:rPr>
              <w:t>21.12 Slopad förmånsbeskattning av sjukvård</w:t>
            </w:r>
            <w:r w:rsidR="00DD36E2">
              <w:rPr>
                <w:noProof/>
                <w:webHidden/>
              </w:rPr>
              <w:tab/>
            </w:r>
            <w:r w:rsidR="00DD36E2">
              <w:rPr>
                <w:noProof/>
                <w:webHidden/>
              </w:rPr>
              <w:fldChar w:fldCharType="begin"/>
            </w:r>
            <w:r w:rsidR="00DD36E2">
              <w:rPr>
                <w:noProof/>
                <w:webHidden/>
              </w:rPr>
              <w:instrText xml:space="preserve"> PAGEREF _Toc121752680 \h </w:instrText>
            </w:r>
            <w:r w:rsidR="00DD36E2">
              <w:rPr>
                <w:noProof/>
                <w:webHidden/>
              </w:rPr>
            </w:r>
            <w:r w:rsidR="00DD36E2">
              <w:rPr>
                <w:noProof/>
                <w:webHidden/>
              </w:rPr>
              <w:fldChar w:fldCharType="separate"/>
            </w:r>
            <w:r w:rsidR="00A63605">
              <w:rPr>
                <w:noProof/>
                <w:webHidden/>
              </w:rPr>
              <w:t>101</w:t>
            </w:r>
            <w:r w:rsidR="00DD36E2">
              <w:rPr>
                <w:noProof/>
                <w:webHidden/>
              </w:rPr>
              <w:fldChar w:fldCharType="end"/>
            </w:r>
          </w:hyperlink>
        </w:p>
        <w:p w:rsidR="00DD36E2" w:rsidRDefault="002F39CB" w14:paraId="7DC31971" w14:textId="45A63A50">
          <w:pPr>
            <w:pStyle w:val="Innehll1"/>
            <w:tabs>
              <w:tab w:val="right" w:leader="dot" w:pos="8494"/>
            </w:tabs>
            <w:rPr>
              <w:rFonts w:eastAsiaTheme="minorEastAsia"/>
              <w:noProof/>
              <w:kern w:val="0"/>
              <w:sz w:val="22"/>
              <w:szCs w:val="22"/>
              <w:lang w:eastAsia="sv-SE"/>
              <w14:numSpacing w14:val="default"/>
            </w:rPr>
          </w:pPr>
          <w:hyperlink w:history="1" w:anchor="_Toc121752681">
            <w:r w:rsidRPr="000A0778" w:rsidR="00DD36E2">
              <w:rPr>
                <w:rStyle w:val="Hyperlnk"/>
                <w:noProof/>
              </w:rPr>
              <w:t>22 Tabeller per utgiftsområde</w:t>
            </w:r>
            <w:r w:rsidR="00DD36E2">
              <w:rPr>
                <w:noProof/>
                <w:webHidden/>
              </w:rPr>
              <w:tab/>
            </w:r>
            <w:r w:rsidR="00DD36E2">
              <w:rPr>
                <w:noProof/>
                <w:webHidden/>
              </w:rPr>
              <w:fldChar w:fldCharType="begin"/>
            </w:r>
            <w:r w:rsidR="00DD36E2">
              <w:rPr>
                <w:noProof/>
                <w:webHidden/>
              </w:rPr>
              <w:instrText xml:space="preserve"> PAGEREF _Toc121752681 \h </w:instrText>
            </w:r>
            <w:r w:rsidR="00DD36E2">
              <w:rPr>
                <w:noProof/>
                <w:webHidden/>
              </w:rPr>
            </w:r>
            <w:r w:rsidR="00DD36E2">
              <w:rPr>
                <w:noProof/>
                <w:webHidden/>
              </w:rPr>
              <w:fldChar w:fldCharType="separate"/>
            </w:r>
            <w:r w:rsidR="00A63605">
              <w:rPr>
                <w:noProof/>
                <w:webHidden/>
              </w:rPr>
              <w:t>102</w:t>
            </w:r>
            <w:r w:rsidR="00DD36E2">
              <w:rPr>
                <w:noProof/>
                <w:webHidden/>
              </w:rPr>
              <w:fldChar w:fldCharType="end"/>
            </w:r>
          </w:hyperlink>
        </w:p>
        <w:p w:rsidR="00DD36E2" w:rsidRDefault="002F39CB" w14:paraId="40B3F45E" w14:textId="06ED994D">
          <w:pPr>
            <w:pStyle w:val="Innehll2"/>
            <w:tabs>
              <w:tab w:val="right" w:leader="dot" w:pos="8494"/>
            </w:tabs>
            <w:rPr>
              <w:rFonts w:eastAsiaTheme="minorEastAsia"/>
              <w:noProof/>
              <w:kern w:val="0"/>
              <w:sz w:val="22"/>
              <w:szCs w:val="22"/>
              <w:lang w:eastAsia="sv-SE"/>
              <w14:numSpacing w14:val="default"/>
            </w:rPr>
          </w:pPr>
          <w:hyperlink w:history="1" w:anchor="_Toc121752682">
            <w:r w:rsidRPr="000A0778" w:rsidR="00DD36E2">
              <w:rPr>
                <w:rStyle w:val="Hyperlnk"/>
                <w:noProof/>
              </w:rPr>
              <w:t>22.1 Utgiftsområde 1 Rikets styrelse</w:t>
            </w:r>
            <w:r w:rsidR="00DD36E2">
              <w:rPr>
                <w:noProof/>
                <w:webHidden/>
              </w:rPr>
              <w:tab/>
            </w:r>
            <w:r w:rsidR="00DD36E2">
              <w:rPr>
                <w:noProof/>
                <w:webHidden/>
              </w:rPr>
              <w:fldChar w:fldCharType="begin"/>
            </w:r>
            <w:r w:rsidR="00DD36E2">
              <w:rPr>
                <w:noProof/>
                <w:webHidden/>
              </w:rPr>
              <w:instrText xml:space="preserve"> PAGEREF _Toc121752682 \h </w:instrText>
            </w:r>
            <w:r w:rsidR="00DD36E2">
              <w:rPr>
                <w:noProof/>
                <w:webHidden/>
              </w:rPr>
            </w:r>
            <w:r w:rsidR="00DD36E2">
              <w:rPr>
                <w:noProof/>
                <w:webHidden/>
              </w:rPr>
              <w:fldChar w:fldCharType="separate"/>
            </w:r>
            <w:r w:rsidR="00A63605">
              <w:rPr>
                <w:noProof/>
                <w:webHidden/>
              </w:rPr>
              <w:t>102</w:t>
            </w:r>
            <w:r w:rsidR="00DD36E2">
              <w:rPr>
                <w:noProof/>
                <w:webHidden/>
              </w:rPr>
              <w:fldChar w:fldCharType="end"/>
            </w:r>
          </w:hyperlink>
        </w:p>
        <w:p w:rsidR="00DD36E2" w:rsidRDefault="002F39CB" w14:paraId="52B29EC7" w14:textId="23E3FF59">
          <w:pPr>
            <w:pStyle w:val="Innehll2"/>
            <w:tabs>
              <w:tab w:val="right" w:leader="dot" w:pos="8494"/>
            </w:tabs>
            <w:rPr>
              <w:rFonts w:eastAsiaTheme="minorEastAsia"/>
              <w:noProof/>
              <w:kern w:val="0"/>
              <w:sz w:val="22"/>
              <w:szCs w:val="22"/>
              <w:lang w:eastAsia="sv-SE"/>
              <w14:numSpacing w14:val="default"/>
            </w:rPr>
          </w:pPr>
          <w:hyperlink w:history="1" w:anchor="_Toc121752683">
            <w:r w:rsidRPr="000A0778" w:rsidR="00DD36E2">
              <w:rPr>
                <w:rStyle w:val="Hyperlnk"/>
                <w:noProof/>
              </w:rPr>
              <w:t>22.2 Utgiftsområde 2 Samhällsekonomi och finansförvaltning</w:t>
            </w:r>
            <w:r w:rsidR="00DD36E2">
              <w:rPr>
                <w:noProof/>
                <w:webHidden/>
              </w:rPr>
              <w:tab/>
            </w:r>
            <w:r w:rsidR="00DD36E2">
              <w:rPr>
                <w:noProof/>
                <w:webHidden/>
              </w:rPr>
              <w:fldChar w:fldCharType="begin"/>
            </w:r>
            <w:r w:rsidR="00DD36E2">
              <w:rPr>
                <w:noProof/>
                <w:webHidden/>
              </w:rPr>
              <w:instrText xml:space="preserve"> PAGEREF _Toc121752683 \h </w:instrText>
            </w:r>
            <w:r w:rsidR="00DD36E2">
              <w:rPr>
                <w:noProof/>
                <w:webHidden/>
              </w:rPr>
            </w:r>
            <w:r w:rsidR="00DD36E2">
              <w:rPr>
                <w:noProof/>
                <w:webHidden/>
              </w:rPr>
              <w:fldChar w:fldCharType="separate"/>
            </w:r>
            <w:r w:rsidR="00A63605">
              <w:rPr>
                <w:noProof/>
                <w:webHidden/>
              </w:rPr>
              <w:t>103</w:t>
            </w:r>
            <w:r w:rsidR="00DD36E2">
              <w:rPr>
                <w:noProof/>
                <w:webHidden/>
              </w:rPr>
              <w:fldChar w:fldCharType="end"/>
            </w:r>
          </w:hyperlink>
        </w:p>
        <w:p w:rsidR="00DD36E2" w:rsidRDefault="002F39CB" w14:paraId="29820FF6" w14:textId="78EBD560">
          <w:pPr>
            <w:pStyle w:val="Innehll2"/>
            <w:tabs>
              <w:tab w:val="right" w:leader="dot" w:pos="8494"/>
            </w:tabs>
            <w:rPr>
              <w:rFonts w:eastAsiaTheme="minorEastAsia"/>
              <w:noProof/>
              <w:kern w:val="0"/>
              <w:sz w:val="22"/>
              <w:szCs w:val="22"/>
              <w:lang w:eastAsia="sv-SE"/>
              <w14:numSpacing w14:val="default"/>
            </w:rPr>
          </w:pPr>
          <w:hyperlink w:history="1" w:anchor="_Toc121752684">
            <w:r w:rsidRPr="000A0778" w:rsidR="00DD36E2">
              <w:rPr>
                <w:rStyle w:val="Hyperlnk"/>
                <w:noProof/>
              </w:rPr>
              <w:t>22.3 Utgiftsområde 3 Skatt, tull och exekution</w:t>
            </w:r>
            <w:r w:rsidR="00DD36E2">
              <w:rPr>
                <w:noProof/>
                <w:webHidden/>
              </w:rPr>
              <w:tab/>
            </w:r>
            <w:r w:rsidR="00DD36E2">
              <w:rPr>
                <w:noProof/>
                <w:webHidden/>
              </w:rPr>
              <w:fldChar w:fldCharType="begin"/>
            </w:r>
            <w:r w:rsidR="00DD36E2">
              <w:rPr>
                <w:noProof/>
                <w:webHidden/>
              </w:rPr>
              <w:instrText xml:space="preserve"> PAGEREF _Toc121752684 \h </w:instrText>
            </w:r>
            <w:r w:rsidR="00DD36E2">
              <w:rPr>
                <w:noProof/>
                <w:webHidden/>
              </w:rPr>
            </w:r>
            <w:r w:rsidR="00DD36E2">
              <w:rPr>
                <w:noProof/>
                <w:webHidden/>
              </w:rPr>
              <w:fldChar w:fldCharType="separate"/>
            </w:r>
            <w:r w:rsidR="00A63605">
              <w:rPr>
                <w:noProof/>
                <w:webHidden/>
              </w:rPr>
              <w:t>103</w:t>
            </w:r>
            <w:r w:rsidR="00DD36E2">
              <w:rPr>
                <w:noProof/>
                <w:webHidden/>
              </w:rPr>
              <w:fldChar w:fldCharType="end"/>
            </w:r>
          </w:hyperlink>
        </w:p>
        <w:p w:rsidR="00DD36E2" w:rsidRDefault="002F39CB" w14:paraId="7DAB17C5" w14:textId="545CE98D">
          <w:pPr>
            <w:pStyle w:val="Innehll2"/>
            <w:tabs>
              <w:tab w:val="right" w:leader="dot" w:pos="8494"/>
            </w:tabs>
            <w:rPr>
              <w:rFonts w:eastAsiaTheme="minorEastAsia"/>
              <w:noProof/>
              <w:kern w:val="0"/>
              <w:sz w:val="22"/>
              <w:szCs w:val="22"/>
              <w:lang w:eastAsia="sv-SE"/>
              <w14:numSpacing w14:val="default"/>
            </w:rPr>
          </w:pPr>
          <w:hyperlink w:history="1" w:anchor="_Toc121752685">
            <w:r w:rsidRPr="000A0778" w:rsidR="00DD36E2">
              <w:rPr>
                <w:rStyle w:val="Hyperlnk"/>
                <w:noProof/>
              </w:rPr>
              <w:t>22.4 Utgiftsområde 4 Rättsväsendet</w:t>
            </w:r>
            <w:r w:rsidR="00DD36E2">
              <w:rPr>
                <w:noProof/>
                <w:webHidden/>
              </w:rPr>
              <w:tab/>
            </w:r>
            <w:r w:rsidR="00DD36E2">
              <w:rPr>
                <w:noProof/>
                <w:webHidden/>
              </w:rPr>
              <w:fldChar w:fldCharType="begin"/>
            </w:r>
            <w:r w:rsidR="00DD36E2">
              <w:rPr>
                <w:noProof/>
                <w:webHidden/>
              </w:rPr>
              <w:instrText xml:space="preserve"> PAGEREF _Toc121752685 \h </w:instrText>
            </w:r>
            <w:r w:rsidR="00DD36E2">
              <w:rPr>
                <w:noProof/>
                <w:webHidden/>
              </w:rPr>
            </w:r>
            <w:r w:rsidR="00DD36E2">
              <w:rPr>
                <w:noProof/>
                <w:webHidden/>
              </w:rPr>
              <w:fldChar w:fldCharType="separate"/>
            </w:r>
            <w:r w:rsidR="00A63605">
              <w:rPr>
                <w:noProof/>
                <w:webHidden/>
              </w:rPr>
              <w:t>104</w:t>
            </w:r>
            <w:r w:rsidR="00DD36E2">
              <w:rPr>
                <w:noProof/>
                <w:webHidden/>
              </w:rPr>
              <w:fldChar w:fldCharType="end"/>
            </w:r>
          </w:hyperlink>
        </w:p>
        <w:p w:rsidR="00DD36E2" w:rsidRDefault="002F39CB" w14:paraId="27BBE4BE" w14:textId="77C38262">
          <w:pPr>
            <w:pStyle w:val="Innehll2"/>
            <w:tabs>
              <w:tab w:val="right" w:leader="dot" w:pos="8494"/>
            </w:tabs>
            <w:rPr>
              <w:rFonts w:eastAsiaTheme="minorEastAsia"/>
              <w:noProof/>
              <w:kern w:val="0"/>
              <w:sz w:val="22"/>
              <w:szCs w:val="22"/>
              <w:lang w:eastAsia="sv-SE"/>
              <w14:numSpacing w14:val="default"/>
            </w:rPr>
          </w:pPr>
          <w:hyperlink w:history="1" w:anchor="_Toc121752686">
            <w:r w:rsidRPr="000A0778" w:rsidR="00DD36E2">
              <w:rPr>
                <w:rStyle w:val="Hyperlnk"/>
                <w:noProof/>
              </w:rPr>
              <w:t>22.5 Utgiftsområde 5 Internationell samverkan</w:t>
            </w:r>
            <w:r w:rsidR="00DD36E2">
              <w:rPr>
                <w:noProof/>
                <w:webHidden/>
              </w:rPr>
              <w:tab/>
            </w:r>
            <w:r w:rsidR="00DD36E2">
              <w:rPr>
                <w:noProof/>
                <w:webHidden/>
              </w:rPr>
              <w:fldChar w:fldCharType="begin"/>
            </w:r>
            <w:r w:rsidR="00DD36E2">
              <w:rPr>
                <w:noProof/>
                <w:webHidden/>
              </w:rPr>
              <w:instrText xml:space="preserve"> PAGEREF _Toc121752686 \h </w:instrText>
            </w:r>
            <w:r w:rsidR="00DD36E2">
              <w:rPr>
                <w:noProof/>
                <w:webHidden/>
              </w:rPr>
            </w:r>
            <w:r w:rsidR="00DD36E2">
              <w:rPr>
                <w:noProof/>
                <w:webHidden/>
              </w:rPr>
              <w:fldChar w:fldCharType="separate"/>
            </w:r>
            <w:r w:rsidR="00A63605">
              <w:rPr>
                <w:noProof/>
                <w:webHidden/>
              </w:rPr>
              <w:t>104</w:t>
            </w:r>
            <w:r w:rsidR="00DD36E2">
              <w:rPr>
                <w:noProof/>
                <w:webHidden/>
              </w:rPr>
              <w:fldChar w:fldCharType="end"/>
            </w:r>
          </w:hyperlink>
        </w:p>
        <w:p w:rsidR="00DD36E2" w:rsidRDefault="002F39CB" w14:paraId="6E431062" w14:textId="3DE61D3F">
          <w:pPr>
            <w:pStyle w:val="Innehll2"/>
            <w:tabs>
              <w:tab w:val="right" w:leader="dot" w:pos="8494"/>
            </w:tabs>
            <w:rPr>
              <w:rFonts w:eastAsiaTheme="minorEastAsia"/>
              <w:noProof/>
              <w:kern w:val="0"/>
              <w:sz w:val="22"/>
              <w:szCs w:val="22"/>
              <w:lang w:eastAsia="sv-SE"/>
              <w14:numSpacing w14:val="default"/>
            </w:rPr>
          </w:pPr>
          <w:hyperlink w:history="1" w:anchor="_Toc121752687">
            <w:r w:rsidRPr="000A0778" w:rsidR="00DD36E2">
              <w:rPr>
                <w:rStyle w:val="Hyperlnk"/>
                <w:noProof/>
              </w:rPr>
              <w:t>22.6 Försvar och samhällets krisberedskap</w:t>
            </w:r>
            <w:r w:rsidR="00DD36E2">
              <w:rPr>
                <w:noProof/>
                <w:webHidden/>
              </w:rPr>
              <w:tab/>
            </w:r>
            <w:r w:rsidR="00DD36E2">
              <w:rPr>
                <w:noProof/>
                <w:webHidden/>
              </w:rPr>
              <w:fldChar w:fldCharType="begin"/>
            </w:r>
            <w:r w:rsidR="00DD36E2">
              <w:rPr>
                <w:noProof/>
                <w:webHidden/>
              </w:rPr>
              <w:instrText xml:space="preserve"> PAGEREF _Toc121752687 \h </w:instrText>
            </w:r>
            <w:r w:rsidR="00DD36E2">
              <w:rPr>
                <w:noProof/>
                <w:webHidden/>
              </w:rPr>
            </w:r>
            <w:r w:rsidR="00DD36E2">
              <w:rPr>
                <w:noProof/>
                <w:webHidden/>
              </w:rPr>
              <w:fldChar w:fldCharType="separate"/>
            </w:r>
            <w:r w:rsidR="00A63605">
              <w:rPr>
                <w:noProof/>
                <w:webHidden/>
              </w:rPr>
              <w:t>105</w:t>
            </w:r>
            <w:r w:rsidR="00DD36E2">
              <w:rPr>
                <w:noProof/>
                <w:webHidden/>
              </w:rPr>
              <w:fldChar w:fldCharType="end"/>
            </w:r>
          </w:hyperlink>
        </w:p>
        <w:p w:rsidR="00DD36E2" w:rsidRDefault="002F39CB" w14:paraId="1DD864C2" w14:textId="0893DD13">
          <w:pPr>
            <w:pStyle w:val="Innehll2"/>
            <w:tabs>
              <w:tab w:val="right" w:leader="dot" w:pos="8494"/>
            </w:tabs>
            <w:rPr>
              <w:rFonts w:eastAsiaTheme="minorEastAsia"/>
              <w:noProof/>
              <w:kern w:val="0"/>
              <w:sz w:val="22"/>
              <w:szCs w:val="22"/>
              <w:lang w:eastAsia="sv-SE"/>
              <w14:numSpacing w14:val="default"/>
            </w:rPr>
          </w:pPr>
          <w:hyperlink w:history="1" w:anchor="_Toc121752688">
            <w:r w:rsidRPr="000A0778" w:rsidR="00DD36E2">
              <w:rPr>
                <w:rStyle w:val="Hyperlnk"/>
                <w:noProof/>
              </w:rPr>
              <w:t>22.7 Utgiftsområde 7 Internationellt bistånd</w:t>
            </w:r>
            <w:r w:rsidR="00DD36E2">
              <w:rPr>
                <w:noProof/>
                <w:webHidden/>
              </w:rPr>
              <w:tab/>
            </w:r>
            <w:r w:rsidR="00DD36E2">
              <w:rPr>
                <w:noProof/>
                <w:webHidden/>
              </w:rPr>
              <w:fldChar w:fldCharType="begin"/>
            </w:r>
            <w:r w:rsidR="00DD36E2">
              <w:rPr>
                <w:noProof/>
                <w:webHidden/>
              </w:rPr>
              <w:instrText xml:space="preserve"> PAGEREF _Toc121752688 \h </w:instrText>
            </w:r>
            <w:r w:rsidR="00DD36E2">
              <w:rPr>
                <w:noProof/>
                <w:webHidden/>
              </w:rPr>
            </w:r>
            <w:r w:rsidR="00DD36E2">
              <w:rPr>
                <w:noProof/>
                <w:webHidden/>
              </w:rPr>
              <w:fldChar w:fldCharType="separate"/>
            </w:r>
            <w:r w:rsidR="00A63605">
              <w:rPr>
                <w:noProof/>
                <w:webHidden/>
              </w:rPr>
              <w:t>106</w:t>
            </w:r>
            <w:r w:rsidR="00DD36E2">
              <w:rPr>
                <w:noProof/>
                <w:webHidden/>
              </w:rPr>
              <w:fldChar w:fldCharType="end"/>
            </w:r>
          </w:hyperlink>
        </w:p>
        <w:p w:rsidR="00DD36E2" w:rsidRDefault="002F39CB" w14:paraId="119E2259" w14:textId="42B75BC4">
          <w:pPr>
            <w:pStyle w:val="Innehll2"/>
            <w:tabs>
              <w:tab w:val="right" w:leader="dot" w:pos="8494"/>
            </w:tabs>
            <w:rPr>
              <w:rFonts w:eastAsiaTheme="minorEastAsia"/>
              <w:noProof/>
              <w:kern w:val="0"/>
              <w:sz w:val="22"/>
              <w:szCs w:val="22"/>
              <w:lang w:eastAsia="sv-SE"/>
              <w14:numSpacing w14:val="default"/>
            </w:rPr>
          </w:pPr>
          <w:hyperlink w:history="1" w:anchor="_Toc121752689">
            <w:r w:rsidRPr="000A0778" w:rsidR="00DD36E2">
              <w:rPr>
                <w:rStyle w:val="Hyperlnk"/>
                <w:noProof/>
              </w:rPr>
              <w:t>22.8 Utgiftsområde 8 Migration</w:t>
            </w:r>
            <w:r w:rsidR="00DD36E2">
              <w:rPr>
                <w:noProof/>
                <w:webHidden/>
              </w:rPr>
              <w:tab/>
            </w:r>
            <w:r w:rsidR="00DD36E2">
              <w:rPr>
                <w:noProof/>
                <w:webHidden/>
              </w:rPr>
              <w:fldChar w:fldCharType="begin"/>
            </w:r>
            <w:r w:rsidR="00DD36E2">
              <w:rPr>
                <w:noProof/>
                <w:webHidden/>
              </w:rPr>
              <w:instrText xml:space="preserve"> PAGEREF _Toc121752689 \h </w:instrText>
            </w:r>
            <w:r w:rsidR="00DD36E2">
              <w:rPr>
                <w:noProof/>
                <w:webHidden/>
              </w:rPr>
            </w:r>
            <w:r w:rsidR="00DD36E2">
              <w:rPr>
                <w:noProof/>
                <w:webHidden/>
              </w:rPr>
              <w:fldChar w:fldCharType="separate"/>
            </w:r>
            <w:r w:rsidR="00A63605">
              <w:rPr>
                <w:noProof/>
                <w:webHidden/>
              </w:rPr>
              <w:t>106</w:t>
            </w:r>
            <w:r w:rsidR="00DD36E2">
              <w:rPr>
                <w:noProof/>
                <w:webHidden/>
              </w:rPr>
              <w:fldChar w:fldCharType="end"/>
            </w:r>
          </w:hyperlink>
        </w:p>
        <w:p w:rsidR="00DD36E2" w:rsidRDefault="002F39CB" w14:paraId="7A9868D3" w14:textId="19CA3326">
          <w:pPr>
            <w:pStyle w:val="Innehll2"/>
            <w:tabs>
              <w:tab w:val="right" w:leader="dot" w:pos="8494"/>
            </w:tabs>
            <w:rPr>
              <w:rFonts w:eastAsiaTheme="minorEastAsia"/>
              <w:noProof/>
              <w:kern w:val="0"/>
              <w:sz w:val="22"/>
              <w:szCs w:val="22"/>
              <w:lang w:eastAsia="sv-SE"/>
              <w14:numSpacing w14:val="default"/>
            </w:rPr>
          </w:pPr>
          <w:hyperlink w:history="1" w:anchor="_Toc121752690">
            <w:r w:rsidRPr="000A0778" w:rsidR="00DD36E2">
              <w:rPr>
                <w:rStyle w:val="Hyperlnk"/>
                <w:noProof/>
              </w:rPr>
              <w:t>22.9 Utgiftsområde 9 Hälsovård, sjukvård och social omsorg</w:t>
            </w:r>
            <w:r w:rsidR="00DD36E2">
              <w:rPr>
                <w:noProof/>
                <w:webHidden/>
              </w:rPr>
              <w:tab/>
            </w:r>
            <w:r w:rsidR="00DD36E2">
              <w:rPr>
                <w:noProof/>
                <w:webHidden/>
              </w:rPr>
              <w:fldChar w:fldCharType="begin"/>
            </w:r>
            <w:r w:rsidR="00DD36E2">
              <w:rPr>
                <w:noProof/>
                <w:webHidden/>
              </w:rPr>
              <w:instrText xml:space="preserve"> PAGEREF _Toc121752690 \h </w:instrText>
            </w:r>
            <w:r w:rsidR="00DD36E2">
              <w:rPr>
                <w:noProof/>
                <w:webHidden/>
              </w:rPr>
            </w:r>
            <w:r w:rsidR="00DD36E2">
              <w:rPr>
                <w:noProof/>
                <w:webHidden/>
              </w:rPr>
              <w:fldChar w:fldCharType="separate"/>
            </w:r>
            <w:r w:rsidR="00A63605">
              <w:rPr>
                <w:noProof/>
                <w:webHidden/>
              </w:rPr>
              <w:t>107</w:t>
            </w:r>
            <w:r w:rsidR="00DD36E2">
              <w:rPr>
                <w:noProof/>
                <w:webHidden/>
              </w:rPr>
              <w:fldChar w:fldCharType="end"/>
            </w:r>
          </w:hyperlink>
        </w:p>
        <w:p w:rsidR="00DD36E2" w:rsidRDefault="002F39CB" w14:paraId="43FA6535" w14:textId="77555D8E">
          <w:pPr>
            <w:pStyle w:val="Innehll2"/>
            <w:tabs>
              <w:tab w:val="right" w:leader="dot" w:pos="8494"/>
            </w:tabs>
            <w:rPr>
              <w:rFonts w:eastAsiaTheme="minorEastAsia"/>
              <w:noProof/>
              <w:kern w:val="0"/>
              <w:sz w:val="22"/>
              <w:szCs w:val="22"/>
              <w:lang w:eastAsia="sv-SE"/>
              <w14:numSpacing w14:val="default"/>
            </w:rPr>
          </w:pPr>
          <w:hyperlink w:history="1" w:anchor="_Toc121752691">
            <w:r w:rsidRPr="000A0778" w:rsidR="00DD36E2">
              <w:rPr>
                <w:rStyle w:val="Hyperlnk"/>
                <w:noProof/>
              </w:rPr>
              <w:t>22.10 Utgiftsområde 10 Ekonomisk trygghet vid sjukdom och funktionsnedsättning</w:t>
            </w:r>
            <w:r w:rsidR="00DD36E2">
              <w:rPr>
                <w:noProof/>
                <w:webHidden/>
              </w:rPr>
              <w:tab/>
            </w:r>
            <w:r w:rsidR="00DD36E2">
              <w:rPr>
                <w:noProof/>
                <w:webHidden/>
              </w:rPr>
              <w:fldChar w:fldCharType="begin"/>
            </w:r>
            <w:r w:rsidR="00DD36E2">
              <w:rPr>
                <w:noProof/>
                <w:webHidden/>
              </w:rPr>
              <w:instrText xml:space="preserve"> PAGEREF _Toc121752691 \h </w:instrText>
            </w:r>
            <w:r w:rsidR="00DD36E2">
              <w:rPr>
                <w:noProof/>
                <w:webHidden/>
              </w:rPr>
            </w:r>
            <w:r w:rsidR="00DD36E2">
              <w:rPr>
                <w:noProof/>
                <w:webHidden/>
              </w:rPr>
              <w:fldChar w:fldCharType="separate"/>
            </w:r>
            <w:r w:rsidR="00A63605">
              <w:rPr>
                <w:noProof/>
                <w:webHidden/>
              </w:rPr>
              <w:t>108</w:t>
            </w:r>
            <w:r w:rsidR="00DD36E2">
              <w:rPr>
                <w:noProof/>
                <w:webHidden/>
              </w:rPr>
              <w:fldChar w:fldCharType="end"/>
            </w:r>
          </w:hyperlink>
        </w:p>
        <w:p w:rsidR="00DD36E2" w:rsidRDefault="002F39CB" w14:paraId="78097426" w14:textId="7F9EAC61">
          <w:pPr>
            <w:pStyle w:val="Innehll2"/>
            <w:tabs>
              <w:tab w:val="right" w:leader="dot" w:pos="8494"/>
            </w:tabs>
            <w:rPr>
              <w:rFonts w:eastAsiaTheme="minorEastAsia"/>
              <w:noProof/>
              <w:kern w:val="0"/>
              <w:sz w:val="22"/>
              <w:szCs w:val="22"/>
              <w:lang w:eastAsia="sv-SE"/>
              <w14:numSpacing w14:val="default"/>
            </w:rPr>
          </w:pPr>
          <w:hyperlink w:history="1" w:anchor="_Toc121752692">
            <w:r w:rsidRPr="000A0778" w:rsidR="00DD36E2">
              <w:rPr>
                <w:rStyle w:val="Hyperlnk"/>
                <w:noProof/>
              </w:rPr>
              <w:t>22.11 Utgiftsområde 11 Ekonomisk trygghet vid ålderdom</w:t>
            </w:r>
            <w:r w:rsidR="00DD36E2">
              <w:rPr>
                <w:noProof/>
                <w:webHidden/>
              </w:rPr>
              <w:tab/>
            </w:r>
            <w:r w:rsidR="00DD36E2">
              <w:rPr>
                <w:noProof/>
                <w:webHidden/>
              </w:rPr>
              <w:fldChar w:fldCharType="begin"/>
            </w:r>
            <w:r w:rsidR="00DD36E2">
              <w:rPr>
                <w:noProof/>
                <w:webHidden/>
              </w:rPr>
              <w:instrText xml:space="preserve"> PAGEREF _Toc121752692 \h </w:instrText>
            </w:r>
            <w:r w:rsidR="00DD36E2">
              <w:rPr>
                <w:noProof/>
                <w:webHidden/>
              </w:rPr>
            </w:r>
            <w:r w:rsidR="00DD36E2">
              <w:rPr>
                <w:noProof/>
                <w:webHidden/>
              </w:rPr>
              <w:fldChar w:fldCharType="separate"/>
            </w:r>
            <w:r w:rsidR="00A63605">
              <w:rPr>
                <w:noProof/>
                <w:webHidden/>
              </w:rPr>
              <w:t>108</w:t>
            </w:r>
            <w:r w:rsidR="00DD36E2">
              <w:rPr>
                <w:noProof/>
                <w:webHidden/>
              </w:rPr>
              <w:fldChar w:fldCharType="end"/>
            </w:r>
          </w:hyperlink>
        </w:p>
        <w:p w:rsidR="00DD36E2" w:rsidRDefault="002F39CB" w14:paraId="1DB9C41A" w14:textId="38905E50">
          <w:pPr>
            <w:pStyle w:val="Innehll2"/>
            <w:tabs>
              <w:tab w:val="right" w:leader="dot" w:pos="8494"/>
            </w:tabs>
            <w:rPr>
              <w:rFonts w:eastAsiaTheme="minorEastAsia"/>
              <w:noProof/>
              <w:kern w:val="0"/>
              <w:sz w:val="22"/>
              <w:szCs w:val="22"/>
              <w:lang w:eastAsia="sv-SE"/>
              <w14:numSpacing w14:val="default"/>
            </w:rPr>
          </w:pPr>
          <w:hyperlink w:history="1" w:anchor="_Toc121752693">
            <w:r w:rsidRPr="000A0778" w:rsidR="00DD36E2">
              <w:rPr>
                <w:rStyle w:val="Hyperlnk"/>
                <w:noProof/>
              </w:rPr>
              <w:t>22.12 Utgiftsområde 12 Ekonomisk trygghet för familjer och barn</w:t>
            </w:r>
            <w:r w:rsidR="00DD36E2">
              <w:rPr>
                <w:noProof/>
                <w:webHidden/>
              </w:rPr>
              <w:tab/>
            </w:r>
            <w:r w:rsidR="00DD36E2">
              <w:rPr>
                <w:noProof/>
                <w:webHidden/>
              </w:rPr>
              <w:fldChar w:fldCharType="begin"/>
            </w:r>
            <w:r w:rsidR="00DD36E2">
              <w:rPr>
                <w:noProof/>
                <w:webHidden/>
              </w:rPr>
              <w:instrText xml:space="preserve"> PAGEREF _Toc121752693 \h </w:instrText>
            </w:r>
            <w:r w:rsidR="00DD36E2">
              <w:rPr>
                <w:noProof/>
                <w:webHidden/>
              </w:rPr>
            </w:r>
            <w:r w:rsidR="00DD36E2">
              <w:rPr>
                <w:noProof/>
                <w:webHidden/>
              </w:rPr>
              <w:fldChar w:fldCharType="separate"/>
            </w:r>
            <w:r w:rsidR="00A63605">
              <w:rPr>
                <w:noProof/>
                <w:webHidden/>
              </w:rPr>
              <w:t>109</w:t>
            </w:r>
            <w:r w:rsidR="00DD36E2">
              <w:rPr>
                <w:noProof/>
                <w:webHidden/>
              </w:rPr>
              <w:fldChar w:fldCharType="end"/>
            </w:r>
          </w:hyperlink>
        </w:p>
        <w:p w:rsidR="00DD36E2" w:rsidRDefault="002F39CB" w14:paraId="7AA4DB4E" w14:textId="3514066C">
          <w:pPr>
            <w:pStyle w:val="Innehll2"/>
            <w:tabs>
              <w:tab w:val="right" w:leader="dot" w:pos="8494"/>
            </w:tabs>
            <w:rPr>
              <w:rFonts w:eastAsiaTheme="minorEastAsia"/>
              <w:noProof/>
              <w:kern w:val="0"/>
              <w:sz w:val="22"/>
              <w:szCs w:val="22"/>
              <w:lang w:eastAsia="sv-SE"/>
              <w14:numSpacing w14:val="default"/>
            </w:rPr>
          </w:pPr>
          <w:hyperlink w:history="1" w:anchor="_Toc121752694">
            <w:r w:rsidRPr="000A0778" w:rsidR="00DD36E2">
              <w:rPr>
                <w:rStyle w:val="Hyperlnk"/>
                <w:noProof/>
              </w:rPr>
              <w:t>22.13 Utgiftsområde 13 Jämställdhet och nyanlända invandrares etablering</w:t>
            </w:r>
            <w:r w:rsidR="00DD36E2">
              <w:rPr>
                <w:noProof/>
                <w:webHidden/>
              </w:rPr>
              <w:tab/>
            </w:r>
            <w:r w:rsidR="00DD36E2">
              <w:rPr>
                <w:noProof/>
                <w:webHidden/>
              </w:rPr>
              <w:fldChar w:fldCharType="begin"/>
            </w:r>
            <w:r w:rsidR="00DD36E2">
              <w:rPr>
                <w:noProof/>
                <w:webHidden/>
              </w:rPr>
              <w:instrText xml:space="preserve"> PAGEREF _Toc121752694 \h </w:instrText>
            </w:r>
            <w:r w:rsidR="00DD36E2">
              <w:rPr>
                <w:noProof/>
                <w:webHidden/>
              </w:rPr>
            </w:r>
            <w:r w:rsidR="00DD36E2">
              <w:rPr>
                <w:noProof/>
                <w:webHidden/>
              </w:rPr>
              <w:fldChar w:fldCharType="separate"/>
            </w:r>
            <w:r w:rsidR="00A63605">
              <w:rPr>
                <w:noProof/>
                <w:webHidden/>
              </w:rPr>
              <w:t>109</w:t>
            </w:r>
            <w:r w:rsidR="00DD36E2">
              <w:rPr>
                <w:noProof/>
                <w:webHidden/>
              </w:rPr>
              <w:fldChar w:fldCharType="end"/>
            </w:r>
          </w:hyperlink>
        </w:p>
        <w:p w:rsidR="00DD36E2" w:rsidRDefault="002F39CB" w14:paraId="217E3294" w14:textId="69D6DEAB">
          <w:pPr>
            <w:pStyle w:val="Innehll2"/>
            <w:tabs>
              <w:tab w:val="right" w:leader="dot" w:pos="8494"/>
            </w:tabs>
            <w:rPr>
              <w:rFonts w:eastAsiaTheme="minorEastAsia"/>
              <w:noProof/>
              <w:kern w:val="0"/>
              <w:sz w:val="22"/>
              <w:szCs w:val="22"/>
              <w:lang w:eastAsia="sv-SE"/>
              <w14:numSpacing w14:val="default"/>
            </w:rPr>
          </w:pPr>
          <w:hyperlink w:history="1" w:anchor="_Toc121752695">
            <w:r w:rsidRPr="000A0778" w:rsidR="00DD36E2">
              <w:rPr>
                <w:rStyle w:val="Hyperlnk"/>
                <w:noProof/>
              </w:rPr>
              <w:t>22.14 Utgiftsområde 14 Arbetsmarknad och arbetsliv</w:t>
            </w:r>
            <w:r w:rsidR="00DD36E2">
              <w:rPr>
                <w:noProof/>
                <w:webHidden/>
              </w:rPr>
              <w:tab/>
            </w:r>
            <w:r w:rsidR="00DD36E2">
              <w:rPr>
                <w:noProof/>
                <w:webHidden/>
              </w:rPr>
              <w:fldChar w:fldCharType="begin"/>
            </w:r>
            <w:r w:rsidR="00DD36E2">
              <w:rPr>
                <w:noProof/>
                <w:webHidden/>
              </w:rPr>
              <w:instrText xml:space="preserve"> PAGEREF _Toc121752695 \h </w:instrText>
            </w:r>
            <w:r w:rsidR="00DD36E2">
              <w:rPr>
                <w:noProof/>
                <w:webHidden/>
              </w:rPr>
            </w:r>
            <w:r w:rsidR="00DD36E2">
              <w:rPr>
                <w:noProof/>
                <w:webHidden/>
              </w:rPr>
              <w:fldChar w:fldCharType="separate"/>
            </w:r>
            <w:r w:rsidR="00A63605">
              <w:rPr>
                <w:noProof/>
                <w:webHidden/>
              </w:rPr>
              <w:t>110</w:t>
            </w:r>
            <w:r w:rsidR="00DD36E2">
              <w:rPr>
                <w:noProof/>
                <w:webHidden/>
              </w:rPr>
              <w:fldChar w:fldCharType="end"/>
            </w:r>
          </w:hyperlink>
        </w:p>
        <w:p w:rsidR="00DD36E2" w:rsidRDefault="002F39CB" w14:paraId="01671955" w14:textId="22388671">
          <w:pPr>
            <w:pStyle w:val="Innehll2"/>
            <w:tabs>
              <w:tab w:val="right" w:leader="dot" w:pos="8494"/>
            </w:tabs>
            <w:rPr>
              <w:rFonts w:eastAsiaTheme="minorEastAsia"/>
              <w:noProof/>
              <w:kern w:val="0"/>
              <w:sz w:val="22"/>
              <w:szCs w:val="22"/>
              <w:lang w:eastAsia="sv-SE"/>
              <w14:numSpacing w14:val="default"/>
            </w:rPr>
          </w:pPr>
          <w:hyperlink w:history="1" w:anchor="_Toc121752696">
            <w:r w:rsidRPr="000A0778" w:rsidR="00DD36E2">
              <w:rPr>
                <w:rStyle w:val="Hyperlnk"/>
                <w:noProof/>
              </w:rPr>
              <w:t>22.15 Utgiftsområde 15 Studiestöd</w:t>
            </w:r>
            <w:r w:rsidR="00DD36E2">
              <w:rPr>
                <w:noProof/>
                <w:webHidden/>
              </w:rPr>
              <w:tab/>
            </w:r>
            <w:r w:rsidR="00DD36E2">
              <w:rPr>
                <w:noProof/>
                <w:webHidden/>
              </w:rPr>
              <w:fldChar w:fldCharType="begin"/>
            </w:r>
            <w:r w:rsidR="00DD36E2">
              <w:rPr>
                <w:noProof/>
                <w:webHidden/>
              </w:rPr>
              <w:instrText xml:space="preserve"> PAGEREF _Toc121752696 \h </w:instrText>
            </w:r>
            <w:r w:rsidR="00DD36E2">
              <w:rPr>
                <w:noProof/>
                <w:webHidden/>
              </w:rPr>
            </w:r>
            <w:r w:rsidR="00DD36E2">
              <w:rPr>
                <w:noProof/>
                <w:webHidden/>
              </w:rPr>
              <w:fldChar w:fldCharType="separate"/>
            </w:r>
            <w:r w:rsidR="00A63605">
              <w:rPr>
                <w:noProof/>
                <w:webHidden/>
              </w:rPr>
              <w:t>111</w:t>
            </w:r>
            <w:r w:rsidR="00DD36E2">
              <w:rPr>
                <w:noProof/>
                <w:webHidden/>
              </w:rPr>
              <w:fldChar w:fldCharType="end"/>
            </w:r>
          </w:hyperlink>
        </w:p>
        <w:p w:rsidR="00DD36E2" w:rsidRDefault="002F39CB" w14:paraId="6B4382E1" w14:textId="242515F1">
          <w:pPr>
            <w:pStyle w:val="Innehll2"/>
            <w:tabs>
              <w:tab w:val="right" w:leader="dot" w:pos="8494"/>
            </w:tabs>
            <w:rPr>
              <w:rFonts w:eastAsiaTheme="minorEastAsia"/>
              <w:noProof/>
              <w:kern w:val="0"/>
              <w:sz w:val="22"/>
              <w:szCs w:val="22"/>
              <w:lang w:eastAsia="sv-SE"/>
              <w14:numSpacing w14:val="default"/>
            </w:rPr>
          </w:pPr>
          <w:hyperlink w:history="1" w:anchor="_Toc121752697">
            <w:r w:rsidRPr="000A0778" w:rsidR="00DD36E2">
              <w:rPr>
                <w:rStyle w:val="Hyperlnk"/>
                <w:noProof/>
              </w:rPr>
              <w:t>22.16 Utgiftsområde 16 Utbildning och universitetsforskning</w:t>
            </w:r>
            <w:r w:rsidR="00DD36E2">
              <w:rPr>
                <w:noProof/>
                <w:webHidden/>
              </w:rPr>
              <w:tab/>
            </w:r>
            <w:r w:rsidR="00DD36E2">
              <w:rPr>
                <w:noProof/>
                <w:webHidden/>
              </w:rPr>
              <w:fldChar w:fldCharType="begin"/>
            </w:r>
            <w:r w:rsidR="00DD36E2">
              <w:rPr>
                <w:noProof/>
                <w:webHidden/>
              </w:rPr>
              <w:instrText xml:space="preserve"> PAGEREF _Toc121752697 \h </w:instrText>
            </w:r>
            <w:r w:rsidR="00DD36E2">
              <w:rPr>
                <w:noProof/>
                <w:webHidden/>
              </w:rPr>
            </w:r>
            <w:r w:rsidR="00DD36E2">
              <w:rPr>
                <w:noProof/>
                <w:webHidden/>
              </w:rPr>
              <w:fldChar w:fldCharType="separate"/>
            </w:r>
            <w:r w:rsidR="00A63605">
              <w:rPr>
                <w:noProof/>
                <w:webHidden/>
              </w:rPr>
              <w:t>111</w:t>
            </w:r>
            <w:r w:rsidR="00DD36E2">
              <w:rPr>
                <w:noProof/>
                <w:webHidden/>
              </w:rPr>
              <w:fldChar w:fldCharType="end"/>
            </w:r>
          </w:hyperlink>
        </w:p>
        <w:p w:rsidR="00DD36E2" w:rsidRDefault="002F39CB" w14:paraId="1800EA01" w14:textId="421BA7FB">
          <w:pPr>
            <w:pStyle w:val="Innehll2"/>
            <w:tabs>
              <w:tab w:val="right" w:leader="dot" w:pos="8494"/>
            </w:tabs>
            <w:rPr>
              <w:rFonts w:eastAsiaTheme="minorEastAsia"/>
              <w:noProof/>
              <w:kern w:val="0"/>
              <w:sz w:val="22"/>
              <w:szCs w:val="22"/>
              <w:lang w:eastAsia="sv-SE"/>
              <w14:numSpacing w14:val="default"/>
            </w:rPr>
          </w:pPr>
          <w:hyperlink w:history="1" w:anchor="_Toc121752698">
            <w:r w:rsidRPr="000A0778" w:rsidR="00DD36E2">
              <w:rPr>
                <w:rStyle w:val="Hyperlnk"/>
                <w:noProof/>
              </w:rPr>
              <w:t>22.17 Utgiftsområde 17 Kultur, medier, trossamfund och fritid</w:t>
            </w:r>
            <w:r w:rsidR="00DD36E2">
              <w:rPr>
                <w:noProof/>
                <w:webHidden/>
              </w:rPr>
              <w:tab/>
            </w:r>
            <w:r w:rsidR="00DD36E2">
              <w:rPr>
                <w:noProof/>
                <w:webHidden/>
              </w:rPr>
              <w:fldChar w:fldCharType="begin"/>
            </w:r>
            <w:r w:rsidR="00DD36E2">
              <w:rPr>
                <w:noProof/>
                <w:webHidden/>
              </w:rPr>
              <w:instrText xml:space="preserve"> PAGEREF _Toc121752698 \h </w:instrText>
            </w:r>
            <w:r w:rsidR="00DD36E2">
              <w:rPr>
                <w:noProof/>
                <w:webHidden/>
              </w:rPr>
            </w:r>
            <w:r w:rsidR="00DD36E2">
              <w:rPr>
                <w:noProof/>
                <w:webHidden/>
              </w:rPr>
              <w:fldChar w:fldCharType="separate"/>
            </w:r>
            <w:r w:rsidR="00A63605">
              <w:rPr>
                <w:noProof/>
                <w:webHidden/>
              </w:rPr>
              <w:t>115</w:t>
            </w:r>
            <w:r w:rsidR="00DD36E2">
              <w:rPr>
                <w:noProof/>
                <w:webHidden/>
              </w:rPr>
              <w:fldChar w:fldCharType="end"/>
            </w:r>
          </w:hyperlink>
        </w:p>
        <w:p w:rsidR="00DD36E2" w:rsidRDefault="002F39CB" w14:paraId="761DD58B" w14:textId="3A3E7F83">
          <w:pPr>
            <w:pStyle w:val="Innehll2"/>
            <w:tabs>
              <w:tab w:val="right" w:leader="dot" w:pos="8494"/>
            </w:tabs>
            <w:rPr>
              <w:rFonts w:eastAsiaTheme="minorEastAsia"/>
              <w:noProof/>
              <w:kern w:val="0"/>
              <w:sz w:val="22"/>
              <w:szCs w:val="22"/>
              <w:lang w:eastAsia="sv-SE"/>
              <w14:numSpacing w14:val="default"/>
            </w:rPr>
          </w:pPr>
          <w:hyperlink w:history="1" w:anchor="_Toc121752699">
            <w:r w:rsidRPr="000A0778" w:rsidR="00DD36E2">
              <w:rPr>
                <w:rStyle w:val="Hyperlnk"/>
                <w:noProof/>
              </w:rPr>
              <w:t>22.18 Utgiftsområde 18 Samhällsplanering, bostadsförsörjning och byggande samt konsumentpolitik</w:t>
            </w:r>
            <w:r w:rsidR="00DD36E2">
              <w:rPr>
                <w:noProof/>
                <w:webHidden/>
              </w:rPr>
              <w:tab/>
            </w:r>
            <w:r w:rsidR="00DD36E2">
              <w:rPr>
                <w:noProof/>
                <w:webHidden/>
              </w:rPr>
              <w:fldChar w:fldCharType="begin"/>
            </w:r>
            <w:r w:rsidR="00DD36E2">
              <w:rPr>
                <w:noProof/>
                <w:webHidden/>
              </w:rPr>
              <w:instrText xml:space="preserve"> PAGEREF _Toc121752699 \h </w:instrText>
            </w:r>
            <w:r w:rsidR="00DD36E2">
              <w:rPr>
                <w:noProof/>
                <w:webHidden/>
              </w:rPr>
            </w:r>
            <w:r w:rsidR="00DD36E2">
              <w:rPr>
                <w:noProof/>
                <w:webHidden/>
              </w:rPr>
              <w:fldChar w:fldCharType="separate"/>
            </w:r>
            <w:r w:rsidR="00A63605">
              <w:rPr>
                <w:noProof/>
                <w:webHidden/>
              </w:rPr>
              <w:t>117</w:t>
            </w:r>
            <w:r w:rsidR="00DD36E2">
              <w:rPr>
                <w:noProof/>
                <w:webHidden/>
              </w:rPr>
              <w:fldChar w:fldCharType="end"/>
            </w:r>
          </w:hyperlink>
        </w:p>
        <w:p w:rsidR="00DD36E2" w:rsidRDefault="002F39CB" w14:paraId="719623A3" w14:textId="48AC47CE">
          <w:pPr>
            <w:pStyle w:val="Innehll2"/>
            <w:tabs>
              <w:tab w:val="right" w:leader="dot" w:pos="8494"/>
            </w:tabs>
            <w:rPr>
              <w:rFonts w:eastAsiaTheme="minorEastAsia"/>
              <w:noProof/>
              <w:kern w:val="0"/>
              <w:sz w:val="22"/>
              <w:szCs w:val="22"/>
              <w:lang w:eastAsia="sv-SE"/>
              <w14:numSpacing w14:val="default"/>
            </w:rPr>
          </w:pPr>
          <w:hyperlink w:history="1" w:anchor="_Toc121752700">
            <w:r w:rsidRPr="000A0778" w:rsidR="00DD36E2">
              <w:rPr>
                <w:rStyle w:val="Hyperlnk"/>
                <w:noProof/>
              </w:rPr>
              <w:t>22.19 Utgiftsområde 19 Regional tillväxt</w:t>
            </w:r>
            <w:r w:rsidR="00DD36E2">
              <w:rPr>
                <w:noProof/>
                <w:webHidden/>
              </w:rPr>
              <w:tab/>
            </w:r>
            <w:r w:rsidR="00DD36E2">
              <w:rPr>
                <w:noProof/>
                <w:webHidden/>
              </w:rPr>
              <w:fldChar w:fldCharType="begin"/>
            </w:r>
            <w:r w:rsidR="00DD36E2">
              <w:rPr>
                <w:noProof/>
                <w:webHidden/>
              </w:rPr>
              <w:instrText xml:space="preserve"> PAGEREF _Toc121752700 \h </w:instrText>
            </w:r>
            <w:r w:rsidR="00DD36E2">
              <w:rPr>
                <w:noProof/>
                <w:webHidden/>
              </w:rPr>
            </w:r>
            <w:r w:rsidR="00DD36E2">
              <w:rPr>
                <w:noProof/>
                <w:webHidden/>
              </w:rPr>
              <w:fldChar w:fldCharType="separate"/>
            </w:r>
            <w:r w:rsidR="00A63605">
              <w:rPr>
                <w:noProof/>
                <w:webHidden/>
              </w:rPr>
              <w:t>117</w:t>
            </w:r>
            <w:r w:rsidR="00DD36E2">
              <w:rPr>
                <w:noProof/>
                <w:webHidden/>
              </w:rPr>
              <w:fldChar w:fldCharType="end"/>
            </w:r>
          </w:hyperlink>
        </w:p>
        <w:p w:rsidR="00DD36E2" w:rsidRDefault="002F39CB" w14:paraId="27E22505" w14:textId="554B2E7A">
          <w:pPr>
            <w:pStyle w:val="Innehll2"/>
            <w:tabs>
              <w:tab w:val="right" w:leader="dot" w:pos="8494"/>
            </w:tabs>
            <w:rPr>
              <w:rFonts w:eastAsiaTheme="minorEastAsia"/>
              <w:noProof/>
              <w:kern w:val="0"/>
              <w:sz w:val="22"/>
              <w:szCs w:val="22"/>
              <w:lang w:eastAsia="sv-SE"/>
              <w14:numSpacing w14:val="default"/>
            </w:rPr>
          </w:pPr>
          <w:hyperlink w:history="1" w:anchor="_Toc121752701">
            <w:r w:rsidRPr="000A0778" w:rsidR="00DD36E2">
              <w:rPr>
                <w:rStyle w:val="Hyperlnk"/>
                <w:noProof/>
              </w:rPr>
              <w:t>22.20 Utgiftsområde 20 Allmän miljö- och naturvård</w:t>
            </w:r>
            <w:r w:rsidR="00DD36E2">
              <w:rPr>
                <w:noProof/>
                <w:webHidden/>
              </w:rPr>
              <w:tab/>
            </w:r>
            <w:r w:rsidR="00DD36E2">
              <w:rPr>
                <w:noProof/>
                <w:webHidden/>
              </w:rPr>
              <w:fldChar w:fldCharType="begin"/>
            </w:r>
            <w:r w:rsidR="00DD36E2">
              <w:rPr>
                <w:noProof/>
                <w:webHidden/>
              </w:rPr>
              <w:instrText xml:space="preserve"> PAGEREF _Toc121752701 \h </w:instrText>
            </w:r>
            <w:r w:rsidR="00DD36E2">
              <w:rPr>
                <w:noProof/>
                <w:webHidden/>
              </w:rPr>
            </w:r>
            <w:r w:rsidR="00DD36E2">
              <w:rPr>
                <w:noProof/>
                <w:webHidden/>
              </w:rPr>
              <w:fldChar w:fldCharType="separate"/>
            </w:r>
            <w:r w:rsidR="00A63605">
              <w:rPr>
                <w:noProof/>
                <w:webHidden/>
              </w:rPr>
              <w:t>118</w:t>
            </w:r>
            <w:r w:rsidR="00DD36E2">
              <w:rPr>
                <w:noProof/>
                <w:webHidden/>
              </w:rPr>
              <w:fldChar w:fldCharType="end"/>
            </w:r>
          </w:hyperlink>
        </w:p>
        <w:p w:rsidR="00DD36E2" w:rsidRDefault="002F39CB" w14:paraId="29B2ED96" w14:textId="5A7441DB">
          <w:pPr>
            <w:pStyle w:val="Innehll2"/>
            <w:tabs>
              <w:tab w:val="right" w:leader="dot" w:pos="8494"/>
            </w:tabs>
            <w:rPr>
              <w:rFonts w:eastAsiaTheme="minorEastAsia"/>
              <w:noProof/>
              <w:kern w:val="0"/>
              <w:sz w:val="22"/>
              <w:szCs w:val="22"/>
              <w:lang w:eastAsia="sv-SE"/>
              <w14:numSpacing w14:val="default"/>
            </w:rPr>
          </w:pPr>
          <w:hyperlink w:history="1" w:anchor="_Toc121752702">
            <w:r w:rsidRPr="000A0778" w:rsidR="00DD36E2">
              <w:rPr>
                <w:rStyle w:val="Hyperlnk"/>
                <w:noProof/>
              </w:rPr>
              <w:t>22.21 Utgiftsområde 21 Energi</w:t>
            </w:r>
            <w:r w:rsidR="00DD36E2">
              <w:rPr>
                <w:noProof/>
                <w:webHidden/>
              </w:rPr>
              <w:tab/>
            </w:r>
            <w:r w:rsidR="00DD36E2">
              <w:rPr>
                <w:noProof/>
                <w:webHidden/>
              </w:rPr>
              <w:fldChar w:fldCharType="begin"/>
            </w:r>
            <w:r w:rsidR="00DD36E2">
              <w:rPr>
                <w:noProof/>
                <w:webHidden/>
              </w:rPr>
              <w:instrText xml:space="preserve"> PAGEREF _Toc121752702 \h </w:instrText>
            </w:r>
            <w:r w:rsidR="00DD36E2">
              <w:rPr>
                <w:noProof/>
                <w:webHidden/>
              </w:rPr>
            </w:r>
            <w:r w:rsidR="00DD36E2">
              <w:rPr>
                <w:noProof/>
                <w:webHidden/>
              </w:rPr>
              <w:fldChar w:fldCharType="separate"/>
            </w:r>
            <w:r w:rsidR="00A63605">
              <w:rPr>
                <w:noProof/>
                <w:webHidden/>
              </w:rPr>
              <w:t>119</w:t>
            </w:r>
            <w:r w:rsidR="00DD36E2">
              <w:rPr>
                <w:noProof/>
                <w:webHidden/>
              </w:rPr>
              <w:fldChar w:fldCharType="end"/>
            </w:r>
          </w:hyperlink>
        </w:p>
        <w:p w:rsidR="00DD36E2" w:rsidRDefault="002F39CB" w14:paraId="505152E1" w14:textId="3DE99CD3">
          <w:pPr>
            <w:pStyle w:val="Innehll2"/>
            <w:tabs>
              <w:tab w:val="right" w:leader="dot" w:pos="8494"/>
            </w:tabs>
            <w:rPr>
              <w:rFonts w:eastAsiaTheme="minorEastAsia"/>
              <w:noProof/>
              <w:kern w:val="0"/>
              <w:sz w:val="22"/>
              <w:szCs w:val="22"/>
              <w:lang w:eastAsia="sv-SE"/>
              <w14:numSpacing w14:val="default"/>
            </w:rPr>
          </w:pPr>
          <w:hyperlink w:history="1" w:anchor="_Toc121752703">
            <w:r w:rsidRPr="000A0778" w:rsidR="00DD36E2">
              <w:rPr>
                <w:rStyle w:val="Hyperlnk"/>
                <w:noProof/>
              </w:rPr>
              <w:t>22.22 Utgiftsområde 22 Kommunikationer</w:t>
            </w:r>
            <w:r w:rsidR="00DD36E2">
              <w:rPr>
                <w:noProof/>
                <w:webHidden/>
              </w:rPr>
              <w:tab/>
            </w:r>
            <w:r w:rsidR="00DD36E2">
              <w:rPr>
                <w:noProof/>
                <w:webHidden/>
              </w:rPr>
              <w:fldChar w:fldCharType="begin"/>
            </w:r>
            <w:r w:rsidR="00DD36E2">
              <w:rPr>
                <w:noProof/>
                <w:webHidden/>
              </w:rPr>
              <w:instrText xml:space="preserve"> PAGEREF _Toc121752703 \h </w:instrText>
            </w:r>
            <w:r w:rsidR="00DD36E2">
              <w:rPr>
                <w:noProof/>
                <w:webHidden/>
              </w:rPr>
            </w:r>
            <w:r w:rsidR="00DD36E2">
              <w:rPr>
                <w:noProof/>
                <w:webHidden/>
              </w:rPr>
              <w:fldChar w:fldCharType="separate"/>
            </w:r>
            <w:r w:rsidR="00A63605">
              <w:rPr>
                <w:noProof/>
                <w:webHidden/>
              </w:rPr>
              <w:t>119</w:t>
            </w:r>
            <w:r w:rsidR="00DD36E2">
              <w:rPr>
                <w:noProof/>
                <w:webHidden/>
              </w:rPr>
              <w:fldChar w:fldCharType="end"/>
            </w:r>
          </w:hyperlink>
        </w:p>
        <w:p w:rsidR="00DD36E2" w:rsidRDefault="002F39CB" w14:paraId="5AE57534" w14:textId="6957E60C">
          <w:pPr>
            <w:pStyle w:val="Innehll2"/>
            <w:tabs>
              <w:tab w:val="right" w:leader="dot" w:pos="8494"/>
            </w:tabs>
            <w:rPr>
              <w:rFonts w:eastAsiaTheme="minorEastAsia"/>
              <w:noProof/>
              <w:kern w:val="0"/>
              <w:sz w:val="22"/>
              <w:szCs w:val="22"/>
              <w:lang w:eastAsia="sv-SE"/>
              <w14:numSpacing w14:val="default"/>
            </w:rPr>
          </w:pPr>
          <w:hyperlink w:history="1" w:anchor="_Toc121752704">
            <w:r w:rsidRPr="000A0778" w:rsidR="00DD36E2">
              <w:rPr>
                <w:rStyle w:val="Hyperlnk"/>
                <w:noProof/>
              </w:rPr>
              <w:t>22.23 Utgiftsområde 23 Areella näringar, landsbygd och livsmedel</w:t>
            </w:r>
            <w:r w:rsidR="00DD36E2">
              <w:rPr>
                <w:noProof/>
                <w:webHidden/>
              </w:rPr>
              <w:tab/>
            </w:r>
            <w:r w:rsidR="00DD36E2">
              <w:rPr>
                <w:noProof/>
                <w:webHidden/>
              </w:rPr>
              <w:fldChar w:fldCharType="begin"/>
            </w:r>
            <w:r w:rsidR="00DD36E2">
              <w:rPr>
                <w:noProof/>
                <w:webHidden/>
              </w:rPr>
              <w:instrText xml:space="preserve"> PAGEREF _Toc121752704 \h </w:instrText>
            </w:r>
            <w:r w:rsidR="00DD36E2">
              <w:rPr>
                <w:noProof/>
                <w:webHidden/>
              </w:rPr>
            </w:r>
            <w:r w:rsidR="00DD36E2">
              <w:rPr>
                <w:noProof/>
                <w:webHidden/>
              </w:rPr>
              <w:fldChar w:fldCharType="separate"/>
            </w:r>
            <w:r w:rsidR="00A63605">
              <w:rPr>
                <w:noProof/>
                <w:webHidden/>
              </w:rPr>
              <w:t>120</w:t>
            </w:r>
            <w:r w:rsidR="00DD36E2">
              <w:rPr>
                <w:noProof/>
                <w:webHidden/>
              </w:rPr>
              <w:fldChar w:fldCharType="end"/>
            </w:r>
          </w:hyperlink>
        </w:p>
        <w:p w:rsidR="00DD36E2" w:rsidRDefault="002F39CB" w14:paraId="2FCE2236" w14:textId="4B7B0035">
          <w:pPr>
            <w:pStyle w:val="Innehll2"/>
            <w:tabs>
              <w:tab w:val="right" w:leader="dot" w:pos="8494"/>
            </w:tabs>
            <w:rPr>
              <w:rFonts w:eastAsiaTheme="minorEastAsia"/>
              <w:noProof/>
              <w:kern w:val="0"/>
              <w:sz w:val="22"/>
              <w:szCs w:val="22"/>
              <w:lang w:eastAsia="sv-SE"/>
              <w14:numSpacing w14:val="default"/>
            </w:rPr>
          </w:pPr>
          <w:hyperlink w:history="1" w:anchor="_Toc121752705">
            <w:r w:rsidRPr="000A0778" w:rsidR="00DD36E2">
              <w:rPr>
                <w:rStyle w:val="Hyperlnk"/>
                <w:noProof/>
              </w:rPr>
              <w:t>22.24 Utgiftsområde 24 Näringsliv</w:t>
            </w:r>
            <w:r w:rsidR="00DD36E2">
              <w:rPr>
                <w:noProof/>
                <w:webHidden/>
              </w:rPr>
              <w:tab/>
            </w:r>
            <w:r w:rsidR="00DD36E2">
              <w:rPr>
                <w:noProof/>
                <w:webHidden/>
              </w:rPr>
              <w:fldChar w:fldCharType="begin"/>
            </w:r>
            <w:r w:rsidR="00DD36E2">
              <w:rPr>
                <w:noProof/>
                <w:webHidden/>
              </w:rPr>
              <w:instrText xml:space="preserve"> PAGEREF _Toc121752705 \h </w:instrText>
            </w:r>
            <w:r w:rsidR="00DD36E2">
              <w:rPr>
                <w:noProof/>
                <w:webHidden/>
              </w:rPr>
            </w:r>
            <w:r w:rsidR="00DD36E2">
              <w:rPr>
                <w:noProof/>
                <w:webHidden/>
              </w:rPr>
              <w:fldChar w:fldCharType="separate"/>
            </w:r>
            <w:r w:rsidR="00A63605">
              <w:rPr>
                <w:noProof/>
                <w:webHidden/>
              </w:rPr>
              <w:t>122</w:t>
            </w:r>
            <w:r w:rsidR="00DD36E2">
              <w:rPr>
                <w:noProof/>
                <w:webHidden/>
              </w:rPr>
              <w:fldChar w:fldCharType="end"/>
            </w:r>
          </w:hyperlink>
        </w:p>
        <w:p w:rsidR="00DD36E2" w:rsidRDefault="002F39CB" w14:paraId="12032EB0" w14:textId="2ED3CE84">
          <w:pPr>
            <w:pStyle w:val="Innehll2"/>
            <w:tabs>
              <w:tab w:val="right" w:leader="dot" w:pos="8494"/>
            </w:tabs>
            <w:rPr>
              <w:rFonts w:eastAsiaTheme="minorEastAsia"/>
              <w:noProof/>
              <w:kern w:val="0"/>
              <w:sz w:val="22"/>
              <w:szCs w:val="22"/>
              <w:lang w:eastAsia="sv-SE"/>
              <w14:numSpacing w14:val="default"/>
            </w:rPr>
          </w:pPr>
          <w:hyperlink w:history="1" w:anchor="_Toc121752706">
            <w:r w:rsidRPr="000A0778" w:rsidR="00DD36E2">
              <w:rPr>
                <w:rStyle w:val="Hyperlnk"/>
                <w:noProof/>
              </w:rPr>
              <w:t>22.25 Utgiftsområde 25 Allmänna bidrag till kommuner</w:t>
            </w:r>
            <w:r w:rsidR="00DD36E2">
              <w:rPr>
                <w:noProof/>
                <w:webHidden/>
              </w:rPr>
              <w:tab/>
            </w:r>
            <w:r w:rsidR="00DD36E2">
              <w:rPr>
                <w:noProof/>
                <w:webHidden/>
              </w:rPr>
              <w:fldChar w:fldCharType="begin"/>
            </w:r>
            <w:r w:rsidR="00DD36E2">
              <w:rPr>
                <w:noProof/>
                <w:webHidden/>
              </w:rPr>
              <w:instrText xml:space="preserve"> PAGEREF _Toc121752706 \h </w:instrText>
            </w:r>
            <w:r w:rsidR="00DD36E2">
              <w:rPr>
                <w:noProof/>
                <w:webHidden/>
              </w:rPr>
            </w:r>
            <w:r w:rsidR="00DD36E2">
              <w:rPr>
                <w:noProof/>
                <w:webHidden/>
              </w:rPr>
              <w:fldChar w:fldCharType="separate"/>
            </w:r>
            <w:r w:rsidR="00A63605">
              <w:rPr>
                <w:noProof/>
                <w:webHidden/>
              </w:rPr>
              <w:t>123</w:t>
            </w:r>
            <w:r w:rsidR="00DD36E2">
              <w:rPr>
                <w:noProof/>
                <w:webHidden/>
              </w:rPr>
              <w:fldChar w:fldCharType="end"/>
            </w:r>
          </w:hyperlink>
        </w:p>
        <w:p w:rsidR="00DD36E2" w:rsidRDefault="002F39CB" w14:paraId="1F22CAD7" w14:textId="28E8C02F">
          <w:pPr>
            <w:pStyle w:val="Innehll2"/>
            <w:tabs>
              <w:tab w:val="right" w:leader="dot" w:pos="8494"/>
            </w:tabs>
            <w:rPr>
              <w:rFonts w:eastAsiaTheme="minorEastAsia"/>
              <w:noProof/>
              <w:kern w:val="0"/>
              <w:sz w:val="22"/>
              <w:szCs w:val="22"/>
              <w:lang w:eastAsia="sv-SE"/>
              <w14:numSpacing w14:val="default"/>
            </w:rPr>
          </w:pPr>
          <w:hyperlink w:history="1" w:anchor="_Toc121752707">
            <w:r w:rsidRPr="000A0778" w:rsidR="00DD36E2">
              <w:rPr>
                <w:rStyle w:val="Hyperlnk"/>
                <w:noProof/>
              </w:rPr>
              <w:t>22.26 Utgiftsområde 26 Statsskuldsräntor m.m.</w:t>
            </w:r>
            <w:r w:rsidR="00DD36E2">
              <w:rPr>
                <w:noProof/>
                <w:webHidden/>
              </w:rPr>
              <w:tab/>
            </w:r>
            <w:r w:rsidR="00DD36E2">
              <w:rPr>
                <w:noProof/>
                <w:webHidden/>
              </w:rPr>
              <w:fldChar w:fldCharType="begin"/>
            </w:r>
            <w:r w:rsidR="00DD36E2">
              <w:rPr>
                <w:noProof/>
                <w:webHidden/>
              </w:rPr>
              <w:instrText xml:space="preserve"> PAGEREF _Toc121752707 \h </w:instrText>
            </w:r>
            <w:r w:rsidR="00DD36E2">
              <w:rPr>
                <w:noProof/>
                <w:webHidden/>
              </w:rPr>
            </w:r>
            <w:r w:rsidR="00DD36E2">
              <w:rPr>
                <w:noProof/>
                <w:webHidden/>
              </w:rPr>
              <w:fldChar w:fldCharType="separate"/>
            </w:r>
            <w:r w:rsidR="00A63605">
              <w:rPr>
                <w:noProof/>
                <w:webHidden/>
              </w:rPr>
              <w:t>123</w:t>
            </w:r>
            <w:r w:rsidR="00DD36E2">
              <w:rPr>
                <w:noProof/>
                <w:webHidden/>
              </w:rPr>
              <w:fldChar w:fldCharType="end"/>
            </w:r>
          </w:hyperlink>
        </w:p>
        <w:p w:rsidR="00DD36E2" w:rsidRDefault="002F39CB" w14:paraId="14CC56BA" w14:textId="5CA62B3B">
          <w:pPr>
            <w:pStyle w:val="Innehll2"/>
            <w:tabs>
              <w:tab w:val="right" w:leader="dot" w:pos="8494"/>
            </w:tabs>
            <w:rPr>
              <w:rFonts w:eastAsiaTheme="minorEastAsia"/>
              <w:noProof/>
              <w:kern w:val="0"/>
              <w:sz w:val="22"/>
              <w:szCs w:val="22"/>
              <w:lang w:eastAsia="sv-SE"/>
              <w14:numSpacing w14:val="default"/>
            </w:rPr>
          </w:pPr>
          <w:hyperlink w:history="1" w:anchor="_Toc121752708">
            <w:r w:rsidRPr="000A0778" w:rsidR="00DD36E2">
              <w:rPr>
                <w:rStyle w:val="Hyperlnk"/>
                <w:noProof/>
              </w:rPr>
              <w:t>22.27 Utgiftsområde 27 Avgiften till Europeiska unionen</w:t>
            </w:r>
            <w:r w:rsidR="00DD36E2">
              <w:rPr>
                <w:noProof/>
                <w:webHidden/>
              </w:rPr>
              <w:tab/>
            </w:r>
            <w:r w:rsidR="00DD36E2">
              <w:rPr>
                <w:noProof/>
                <w:webHidden/>
              </w:rPr>
              <w:fldChar w:fldCharType="begin"/>
            </w:r>
            <w:r w:rsidR="00DD36E2">
              <w:rPr>
                <w:noProof/>
                <w:webHidden/>
              </w:rPr>
              <w:instrText xml:space="preserve"> PAGEREF _Toc121752708 \h </w:instrText>
            </w:r>
            <w:r w:rsidR="00DD36E2">
              <w:rPr>
                <w:noProof/>
                <w:webHidden/>
              </w:rPr>
            </w:r>
            <w:r w:rsidR="00DD36E2">
              <w:rPr>
                <w:noProof/>
                <w:webHidden/>
              </w:rPr>
              <w:fldChar w:fldCharType="separate"/>
            </w:r>
            <w:r w:rsidR="00A63605">
              <w:rPr>
                <w:noProof/>
                <w:webHidden/>
              </w:rPr>
              <w:t>123</w:t>
            </w:r>
            <w:r w:rsidR="00DD36E2">
              <w:rPr>
                <w:noProof/>
                <w:webHidden/>
              </w:rPr>
              <w:fldChar w:fldCharType="end"/>
            </w:r>
          </w:hyperlink>
        </w:p>
        <w:p w:rsidR="00DD36E2" w:rsidRDefault="002F39CB" w14:paraId="7E27CF05" w14:textId="5BF96001">
          <w:pPr>
            <w:pStyle w:val="Innehll1"/>
            <w:tabs>
              <w:tab w:val="right" w:leader="dot" w:pos="8494"/>
            </w:tabs>
            <w:rPr>
              <w:rFonts w:eastAsiaTheme="minorEastAsia"/>
              <w:noProof/>
              <w:kern w:val="0"/>
              <w:sz w:val="22"/>
              <w:szCs w:val="22"/>
              <w:lang w:eastAsia="sv-SE"/>
              <w14:numSpacing w14:val="default"/>
            </w:rPr>
          </w:pPr>
          <w:hyperlink w:history="1" w:anchor="_Toc121752709">
            <w:r w:rsidRPr="000A0778" w:rsidR="00DD36E2">
              <w:rPr>
                <w:rStyle w:val="Hyperlnk"/>
                <w:noProof/>
              </w:rPr>
              <w:t>23 Statsbudgeten och den offentliga sektorn</w:t>
            </w:r>
            <w:r w:rsidR="00DD36E2">
              <w:rPr>
                <w:noProof/>
                <w:webHidden/>
              </w:rPr>
              <w:tab/>
            </w:r>
            <w:r w:rsidR="00DD36E2">
              <w:rPr>
                <w:noProof/>
                <w:webHidden/>
              </w:rPr>
              <w:fldChar w:fldCharType="begin"/>
            </w:r>
            <w:r w:rsidR="00DD36E2">
              <w:rPr>
                <w:noProof/>
                <w:webHidden/>
              </w:rPr>
              <w:instrText xml:space="preserve"> PAGEREF _Toc121752709 \h </w:instrText>
            </w:r>
            <w:r w:rsidR="00DD36E2">
              <w:rPr>
                <w:noProof/>
                <w:webHidden/>
              </w:rPr>
            </w:r>
            <w:r w:rsidR="00DD36E2">
              <w:rPr>
                <w:noProof/>
                <w:webHidden/>
              </w:rPr>
              <w:fldChar w:fldCharType="separate"/>
            </w:r>
            <w:r w:rsidR="00A63605">
              <w:rPr>
                <w:noProof/>
                <w:webHidden/>
              </w:rPr>
              <w:t>124</w:t>
            </w:r>
            <w:r w:rsidR="00DD36E2">
              <w:rPr>
                <w:noProof/>
                <w:webHidden/>
              </w:rPr>
              <w:fldChar w:fldCharType="end"/>
            </w:r>
          </w:hyperlink>
        </w:p>
        <w:p w:rsidR="00DD36E2" w:rsidRDefault="002F39CB" w14:paraId="583DEE86" w14:textId="62951B70">
          <w:pPr>
            <w:pStyle w:val="Innehll2"/>
            <w:tabs>
              <w:tab w:val="right" w:leader="dot" w:pos="8494"/>
            </w:tabs>
            <w:rPr>
              <w:rFonts w:eastAsiaTheme="minorEastAsia"/>
              <w:noProof/>
              <w:kern w:val="0"/>
              <w:sz w:val="22"/>
              <w:szCs w:val="22"/>
              <w:lang w:eastAsia="sv-SE"/>
              <w14:numSpacing w14:val="default"/>
            </w:rPr>
          </w:pPr>
          <w:hyperlink w:history="1" w:anchor="_Toc121752710">
            <w:r w:rsidRPr="000A0778" w:rsidR="00DD36E2">
              <w:rPr>
                <w:rStyle w:val="Hyperlnk"/>
                <w:noProof/>
              </w:rPr>
              <w:t>23.1 Utgiftstak för staten</w:t>
            </w:r>
            <w:r w:rsidR="00DD36E2">
              <w:rPr>
                <w:noProof/>
                <w:webHidden/>
              </w:rPr>
              <w:tab/>
            </w:r>
            <w:r w:rsidR="00DD36E2">
              <w:rPr>
                <w:noProof/>
                <w:webHidden/>
              </w:rPr>
              <w:fldChar w:fldCharType="begin"/>
            </w:r>
            <w:r w:rsidR="00DD36E2">
              <w:rPr>
                <w:noProof/>
                <w:webHidden/>
              </w:rPr>
              <w:instrText xml:space="preserve"> PAGEREF _Toc121752710 \h </w:instrText>
            </w:r>
            <w:r w:rsidR="00DD36E2">
              <w:rPr>
                <w:noProof/>
                <w:webHidden/>
              </w:rPr>
            </w:r>
            <w:r w:rsidR="00DD36E2">
              <w:rPr>
                <w:noProof/>
                <w:webHidden/>
              </w:rPr>
              <w:fldChar w:fldCharType="separate"/>
            </w:r>
            <w:r w:rsidR="00A63605">
              <w:rPr>
                <w:noProof/>
                <w:webHidden/>
              </w:rPr>
              <w:t>124</w:t>
            </w:r>
            <w:r w:rsidR="00DD36E2">
              <w:rPr>
                <w:noProof/>
                <w:webHidden/>
              </w:rPr>
              <w:fldChar w:fldCharType="end"/>
            </w:r>
          </w:hyperlink>
        </w:p>
        <w:p w:rsidR="00DD36E2" w:rsidRDefault="002F39CB" w14:paraId="5AF46052" w14:textId="4CD1E67F">
          <w:pPr>
            <w:pStyle w:val="Innehll2"/>
            <w:tabs>
              <w:tab w:val="right" w:leader="dot" w:pos="8494"/>
            </w:tabs>
            <w:rPr>
              <w:rFonts w:eastAsiaTheme="minorEastAsia"/>
              <w:noProof/>
              <w:kern w:val="0"/>
              <w:sz w:val="22"/>
              <w:szCs w:val="22"/>
              <w:lang w:eastAsia="sv-SE"/>
              <w14:numSpacing w14:val="default"/>
            </w:rPr>
          </w:pPr>
          <w:hyperlink w:history="1" w:anchor="_Toc121752711">
            <w:r w:rsidRPr="000A0778" w:rsidR="00DD36E2">
              <w:rPr>
                <w:rStyle w:val="Hyperlnk"/>
                <w:noProof/>
              </w:rPr>
              <w:t>23.2 Statsbudgetens inkomster</w:t>
            </w:r>
            <w:r w:rsidR="00DD36E2">
              <w:rPr>
                <w:noProof/>
                <w:webHidden/>
              </w:rPr>
              <w:tab/>
            </w:r>
            <w:r w:rsidR="00DD36E2">
              <w:rPr>
                <w:noProof/>
                <w:webHidden/>
              </w:rPr>
              <w:fldChar w:fldCharType="begin"/>
            </w:r>
            <w:r w:rsidR="00DD36E2">
              <w:rPr>
                <w:noProof/>
                <w:webHidden/>
              </w:rPr>
              <w:instrText xml:space="preserve"> PAGEREF _Toc121752711 \h </w:instrText>
            </w:r>
            <w:r w:rsidR="00DD36E2">
              <w:rPr>
                <w:noProof/>
                <w:webHidden/>
              </w:rPr>
            </w:r>
            <w:r w:rsidR="00DD36E2">
              <w:rPr>
                <w:noProof/>
                <w:webHidden/>
              </w:rPr>
              <w:fldChar w:fldCharType="separate"/>
            </w:r>
            <w:r w:rsidR="00A63605">
              <w:rPr>
                <w:noProof/>
                <w:webHidden/>
              </w:rPr>
              <w:t>124</w:t>
            </w:r>
            <w:r w:rsidR="00DD36E2">
              <w:rPr>
                <w:noProof/>
                <w:webHidden/>
              </w:rPr>
              <w:fldChar w:fldCharType="end"/>
            </w:r>
          </w:hyperlink>
        </w:p>
        <w:p w:rsidR="00DD36E2" w:rsidRDefault="002F39CB" w14:paraId="6C201B3A" w14:textId="05A91123">
          <w:pPr>
            <w:pStyle w:val="Innehll2"/>
            <w:tabs>
              <w:tab w:val="right" w:leader="dot" w:pos="8494"/>
            </w:tabs>
            <w:rPr>
              <w:rFonts w:eastAsiaTheme="minorEastAsia"/>
              <w:noProof/>
              <w:kern w:val="0"/>
              <w:sz w:val="22"/>
              <w:szCs w:val="22"/>
              <w:lang w:eastAsia="sv-SE"/>
              <w14:numSpacing w14:val="default"/>
            </w:rPr>
          </w:pPr>
          <w:hyperlink w:history="1" w:anchor="_Toc121752712">
            <w:r w:rsidRPr="000A0778" w:rsidR="00DD36E2">
              <w:rPr>
                <w:rStyle w:val="Hyperlnk"/>
                <w:noProof/>
              </w:rPr>
              <w:t>23.3 Statsbudgetens saldo och statsskuld</w:t>
            </w:r>
            <w:r w:rsidR="00DD36E2">
              <w:rPr>
                <w:noProof/>
                <w:webHidden/>
              </w:rPr>
              <w:tab/>
            </w:r>
            <w:r w:rsidR="00DD36E2">
              <w:rPr>
                <w:noProof/>
                <w:webHidden/>
              </w:rPr>
              <w:fldChar w:fldCharType="begin"/>
            </w:r>
            <w:r w:rsidR="00DD36E2">
              <w:rPr>
                <w:noProof/>
                <w:webHidden/>
              </w:rPr>
              <w:instrText xml:space="preserve"> PAGEREF _Toc121752712 \h </w:instrText>
            </w:r>
            <w:r w:rsidR="00DD36E2">
              <w:rPr>
                <w:noProof/>
                <w:webHidden/>
              </w:rPr>
            </w:r>
            <w:r w:rsidR="00DD36E2">
              <w:rPr>
                <w:noProof/>
                <w:webHidden/>
              </w:rPr>
              <w:fldChar w:fldCharType="separate"/>
            </w:r>
            <w:r w:rsidR="00A63605">
              <w:rPr>
                <w:noProof/>
                <w:webHidden/>
              </w:rPr>
              <w:t>124</w:t>
            </w:r>
            <w:r w:rsidR="00DD36E2">
              <w:rPr>
                <w:noProof/>
                <w:webHidden/>
              </w:rPr>
              <w:fldChar w:fldCharType="end"/>
            </w:r>
          </w:hyperlink>
        </w:p>
        <w:p w:rsidR="00DD36E2" w:rsidRDefault="002F39CB" w14:paraId="26C1806D" w14:textId="017F3D26">
          <w:pPr>
            <w:pStyle w:val="Innehll2"/>
            <w:tabs>
              <w:tab w:val="right" w:leader="dot" w:pos="8494"/>
            </w:tabs>
            <w:rPr>
              <w:rFonts w:eastAsiaTheme="minorEastAsia"/>
              <w:noProof/>
              <w:kern w:val="0"/>
              <w:sz w:val="22"/>
              <w:szCs w:val="22"/>
              <w:lang w:eastAsia="sv-SE"/>
              <w14:numSpacing w14:val="default"/>
            </w:rPr>
          </w:pPr>
          <w:hyperlink w:history="1" w:anchor="_Toc121752713">
            <w:r w:rsidRPr="000A0778" w:rsidR="00DD36E2">
              <w:rPr>
                <w:rStyle w:val="Hyperlnk"/>
                <w:noProof/>
              </w:rPr>
              <w:t>23.4 Den offentliga sektorns finanser</w:t>
            </w:r>
            <w:r w:rsidR="00DD36E2">
              <w:rPr>
                <w:noProof/>
                <w:webHidden/>
              </w:rPr>
              <w:tab/>
            </w:r>
            <w:r w:rsidR="00DD36E2">
              <w:rPr>
                <w:noProof/>
                <w:webHidden/>
              </w:rPr>
              <w:fldChar w:fldCharType="begin"/>
            </w:r>
            <w:r w:rsidR="00DD36E2">
              <w:rPr>
                <w:noProof/>
                <w:webHidden/>
              </w:rPr>
              <w:instrText xml:space="preserve"> PAGEREF _Toc121752713 \h </w:instrText>
            </w:r>
            <w:r w:rsidR="00DD36E2">
              <w:rPr>
                <w:noProof/>
                <w:webHidden/>
              </w:rPr>
            </w:r>
            <w:r w:rsidR="00DD36E2">
              <w:rPr>
                <w:noProof/>
                <w:webHidden/>
              </w:rPr>
              <w:fldChar w:fldCharType="separate"/>
            </w:r>
            <w:r w:rsidR="00A63605">
              <w:rPr>
                <w:noProof/>
                <w:webHidden/>
              </w:rPr>
              <w:t>125</w:t>
            </w:r>
            <w:r w:rsidR="00DD36E2">
              <w:rPr>
                <w:noProof/>
                <w:webHidden/>
              </w:rPr>
              <w:fldChar w:fldCharType="end"/>
            </w:r>
          </w:hyperlink>
        </w:p>
        <w:p w:rsidR="00DD36E2" w:rsidRDefault="002F39CB" w14:paraId="68688EEA" w14:textId="1F6B76DB">
          <w:pPr>
            <w:pStyle w:val="Innehll2"/>
            <w:tabs>
              <w:tab w:val="right" w:leader="dot" w:pos="8494"/>
            </w:tabs>
            <w:rPr>
              <w:rFonts w:eastAsiaTheme="minorEastAsia"/>
              <w:noProof/>
              <w:kern w:val="0"/>
              <w:sz w:val="22"/>
              <w:szCs w:val="22"/>
              <w:lang w:eastAsia="sv-SE"/>
              <w14:numSpacing w14:val="default"/>
            </w:rPr>
          </w:pPr>
          <w:hyperlink w:history="1" w:anchor="_Toc121752714">
            <w:r w:rsidRPr="000A0778" w:rsidR="00DD36E2">
              <w:rPr>
                <w:rStyle w:val="Hyperlnk"/>
                <w:noProof/>
              </w:rPr>
              <w:t>23.5 Kommunsektorns finanser</w:t>
            </w:r>
            <w:r w:rsidR="00DD36E2">
              <w:rPr>
                <w:noProof/>
                <w:webHidden/>
              </w:rPr>
              <w:tab/>
            </w:r>
            <w:r w:rsidR="00DD36E2">
              <w:rPr>
                <w:noProof/>
                <w:webHidden/>
              </w:rPr>
              <w:fldChar w:fldCharType="begin"/>
            </w:r>
            <w:r w:rsidR="00DD36E2">
              <w:rPr>
                <w:noProof/>
                <w:webHidden/>
              </w:rPr>
              <w:instrText xml:space="preserve"> PAGEREF _Toc121752714 \h </w:instrText>
            </w:r>
            <w:r w:rsidR="00DD36E2">
              <w:rPr>
                <w:noProof/>
                <w:webHidden/>
              </w:rPr>
            </w:r>
            <w:r w:rsidR="00DD36E2">
              <w:rPr>
                <w:noProof/>
                <w:webHidden/>
              </w:rPr>
              <w:fldChar w:fldCharType="separate"/>
            </w:r>
            <w:r w:rsidR="00A63605">
              <w:rPr>
                <w:noProof/>
                <w:webHidden/>
              </w:rPr>
              <w:t>125</w:t>
            </w:r>
            <w:r w:rsidR="00DD36E2">
              <w:rPr>
                <w:noProof/>
                <w:webHidden/>
              </w:rPr>
              <w:fldChar w:fldCharType="end"/>
            </w:r>
          </w:hyperlink>
        </w:p>
        <w:p w:rsidR="00DD36E2" w:rsidRDefault="002F39CB" w14:paraId="0E3FA57D" w14:textId="6FF85938">
          <w:pPr>
            <w:pStyle w:val="Innehll2"/>
            <w:tabs>
              <w:tab w:val="right" w:leader="dot" w:pos="8494"/>
            </w:tabs>
            <w:rPr>
              <w:rFonts w:eastAsiaTheme="minorEastAsia"/>
              <w:noProof/>
              <w:kern w:val="0"/>
              <w:sz w:val="22"/>
              <w:szCs w:val="22"/>
              <w:lang w:eastAsia="sv-SE"/>
              <w14:numSpacing w14:val="default"/>
            </w:rPr>
          </w:pPr>
          <w:hyperlink w:history="1" w:anchor="_Toc121752715">
            <w:r w:rsidRPr="000A0778" w:rsidR="00DD36E2">
              <w:rPr>
                <w:rStyle w:val="Hyperlnk"/>
                <w:noProof/>
              </w:rPr>
              <w:t>23.6 Förslag till utgiftsramar 2022</w:t>
            </w:r>
            <w:r w:rsidR="00DD36E2">
              <w:rPr>
                <w:noProof/>
                <w:webHidden/>
              </w:rPr>
              <w:tab/>
            </w:r>
            <w:r w:rsidR="00DD36E2">
              <w:rPr>
                <w:noProof/>
                <w:webHidden/>
              </w:rPr>
              <w:fldChar w:fldCharType="begin"/>
            </w:r>
            <w:r w:rsidR="00DD36E2">
              <w:rPr>
                <w:noProof/>
                <w:webHidden/>
              </w:rPr>
              <w:instrText xml:space="preserve"> PAGEREF _Toc121752715 \h </w:instrText>
            </w:r>
            <w:r w:rsidR="00DD36E2">
              <w:rPr>
                <w:noProof/>
                <w:webHidden/>
              </w:rPr>
            </w:r>
            <w:r w:rsidR="00DD36E2">
              <w:rPr>
                <w:noProof/>
                <w:webHidden/>
              </w:rPr>
              <w:fldChar w:fldCharType="separate"/>
            </w:r>
            <w:r w:rsidR="00A63605">
              <w:rPr>
                <w:noProof/>
                <w:webHidden/>
              </w:rPr>
              <w:t>125</w:t>
            </w:r>
            <w:r w:rsidR="00DD36E2">
              <w:rPr>
                <w:noProof/>
                <w:webHidden/>
              </w:rPr>
              <w:fldChar w:fldCharType="end"/>
            </w:r>
          </w:hyperlink>
        </w:p>
        <w:p w:rsidR="00DD36E2" w:rsidRDefault="002F39CB" w14:paraId="3ABC7744" w14:textId="72BDE455">
          <w:pPr>
            <w:pStyle w:val="Innehll2"/>
            <w:tabs>
              <w:tab w:val="right" w:leader="dot" w:pos="8494"/>
            </w:tabs>
            <w:rPr>
              <w:rFonts w:eastAsiaTheme="minorEastAsia"/>
              <w:noProof/>
              <w:kern w:val="0"/>
              <w:sz w:val="22"/>
              <w:szCs w:val="22"/>
              <w:lang w:eastAsia="sv-SE"/>
              <w14:numSpacing w14:val="default"/>
            </w:rPr>
          </w:pPr>
          <w:hyperlink w:history="1" w:anchor="_Toc121752716">
            <w:r w:rsidRPr="000A0778" w:rsidR="00DD36E2">
              <w:rPr>
                <w:rStyle w:val="Hyperlnk"/>
                <w:noProof/>
              </w:rPr>
              <w:t>23.7 Förslag till utgiftsramar 2023–2024</w:t>
            </w:r>
            <w:r w:rsidR="00DD36E2">
              <w:rPr>
                <w:noProof/>
                <w:webHidden/>
              </w:rPr>
              <w:tab/>
            </w:r>
            <w:r w:rsidR="00DD36E2">
              <w:rPr>
                <w:noProof/>
                <w:webHidden/>
              </w:rPr>
              <w:fldChar w:fldCharType="begin"/>
            </w:r>
            <w:r w:rsidR="00DD36E2">
              <w:rPr>
                <w:noProof/>
                <w:webHidden/>
              </w:rPr>
              <w:instrText xml:space="preserve"> PAGEREF _Toc121752716 \h </w:instrText>
            </w:r>
            <w:r w:rsidR="00DD36E2">
              <w:rPr>
                <w:noProof/>
                <w:webHidden/>
              </w:rPr>
            </w:r>
            <w:r w:rsidR="00DD36E2">
              <w:rPr>
                <w:noProof/>
                <w:webHidden/>
              </w:rPr>
              <w:fldChar w:fldCharType="separate"/>
            </w:r>
            <w:r w:rsidR="00A63605">
              <w:rPr>
                <w:noProof/>
                <w:webHidden/>
              </w:rPr>
              <w:t>126</w:t>
            </w:r>
            <w:r w:rsidR="00DD36E2">
              <w:rPr>
                <w:noProof/>
                <w:webHidden/>
              </w:rPr>
              <w:fldChar w:fldCharType="end"/>
            </w:r>
          </w:hyperlink>
        </w:p>
        <w:p w:rsidR="00DD36E2" w:rsidRDefault="002F39CB" w14:paraId="6B3830C9" w14:textId="2762FA45">
          <w:pPr>
            <w:pStyle w:val="Innehll2"/>
            <w:tabs>
              <w:tab w:val="right" w:leader="dot" w:pos="8494"/>
            </w:tabs>
            <w:rPr>
              <w:rFonts w:eastAsiaTheme="minorEastAsia"/>
              <w:noProof/>
              <w:kern w:val="0"/>
              <w:sz w:val="22"/>
              <w:szCs w:val="22"/>
              <w:lang w:eastAsia="sv-SE"/>
              <w14:numSpacing w14:val="default"/>
            </w:rPr>
          </w:pPr>
          <w:hyperlink w:history="1" w:anchor="_Toc121752717">
            <w:r w:rsidRPr="000A0778" w:rsidR="00DD36E2">
              <w:rPr>
                <w:rStyle w:val="Hyperlnk"/>
                <w:noProof/>
              </w:rPr>
              <w:t>23.8 Beräkning av statsbudgetens inkomster 2022</w:t>
            </w:r>
            <w:r w:rsidR="00DD36E2">
              <w:rPr>
                <w:noProof/>
                <w:webHidden/>
              </w:rPr>
              <w:tab/>
            </w:r>
            <w:r w:rsidR="00DD36E2">
              <w:rPr>
                <w:noProof/>
                <w:webHidden/>
              </w:rPr>
              <w:fldChar w:fldCharType="begin"/>
            </w:r>
            <w:r w:rsidR="00DD36E2">
              <w:rPr>
                <w:noProof/>
                <w:webHidden/>
              </w:rPr>
              <w:instrText xml:space="preserve"> PAGEREF _Toc121752717 \h </w:instrText>
            </w:r>
            <w:r w:rsidR="00DD36E2">
              <w:rPr>
                <w:noProof/>
                <w:webHidden/>
              </w:rPr>
            </w:r>
            <w:r w:rsidR="00DD36E2">
              <w:rPr>
                <w:noProof/>
                <w:webHidden/>
              </w:rPr>
              <w:fldChar w:fldCharType="separate"/>
            </w:r>
            <w:r w:rsidR="00A63605">
              <w:rPr>
                <w:noProof/>
                <w:webHidden/>
              </w:rPr>
              <w:t>127</w:t>
            </w:r>
            <w:r w:rsidR="00DD36E2">
              <w:rPr>
                <w:noProof/>
                <w:webHidden/>
              </w:rPr>
              <w:fldChar w:fldCharType="end"/>
            </w:r>
          </w:hyperlink>
        </w:p>
        <w:p w:rsidR="00DD36E2" w:rsidRDefault="002F39CB" w14:paraId="65B47AFD" w14:textId="4C26F6AA">
          <w:pPr>
            <w:pStyle w:val="Innehll2"/>
            <w:tabs>
              <w:tab w:val="right" w:leader="dot" w:pos="8494"/>
            </w:tabs>
            <w:rPr>
              <w:rFonts w:eastAsiaTheme="minorEastAsia"/>
              <w:noProof/>
              <w:kern w:val="0"/>
              <w:sz w:val="22"/>
              <w:szCs w:val="22"/>
              <w:lang w:eastAsia="sv-SE"/>
              <w14:numSpacing w14:val="default"/>
            </w:rPr>
          </w:pPr>
          <w:hyperlink w:history="1" w:anchor="_Toc121752718">
            <w:r w:rsidRPr="000A0778" w:rsidR="00DD36E2">
              <w:rPr>
                <w:rStyle w:val="Hyperlnk"/>
                <w:noProof/>
              </w:rPr>
              <w:t>23.9 Beräkning av statsbudgetens inkomster 2023–2024</w:t>
            </w:r>
            <w:r w:rsidR="00DD36E2">
              <w:rPr>
                <w:noProof/>
                <w:webHidden/>
              </w:rPr>
              <w:tab/>
            </w:r>
            <w:r w:rsidR="00DD36E2">
              <w:rPr>
                <w:noProof/>
                <w:webHidden/>
              </w:rPr>
              <w:fldChar w:fldCharType="begin"/>
            </w:r>
            <w:r w:rsidR="00DD36E2">
              <w:rPr>
                <w:noProof/>
                <w:webHidden/>
              </w:rPr>
              <w:instrText xml:space="preserve"> PAGEREF _Toc121752718 \h </w:instrText>
            </w:r>
            <w:r w:rsidR="00DD36E2">
              <w:rPr>
                <w:noProof/>
                <w:webHidden/>
              </w:rPr>
            </w:r>
            <w:r w:rsidR="00DD36E2">
              <w:rPr>
                <w:noProof/>
                <w:webHidden/>
              </w:rPr>
              <w:fldChar w:fldCharType="separate"/>
            </w:r>
            <w:r w:rsidR="00A63605">
              <w:rPr>
                <w:noProof/>
                <w:webHidden/>
              </w:rPr>
              <w:t>129</w:t>
            </w:r>
            <w:r w:rsidR="00DD36E2">
              <w:rPr>
                <w:noProof/>
                <w:webHidden/>
              </w:rPr>
              <w:fldChar w:fldCharType="end"/>
            </w:r>
          </w:hyperlink>
        </w:p>
        <w:p w:rsidRPr="006B7451" w:rsidR="0034266A" w:rsidP="0034266A" w:rsidRDefault="00FA472B" w14:paraId="5F338F43" w14:textId="57DF325F">
          <w:r>
            <w:fldChar w:fldCharType="end"/>
          </w:r>
        </w:p>
      </w:sdtContent>
    </w:sdt>
    <w:p w:rsidR="00457938" w:rsidP="00457938" w:rsidRDefault="00457938" w14:paraId="04724310" w14:textId="704590AD">
      <w:pPr>
        <w:pStyle w:val="Normalutanindragellerluft"/>
      </w:pPr>
    </w:p>
    <w:p w:rsidR="0034266A" w:rsidRDefault="0034266A" w14:paraId="37CC4106" w14:textId="31E7468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1752513" w:displacedByCustomXml="next" w:id="0"/>
    <w:sdt>
      <w:sdtPr>
        <w:alias w:val="CC_Boilerplate_4"/>
        <w:tag w:val="CC_Boilerplate_4"/>
        <w:id w:val="-1644581176"/>
        <w:lock w:val="sdtLocked"/>
        <w:placeholder>
          <w:docPart w:val="45E58C8DB424468A88C5D9528EB04A72"/>
        </w:placeholder>
        <w:text/>
      </w:sdtPr>
      <w:sdtEndPr/>
      <w:sdtContent>
        <w:p w:rsidRPr="009B062B" w:rsidR="00AF30DD" w:rsidP="00ED5D60" w:rsidRDefault="00AF30DD" w14:paraId="2E838233" w14:textId="77777777">
          <w:pPr>
            <w:pStyle w:val="Rubrik1numrerat"/>
            <w:numPr>
              <w:ilvl w:val="0"/>
              <w:numId w:val="0"/>
            </w:numPr>
          </w:pPr>
          <w:r w:rsidRPr="009B062B">
            <w:t>Förslag till riksdagsbeslut</w:t>
          </w:r>
        </w:p>
      </w:sdtContent>
    </w:sdt>
    <w:bookmarkEnd w:displacedByCustomXml="prev" w:id="0"/>
    <w:sdt>
      <w:sdtPr>
        <w:alias w:val="Yrkande 1"/>
        <w:tag w:val="92ed47fb-7c90-4012-b64c-d6828d0842b9"/>
        <w:id w:val="-1189522288"/>
        <w:lock w:val="sdtLocked"/>
      </w:sdtPr>
      <w:sdtEndPr/>
      <w:sdtContent>
        <w:p w:rsidR="00133355" w:rsidRDefault="00995F32" w14:paraId="71BC36BE" w14:textId="77777777">
          <w:pPr>
            <w:pStyle w:val="Frslagstext"/>
          </w:pPr>
          <w:r>
            <w:t>Riksdagen godkänner de riktlinjer för den ekonomiska politiken och budgetpolitiken som föreslås i motionen.</w:t>
          </w:r>
        </w:p>
      </w:sdtContent>
    </w:sdt>
    <w:sdt>
      <w:sdtPr>
        <w:alias w:val="Yrkande 2"/>
        <w:tag w:val="27aaba2c-efd9-4de9-803f-cdecea931dba"/>
        <w:id w:val="439961087"/>
        <w:lock w:val="sdtLocked"/>
      </w:sdtPr>
      <w:sdtEndPr/>
      <w:sdtContent>
        <w:p w:rsidR="00133355" w:rsidRDefault="00995F32" w14:paraId="117D93C9" w14:textId="77777777">
          <w:pPr>
            <w:pStyle w:val="Frslagstext"/>
          </w:pPr>
          <w:r>
            <w:t>Riksdagen godkänner beräkningen av inkomsterna i statens budget för 2022 enligt förslaget i avsnitt 23.8 i motionen och ställer sig bakom det som anförs i motionen om att regeringen ska återkomma med lagförslag i överensstämmelse med denna beräkning och tillkännager detta för regeringen.</w:t>
          </w:r>
        </w:p>
      </w:sdtContent>
    </w:sdt>
    <w:sdt>
      <w:sdtPr>
        <w:alias w:val="Yrkande 3"/>
        <w:tag w:val="377f60f9-a40c-4c02-b8be-4bfb6e8a96ee"/>
        <w:id w:val="-786585509"/>
        <w:lock w:val="sdtLocked"/>
      </w:sdtPr>
      <w:sdtEndPr/>
      <w:sdtContent>
        <w:p w:rsidR="00133355" w:rsidRDefault="00995F32" w14:paraId="4EF3584B" w14:textId="77777777">
          <w:pPr>
            <w:pStyle w:val="Frslagstext"/>
          </w:pPr>
          <w:r>
            <w:t>Riksdagen godkänner den preliminära beräkningen av inkomsterna i statens budget för 2023 och 2024 som riktlinje för regeringens budgetarbete enligt vad som föreslås i motionen (avsnitt 23.9).</w:t>
          </w:r>
        </w:p>
      </w:sdtContent>
    </w:sdt>
    <w:sdt>
      <w:sdtPr>
        <w:alias w:val="Yrkande 4"/>
        <w:tag w:val="6867ba45-d7ca-417d-9e3e-6ddae33b85c7"/>
        <w:id w:val="1420448492"/>
        <w:lock w:val="sdtLocked"/>
      </w:sdtPr>
      <w:sdtEndPr/>
      <w:sdtContent>
        <w:p w:rsidR="00133355" w:rsidRDefault="00995F32" w14:paraId="0E428E2F" w14:textId="77777777">
          <w:pPr>
            <w:pStyle w:val="Frslagstext"/>
          </w:pPr>
          <w:r>
            <w:t>Riksdagen beslutar om fördelning av utgifter på utgiftsområden för 2022 enligt vad som föreslås i motionen (avsnitt 23.6).</w:t>
          </w:r>
        </w:p>
      </w:sdtContent>
    </w:sdt>
    <w:sdt>
      <w:sdtPr>
        <w:alias w:val="Yrkande 5"/>
        <w:tag w:val="70fe997d-193d-49c7-ad32-76de595cb73e"/>
        <w:id w:val="-767467854"/>
        <w:lock w:val="sdtLocked"/>
      </w:sdtPr>
      <w:sdtEndPr/>
      <w:sdtContent>
        <w:p w:rsidR="00133355" w:rsidRDefault="00995F32" w14:paraId="409682B3" w14:textId="77777777">
          <w:pPr>
            <w:pStyle w:val="Frslagstext"/>
          </w:pPr>
          <w:r>
            <w:t>Riksdagen godkänner den preliminära fördelningen av utgifter på utgiftsområden för 2023 och 2024 som riktlinje för regeringens budgetarbete enligt vad som föreslås i motionen (avsnitt 23.7).</w:t>
          </w:r>
        </w:p>
      </w:sdtContent>
    </w:sdt>
    <w:p w:rsidR="009A3FBE" w:rsidP="00ED5E1E" w:rsidRDefault="009A3FBE" w14:paraId="5657D749" w14:textId="5228B8FE">
      <w:pPr>
        <w:pStyle w:val="Normalutanindragellerluft"/>
      </w:pPr>
      <w:bookmarkStart w:name="MotionsStart" w:id="1"/>
      <w:bookmarkEnd w:id="1"/>
    </w:p>
    <w:p w:rsidR="00FA472B" w:rsidRDefault="00FA472B" w14:paraId="7F4DDC55" w14:textId="4FF0689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422B9E" w:rsidP="00ED5D60" w:rsidRDefault="00D27185" w14:paraId="0CA3CF3F" w14:textId="53B132A3">
      <w:pPr>
        <w:pStyle w:val="Rubrik1numrerat"/>
      </w:pPr>
      <w:bookmarkStart w:name="_Toc121752514" w:id="2"/>
      <w:r w:rsidRPr="006B7451">
        <w:lastRenderedPageBreak/>
        <w:t>Inledning</w:t>
      </w:r>
      <w:bookmarkEnd w:id="2"/>
    </w:p>
    <w:p w:rsidRPr="006B7451" w:rsidR="003A2A68" w:rsidP="00D27185" w:rsidRDefault="008A0125" w14:paraId="035248F9" w14:textId="586E317A">
      <w:pPr>
        <w:pStyle w:val="Normalutanindragellerluft"/>
      </w:pPr>
      <w:r w:rsidRPr="006B7451">
        <w:t>Coronapandemin har satt sina spår.</w:t>
      </w:r>
      <w:r w:rsidRPr="006B7451" w:rsidR="00EC32D6">
        <w:t xml:space="preserve"> Risken för en allmän spridning bedömdes initialt som lå</w:t>
      </w:r>
      <w:r w:rsidRPr="006B7451" w:rsidR="003A2A68">
        <w:t>g av Folkhälsomyndigheten</w:t>
      </w:r>
      <w:r w:rsidRPr="006B7451" w:rsidR="001A5829">
        <w:t xml:space="preserve"> och</w:t>
      </w:r>
      <w:r w:rsidRPr="006B7451" w:rsidR="003A2A68">
        <w:t xml:space="preserve"> åtgärderna baserades på frivillighet</w:t>
      </w:r>
      <w:r w:rsidRPr="006B7451" w:rsidR="00A556CF">
        <w:t>. I</w:t>
      </w:r>
      <w:r w:rsidRPr="006B7451" w:rsidR="003101B3">
        <w:t xml:space="preserve"> </w:t>
      </w:r>
      <w:r w:rsidRPr="006B7451" w:rsidR="00A556CF">
        <w:t xml:space="preserve">stället hade det varit klokt att följa </w:t>
      </w:r>
      <w:r w:rsidRPr="006B7451" w:rsidR="003A2A68">
        <w:t xml:space="preserve">försiktighetsprincipen </w:t>
      </w:r>
      <w:r w:rsidRPr="006B7451" w:rsidR="00A556CF">
        <w:t xml:space="preserve">och ta höjd för </w:t>
      </w:r>
      <w:r w:rsidRPr="006B7451" w:rsidR="003A2A68">
        <w:t xml:space="preserve">att viruset skulle kunna vara farligare och mer smittsamt än vad det framstod som vid </w:t>
      </w:r>
      <w:r w:rsidRPr="006B7451" w:rsidR="001A5829">
        <w:t xml:space="preserve">en </w:t>
      </w:r>
      <w:r w:rsidRPr="006B7451" w:rsidR="003A2A68">
        <w:t xml:space="preserve">första anblick. Även när smittspridningen ökade i andra länder, särskilt bland dem med ett högt antal svenska resenärer, kvarstod den </w:t>
      </w:r>
      <w:r w:rsidRPr="006B7451" w:rsidR="00A556CF">
        <w:t xml:space="preserve">godtrogna </w:t>
      </w:r>
      <w:r w:rsidRPr="006B7451" w:rsidR="003A2A68">
        <w:t xml:space="preserve">svenska strategin. </w:t>
      </w:r>
      <w:r w:rsidRPr="006B7451" w:rsidR="00177478">
        <w:t>Medan andra länder införde karantänsregler för inresande och restriktioner för att minska den inhemska smitt</w:t>
      </w:r>
      <w:r w:rsidR="00610552">
        <w:softHyphen/>
      </w:r>
      <w:r w:rsidRPr="006B7451" w:rsidR="00177478">
        <w:t xml:space="preserve">spridningen </w:t>
      </w:r>
      <w:r w:rsidRPr="006B7451" w:rsidR="00A556CF">
        <w:t xml:space="preserve">var </w:t>
      </w:r>
      <w:r w:rsidRPr="006B7451" w:rsidR="00177478">
        <w:t xml:space="preserve">regeringen </w:t>
      </w:r>
      <w:r w:rsidRPr="006B7451" w:rsidR="00A556CF">
        <w:t xml:space="preserve">passiv. Det saknades </w:t>
      </w:r>
      <w:r w:rsidRPr="006B7451" w:rsidR="00177478">
        <w:t>en tydlig linje</w:t>
      </w:r>
      <w:r w:rsidRPr="006B7451" w:rsidR="00A556CF">
        <w:t xml:space="preserve"> och </w:t>
      </w:r>
      <w:r w:rsidRPr="006B7451" w:rsidR="00177478">
        <w:t>ett tydligt ledarskap.</w:t>
      </w:r>
    </w:p>
    <w:p w:rsidRPr="006B7451" w:rsidR="00633FD8" w:rsidP="00177478" w:rsidRDefault="002C2627" w14:paraId="06C6194F" w14:textId="4F46A4F8">
      <w:r w:rsidRPr="006B7451">
        <w:t xml:space="preserve">En ytterligare brist som </w:t>
      </w:r>
      <w:r w:rsidRPr="006B7451" w:rsidR="00A556CF">
        <w:t xml:space="preserve">blev </w:t>
      </w:r>
      <w:r w:rsidRPr="006B7451">
        <w:t>uppenbar under pandemin var den otillräckliga kris</w:t>
      </w:r>
      <w:r w:rsidR="00610552">
        <w:softHyphen/>
      </w:r>
      <w:r w:rsidRPr="006B7451">
        <w:t>beredskapen.</w:t>
      </w:r>
      <w:r w:rsidRPr="006B7451" w:rsidR="00633FD8">
        <w:t xml:space="preserve"> I samband med att totalförsvaret monterades ned avskaffades beredskaps</w:t>
      </w:r>
      <w:r w:rsidR="00610552">
        <w:softHyphen/>
      </w:r>
      <w:r w:rsidRPr="006B7451" w:rsidR="00633FD8">
        <w:t>lagren, samtidigt som regionerna i många fall minskade på lagerhållning av skydds</w:t>
      </w:r>
      <w:r w:rsidR="00610552">
        <w:softHyphen/>
      </w:r>
      <w:r w:rsidRPr="006B7451" w:rsidR="00633FD8">
        <w:t>utrustning med en förhoppning om att material skulle kunna införskaffas snabbt vid en kris.</w:t>
      </w:r>
      <w:r w:rsidRPr="006B7451" w:rsidR="00FC6643">
        <w:t xml:space="preserve"> När pandemin ökade den globala efterfrågan på skyddsutrustning och satte press på leveranskedjorna uppstod en brist som i vissa fall ledde till att skyddsutrustning saknades eller att den skyddsutrustning som inhandlades var bristfällig.</w:t>
      </w:r>
    </w:p>
    <w:p w:rsidRPr="006B7451" w:rsidR="0022253B" w:rsidP="00FC6643" w:rsidRDefault="00177478" w14:paraId="78C595A6" w14:textId="55B3EA30">
      <w:r w:rsidRPr="006B7451">
        <w:t xml:space="preserve">Det är svårt att bedöma hur </w:t>
      </w:r>
      <w:r w:rsidRPr="006B7451" w:rsidR="00A556CF">
        <w:t xml:space="preserve">omfattande </w:t>
      </w:r>
      <w:r w:rsidRPr="006B7451">
        <w:t xml:space="preserve">smittspridningen </w:t>
      </w:r>
      <w:r w:rsidRPr="006B7451" w:rsidR="00A556CF">
        <w:t xml:space="preserve">blivit </w:t>
      </w:r>
      <w:r w:rsidRPr="006B7451">
        <w:t>om Sverige</w:t>
      </w:r>
      <w:r w:rsidRPr="006B7451" w:rsidR="00FC6643">
        <w:t xml:space="preserve"> initialt, i likhet med våra grannländer,</w:t>
      </w:r>
      <w:r w:rsidRPr="006B7451">
        <w:t xml:space="preserve"> </w:t>
      </w:r>
      <w:r w:rsidRPr="006B7451" w:rsidR="00A556CF">
        <w:t xml:space="preserve">hade </w:t>
      </w:r>
      <w:r w:rsidRPr="006B7451">
        <w:t xml:space="preserve">agerat mer </w:t>
      </w:r>
      <w:r w:rsidRPr="006B7451" w:rsidR="00FC6643">
        <w:t xml:space="preserve">resolut eller om krisberedskapen hade varit fullgod. </w:t>
      </w:r>
      <w:r w:rsidRPr="006B7451">
        <w:t xml:space="preserve">Oavsett vilket är det ett faktum </w:t>
      </w:r>
      <w:r w:rsidRPr="006B7451" w:rsidR="00FC6643">
        <w:t xml:space="preserve">att närmare </w:t>
      </w:r>
      <w:r w:rsidRPr="006B7451" w:rsidR="00A556CF">
        <w:t>15</w:t>
      </w:r>
      <w:r w:rsidR="00C378B9">
        <w:t> </w:t>
      </w:r>
      <w:r w:rsidRPr="006B7451" w:rsidR="00A556CF">
        <w:t>000</w:t>
      </w:r>
      <w:r w:rsidRPr="006B7451" w:rsidR="00FC6643">
        <w:t xml:space="preserve"> människor har fått sätta livet till och över en miljon fall av smitta har konstaterats. Det är ett misslyckande.</w:t>
      </w:r>
    </w:p>
    <w:p w:rsidRPr="006B7451" w:rsidR="00FC6643" w:rsidP="00ED5D60" w:rsidRDefault="002028D0" w14:paraId="4F0AFE74" w14:textId="1C671BC0">
      <w:pPr>
        <w:pStyle w:val="Rubrik2numrerat"/>
      </w:pPr>
      <w:bookmarkStart w:name="_Toc121752515" w:id="3"/>
      <w:r w:rsidRPr="006B7451">
        <w:t>Pandemin är även en ekonomisk kris</w:t>
      </w:r>
      <w:bookmarkEnd w:id="3"/>
    </w:p>
    <w:p w:rsidRPr="006B7451" w:rsidR="0013185A" w:rsidP="00D27185" w:rsidRDefault="0013185A" w14:paraId="73D08739" w14:textId="77777777">
      <w:pPr>
        <w:pStyle w:val="Normalutanindragellerluft"/>
      </w:pPr>
      <w:r w:rsidRPr="006B7451">
        <w:t>Utöver det mänskliga lidandet har pandemin</w:t>
      </w:r>
      <w:r w:rsidRPr="006B7451" w:rsidR="00FC6643">
        <w:t xml:space="preserve">, och de införda restriktionerna för att minska smittspridningen, </w:t>
      </w:r>
      <w:r w:rsidRPr="006B7451">
        <w:t>medfört ekonomiska konsekvenser för privatpersoner och för företag – där r</w:t>
      </w:r>
      <w:r w:rsidRPr="006B7451" w:rsidR="008A0125">
        <w:t xml:space="preserve">estauranger, sportarenor, museer, nöjesparker och annan </w:t>
      </w:r>
      <w:r w:rsidRPr="006B7451">
        <w:t>besöks</w:t>
      </w:r>
      <w:r w:rsidRPr="006B7451" w:rsidR="008A0125">
        <w:t>intensiv verksamhet har drabbats</w:t>
      </w:r>
      <w:r w:rsidRPr="006B7451" w:rsidR="00FC6643">
        <w:t xml:space="preserve"> särskilt hårt.</w:t>
      </w:r>
      <w:r w:rsidRPr="006B7451">
        <w:t xml:space="preserve"> Krisen har resulterat i minskad </w:t>
      </w:r>
      <w:r w:rsidRPr="006B7451" w:rsidR="008A0125">
        <w:t>lönsamhet</w:t>
      </w:r>
      <w:r w:rsidRPr="006B7451">
        <w:t xml:space="preserve"> för företagen</w:t>
      </w:r>
      <w:r w:rsidRPr="006B7451" w:rsidR="008A0125">
        <w:t>,</w:t>
      </w:r>
      <w:r w:rsidRPr="006B7451">
        <w:t xml:space="preserve"> med</w:t>
      </w:r>
      <w:r w:rsidRPr="006B7451" w:rsidR="008A0125">
        <w:t xml:space="preserve"> färre nyanställningar och ökad arbetslöshet</w:t>
      </w:r>
      <w:r w:rsidRPr="006B7451">
        <w:t xml:space="preserve"> som följd.</w:t>
      </w:r>
    </w:p>
    <w:p w:rsidRPr="006B7451" w:rsidR="0013185A" w:rsidP="0013185A" w:rsidRDefault="0013185A" w14:paraId="21E082CE" w14:textId="4B41D4AD">
      <w:r w:rsidRPr="006B7451">
        <w:t xml:space="preserve">Ett batteri av stödåtgärder har dock haft en mildrande effekt. Finansutskottet har hanterat åtgärder på över 400 miljarder kronor som både riktar sig till företag som fått minskad omsättning till följd av restriktionerna och till anställda </w:t>
      </w:r>
      <w:r w:rsidRPr="006B7451" w:rsidR="004708E7">
        <w:t xml:space="preserve">i </w:t>
      </w:r>
      <w:r w:rsidRPr="006B7451" w:rsidR="003238E8">
        <w:t xml:space="preserve">drabbade </w:t>
      </w:r>
      <w:r w:rsidRPr="006B7451" w:rsidR="004708E7">
        <w:t xml:space="preserve">företag. Tillväxtverket har exempelvis fått in över 90 000 ansökningar om korttidspermittering, vilket har dämpat </w:t>
      </w:r>
      <w:r w:rsidRPr="006B7451" w:rsidR="003238E8">
        <w:t xml:space="preserve">ökningen av </w:t>
      </w:r>
      <w:r w:rsidRPr="006B7451" w:rsidR="004708E7">
        <w:t>arbetslösheten.</w:t>
      </w:r>
    </w:p>
    <w:p w:rsidRPr="006B7451" w:rsidR="005B0EF1" w:rsidP="004708E7" w:rsidRDefault="004708E7" w14:paraId="3D06DE4C" w14:textId="77777777">
      <w:r w:rsidRPr="006B7451">
        <w:t xml:space="preserve">Det krävs dock mer för att undvika att de införda stödåtgärderna endast skjuter konkurserna framåt i tiden. Det behövs reformer för att </w:t>
      </w:r>
      <w:r w:rsidRPr="006B7451" w:rsidR="00DB34F6">
        <w:t>det ska bli</w:t>
      </w:r>
      <w:r w:rsidRPr="006B7451">
        <w:t xml:space="preserve"> mer lönsamt för företagen att expandera och anställa</w:t>
      </w:r>
      <w:r w:rsidRPr="006B7451" w:rsidR="00DB34F6">
        <w:t xml:space="preserve"> personal.</w:t>
      </w:r>
    </w:p>
    <w:p w:rsidRPr="006B7451" w:rsidR="008F1C0D" w:rsidP="00ED5D60" w:rsidRDefault="00526E61" w14:paraId="4B8ACBB2" w14:textId="1465E3D6">
      <w:pPr>
        <w:pStyle w:val="Rubrik2numrerat"/>
      </w:pPr>
      <w:bookmarkStart w:name="_Toc121752516" w:id="4"/>
      <w:r w:rsidRPr="006B7451">
        <w:t>Vård</w:t>
      </w:r>
      <w:r w:rsidRPr="006B7451" w:rsidR="00733FEF">
        <w:t>skulden ska betalas av</w:t>
      </w:r>
      <w:bookmarkEnd w:id="4"/>
    </w:p>
    <w:p w:rsidRPr="006B7451" w:rsidR="005625CD" w:rsidP="007530F6" w:rsidRDefault="00526E61" w14:paraId="26B54D73" w14:textId="3C41491F">
      <w:pPr>
        <w:pStyle w:val="Normalutanindragellerluft"/>
      </w:pPr>
      <w:r w:rsidRPr="006B7451">
        <w:t xml:space="preserve">Trots en hög belastning </w:t>
      </w:r>
      <w:r w:rsidRPr="006B7451" w:rsidR="005625CD">
        <w:t xml:space="preserve">har regionerna lyckats väl med att ställa om vården under pandemin. Smittspridningen är nu lägre, vilket </w:t>
      </w:r>
      <w:r w:rsidRPr="006B7451" w:rsidR="00010B01">
        <w:t xml:space="preserve">medfört att färre personer behöver </w:t>
      </w:r>
      <w:r w:rsidRPr="006B7451" w:rsidR="005625CD">
        <w:t>sjukhus</w:t>
      </w:r>
      <w:r w:rsidRPr="006B7451" w:rsidR="00010B01">
        <w:t>vård</w:t>
      </w:r>
      <w:r w:rsidRPr="006B7451" w:rsidR="005625CD">
        <w:t xml:space="preserve">. Medan beslut fattats om att </w:t>
      </w:r>
      <w:r w:rsidRPr="006B7451" w:rsidR="00010B01">
        <w:t>ge</w:t>
      </w:r>
      <w:r w:rsidRPr="006B7451" w:rsidR="005625CD">
        <w:t xml:space="preserve"> extra stöd till regionerna för att hantera ökade kostnader för uppskjuten vård och covid-19-relaterad vård är sjukvårdens utmaningar större än så.</w:t>
      </w:r>
    </w:p>
    <w:p w:rsidRPr="006B7451" w:rsidR="005625CD" w:rsidP="005625CD" w:rsidRDefault="005625CD" w14:paraId="1468E9D4" w14:textId="2F9EFBEF">
      <w:r w:rsidRPr="006B7451">
        <w:t>Vård som kan anstå har av förklarliga skäl fått stå tillbaka under pandemin. Det innebär dels att det är fler som står i kö för medicinsk</w:t>
      </w:r>
      <w:r w:rsidRPr="006B7451" w:rsidR="00010B01">
        <w:t>a</w:t>
      </w:r>
      <w:r w:rsidRPr="006B7451">
        <w:t xml:space="preserve"> åtgärd</w:t>
      </w:r>
      <w:r w:rsidRPr="006B7451" w:rsidR="00010B01">
        <w:t>er</w:t>
      </w:r>
      <w:r w:rsidRPr="006B7451">
        <w:t xml:space="preserve">, </w:t>
      </w:r>
      <w:r w:rsidRPr="006B7451" w:rsidR="00010B01">
        <w:t>dels</w:t>
      </w:r>
      <w:r w:rsidRPr="006B7451">
        <w:t xml:space="preserve"> att det är fler som har stått i kö länge – längre än vårdgarantins tidsgränser. Det går även att förvänta sig </w:t>
      </w:r>
      <w:r w:rsidRPr="006B7451">
        <w:lastRenderedPageBreak/>
        <w:t>att antalet nya diagnoser kan komma att öka efter pandemin. Sett till exempelvis antalet som vid ett normalår insjuknar i cancer är det ett stort antal människor som inte blivit diagnostisera</w:t>
      </w:r>
      <w:r w:rsidRPr="006B7451" w:rsidR="00392318">
        <w:t>de</w:t>
      </w:r>
      <w:r w:rsidRPr="006B7451">
        <w:t xml:space="preserve"> för cancer.</w:t>
      </w:r>
    </w:p>
    <w:p w:rsidRPr="006B7451" w:rsidR="005625CD" w:rsidP="005625CD" w:rsidRDefault="005625CD" w14:paraId="17DF3492" w14:textId="729A8FE1">
      <w:r w:rsidRPr="006B7451">
        <w:t>Samtidigt hade Sverige långa vårdköer redan innan pandemin.</w:t>
      </w:r>
      <w:r w:rsidRPr="006B7451" w:rsidR="00266633">
        <w:t xml:space="preserve"> Att dessa behöver kortas</w:t>
      </w:r>
      <w:r w:rsidRPr="006B7451" w:rsidR="00B96139">
        <w:t>, parallellt med en ökad tillgänglighet och utbyggd primärvård</w:t>
      </w:r>
      <w:r w:rsidRPr="006B7451" w:rsidR="00010B01">
        <w:t>,</w:t>
      </w:r>
      <w:r w:rsidRPr="006B7451" w:rsidR="00B96139">
        <w:t xml:space="preserve"> instämmer sannolikt många partier i. Dessvärre saknas det långsiktiga ekonomiska stödet till regionerna för att de</w:t>
      </w:r>
      <w:r w:rsidRPr="006B7451" w:rsidR="000F4EA7">
        <w:t>tta ska kunna uppnås</w:t>
      </w:r>
      <w:r w:rsidRPr="006B7451" w:rsidR="00B96139">
        <w:t>. Tillfälliga stöd behövs för att hantera vissa av de problem som har uppstått, både innan och under pandemin, men dessa behöver kompletteras med permanenta stöd för att regionerna exempelvis ska kunna anställa fler sjuksköterskor.</w:t>
      </w:r>
    </w:p>
    <w:p w:rsidRPr="006B7451" w:rsidR="007775F1" w:rsidP="00ED5D60" w:rsidRDefault="007775F1" w14:paraId="68F0949C" w14:textId="77777777">
      <w:pPr>
        <w:pStyle w:val="Rubrik2numrerat"/>
      </w:pPr>
      <w:bookmarkStart w:name="_Toc121752517" w:id="5"/>
      <w:r w:rsidRPr="006B7451">
        <w:t>Gängkriminaliteten ska tryckas tillbaka</w:t>
      </w:r>
      <w:bookmarkEnd w:id="5"/>
    </w:p>
    <w:p w:rsidRPr="006B7451" w:rsidR="006B30CB" w:rsidP="007530F6" w:rsidRDefault="00F532C7" w14:paraId="70822120" w14:textId="3EB1F880">
      <w:pPr>
        <w:pStyle w:val="Normalutanindragellerluft"/>
      </w:pPr>
      <w:r w:rsidRPr="006B7451">
        <w:t xml:space="preserve">Medan stora </w:t>
      </w:r>
      <w:r w:rsidRPr="006B7451" w:rsidR="00010B01">
        <w:t>grupper i</w:t>
      </w:r>
      <w:r w:rsidRPr="006B7451">
        <w:t xml:space="preserve"> samhället har stått tillbaka under pandemin finns det en </w:t>
      </w:r>
      <w:r w:rsidRPr="006B7451" w:rsidR="00010B01">
        <w:t xml:space="preserve">grupp </w:t>
      </w:r>
      <w:r w:rsidRPr="006B7451">
        <w:t xml:space="preserve">som fortsatt verksamheten som vanligt: </w:t>
      </w:r>
      <w:r w:rsidRPr="006B7451" w:rsidR="00010B01">
        <w:t xml:space="preserve">de </w:t>
      </w:r>
      <w:r w:rsidRPr="006B7451">
        <w:t>gängkrimin</w:t>
      </w:r>
      <w:r w:rsidRPr="006B7451" w:rsidR="00010B01">
        <w:t>ella</w:t>
      </w:r>
      <w:r w:rsidRPr="006B7451">
        <w:t xml:space="preserve">. Gängkriminaliteten har etablerat sig som ett av de allvarligaste samhällsproblemen i Sverige. Den segregation som växt fram till följd av en ansvarslös invandringspolitik och en naiv föreställning om integration har kommit att utgöra en grogrund för </w:t>
      </w:r>
      <w:r w:rsidRPr="006B7451" w:rsidR="00010B01">
        <w:t xml:space="preserve">större och starkare </w:t>
      </w:r>
      <w:r w:rsidRPr="006B7451">
        <w:t xml:space="preserve">samhällsfrånvända gäng och </w:t>
      </w:r>
      <w:r w:rsidR="00C52F50">
        <w:t xml:space="preserve">för </w:t>
      </w:r>
      <w:r w:rsidRPr="006B7451" w:rsidR="00010B01">
        <w:t xml:space="preserve">att allt fler personer redan i unga år väljer en </w:t>
      </w:r>
      <w:r w:rsidRPr="006B7451">
        <w:t>krimin</w:t>
      </w:r>
      <w:r w:rsidRPr="006B7451" w:rsidR="00010B01">
        <w:t>ell livsstil</w:t>
      </w:r>
      <w:r w:rsidRPr="006B7451">
        <w:t>.</w:t>
      </w:r>
      <w:r w:rsidRPr="006B7451" w:rsidR="006B30CB">
        <w:t xml:space="preserve"> Riktade polisinsatser har resulterat i att antalet skjutningar minskat i vissa områden, men utvecklingen är alltjämt oroande och behovet av fler poliser på gatorna är alltjämt stort.</w:t>
      </w:r>
    </w:p>
    <w:p w:rsidRPr="006B7451" w:rsidR="006B30CB" w:rsidP="006B30CB" w:rsidRDefault="006B30CB" w14:paraId="4B3DBD83" w14:textId="6433A950">
      <w:bookmarkStart w:name="_Hlk83967981" w:id="6"/>
      <w:r w:rsidRPr="006B7451">
        <w:t>För att komma till</w:t>
      </w:r>
      <w:r w:rsidRPr="006B7451" w:rsidR="006C3766">
        <w:t xml:space="preserve"> </w:t>
      </w:r>
      <w:r w:rsidRPr="006B7451">
        <w:t>rätta med utvecklingen behövs det ökade resurser till rätts</w:t>
      </w:r>
      <w:r w:rsidR="00610552">
        <w:softHyphen/>
      </w:r>
      <w:r w:rsidRPr="006B7451">
        <w:t>väsendet</w:t>
      </w:r>
      <w:r w:rsidRPr="006B7451" w:rsidR="00607D45">
        <w:t>. Det krävs för att f</w:t>
      </w:r>
      <w:r w:rsidRPr="006B7451">
        <w:t xml:space="preserve">ler ska </w:t>
      </w:r>
      <w:r w:rsidRPr="006B7451" w:rsidR="00607D45">
        <w:t xml:space="preserve">kunna </w:t>
      </w:r>
      <w:r w:rsidRPr="006B7451">
        <w:t>lagföras och placeras på anstalt</w:t>
      </w:r>
      <w:r w:rsidRPr="006B7451" w:rsidR="00607D45">
        <w:t xml:space="preserve">. Det krävs också </w:t>
      </w:r>
      <w:r w:rsidRPr="006B7451">
        <w:t>fler straffskärpningar för att kriminella ska hållas borta från samhället och för att strafflängden i högre grad ska stämma överens med det allmänna rättsmedvetandet. Men det behövs även ökade möjligheter för att upptäcka, beivra och förebygga brottslighet</w:t>
      </w:r>
      <w:r w:rsidRPr="006B7451" w:rsidR="00607D45">
        <w:t>. Här behövs</w:t>
      </w:r>
      <w:r w:rsidRPr="006B7451">
        <w:t xml:space="preserve"> dels ökade befogenheter för de brottsbekämpande myndigheterna, dels ett tidigare ingripande för att förhindra att unga får en kriminell identitet</w:t>
      </w:r>
      <w:r w:rsidRPr="006B7451" w:rsidR="00607D45">
        <w:t xml:space="preserve">. Det behövs också </w:t>
      </w:r>
      <w:r w:rsidRPr="006B7451">
        <w:t>en ökad gemenskap i samhället och en minskad segregation. Sammantaget behövs det en ny inriktning för rättsväsendet som på riktigt trycker tillbaka gängkriminaliteten, som ökar tryggheten och som sätter brottsoffret i första rummet.</w:t>
      </w:r>
    </w:p>
    <w:p w:rsidRPr="006B7451" w:rsidR="005B0EF1" w:rsidP="00ED5D60" w:rsidRDefault="005B0EF1" w14:paraId="1A9C3238" w14:textId="77777777">
      <w:pPr>
        <w:pStyle w:val="Rubrik2numrerat"/>
      </w:pPr>
      <w:bookmarkStart w:name="_Toc121752518" w:id="7"/>
      <w:bookmarkEnd w:id="6"/>
      <w:r w:rsidRPr="006B7451">
        <w:t>Pensionerna ska stärkas</w:t>
      </w:r>
      <w:bookmarkEnd w:id="7"/>
    </w:p>
    <w:p w:rsidRPr="006B7451" w:rsidR="00DB34F6" w:rsidP="007530F6" w:rsidRDefault="00DB34F6" w14:paraId="753F49D5" w14:textId="18ADEB88">
      <w:pPr>
        <w:pStyle w:val="Normalutanindragellerluft"/>
      </w:pPr>
      <w:r w:rsidRPr="006B7451">
        <w:t>I åratal har pensionssystemet varit både eftersatt och underfinansierat. Många av dagens pensionärer är missnöjda</w:t>
      </w:r>
      <w:r w:rsidRPr="006B7451" w:rsidR="004820DC">
        <w:t xml:space="preserve"> med sin pension och </w:t>
      </w:r>
      <w:r w:rsidRPr="006B7451">
        <w:t>blivande pensionärer är oroliga</w:t>
      </w:r>
      <w:r w:rsidRPr="006B7451" w:rsidR="004820DC">
        <w:t xml:space="preserve"> för att den inte ska räcka. O</w:t>
      </w:r>
      <w:r w:rsidRPr="006B7451">
        <w:t xml:space="preserve">ron har till </w:t>
      </w:r>
      <w:r w:rsidR="00C501E2">
        <w:t xml:space="preserve">och </w:t>
      </w:r>
      <w:r w:rsidRPr="006B7451">
        <w:t>med spridit sig till de yngre generationerna där 20</w:t>
      </w:r>
      <w:r w:rsidR="00C501E2">
        <w:noBreakHyphen/>
      </w:r>
      <w:r w:rsidRPr="006B7451">
        <w:t xml:space="preserve">åringar numera är </w:t>
      </w:r>
      <w:r w:rsidRPr="006B7451" w:rsidR="004820DC">
        <w:t xml:space="preserve">bekymrade </w:t>
      </w:r>
      <w:r w:rsidRPr="006B7451">
        <w:t xml:space="preserve">över </w:t>
      </w:r>
      <w:r w:rsidRPr="006B7451" w:rsidR="004820DC">
        <w:t xml:space="preserve">sin framtida </w:t>
      </w:r>
      <w:r w:rsidRPr="006B7451">
        <w:t>pension.</w:t>
      </w:r>
    </w:p>
    <w:p w:rsidRPr="006B7451" w:rsidR="005B0EF1" w:rsidP="00DB34F6" w:rsidRDefault="00DB34F6" w14:paraId="18007920" w14:textId="33C18240">
      <w:r w:rsidRPr="006B7451">
        <w:t xml:space="preserve">Grundtanken </w:t>
      </w:r>
      <w:r w:rsidRPr="006B7451" w:rsidR="004820DC">
        <w:t xml:space="preserve">med </w:t>
      </w:r>
      <w:r w:rsidRPr="006B7451">
        <w:t>den nuvarande modellen var att den skulle ge stabilitet och trygghet i pensionssystemet. Modellen har förvisso varit stabil</w:t>
      </w:r>
      <w:r w:rsidR="007B7D31">
        <w:t xml:space="preserve"> och</w:t>
      </w:r>
      <w:r w:rsidRPr="006B7451">
        <w:t xml:space="preserve"> den har bidragit till att hålla pensionerna nere men knappast inneburit ökad trygghet. Den enda större reform</w:t>
      </w:r>
      <w:r w:rsidR="00AE1FA9">
        <w:t xml:space="preserve"> som</w:t>
      </w:r>
      <w:r w:rsidRPr="006B7451">
        <w:t xml:space="preserve"> </w:t>
      </w:r>
      <w:r w:rsidRPr="006B7451" w:rsidR="00392318">
        <w:t>pensionsgruppen har</w:t>
      </w:r>
      <w:r w:rsidRPr="006B7451">
        <w:t xml:space="preserve"> lyckats driva igenom är en höjning av pensionsåldern.</w:t>
      </w:r>
    </w:p>
    <w:p w:rsidRPr="006B7451" w:rsidR="00FC3F77" w:rsidP="0091048D" w:rsidRDefault="00DB34F6" w14:paraId="65338721" w14:textId="4CD4D966">
      <w:r w:rsidRPr="006B7451">
        <w:t>Sverigedemokraternas utgångspunkt är att pensionerna behöver</w:t>
      </w:r>
      <w:r w:rsidRPr="006B7451" w:rsidR="004820DC">
        <w:t xml:space="preserve"> höjas och systemet reformeras</w:t>
      </w:r>
      <w:r w:rsidRPr="006B7451">
        <w:t xml:space="preserve">. </w:t>
      </w:r>
      <w:r w:rsidRPr="006B7451" w:rsidR="005B2FBD">
        <w:t xml:space="preserve">Det måste finnas </w:t>
      </w:r>
      <w:r w:rsidRPr="006B7451">
        <w:t>en flexibilitet för pensionsåldern. Vissa vill arbeta längre och de ska självklart ha den möjligheten. Andra yrken sliter betydligt mer på kroppen och då är</w:t>
      </w:r>
      <w:r w:rsidRPr="006B7451" w:rsidR="005B2FBD">
        <w:t xml:space="preserve"> en </w:t>
      </w:r>
      <w:r w:rsidRPr="006B7451" w:rsidR="004820DC">
        <w:t xml:space="preserve">allmänt </w:t>
      </w:r>
      <w:r w:rsidRPr="006B7451">
        <w:t xml:space="preserve">högre pensionsålder </w:t>
      </w:r>
      <w:r w:rsidRPr="006B7451" w:rsidR="005B2FBD">
        <w:t>fel väg att gå</w:t>
      </w:r>
      <w:r w:rsidRPr="006B7451">
        <w:t xml:space="preserve">. Det måste finnas en insikt om, </w:t>
      </w:r>
      <w:r w:rsidRPr="006B7451">
        <w:lastRenderedPageBreak/>
        <w:t xml:space="preserve">och en respekt för, att vissa yrken sliter mer på kroppen än andra och pensionssystemet behöver kunna hantera detta på ett bra </w:t>
      </w:r>
      <w:r w:rsidRPr="006B7451" w:rsidR="004820DC">
        <w:t xml:space="preserve">och flexibelt </w:t>
      </w:r>
      <w:r w:rsidRPr="006B7451">
        <w:t>sätt.</w:t>
      </w:r>
    </w:p>
    <w:p w:rsidRPr="006B7451" w:rsidR="00FC3F77" w:rsidP="00ED5D60" w:rsidRDefault="00FC3F77" w14:paraId="04D3FA46" w14:textId="1581939C">
      <w:pPr>
        <w:pStyle w:val="Rubrik2numrerat"/>
      </w:pPr>
      <w:bookmarkStart w:name="_Toc121752519" w:id="8"/>
      <w:r w:rsidRPr="006B7451">
        <w:t>Svensk välfärd ska återupprättas</w:t>
      </w:r>
      <w:bookmarkEnd w:id="8"/>
    </w:p>
    <w:p w:rsidRPr="006B7451" w:rsidR="00791296" w:rsidP="007530F6" w:rsidRDefault="005C7C7D" w14:paraId="5C7ACD2C" w14:textId="07767F69">
      <w:pPr>
        <w:pStyle w:val="Normalutanindragellerluft"/>
      </w:pPr>
      <w:r w:rsidRPr="006B7451">
        <w:t>Sverige</w:t>
      </w:r>
      <w:r w:rsidRPr="006B7451" w:rsidR="00791296">
        <w:t xml:space="preserve"> ska vara ett land</w:t>
      </w:r>
      <w:r w:rsidRPr="006B7451">
        <w:t xml:space="preserve"> där alla</w:t>
      </w:r>
      <w:r w:rsidRPr="006B7451" w:rsidR="00791296">
        <w:t xml:space="preserve"> medborgare ska</w:t>
      </w:r>
      <w:r w:rsidRPr="006B7451">
        <w:t xml:space="preserve"> kunna lita på att samhället träder in och hjälper </w:t>
      </w:r>
      <w:r w:rsidRPr="006B7451" w:rsidR="00791296">
        <w:t>till</w:t>
      </w:r>
      <w:r w:rsidRPr="006B7451">
        <w:t xml:space="preserve"> när man av olika anledningar inte kan stå på egna ben. På samma sätt som det fungerar i en god och välfungerande familj.</w:t>
      </w:r>
    </w:p>
    <w:p w:rsidRPr="006B7451" w:rsidR="00552D58" w:rsidP="00791296" w:rsidRDefault="00552D58" w14:paraId="7FD8EDC4" w14:textId="5BB34069">
      <w:pPr>
        <w:ind w:firstLine="0"/>
      </w:pPr>
      <w:r w:rsidRPr="006B7451">
        <w:t>En stark välfärdsstat är ett fundament för ett samhälles sammanhållning, för att skapa trygghet och för att skapa tillväxt. Utbildning, trygghet på arbetsmarknaden, vård och omsorg är viktiga faktorer för att främja både ekonomisk tillväxt och ge individuell frihet och trygghet.</w:t>
      </w:r>
    </w:p>
    <w:p w:rsidRPr="006B7451" w:rsidR="00DC25A4" w:rsidP="00DC25A4" w:rsidRDefault="00DC25A4" w14:paraId="0DBCB887" w14:textId="56120F99">
      <w:r w:rsidRPr="006B7451">
        <w:t>Men välfärd</w:t>
      </w:r>
      <w:r w:rsidRPr="006B7451" w:rsidR="00EE0D4F">
        <w:t>en</w:t>
      </w:r>
      <w:r w:rsidRPr="006B7451">
        <w:t xml:space="preserve"> har fått stå tillbaka. Skolan, vården, omsorgen och trygghetssystemen är hårt belastade. Regeringens krav på strikta bedömningar har lett till rekordhöga nivåer av avslag på ansökningar om sjukpenning</w:t>
      </w:r>
      <w:r w:rsidRPr="006B7451" w:rsidR="006C3766">
        <w:t>, d</w:t>
      </w:r>
      <w:r w:rsidRPr="006B7451">
        <w:t xml:space="preserve">är tiotusentals människor nekas sjukpenning </w:t>
      </w:r>
      <w:r w:rsidRPr="006B7451" w:rsidR="006C3766">
        <w:t>även fast</w:t>
      </w:r>
      <w:r w:rsidRPr="006B7451">
        <w:t xml:space="preserve"> de har läkarintyg på att de inte kan jobba.</w:t>
      </w:r>
      <w:r w:rsidRPr="006B7451" w:rsidR="00552D58">
        <w:t xml:space="preserve"> Detta </w:t>
      </w:r>
      <w:r w:rsidRPr="006B7451">
        <w:t>leder</w:t>
      </w:r>
      <w:r w:rsidRPr="006B7451" w:rsidR="00552D58">
        <w:t xml:space="preserve"> till</w:t>
      </w:r>
      <w:r w:rsidRPr="006B7451">
        <w:t xml:space="preserve"> att många långtidssjukas ekonomiska trygghet brister, vilket i slutändan ökar det kommunala försörjningsstöde</w:t>
      </w:r>
      <w:r w:rsidRPr="006B7451" w:rsidR="00552D58">
        <w:t>t.</w:t>
      </w:r>
    </w:p>
    <w:p w:rsidRPr="006B7451" w:rsidR="00DC25A4" w:rsidP="00552D58" w:rsidRDefault="00552D58" w14:paraId="4052F417" w14:textId="2CF35F7E">
      <w:r w:rsidRPr="006B7451">
        <w:t>Behoven av välfärdstjänster ökar när befolkningen växer</w:t>
      </w:r>
      <w:r w:rsidRPr="006B7451" w:rsidR="00EE0D4F">
        <w:t>.</w:t>
      </w:r>
      <w:r w:rsidRPr="006B7451">
        <w:t xml:space="preserve"> </w:t>
      </w:r>
      <w:r w:rsidRPr="006B7451" w:rsidR="00EE0D4F">
        <w:t>I</w:t>
      </w:r>
      <w:r w:rsidRPr="006B7451">
        <w:t xml:space="preserve"> takt med att befolk</w:t>
      </w:r>
      <w:r w:rsidR="00610552">
        <w:softHyphen/>
      </w:r>
      <w:r w:rsidRPr="006B7451">
        <w:t>ningen åldras ökar behovet än mer. Det kräver fler anställda, det kräver investeringar</w:t>
      </w:r>
      <w:r w:rsidRPr="006B7451" w:rsidR="00EE0D4F">
        <w:t xml:space="preserve"> och</w:t>
      </w:r>
      <w:r w:rsidRPr="006B7451">
        <w:t xml:space="preserve"> det kräver långsiktig finansiering. För Sverigedemokraternas del är det en självklarhet att inte bara stå upp för välfärden, utan kräva att den återupprättas.</w:t>
      </w:r>
    </w:p>
    <w:p w:rsidRPr="006B7451" w:rsidR="00C177EC" w:rsidP="00ED5D60" w:rsidRDefault="00331E35" w14:paraId="5334F784" w14:textId="1E38F4FD">
      <w:pPr>
        <w:pStyle w:val="Rubrik2numrerat"/>
      </w:pPr>
      <w:bookmarkStart w:name="_Toc121752520" w:id="9"/>
      <w:r w:rsidRPr="006B7451">
        <w:t>En politik som sätter Sverige f</w:t>
      </w:r>
      <w:r w:rsidRPr="006B7451" w:rsidR="001A5829">
        <w:t>rämst</w:t>
      </w:r>
      <w:bookmarkEnd w:id="9"/>
    </w:p>
    <w:p w:rsidRPr="006B7451" w:rsidR="007425A8" w:rsidP="007530F6" w:rsidRDefault="00930974" w14:paraId="06E23DA7" w14:textId="09284367">
      <w:pPr>
        <w:pStyle w:val="Normalutanindragellerluft"/>
      </w:pPr>
      <w:r w:rsidRPr="006B7451">
        <w:t xml:space="preserve">Sverige </w:t>
      </w:r>
      <w:r w:rsidRPr="006B7451" w:rsidR="006A18A3">
        <w:t>är ett fantastiskt land</w:t>
      </w:r>
      <w:r w:rsidRPr="006B7451" w:rsidR="006904C9">
        <w:t xml:space="preserve">. </w:t>
      </w:r>
      <w:r w:rsidRPr="006B7451" w:rsidR="007425A8">
        <w:t>Nationen har utgjort grunden för demokratins och de solidariska välfärdssystemens framväxt. Allt detta bör värnas och det är vår mening att ett gott samhälle byggs då dess medborgare i hög grad upplever nationell gemenskap.</w:t>
      </w:r>
    </w:p>
    <w:p w:rsidRPr="006B7451" w:rsidR="00492FC0" w:rsidP="00492FC0" w:rsidRDefault="007425A8" w14:paraId="1F73E647" w14:textId="55E13F85">
      <w:r w:rsidRPr="006B7451">
        <w:t xml:space="preserve">Men även om Sverige är ett fantastiskt land </w:t>
      </w:r>
      <w:r w:rsidRPr="006B7451" w:rsidR="00492FC0">
        <w:t xml:space="preserve">är det långt ifrån felfritt. Medan huset fortfarande står upp </w:t>
      </w:r>
      <w:r w:rsidRPr="006B7451" w:rsidR="00EE0D4F">
        <w:t>syns</w:t>
      </w:r>
      <w:r w:rsidRPr="006B7451" w:rsidR="00492FC0">
        <w:t xml:space="preserve"> sprickor i fasaden. Samhällsbygget – a</w:t>
      </w:r>
      <w:r w:rsidRPr="006B7451">
        <w:t xml:space="preserve">tt </w:t>
      </w:r>
      <w:r w:rsidRPr="006B7451" w:rsidR="00492FC0">
        <w:t>främja</w:t>
      </w:r>
      <w:r w:rsidRPr="006B7451">
        <w:t xml:space="preserve"> ett Sverige som håller samman, som minskar sociala och kulturella klyftor</w:t>
      </w:r>
      <w:r w:rsidRPr="006B7451" w:rsidR="00492FC0">
        <w:t xml:space="preserve"> – har på senare tid </w:t>
      </w:r>
      <w:r w:rsidRPr="006B7451" w:rsidR="00EE0D4F">
        <w:t>krackelerat</w:t>
      </w:r>
      <w:r w:rsidRPr="006B7451" w:rsidR="00492FC0">
        <w:t>.</w:t>
      </w:r>
      <w:r w:rsidRPr="006B7451">
        <w:t xml:space="preserve"> </w:t>
      </w:r>
      <w:r w:rsidRPr="006B7451" w:rsidR="00340A99">
        <w:t>För vissa har det blivit viktigare att försvara</w:t>
      </w:r>
      <w:r w:rsidRPr="006B7451" w:rsidR="00492FC0">
        <w:t xml:space="preserve"> en uppmålad</w:t>
      </w:r>
      <w:r w:rsidRPr="006B7451" w:rsidR="00340A99">
        <w:t xml:space="preserve"> bild av Sverige, </w:t>
      </w:r>
      <w:r w:rsidRPr="006B7451" w:rsidR="00492FC0">
        <w:t>i stället</w:t>
      </w:r>
      <w:r w:rsidRPr="006B7451" w:rsidR="00340A99">
        <w:t xml:space="preserve"> att hantera problem</w:t>
      </w:r>
      <w:r w:rsidRPr="006B7451" w:rsidR="00492FC0">
        <w:t>en</w:t>
      </w:r>
      <w:r w:rsidRPr="006B7451" w:rsidR="00340A99">
        <w:t xml:space="preserve"> som plågar landet.</w:t>
      </w:r>
    </w:p>
    <w:p w:rsidRPr="006B7451" w:rsidR="00AB6F66" w:rsidP="00492FC0" w:rsidRDefault="00AB6F66" w14:paraId="4DB2AF0F" w14:textId="77777777">
      <w:r w:rsidRPr="006B7451">
        <w:t>Samhället har stora problem med en växande gängkriminalitet, med långa vårdköer, med splittring, segregation och en växande arbetslöshet. I detta läge måste vi prioritera.</w:t>
      </w:r>
    </w:p>
    <w:p w:rsidRPr="006B7451" w:rsidR="00492FC0" w:rsidP="00492FC0" w:rsidRDefault="00492FC0" w14:paraId="733C0B82" w14:textId="19BC4321">
      <w:r w:rsidRPr="006B7451">
        <w:t xml:space="preserve">Att skicka iväg </w:t>
      </w:r>
      <w:r w:rsidRPr="006B7451" w:rsidR="00EE0D4F">
        <w:t xml:space="preserve">en stor del av </w:t>
      </w:r>
      <w:r w:rsidRPr="006B7451">
        <w:t>skattebetalarnas pengar till andra länder är djupt oansvarigt. Att inte ställa krav på dem som kommit till Sverige</w:t>
      </w:r>
      <w:r w:rsidRPr="006B7451" w:rsidR="00EE0D4F">
        <w:t xml:space="preserve"> –</w:t>
      </w:r>
      <w:r w:rsidRPr="006B7451">
        <w:t xml:space="preserve"> att lära sig språket, att ta ett arbete, att anpassa sig till majoritetskulturen</w:t>
      </w:r>
      <w:r w:rsidRPr="006B7451" w:rsidR="00EE0D4F">
        <w:t xml:space="preserve"> –</w:t>
      </w:r>
      <w:r w:rsidRPr="006B7451">
        <w:t xml:space="preserve"> drabbar både dem som har kommit hit och dem som har bott här i generationer.</w:t>
      </w:r>
    </w:p>
    <w:p w:rsidRPr="006B7451" w:rsidR="00E168C7" w:rsidP="00693294" w:rsidRDefault="00E43073" w14:paraId="5706497E" w14:textId="5558E827">
      <w:r w:rsidRPr="006B7451">
        <w:t>Vi prioriterar annorlunda. Vi sätter Sverige och landets behov i det första rummet. Ska Sverige ha ett högt anseende utomlands måste vi börja med att vara ett gott exempel</w:t>
      </w:r>
      <w:r w:rsidR="00AB5C44">
        <w:t xml:space="preserve"> –</w:t>
      </w:r>
      <w:r w:rsidRPr="006B7451">
        <w:t xml:space="preserve"> visa att det går att kombinera tillväxt </w:t>
      </w:r>
      <w:r w:rsidRPr="006B7451" w:rsidR="007425A8">
        <w:t>och samtidigt bry sig om miljön</w:t>
      </w:r>
      <w:r w:rsidR="00AB5C44">
        <w:t>,</w:t>
      </w:r>
      <w:r w:rsidRPr="006B7451">
        <w:t xml:space="preserve"> visa att det går att främja internationell utveckling utan att utarma det egna landet.</w:t>
      </w:r>
    </w:p>
    <w:p w:rsidRPr="006B7451" w:rsidR="00A943E8" w:rsidP="00693294" w:rsidRDefault="00E168C7" w14:paraId="11B52AA7" w14:textId="273E5E23">
      <w:r w:rsidRPr="006B7451">
        <w:t>D</w:t>
      </w:r>
      <w:r w:rsidRPr="006B7451" w:rsidR="00BF45D6">
        <w:t>et krävs en tydlighet: Nu är det dags för Sverige.</w:t>
      </w:r>
    </w:p>
    <w:p w:rsidR="00610552" w:rsidRDefault="00610552" w14:paraId="6E31F459" w14:textId="575F693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27185" w:rsidP="00ED5D60" w:rsidRDefault="00D27185" w14:paraId="0D77F691" w14:textId="1FFA10B3">
      <w:pPr>
        <w:pStyle w:val="Rubrik1numrerat"/>
      </w:pPr>
      <w:bookmarkStart w:name="_Toc121752521" w:id="10"/>
      <w:r w:rsidRPr="006B7451">
        <w:lastRenderedPageBreak/>
        <w:t>Den makroekonomiska utvecklingen</w:t>
      </w:r>
      <w:bookmarkEnd w:id="10"/>
    </w:p>
    <w:p w:rsidRPr="006B7451" w:rsidR="00D27185" w:rsidP="00FA472B" w:rsidRDefault="00D27185" w14:paraId="4E3AD272" w14:textId="77777777">
      <w:pPr>
        <w:pStyle w:val="Rubrik2numrerat"/>
        <w:spacing w:before="440"/>
      </w:pPr>
      <w:bookmarkStart w:name="_Toc121752522" w:id="11"/>
      <w:r w:rsidRPr="006B7451">
        <w:t>Konjunkturläget i omvärlden</w:t>
      </w:r>
      <w:bookmarkEnd w:id="11"/>
    </w:p>
    <w:p w:rsidRPr="006B7451" w:rsidR="00A72D6F" w:rsidP="001C4DE2" w:rsidRDefault="009F2D8A" w14:paraId="41A83AFA" w14:textId="72AA3E43">
      <w:pPr>
        <w:pStyle w:val="Normalutanindragellerluft"/>
      </w:pPr>
      <w:r w:rsidRPr="006B7451">
        <w:t>Coronapandemin har haft en kraftig påverkan på tillväxten i omvärlden.</w:t>
      </w:r>
      <w:r w:rsidRPr="006B7451" w:rsidR="00C764B6">
        <w:t xml:space="preserve"> Under 2020 </w:t>
      </w:r>
      <w:r w:rsidRPr="006B7451" w:rsidR="003A7A55">
        <w:t>minskade</w:t>
      </w:r>
      <w:r w:rsidRPr="006B7451" w:rsidR="00C764B6">
        <w:t xml:space="preserve"> </w:t>
      </w:r>
      <w:r w:rsidR="00B15F95">
        <w:t xml:space="preserve">vår </w:t>
      </w:r>
      <w:r w:rsidRPr="006B7451" w:rsidR="00C764B6">
        <w:t>global</w:t>
      </w:r>
      <w:r w:rsidR="00B15F95">
        <w:t>a</w:t>
      </w:r>
      <w:r w:rsidRPr="006B7451" w:rsidR="00C764B6">
        <w:t xml:space="preserve"> BNP med 3,</w:t>
      </w:r>
      <w:r w:rsidRPr="006B7451" w:rsidR="00D31B91">
        <w:t>4</w:t>
      </w:r>
      <w:r w:rsidRPr="006B7451" w:rsidR="00C764B6">
        <w:t xml:space="preserve"> procent</w:t>
      </w:r>
      <w:r w:rsidRPr="006B7451">
        <w:t xml:space="preserve">, där avancerade ekonomier </w:t>
      </w:r>
      <w:r w:rsidRPr="006B7451" w:rsidR="00C764B6">
        <w:t>drabbades hårdare</w:t>
      </w:r>
      <w:r w:rsidRPr="006B7451">
        <w:t xml:space="preserve"> än genomsnittet. </w:t>
      </w:r>
      <w:r w:rsidRPr="006B7451" w:rsidR="00C764B6">
        <w:t xml:space="preserve">Detta kan dock jämföras med prognoserna i början av pandemin som visade på </w:t>
      </w:r>
      <w:r w:rsidRPr="006B7451" w:rsidR="00F01D53">
        <w:t>större</w:t>
      </w:r>
      <w:r w:rsidRPr="006B7451" w:rsidR="00C764B6">
        <w:t xml:space="preserve"> tapp</w:t>
      </w:r>
      <w:r w:rsidRPr="006B7451" w:rsidR="00F01D53">
        <w:t xml:space="preserve"> och lägre förväntad tillväxt för de nästkommande åren. Genom kraftiga restriktioner lyckades ett större antal länder hålla nere smitt</w:t>
      </w:r>
      <w:r w:rsidR="00610552">
        <w:softHyphen/>
      </w:r>
      <w:r w:rsidRPr="006B7451" w:rsidR="00F01D53">
        <w:t>spridningen och med historiskt stora stödpaket var effekterna på arbetsmarknaden relativt milda. Därefter har återhämtningen och utvecklingen fortsatt att vara starkare än förväntat.</w:t>
      </w:r>
      <w:r w:rsidRPr="006B7451" w:rsidR="00A72D6F">
        <w:t xml:space="preserve"> Den globala ekonomiska tillväxten förväntas uppgå till </w:t>
      </w:r>
      <w:r w:rsidRPr="006B7451" w:rsidR="00D31B91">
        <w:t>5,7</w:t>
      </w:r>
      <w:r w:rsidRPr="006B7451" w:rsidR="00A72D6F">
        <w:t xml:space="preserve"> procent under 2021 och därefter sjunka något till 4,</w:t>
      </w:r>
      <w:r w:rsidRPr="006B7451" w:rsidR="00D31B91">
        <w:t>5</w:t>
      </w:r>
      <w:r w:rsidRPr="006B7451" w:rsidR="00A72D6F">
        <w:t xml:space="preserve"> procent under 2022.</w:t>
      </w:r>
    </w:p>
    <w:p w:rsidRPr="006B7451" w:rsidR="00F405EB" w:rsidP="00BC27E3" w:rsidRDefault="00C01A67" w14:paraId="7A010164" w14:textId="162B2599">
      <w:r w:rsidRPr="006B7451">
        <w:t>De ekonomiska förutsättningarna mellan länder skiljer sig åt</w:t>
      </w:r>
      <w:r w:rsidRPr="006B7451" w:rsidR="00C048F3">
        <w:t>.</w:t>
      </w:r>
      <w:r w:rsidRPr="006B7451">
        <w:t xml:space="preserve"> </w:t>
      </w:r>
      <w:r w:rsidRPr="006B7451" w:rsidR="00C048F3">
        <w:t>T</w:t>
      </w:r>
      <w:r w:rsidRPr="006B7451">
        <w:t xml:space="preserve">illgången på vaccin är en av de huvudsakliga faktorerna som kommer att påverka BNP-utvecklingen. Länder med </w:t>
      </w:r>
      <w:r w:rsidRPr="006B7451" w:rsidR="00C048F3">
        <w:t xml:space="preserve">god </w:t>
      </w:r>
      <w:r w:rsidRPr="006B7451">
        <w:t xml:space="preserve">tillgång </w:t>
      </w:r>
      <w:r w:rsidRPr="006B7451" w:rsidR="00C048F3">
        <w:t xml:space="preserve">på </w:t>
      </w:r>
      <w:r w:rsidRPr="006B7451">
        <w:t>vaccin kan se en ytterligare normalisering och beräknas kunna börja öppna upp sina samhällen</w:t>
      </w:r>
      <w:r w:rsidRPr="006B7451" w:rsidR="00C048F3">
        <w:t xml:space="preserve"> i närtid. T</w:t>
      </w:r>
      <w:r w:rsidRPr="006B7451">
        <w:t xml:space="preserve">ill den kategorin hör nästan alla avancerade ekonomier. Länder som inte har </w:t>
      </w:r>
      <w:r w:rsidRPr="006B7451" w:rsidR="00C048F3">
        <w:t xml:space="preserve">god </w:t>
      </w:r>
      <w:r w:rsidRPr="006B7451">
        <w:t xml:space="preserve">tillgång till vaccinet kan komma att möta nya vågor av </w:t>
      </w:r>
      <w:r w:rsidRPr="006B7451" w:rsidR="00D31B91">
        <w:t>c</w:t>
      </w:r>
      <w:r w:rsidRPr="006B7451">
        <w:t>ovid-19 som begränsar den ekonomiska tillväxten i landet.</w:t>
      </w:r>
    </w:p>
    <w:p w:rsidRPr="00ED5E1E" w:rsidR="00F01D53" w:rsidP="00ED5E1E" w:rsidRDefault="00F01D53" w14:paraId="139F5689" w14:textId="26A5CE96">
      <w:pPr>
        <w:pStyle w:val="Tabellrubrik"/>
      </w:pPr>
      <w:r w:rsidRPr="00ED5E1E">
        <w:t xml:space="preserve">Tabell </w:t>
      </w:r>
      <w:r w:rsidR="00ED5E1E">
        <w:t>1</w:t>
      </w:r>
      <w:r w:rsidRPr="00ED5E1E">
        <w:t xml:space="preserve"> Tillväxtprognos i omvärlden, årlig procentuell förändring av real BNP</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27"/>
        <w:gridCol w:w="2126"/>
        <w:gridCol w:w="2126"/>
        <w:gridCol w:w="2126"/>
      </w:tblGrid>
      <w:tr w:rsidRPr="006B7451" w:rsidR="00F01D53" w:rsidTr="005035DF" w14:paraId="26B81B06" w14:textId="77777777">
        <w:trPr>
          <w:cantSplit/>
        </w:trPr>
        <w:tc>
          <w:tcPr>
            <w:tcW w:w="2127" w:type="dxa"/>
            <w:tcBorders>
              <w:top w:val="single" w:color="auto" w:sz="4" w:space="0"/>
              <w:bottom w:val="single" w:color="auto" w:sz="4" w:space="0"/>
            </w:tcBorders>
          </w:tcPr>
          <w:p w:rsidRPr="006B7451" w:rsidR="00F01D53" w:rsidP="005035DF" w:rsidRDefault="00F01D53" w14:paraId="62C78D53" w14:textId="77777777">
            <w:pPr>
              <w:spacing w:before="80" w:line="240" w:lineRule="exact"/>
              <w:ind w:firstLine="0"/>
              <w:rPr>
                <w:b/>
                <w:sz w:val="20"/>
                <w:szCs w:val="20"/>
              </w:rPr>
            </w:pPr>
            <w:r w:rsidRPr="006B7451">
              <w:rPr>
                <w:b/>
                <w:sz w:val="20"/>
                <w:szCs w:val="20"/>
              </w:rPr>
              <w:t>Område</w:t>
            </w:r>
          </w:p>
        </w:tc>
        <w:tc>
          <w:tcPr>
            <w:tcW w:w="2126" w:type="dxa"/>
            <w:tcBorders>
              <w:top w:val="single" w:color="auto" w:sz="4" w:space="0"/>
              <w:bottom w:val="single" w:color="auto" w:sz="4" w:space="0"/>
            </w:tcBorders>
          </w:tcPr>
          <w:p w:rsidRPr="006B7451" w:rsidR="00F01D53" w:rsidP="005035DF" w:rsidRDefault="00F01D53" w14:paraId="1C8594E7" w14:textId="77777777">
            <w:pPr>
              <w:spacing w:before="80" w:line="240" w:lineRule="exact"/>
              <w:ind w:firstLine="0"/>
              <w:jc w:val="right"/>
              <w:rPr>
                <w:b/>
                <w:sz w:val="20"/>
                <w:szCs w:val="20"/>
              </w:rPr>
            </w:pPr>
            <w:r w:rsidRPr="006B7451">
              <w:rPr>
                <w:b/>
                <w:sz w:val="20"/>
                <w:szCs w:val="20"/>
              </w:rPr>
              <w:t>2020</w:t>
            </w:r>
          </w:p>
        </w:tc>
        <w:tc>
          <w:tcPr>
            <w:tcW w:w="2126" w:type="dxa"/>
            <w:tcBorders>
              <w:top w:val="single" w:color="auto" w:sz="4" w:space="0"/>
              <w:bottom w:val="single" w:color="auto" w:sz="4" w:space="0"/>
            </w:tcBorders>
          </w:tcPr>
          <w:p w:rsidRPr="006B7451" w:rsidR="00F01D53" w:rsidP="005035DF" w:rsidRDefault="00F01D53" w14:paraId="4BAE1D09" w14:textId="77777777">
            <w:pPr>
              <w:spacing w:before="80" w:line="240" w:lineRule="exact"/>
              <w:ind w:firstLine="0"/>
              <w:jc w:val="right"/>
              <w:rPr>
                <w:b/>
                <w:sz w:val="20"/>
                <w:szCs w:val="20"/>
              </w:rPr>
            </w:pPr>
            <w:r w:rsidRPr="006B7451">
              <w:rPr>
                <w:b/>
                <w:sz w:val="20"/>
                <w:szCs w:val="20"/>
              </w:rPr>
              <w:t>2021</w:t>
            </w:r>
            <w:r w:rsidRPr="006B7451" w:rsidR="00A72D6F">
              <w:rPr>
                <w:b/>
                <w:sz w:val="20"/>
                <w:szCs w:val="20"/>
              </w:rPr>
              <w:t>P</w:t>
            </w:r>
          </w:p>
        </w:tc>
        <w:tc>
          <w:tcPr>
            <w:tcW w:w="2126" w:type="dxa"/>
            <w:tcBorders>
              <w:top w:val="single" w:color="auto" w:sz="4" w:space="0"/>
              <w:bottom w:val="single" w:color="auto" w:sz="4" w:space="0"/>
            </w:tcBorders>
          </w:tcPr>
          <w:p w:rsidRPr="006B7451" w:rsidR="00F01D53" w:rsidP="005035DF" w:rsidRDefault="00F01D53" w14:paraId="719CC82B" w14:textId="77777777">
            <w:pPr>
              <w:spacing w:before="80" w:line="240" w:lineRule="exact"/>
              <w:ind w:firstLine="0"/>
              <w:jc w:val="right"/>
              <w:rPr>
                <w:b/>
                <w:sz w:val="20"/>
                <w:szCs w:val="20"/>
              </w:rPr>
            </w:pPr>
            <w:r w:rsidRPr="006B7451">
              <w:rPr>
                <w:b/>
                <w:sz w:val="20"/>
                <w:szCs w:val="20"/>
              </w:rPr>
              <w:t>2022</w:t>
            </w:r>
            <w:r w:rsidRPr="006B7451" w:rsidR="00A72D6F">
              <w:rPr>
                <w:b/>
                <w:sz w:val="20"/>
                <w:szCs w:val="20"/>
              </w:rPr>
              <w:t>P</w:t>
            </w:r>
          </w:p>
        </w:tc>
      </w:tr>
      <w:tr w:rsidRPr="006B7451" w:rsidR="00F01D53" w:rsidTr="005035DF" w14:paraId="72C18ADE" w14:textId="77777777">
        <w:trPr>
          <w:cantSplit/>
        </w:trPr>
        <w:tc>
          <w:tcPr>
            <w:tcW w:w="2127" w:type="dxa"/>
            <w:tcBorders>
              <w:top w:val="single" w:color="auto" w:sz="4" w:space="0"/>
            </w:tcBorders>
          </w:tcPr>
          <w:p w:rsidRPr="006B7451" w:rsidR="00F01D53" w:rsidP="005035DF" w:rsidRDefault="00F01D53" w14:paraId="7FF18354" w14:textId="77777777">
            <w:pPr>
              <w:spacing w:before="80" w:line="240" w:lineRule="exact"/>
              <w:ind w:firstLine="0"/>
              <w:rPr>
                <w:b/>
                <w:sz w:val="20"/>
                <w:szCs w:val="20"/>
              </w:rPr>
            </w:pPr>
            <w:r w:rsidRPr="006B7451">
              <w:rPr>
                <w:b/>
                <w:sz w:val="20"/>
                <w:szCs w:val="20"/>
              </w:rPr>
              <w:t>USA</w:t>
            </w:r>
          </w:p>
        </w:tc>
        <w:tc>
          <w:tcPr>
            <w:tcW w:w="2126" w:type="dxa"/>
            <w:tcBorders>
              <w:top w:val="single" w:color="auto" w:sz="4" w:space="0"/>
            </w:tcBorders>
          </w:tcPr>
          <w:p w:rsidRPr="006B7451" w:rsidR="00F01D53" w:rsidP="005035DF" w:rsidRDefault="00DB5217" w14:paraId="6F4818A9" w14:textId="6FAD6552">
            <w:pPr>
              <w:spacing w:before="80" w:line="240" w:lineRule="exact"/>
              <w:ind w:firstLine="0"/>
              <w:jc w:val="right"/>
              <w:rPr>
                <w:b/>
                <w:sz w:val="20"/>
                <w:szCs w:val="20"/>
              </w:rPr>
            </w:pPr>
            <w:r>
              <w:rPr>
                <w:b/>
                <w:sz w:val="20"/>
                <w:szCs w:val="20"/>
              </w:rPr>
              <w:t>–</w:t>
            </w:r>
            <w:r w:rsidRPr="006B7451" w:rsidR="00F01D53">
              <w:rPr>
                <w:b/>
                <w:sz w:val="20"/>
                <w:szCs w:val="20"/>
              </w:rPr>
              <w:t>3,</w:t>
            </w:r>
            <w:r w:rsidRPr="006B7451" w:rsidR="00D31B91">
              <w:rPr>
                <w:b/>
                <w:sz w:val="20"/>
                <w:szCs w:val="20"/>
              </w:rPr>
              <w:t>4</w:t>
            </w:r>
          </w:p>
        </w:tc>
        <w:tc>
          <w:tcPr>
            <w:tcW w:w="2126" w:type="dxa"/>
            <w:tcBorders>
              <w:top w:val="single" w:color="auto" w:sz="4" w:space="0"/>
            </w:tcBorders>
          </w:tcPr>
          <w:p w:rsidRPr="006B7451" w:rsidR="00F01D53" w:rsidP="005035DF" w:rsidRDefault="00D31B91" w14:paraId="3BE70202" w14:textId="77777777">
            <w:pPr>
              <w:spacing w:before="80" w:line="240" w:lineRule="exact"/>
              <w:ind w:firstLine="0"/>
              <w:jc w:val="right"/>
              <w:rPr>
                <w:b/>
                <w:sz w:val="20"/>
                <w:szCs w:val="20"/>
              </w:rPr>
            </w:pPr>
            <w:r w:rsidRPr="006B7451">
              <w:rPr>
                <w:b/>
                <w:sz w:val="20"/>
                <w:szCs w:val="20"/>
              </w:rPr>
              <w:t>6</w:t>
            </w:r>
            <w:r w:rsidRPr="006B7451" w:rsidR="00F01D53">
              <w:rPr>
                <w:b/>
                <w:sz w:val="20"/>
                <w:szCs w:val="20"/>
              </w:rPr>
              <w:t>,0</w:t>
            </w:r>
          </w:p>
        </w:tc>
        <w:tc>
          <w:tcPr>
            <w:tcW w:w="2126" w:type="dxa"/>
            <w:tcBorders>
              <w:top w:val="single" w:color="auto" w:sz="4" w:space="0"/>
            </w:tcBorders>
          </w:tcPr>
          <w:p w:rsidRPr="006B7451" w:rsidR="00F01D53" w:rsidP="005035DF" w:rsidRDefault="00D31B91" w14:paraId="2844CEE2" w14:textId="77777777">
            <w:pPr>
              <w:spacing w:before="80" w:line="240" w:lineRule="exact"/>
              <w:ind w:firstLine="0"/>
              <w:jc w:val="right"/>
              <w:rPr>
                <w:b/>
                <w:sz w:val="20"/>
                <w:szCs w:val="20"/>
              </w:rPr>
            </w:pPr>
            <w:r w:rsidRPr="006B7451">
              <w:rPr>
                <w:b/>
                <w:sz w:val="20"/>
                <w:szCs w:val="20"/>
              </w:rPr>
              <w:t>3</w:t>
            </w:r>
            <w:r w:rsidRPr="006B7451" w:rsidR="00F01D53">
              <w:rPr>
                <w:b/>
                <w:sz w:val="20"/>
                <w:szCs w:val="20"/>
              </w:rPr>
              <w:t>,9</w:t>
            </w:r>
          </w:p>
        </w:tc>
      </w:tr>
      <w:tr w:rsidRPr="006B7451" w:rsidR="00F01D53" w:rsidTr="005035DF" w14:paraId="5482F228" w14:textId="77777777">
        <w:trPr>
          <w:cantSplit/>
        </w:trPr>
        <w:tc>
          <w:tcPr>
            <w:tcW w:w="2127" w:type="dxa"/>
          </w:tcPr>
          <w:p w:rsidRPr="006B7451" w:rsidR="00F01D53" w:rsidP="005035DF" w:rsidRDefault="00F01D53" w14:paraId="05F94D87" w14:textId="77777777">
            <w:pPr>
              <w:spacing w:before="80" w:line="240" w:lineRule="exact"/>
              <w:ind w:firstLine="0"/>
              <w:rPr>
                <w:b/>
                <w:sz w:val="20"/>
                <w:szCs w:val="20"/>
              </w:rPr>
            </w:pPr>
            <w:r w:rsidRPr="006B7451">
              <w:rPr>
                <w:b/>
                <w:sz w:val="20"/>
                <w:szCs w:val="20"/>
              </w:rPr>
              <w:t>Eurozonen</w:t>
            </w:r>
          </w:p>
        </w:tc>
        <w:tc>
          <w:tcPr>
            <w:tcW w:w="2126" w:type="dxa"/>
          </w:tcPr>
          <w:p w:rsidRPr="006B7451" w:rsidR="00F01D53" w:rsidP="005035DF" w:rsidRDefault="007530F6" w14:paraId="481FF6A7" w14:textId="3C660F82">
            <w:pPr>
              <w:spacing w:before="80" w:line="240" w:lineRule="exact"/>
              <w:ind w:firstLine="0"/>
              <w:jc w:val="right"/>
              <w:rPr>
                <w:b/>
                <w:sz w:val="20"/>
                <w:szCs w:val="20"/>
              </w:rPr>
            </w:pPr>
            <w:r>
              <w:rPr>
                <w:b/>
                <w:sz w:val="20"/>
                <w:szCs w:val="20"/>
              </w:rPr>
              <w:t>–</w:t>
            </w:r>
            <w:r w:rsidRPr="006B7451" w:rsidR="00F01D53">
              <w:rPr>
                <w:b/>
                <w:sz w:val="20"/>
                <w:szCs w:val="20"/>
              </w:rPr>
              <w:t>6,5</w:t>
            </w:r>
          </w:p>
        </w:tc>
        <w:tc>
          <w:tcPr>
            <w:tcW w:w="2126" w:type="dxa"/>
          </w:tcPr>
          <w:p w:rsidRPr="006B7451" w:rsidR="00F01D53" w:rsidP="005035DF" w:rsidRDefault="00D31B91" w14:paraId="0D4650DE" w14:textId="77777777">
            <w:pPr>
              <w:spacing w:before="80" w:line="240" w:lineRule="exact"/>
              <w:ind w:firstLine="0"/>
              <w:jc w:val="right"/>
              <w:rPr>
                <w:b/>
                <w:sz w:val="20"/>
                <w:szCs w:val="20"/>
              </w:rPr>
            </w:pPr>
            <w:r w:rsidRPr="006B7451">
              <w:rPr>
                <w:b/>
                <w:sz w:val="20"/>
                <w:szCs w:val="20"/>
              </w:rPr>
              <w:t>5</w:t>
            </w:r>
            <w:r w:rsidRPr="006B7451" w:rsidR="00F01D53">
              <w:rPr>
                <w:b/>
                <w:sz w:val="20"/>
                <w:szCs w:val="20"/>
              </w:rPr>
              <w:t>,</w:t>
            </w:r>
            <w:r w:rsidRPr="006B7451">
              <w:rPr>
                <w:b/>
                <w:sz w:val="20"/>
                <w:szCs w:val="20"/>
              </w:rPr>
              <w:t>3</w:t>
            </w:r>
          </w:p>
        </w:tc>
        <w:tc>
          <w:tcPr>
            <w:tcW w:w="2126" w:type="dxa"/>
          </w:tcPr>
          <w:p w:rsidRPr="006B7451" w:rsidR="00F01D53" w:rsidP="005035DF" w:rsidRDefault="00F01D53" w14:paraId="5D991336" w14:textId="77777777">
            <w:pPr>
              <w:spacing w:before="80" w:line="240" w:lineRule="exact"/>
              <w:ind w:firstLine="0"/>
              <w:jc w:val="right"/>
              <w:rPr>
                <w:b/>
                <w:sz w:val="20"/>
                <w:szCs w:val="20"/>
              </w:rPr>
            </w:pPr>
            <w:r w:rsidRPr="006B7451">
              <w:rPr>
                <w:b/>
                <w:sz w:val="20"/>
                <w:szCs w:val="20"/>
              </w:rPr>
              <w:t>4,</w:t>
            </w:r>
            <w:r w:rsidRPr="006B7451" w:rsidR="00D31B91">
              <w:rPr>
                <w:b/>
                <w:sz w:val="20"/>
                <w:szCs w:val="20"/>
              </w:rPr>
              <w:t>6</w:t>
            </w:r>
          </w:p>
        </w:tc>
      </w:tr>
      <w:tr w:rsidRPr="006B7451" w:rsidR="00F01D53" w:rsidTr="005035DF" w14:paraId="06FDEA3C" w14:textId="77777777">
        <w:trPr>
          <w:cantSplit/>
        </w:trPr>
        <w:tc>
          <w:tcPr>
            <w:tcW w:w="2127" w:type="dxa"/>
          </w:tcPr>
          <w:p w:rsidRPr="006B7451" w:rsidR="00F01D53" w:rsidP="005035DF" w:rsidRDefault="00F01D53" w14:paraId="3E90C5D1" w14:textId="77777777">
            <w:pPr>
              <w:spacing w:before="80" w:line="240" w:lineRule="exact"/>
              <w:ind w:firstLine="0"/>
              <w:rPr>
                <w:sz w:val="20"/>
                <w:szCs w:val="20"/>
              </w:rPr>
            </w:pPr>
            <w:r w:rsidRPr="006B7451">
              <w:rPr>
                <w:sz w:val="20"/>
                <w:szCs w:val="20"/>
              </w:rPr>
              <w:t>Tyskland</w:t>
            </w:r>
          </w:p>
        </w:tc>
        <w:tc>
          <w:tcPr>
            <w:tcW w:w="2126" w:type="dxa"/>
          </w:tcPr>
          <w:p w:rsidRPr="006B7451" w:rsidR="00F01D53" w:rsidP="005035DF" w:rsidRDefault="007530F6" w14:paraId="5301C23C" w14:textId="4C996723">
            <w:pPr>
              <w:spacing w:before="80" w:line="240" w:lineRule="exact"/>
              <w:ind w:firstLine="0"/>
              <w:jc w:val="right"/>
              <w:rPr>
                <w:sz w:val="20"/>
                <w:szCs w:val="20"/>
              </w:rPr>
            </w:pPr>
            <w:r>
              <w:rPr>
                <w:sz w:val="20"/>
                <w:szCs w:val="20"/>
              </w:rPr>
              <w:t>–</w:t>
            </w:r>
            <w:r w:rsidRPr="006B7451" w:rsidR="00F01D53">
              <w:rPr>
                <w:sz w:val="20"/>
                <w:szCs w:val="20"/>
              </w:rPr>
              <w:t>4,</w:t>
            </w:r>
            <w:r w:rsidRPr="006B7451" w:rsidR="00D31B91">
              <w:rPr>
                <w:sz w:val="20"/>
                <w:szCs w:val="20"/>
              </w:rPr>
              <w:t>9</w:t>
            </w:r>
          </w:p>
        </w:tc>
        <w:tc>
          <w:tcPr>
            <w:tcW w:w="2126" w:type="dxa"/>
          </w:tcPr>
          <w:p w:rsidRPr="006B7451" w:rsidR="00F01D53" w:rsidP="005035DF" w:rsidRDefault="00D31B91" w14:paraId="05855370" w14:textId="77777777">
            <w:pPr>
              <w:spacing w:before="80" w:line="240" w:lineRule="exact"/>
              <w:ind w:firstLine="0"/>
              <w:jc w:val="right"/>
              <w:rPr>
                <w:sz w:val="20"/>
                <w:szCs w:val="20"/>
              </w:rPr>
            </w:pPr>
            <w:r w:rsidRPr="006B7451">
              <w:rPr>
                <w:sz w:val="20"/>
                <w:szCs w:val="20"/>
              </w:rPr>
              <w:t>2</w:t>
            </w:r>
            <w:r w:rsidRPr="006B7451" w:rsidR="00F01D53">
              <w:rPr>
                <w:sz w:val="20"/>
                <w:szCs w:val="20"/>
              </w:rPr>
              <w:t>,</w:t>
            </w:r>
            <w:r w:rsidRPr="006B7451">
              <w:rPr>
                <w:sz w:val="20"/>
                <w:szCs w:val="20"/>
              </w:rPr>
              <w:t>9</w:t>
            </w:r>
          </w:p>
        </w:tc>
        <w:tc>
          <w:tcPr>
            <w:tcW w:w="2126" w:type="dxa"/>
          </w:tcPr>
          <w:p w:rsidRPr="006B7451" w:rsidR="00F01D53" w:rsidP="005035DF" w:rsidRDefault="00F01D53" w14:paraId="66DEA8C8" w14:textId="77777777">
            <w:pPr>
              <w:spacing w:before="80" w:line="240" w:lineRule="exact"/>
              <w:ind w:firstLine="0"/>
              <w:jc w:val="right"/>
              <w:rPr>
                <w:sz w:val="20"/>
                <w:szCs w:val="20"/>
              </w:rPr>
            </w:pPr>
            <w:r w:rsidRPr="006B7451">
              <w:rPr>
                <w:sz w:val="20"/>
                <w:szCs w:val="20"/>
              </w:rPr>
              <w:t>4,</w:t>
            </w:r>
            <w:r w:rsidRPr="006B7451" w:rsidR="00D31B91">
              <w:rPr>
                <w:sz w:val="20"/>
                <w:szCs w:val="20"/>
              </w:rPr>
              <w:t>6</w:t>
            </w:r>
          </w:p>
        </w:tc>
      </w:tr>
      <w:tr w:rsidRPr="006B7451" w:rsidR="00F01D53" w:rsidTr="005035DF" w14:paraId="680962EE" w14:textId="77777777">
        <w:trPr>
          <w:cantSplit/>
        </w:trPr>
        <w:tc>
          <w:tcPr>
            <w:tcW w:w="2127" w:type="dxa"/>
          </w:tcPr>
          <w:p w:rsidRPr="006B7451" w:rsidR="00F01D53" w:rsidP="005035DF" w:rsidRDefault="00F01D53" w14:paraId="560FB0A6" w14:textId="77777777">
            <w:pPr>
              <w:spacing w:before="80" w:line="240" w:lineRule="exact"/>
              <w:ind w:firstLine="0"/>
              <w:rPr>
                <w:sz w:val="20"/>
                <w:szCs w:val="20"/>
              </w:rPr>
            </w:pPr>
            <w:r w:rsidRPr="006B7451">
              <w:rPr>
                <w:sz w:val="20"/>
                <w:szCs w:val="20"/>
              </w:rPr>
              <w:t>Frankrike</w:t>
            </w:r>
          </w:p>
        </w:tc>
        <w:tc>
          <w:tcPr>
            <w:tcW w:w="2126" w:type="dxa"/>
          </w:tcPr>
          <w:p w:rsidRPr="006B7451" w:rsidR="00F01D53" w:rsidP="005035DF" w:rsidRDefault="007530F6" w14:paraId="32F8BAA1" w14:textId="13605A3E">
            <w:pPr>
              <w:spacing w:before="80" w:line="240" w:lineRule="exact"/>
              <w:ind w:firstLine="0"/>
              <w:jc w:val="right"/>
              <w:rPr>
                <w:sz w:val="20"/>
                <w:szCs w:val="20"/>
              </w:rPr>
            </w:pPr>
            <w:r>
              <w:rPr>
                <w:sz w:val="20"/>
                <w:szCs w:val="20"/>
              </w:rPr>
              <w:t>–</w:t>
            </w:r>
            <w:r w:rsidRPr="006B7451" w:rsidR="00F01D53">
              <w:rPr>
                <w:sz w:val="20"/>
                <w:szCs w:val="20"/>
              </w:rPr>
              <w:t>8,0</w:t>
            </w:r>
          </w:p>
        </w:tc>
        <w:tc>
          <w:tcPr>
            <w:tcW w:w="2126" w:type="dxa"/>
          </w:tcPr>
          <w:p w:rsidRPr="006B7451" w:rsidR="00F01D53" w:rsidP="005035DF" w:rsidRDefault="00D31B91" w14:paraId="0B1C82AA" w14:textId="77777777">
            <w:pPr>
              <w:spacing w:before="80" w:line="240" w:lineRule="exact"/>
              <w:ind w:firstLine="0"/>
              <w:jc w:val="right"/>
              <w:rPr>
                <w:sz w:val="20"/>
                <w:szCs w:val="20"/>
              </w:rPr>
            </w:pPr>
            <w:r w:rsidRPr="006B7451">
              <w:rPr>
                <w:sz w:val="20"/>
                <w:szCs w:val="20"/>
              </w:rPr>
              <w:t>6</w:t>
            </w:r>
            <w:r w:rsidRPr="006B7451" w:rsidR="00F01D53">
              <w:rPr>
                <w:sz w:val="20"/>
                <w:szCs w:val="20"/>
              </w:rPr>
              <w:t>,</w:t>
            </w:r>
            <w:r w:rsidRPr="006B7451">
              <w:rPr>
                <w:sz w:val="20"/>
                <w:szCs w:val="20"/>
              </w:rPr>
              <w:t>3</w:t>
            </w:r>
          </w:p>
        </w:tc>
        <w:tc>
          <w:tcPr>
            <w:tcW w:w="2126" w:type="dxa"/>
          </w:tcPr>
          <w:p w:rsidRPr="006B7451" w:rsidR="00F01D53" w:rsidP="005035DF" w:rsidRDefault="00F01D53" w14:paraId="5FCD74DE" w14:textId="77777777">
            <w:pPr>
              <w:spacing w:before="80" w:line="240" w:lineRule="exact"/>
              <w:ind w:firstLine="0"/>
              <w:jc w:val="right"/>
              <w:rPr>
                <w:sz w:val="20"/>
                <w:szCs w:val="20"/>
              </w:rPr>
            </w:pPr>
            <w:r w:rsidRPr="006B7451">
              <w:rPr>
                <w:sz w:val="20"/>
                <w:szCs w:val="20"/>
              </w:rPr>
              <w:t>4,</w:t>
            </w:r>
            <w:r w:rsidRPr="006B7451" w:rsidR="00D31B91">
              <w:rPr>
                <w:sz w:val="20"/>
                <w:szCs w:val="20"/>
              </w:rPr>
              <w:t>0</w:t>
            </w:r>
          </w:p>
        </w:tc>
      </w:tr>
      <w:tr w:rsidRPr="006B7451" w:rsidR="00F01D53" w:rsidTr="005035DF" w14:paraId="5DB25916" w14:textId="77777777">
        <w:trPr>
          <w:cantSplit/>
        </w:trPr>
        <w:tc>
          <w:tcPr>
            <w:tcW w:w="2127" w:type="dxa"/>
          </w:tcPr>
          <w:p w:rsidRPr="006B7451" w:rsidR="00F01D53" w:rsidP="005035DF" w:rsidRDefault="00F01D53" w14:paraId="4B252F15" w14:textId="77777777">
            <w:pPr>
              <w:spacing w:before="80" w:line="240" w:lineRule="exact"/>
              <w:ind w:firstLine="0"/>
              <w:rPr>
                <w:sz w:val="20"/>
                <w:szCs w:val="20"/>
              </w:rPr>
            </w:pPr>
            <w:r w:rsidRPr="006B7451">
              <w:rPr>
                <w:sz w:val="20"/>
                <w:szCs w:val="20"/>
              </w:rPr>
              <w:t>Italien</w:t>
            </w:r>
          </w:p>
        </w:tc>
        <w:tc>
          <w:tcPr>
            <w:tcW w:w="2126" w:type="dxa"/>
          </w:tcPr>
          <w:p w:rsidRPr="006B7451" w:rsidR="00F01D53" w:rsidP="005035DF" w:rsidRDefault="007530F6" w14:paraId="6C8C24AC" w14:textId="0912C287">
            <w:pPr>
              <w:spacing w:before="80" w:line="240" w:lineRule="exact"/>
              <w:ind w:firstLine="0"/>
              <w:jc w:val="right"/>
              <w:rPr>
                <w:sz w:val="20"/>
                <w:szCs w:val="20"/>
              </w:rPr>
            </w:pPr>
            <w:r>
              <w:rPr>
                <w:sz w:val="20"/>
                <w:szCs w:val="20"/>
              </w:rPr>
              <w:t>–</w:t>
            </w:r>
            <w:r w:rsidRPr="006B7451" w:rsidR="00F01D53">
              <w:rPr>
                <w:sz w:val="20"/>
                <w:szCs w:val="20"/>
              </w:rPr>
              <w:t>8,9</w:t>
            </w:r>
          </w:p>
        </w:tc>
        <w:tc>
          <w:tcPr>
            <w:tcW w:w="2126" w:type="dxa"/>
          </w:tcPr>
          <w:p w:rsidRPr="006B7451" w:rsidR="00F01D53" w:rsidP="005035DF" w:rsidRDefault="00D31B91" w14:paraId="5767D7D7" w14:textId="77777777">
            <w:pPr>
              <w:spacing w:before="80" w:line="240" w:lineRule="exact"/>
              <w:ind w:firstLine="0"/>
              <w:jc w:val="right"/>
              <w:rPr>
                <w:sz w:val="20"/>
                <w:szCs w:val="20"/>
              </w:rPr>
            </w:pPr>
            <w:r w:rsidRPr="006B7451">
              <w:rPr>
                <w:sz w:val="20"/>
                <w:szCs w:val="20"/>
              </w:rPr>
              <w:t>5</w:t>
            </w:r>
            <w:r w:rsidRPr="006B7451" w:rsidR="00F01D53">
              <w:rPr>
                <w:sz w:val="20"/>
                <w:szCs w:val="20"/>
              </w:rPr>
              <w:t>,9</w:t>
            </w:r>
          </w:p>
        </w:tc>
        <w:tc>
          <w:tcPr>
            <w:tcW w:w="2126" w:type="dxa"/>
          </w:tcPr>
          <w:p w:rsidRPr="006B7451" w:rsidR="00F01D53" w:rsidP="005035DF" w:rsidRDefault="00F01D53" w14:paraId="45D02899" w14:textId="77777777">
            <w:pPr>
              <w:spacing w:before="80" w:line="240" w:lineRule="exact"/>
              <w:ind w:firstLine="0"/>
              <w:jc w:val="right"/>
              <w:rPr>
                <w:sz w:val="20"/>
                <w:szCs w:val="20"/>
              </w:rPr>
            </w:pPr>
            <w:r w:rsidRPr="006B7451">
              <w:rPr>
                <w:sz w:val="20"/>
                <w:szCs w:val="20"/>
              </w:rPr>
              <w:t>4,</w:t>
            </w:r>
            <w:r w:rsidRPr="006B7451" w:rsidR="00D31B91">
              <w:rPr>
                <w:sz w:val="20"/>
                <w:szCs w:val="20"/>
              </w:rPr>
              <w:t>1</w:t>
            </w:r>
          </w:p>
        </w:tc>
      </w:tr>
      <w:tr w:rsidRPr="006B7451" w:rsidR="00F01D53" w:rsidTr="005035DF" w14:paraId="70B562CA" w14:textId="77777777">
        <w:trPr>
          <w:cantSplit/>
        </w:trPr>
        <w:tc>
          <w:tcPr>
            <w:tcW w:w="2127" w:type="dxa"/>
          </w:tcPr>
          <w:p w:rsidRPr="006B7451" w:rsidR="00F01D53" w:rsidP="005035DF" w:rsidRDefault="00F01D53" w14:paraId="1E10833A" w14:textId="77777777">
            <w:pPr>
              <w:spacing w:before="80" w:line="240" w:lineRule="exact"/>
              <w:ind w:firstLine="0"/>
              <w:rPr>
                <w:sz w:val="20"/>
                <w:szCs w:val="20"/>
              </w:rPr>
            </w:pPr>
            <w:r w:rsidRPr="006B7451">
              <w:rPr>
                <w:sz w:val="20"/>
                <w:szCs w:val="20"/>
              </w:rPr>
              <w:t>Spanien</w:t>
            </w:r>
          </w:p>
        </w:tc>
        <w:tc>
          <w:tcPr>
            <w:tcW w:w="2126" w:type="dxa"/>
          </w:tcPr>
          <w:p w:rsidRPr="006B7451" w:rsidR="00F01D53" w:rsidP="005035DF" w:rsidRDefault="007530F6" w14:paraId="7A870090" w14:textId="73FE52BA">
            <w:pPr>
              <w:spacing w:before="80" w:line="240" w:lineRule="exact"/>
              <w:ind w:firstLine="0"/>
              <w:jc w:val="right"/>
              <w:rPr>
                <w:sz w:val="20"/>
                <w:szCs w:val="20"/>
              </w:rPr>
            </w:pPr>
            <w:r>
              <w:rPr>
                <w:sz w:val="20"/>
                <w:szCs w:val="20"/>
              </w:rPr>
              <w:t>–</w:t>
            </w:r>
            <w:r w:rsidRPr="006B7451" w:rsidR="00F01D53">
              <w:rPr>
                <w:sz w:val="20"/>
                <w:szCs w:val="20"/>
              </w:rPr>
              <w:t>10,8</w:t>
            </w:r>
          </w:p>
        </w:tc>
        <w:tc>
          <w:tcPr>
            <w:tcW w:w="2126" w:type="dxa"/>
          </w:tcPr>
          <w:p w:rsidRPr="006B7451" w:rsidR="00F01D53" w:rsidP="005035DF" w:rsidRDefault="00F01D53" w14:paraId="282D92DE" w14:textId="77777777">
            <w:pPr>
              <w:spacing w:before="80" w:line="240" w:lineRule="exact"/>
              <w:ind w:firstLine="0"/>
              <w:jc w:val="right"/>
              <w:rPr>
                <w:sz w:val="20"/>
                <w:szCs w:val="20"/>
              </w:rPr>
            </w:pPr>
            <w:r w:rsidRPr="006B7451">
              <w:rPr>
                <w:sz w:val="20"/>
                <w:szCs w:val="20"/>
              </w:rPr>
              <w:t>6,</w:t>
            </w:r>
            <w:r w:rsidRPr="006B7451" w:rsidR="00D31B91">
              <w:rPr>
                <w:sz w:val="20"/>
                <w:szCs w:val="20"/>
              </w:rPr>
              <w:t>8</w:t>
            </w:r>
          </w:p>
        </w:tc>
        <w:tc>
          <w:tcPr>
            <w:tcW w:w="2126" w:type="dxa"/>
          </w:tcPr>
          <w:p w:rsidRPr="006B7451" w:rsidR="00F01D53" w:rsidP="005035DF" w:rsidRDefault="00D31B91" w14:paraId="7768208B" w14:textId="77777777">
            <w:pPr>
              <w:spacing w:before="80" w:line="240" w:lineRule="exact"/>
              <w:ind w:firstLine="0"/>
              <w:jc w:val="right"/>
              <w:rPr>
                <w:sz w:val="20"/>
                <w:szCs w:val="20"/>
              </w:rPr>
            </w:pPr>
            <w:r w:rsidRPr="006B7451">
              <w:rPr>
                <w:sz w:val="20"/>
                <w:szCs w:val="20"/>
              </w:rPr>
              <w:t>6</w:t>
            </w:r>
            <w:r w:rsidRPr="006B7451" w:rsidR="00F01D53">
              <w:rPr>
                <w:sz w:val="20"/>
                <w:szCs w:val="20"/>
              </w:rPr>
              <w:t>,</w:t>
            </w:r>
            <w:r w:rsidRPr="006B7451">
              <w:rPr>
                <w:sz w:val="20"/>
                <w:szCs w:val="20"/>
              </w:rPr>
              <w:t>6</w:t>
            </w:r>
          </w:p>
        </w:tc>
      </w:tr>
      <w:tr w:rsidRPr="006B7451" w:rsidR="00F01D53" w:rsidTr="005035DF" w14:paraId="15D0B62D" w14:textId="77777777">
        <w:trPr>
          <w:cantSplit/>
        </w:trPr>
        <w:tc>
          <w:tcPr>
            <w:tcW w:w="2127" w:type="dxa"/>
          </w:tcPr>
          <w:p w:rsidRPr="006B7451" w:rsidR="00F01D53" w:rsidP="005035DF" w:rsidRDefault="00F01D53" w14:paraId="799BC79B" w14:textId="77777777">
            <w:pPr>
              <w:spacing w:before="80" w:line="240" w:lineRule="exact"/>
              <w:ind w:firstLine="0"/>
              <w:rPr>
                <w:b/>
                <w:sz w:val="20"/>
                <w:szCs w:val="20"/>
              </w:rPr>
            </w:pPr>
            <w:r w:rsidRPr="006B7451">
              <w:rPr>
                <w:b/>
                <w:sz w:val="20"/>
                <w:szCs w:val="20"/>
              </w:rPr>
              <w:t>Japan</w:t>
            </w:r>
          </w:p>
        </w:tc>
        <w:tc>
          <w:tcPr>
            <w:tcW w:w="2126" w:type="dxa"/>
          </w:tcPr>
          <w:p w:rsidRPr="006B7451" w:rsidR="00F01D53" w:rsidP="005035DF" w:rsidRDefault="007530F6" w14:paraId="6845789F" w14:textId="0889B71C">
            <w:pPr>
              <w:spacing w:before="80" w:line="240" w:lineRule="exact"/>
              <w:ind w:firstLine="0"/>
              <w:jc w:val="right"/>
              <w:rPr>
                <w:b/>
                <w:sz w:val="20"/>
                <w:szCs w:val="20"/>
              </w:rPr>
            </w:pPr>
            <w:r>
              <w:rPr>
                <w:b/>
                <w:sz w:val="20"/>
                <w:szCs w:val="20"/>
              </w:rPr>
              <w:t>–</w:t>
            </w:r>
            <w:r w:rsidRPr="006B7451" w:rsidR="00F01D53">
              <w:rPr>
                <w:b/>
                <w:sz w:val="20"/>
                <w:szCs w:val="20"/>
              </w:rPr>
              <w:t>4,</w:t>
            </w:r>
            <w:r w:rsidRPr="006B7451" w:rsidR="00D31B91">
              <w:rPr>
                <w:b/>
                <w:sz w:val="20"/>
                <w:szCs w:val="20"/>
              </w:rPr>
              <w:t>6</w:t>
            </w:r>
          </w:p>
        </w:tc>
        <w:tc>
          <w:tcPr>
            <w:tcW w:w="2126" w:type="dxa"/>
          </w:tcPr>
          <w:p w:rsidRPr="006B7451" w:rsidR="00F01D53" w:rsidP="005035DF" w:rsidRDefault="00F01D53" w14:paraId="4C315A95" w14:textId="77777777">
            <w:pPr>
              <w:spacing w:before="80" w:line="240" w:lineRule="exact"/>
              <w:ind w:firstLine="0"/>
              <w:jc w:val="right"/>
              <w:rPr>
                <w:b/>
                <w:sz w:val="20"/>
                <w:szCs w:val="20"/>
              </w:rPr>
            </w:pPr>
            <w:r w:rsidRPr="006B7451">
              <w:rPr>
                <w:b/>
                <w:sz w:val="20"/>
                <w:szCs w:val="20"/>
              </w:rPr>
              <w:t>2,</w:t>
            </w:r>
            <w:r w:rsidRPr="006B7451" w:rsidR="00D31B91">
              <w:rPr>
                <w:b/>
                <w:sz w:val="20"/>
                <w:szCs w:val="20"/>
              </w:rPr>
              <w:t>5</w:t>
            </w:r>
          </w:p>
        </w:tc>
        <w:tc>
          <w:tcPr>
            <w:tcW w:w="2126" w:type="dxa"/>
          </w:tcPr>
          <w:p w:rsidRPr="006B7451" w:rsidR="00F01D53" w:rsidP="005035DF" w:rsidRDefault="00D31B91" w14:paraId="1C6CD269" w14:textId="77777777">
            <w:pPr>
              <w:spacing w:before="80" w:line="240" w:lineRule="exact"/>
              <w:ind w:firstLine="0"/>
              <w:jc w:val="right"/>
              <w:rPr>
                <w:b/>
                <w:sz w:val="20"/>
                <w:szCs w:val="20"/>
              </w:rPr>
            </w:pPr>
            <w:r w:rsidRPr="006B7451">
              <w:rPr>
                <w:b/>
                <w:sz w:val="20"/>
                <w:szCs w:val="20"/>
              </w:rPr>
              <w:t>2</w:t>
            </w:r>
            <w:r w:rsidRPr="006B7451" w:rsidR="00F01D53">
              <w:rPr>
                <w:b/>
                <w:sz w:val="20"/>
                <w:szCs w:val="20"/>
              </w:rPr>
              <w:t>,</w:t>
            </w:r>
            <w:r w:rsidRPr="006B7451">
              <w:rPr>
                <w:b/>
                <w:sz w:val="20"/>
                <w:szCs w:val="20"/>
              </w:rPr>
              <w:t>1</w:t>
            </w:r>
          </w:p>
        </w:tc>
      </w:tr>
      <w:tr w:rsidRPr="006B7451" w:rsidR="00F01D53" w:rsidTr="005035DF" w14:paraId="620D03CE" w14:textId="77777777">
        <w:trPr>
          <w:cantSplit/>
        </w:trPr>
        <w:tc>
          <w:tcPr>
            <w:tcW w:w="2127" w:type="dxa"/>
          </w:tcPr>
          <w:p w:rsidRPr="006B7451" w:rsidR="00F01D53" w:rsidP="005035DF" w:rsidRDefault="00F01D53" w14:paraId="02E9A063" w14:textId="77777777">
            <w:pPr>
              <w:spacing w:before="80" w:line="240" w:lineRule="exact"/>
              <w:ind w:firstLine="0"/>
              <w:rPr>
                <w:b/>
                <w:sz w:val="20"/>
                <w:szCs w:val="20"/>
              </w:rPr>
            </w:pPr>
            <w:r w:rsidRPr="006B7451">
              <w:rPr>
                <w:b/>
                <w:sz w:val="20"/>
                <w:szCs w:val="20"/>
              </w:rPr>
              <w:t>Storbritannien</w:t>
            </w:r>
          </w:p>
        </w:tc>
        <w:tc>
          <w:tcPr>
            <w:tcW w:w="2126" w:type="dxa"/>
          </w:tcPr>
          <w:p w:rsidRPr="006B7451" w:rsidR="00F01D53" w:rsidP="005035DF" w:rsidRDefault="007530F6" w14:paraId="57BAA6BE" w14:textId="445EC724">
            <w:pPr>
              <w:spacing w:before="80" w:line="240" w:lineRule="exact"/>
              <w:ind w:firstLine="0"/>
              <w:jc w:val="right"/>
              <w:rPr>
                <w:b/>
                <w:sz w:val="20"/>
                <w:szCs w:val="20"/>
              </w:rPr>
            </w:pPr>
            <w:r>
              <w:rPr>
                <w:b/>
                <w:sz w:val="20"/>
                <w:szCs w:val="20"/>
              </w:rPr>
              <w:t>–</w:t>
            </w:r>
            <w:r w:rsidRPr="006B7451" w:rsidR="00F01D53">
              <w:rPr>
                <w:b/>
                <w:sz w:val="20"/>
                <w:szCs w:val="20"/>
              </w:rPr>
              <w:t>9,8</w:t>
            </w:r>
          </w:p>
        </w:tc>
        <w:tc>
          <w:tcPr>
            <w:tcW w:w="2126" w:type="dxa"/>
          </w:tcPr>
          <w:p w:rsidRPr="006B7451" w:rsidR="00F01D53" w:rsidP="005035DF" w:rsidRDefault="00D31B91" w14:paraId="2E9BAA62" w14:textId="77777777">
            <w:pPr>
              <w:spacing w:before="80" w:line="240" w:lineRule="exact"/>
              <w:ind w:firstLine="0"/>
              <w:jc w:val="right"/>
              <w:rPr>
                <w:b/>
                <w:sz w:val="20"/>
                <w:szCs w:val="20"/>
              </w:rPr>
            </w:pPr>
            <w:r w:rsidRPr="006B7451">
              <w:rPr>
                <w:b/>
                <w:sz w:val="20"/>
                <w:szCs w:val="20"/>
              </w:rPr>
              <w:t>6</w:t>
            </w:r>
            <w:r w:rsidRPr="006B7451" w:rsidR="00F01D53">
              <w:rPr>
                <w:b/>
                <w:sz w:val="20"/>
                <w:szCs w:val="20"/>
              </w:rPr>
              <w:t>,</w:t>
            </w:r>
            <w:r w:rsidRPr="006B7451">
              <w:rPr>
                <w:b/>
                <w:sz w:val="20"/>
                <w:szCs w:val="20"/>
              </w:rPr>
              <w:t>7</w:t>
            </w:r>
          </w:p>
        </w:tc>
        <w:tc>
          <w:tcPr>
            <w:tcW w:w="2126" w:type="dxa"/>
          </w:tcPr>
          <w:p w:rsidRPr="006B7451" w:rsidR="00F01D53" w:rsidP="005035DF" w:rsidRDefault="00D31B91" w14:paraId="24E4368A" w14:textId="77777777">
            <w:pPr>
              <w:spacing w:before="80" w:line="240" w:lineRule="exact"/>
              <w:ind w:firstLine="0"/>
              <w:jc w:val="right"/>
              <w:rPr>
                <w:b/>
                <w:sz w:val="20"/>
                <w:szCs w:val="20"/>
              </w:rPr>
            </w:pPr>
            <w:r w:rsidRPr="006B7451">
              <w:rPr>
                <w:b/>
                <w:sz w:val="20"/>
                <w:szCs w:val="20"/>
              </w:rPr>
              <w:t>5</w:t>
            </w:r>
            <w:r w:rsidRPr="006B7451" w:rsidR="00F01D53">
              <w:rPr>
                <w:b/>
                <w:sz w:val="20"/>
                <w:szCs w:val="20"/>
              </w:rPr>
              <w:t>,</w:t>
            </w:r>
            <w:r w:rsidRPr="006B7451">
              <w:rPr>
                <w:b/>
                <w:sz w:val="20"/>
                <w:szCs w:val="20"/>
              </w:rPr>
              <w:t>2</w:t>
            </w:r>
          </w:p>
        </w:tc>
      </w:tr>
      <w:tr w:rsidRPr="006B7451" w:rsidR="00F01D53" w:rsidTr="005035DF" w14:paraId="5D81CB30" w14:textId="77777777">
        <w:trPr>
          <w:cantSplit/>
        </w:trPr>
        <w:tc>
          <w:tcPr>
            <w:tcW w:w="2127" w:type="dxa"/>
          </w:tcPr>
          <w:p w:rsidRPr="006B7451" w:rsidR="00F01D53" w:rsidP="005035DF" w:rsidRDefault="00F01D53" w14:paraId="2857CE1A" w14:textId="77777777">
            <w:pPr>
              <w:spacing w:before="80" w:line="240" w:lineRule="exact"/>
              <w:ind w:firstLine="0"/>
              <w:rPr>
                <w:b/>
                <w:sz w:val="20"/>
                <w:szCs w:val="20"/>
              </w:rPr>
            </w:pPr>
            <w:r w:rsidRPr="006B7451">
              <w:rPr>
                <w:b/>
                <w:sz w:val="20"/>
                <w:szCs w:val="20"/>
              </w:rPr>
              <w:t>Kanada</w:t>
            </w:r>
          </w:p>
        </w:tc>
        <w:tc>
          <w:tcPr>
            <w:tcW w:w="2126" w:type="dxa"/>
          </w:tcPr>
          <w:p w:rsidRPr="006B7451" w:rsidR="00F01D53" w:rsidP="005035DF" w:rsidRDefault="007530F6" w14:paraId="4B8A943C" w14:textId="05EC6ABC">
            <w:pPr>
              <w:spacing w:before="80" w:line="240" w:lineRule="exact"/>
              <w:ind w:firstLine="0"/>
              <w:jc w:val="right"/>
              <w:rPr>
                <w:b/>
                <w:sz w:val="20"/>
                <w:szCs w:val="20"/>
              </w:rPr>
            </w:pPr>
            <w:r>
              <w:rPr>
                <w:b/>
                <w:sz w:val="20"/>
                <w:szCs w:val="20"/>
              </w:rPr>
              <w:t>–</w:t>
            </w:r>
            <w:r w:rsidRPr="006B7451" w:rsidR="00F01D53">
              <w:rPr>
                <w:b/>
                <w:sz w:val="20"/>
                <w:szCs w:val="20"/>
              </w:rPr>
              <w:t>5,3</w:t>
            </w:r>
          </w:p>
        </w:tc>
        <w:tc>
          <w:tcPr>
            <w:tcW w:w="2126" w:type="dxa"/>
          </w:tcPr>
          <w:p w:rsidRPr="006B7451" w:rsidR="00F01D53" w:rsidP="005035DF" w:rsidRDefault="00D31B91" w14:paraId="1E65A501" w14:textId="77777777">
            <w:pPr>
              <w:spacing w:before="80" w:line="240" w:lineRule="exact"/>
              <w:ind w:firstLine="0"/>
              <w:jc w:val="right"/>
              <w:rPr>
                <w:b/>
                <w:sz w:val="20"/>
                <w:szCs w:val="20"/>
              </w:rPr>
            </w:pPr>
            <w:r w:rsidRPr="006B7451">
              <w:rPr>
                <w:b/>
                <w:sz w:val="20"/>
                <w:szCs w:val="20"/>
              </w:rPr>
              <w:t>5</w:t>
            </w:r>
            <w:r w:rsidRPr="006B7451" w:rsidR="00F01D53">
              <w:rPr>
                <w:b/>
                <w:sz w:val="20"/>
                <w:szCs w:val="20"/>
              </w:rPr>
              <w:t>,</w:t>
            </w:r>
            <w:r w:rsidRPr="006B7451">
              <w:rPr>
                <w:b/>
                <w:sz w:val="20"/>
                <w:szCs w:val="20"/>
              </w:rPr>
              <w:t>4</w:t>
            </w:r>
          </w:p>
        </w:tc>
        <w:tc>
          <w:tcPr>
            <w:tcW w:w="2126" w:type="dxa"/>
          </w:tcPr>
          <w:p w:rsidRPr="006B7451" w:rsidR="00F01D53" w:rsidP="005035DF" w:rsidRDefault="00F01D53" w14:paraId="3C77DDB9" w14:textId="77777777">
            <w:pPr>
              <w:spacing w:before="80" w:line="240" w:lineRule="exact"/>
              <w:ind w:firstLine="0"/>
              <w:jc w:val="right"/>
              <w:rPr>
                <w:b/>
                <w:sz w:val="20"/>
                <w:szCs w:val="20"/>
              </w:rPr>
            </w:pPr>
            <w:r w:rsidRPr="006B7451">
              <w:rPr>
                <w:b/>
                <w:sz w:val="20"/>
                <w:szCs w:val="20"/>
              </w:rPr>
              <w:t>4,</w:t>
            </w:r>
            <w:r w:rsidRPr="006B7451" w:rsidR="00D31B91">
              <w:rPr>
                <w:b/>
                <w:sz w:val="20"/>
                <w:szCs w:val="20"/>
              </w:rPr>
              <w:t>1</w:t>
            </w:r>
          </w:p>
        </w:tc>
      </w:tr>
      <w:tr w:rsidRPr="006B7451" w:rsidR="00F01D53" w:rsidTr="005035DF" w14:paraId="4674AE2A" w14:textId="77777777">
        <w:trPr>
          <w:cantSplit/>
        </w:trPr>
        <w:tc>
          <w:tcPr>
            <w:tcW w:w="2127" w:type="dxa"/>
          </w:tcPr>
          <w:p w:rsidRPr="006B7451" w:rsidR="00F01D53" w:rsidP="005035DF" w:rsidRDefault="00F01D53" w14:paraId="575CC721" w14:textId="77777777">
            <w:pPr>
              <w:spacing w:before="80" w:line="240" w:lineRule="exact"/>
              <w:ind w:firstLine="0"/>
              <w:rPr>
                <w:b/>
                <w:sz w:val="20"/>
                <w:szCs w:val="20"/>
              </w:rPr>
            </w:pPr>
            <w:r w:rsidRPr="006B7451">
              <w:rPr>
                <w:b/>
                <w:sz w:val="20"/>
                <w:szCs w:val="20"/>
              </w:rPr>
              <w:t>Kina</w:t>
            </w:r>
          </w:p>
        </w:tc>
        <w:tc>
          <w:tcPr>
            <w:tcW w:w="2126" w:type="dxa"/>
          </w:tcPr>
          <w:p w:rsidRPr="006B7451" w:rsidR="00F01D53" w:rsidP="005035DF" w:rsidRDefault="00F01D53" w14:paraId="1D501CE6" w14:textId="77777777">
            <w:pPr>
              <w:spacing w:before="80" w:line="240" w:lineRule="exact"/>
              <w:ind w:firstLine="0"/>
              <w:jc w:val="right"/>
              <w:rPr>
                <w:sz w:val="20"/>
                <w:szCs w:val="20"/>
              </w:rPr>
            </w:pPr>
            <w:r w:rsidRPr="006B7451">
              <w:rPr>
                <w:sz w:val="20"/>
                <w:szCs w:val="20"/>
              </w:rPr>
              <w:t>2,3</w:t>
            </w:r>
          </w:p>
        </w:tc>
        <w:tc>
          <w:tcPr>
            <w:tcW w:w="2126" w:type="dxa"/>
          </w:tcPr>
          <w:p w:rsidRPr="006B7451" w:rsidR="00F01D53" w:rsidP="005035DF" w:rsidRDefault="00F01D53" w14:paraId="25716A37" w14:textId="77777777">
            <w:pPr>
              <w:spacing w:before="80" w:line="240" w:lineRule="exact"/>
              <w:ind w:firstLine="0"/>
              <w:jc w:val="right"/>
              <w:rPr>
                <w:sz w:val="20"/>
                <w:szCs w:val="20"/>
              </w:rPr>
            </w:pPr>
            <w:r w:rsidRPr="006B7451">
              <w:rPr>
                <w:sz w:val="20"/>
                <w:szCs w:val="20"/>
              </w:rPr>
              <w:t>8,</w:t>
            </w:r>
            <w:r w:rsidRPr="006B7451" w:rsidR="00D31B91">
              <w:rPr>
                <w:sz w:val="20"/>
                <w:szCs w:val="20"/>
              </w:rPr>
              <w:t>5</w:t>
            </w:r>
          </w:p>
        </w:tc>
        <w:tc>
          <w:tcPr>
            <w:tcW w:w="2126" w:type="dxa"/>
          </w:tcPr>
          <w:p w:rsidRPr="006B7451" w:rsidR="00F01D53" w:rsidP="005035DF" w:rsidRDefault="00D31B91" w14:paraId="0B047E79" w14:textId="77777777">
            <w:pPr>
              <w:spacing w:before="80" w:line="240" w:lineRule="exact"/>
              <w:ind w:firstLine="0"/>
              <w:jc w:val="right"/>
              <w:rPr>
                <w:sz w:val="20"/>
                <w:szCs w:val="20"/>
              </w:rPr>
            </w:pPr>
            <w:r w:rsidRPr="006B7451">
              <w:rPr>
                <w:sz w:val="20"/>
                <w:szCs w:val="20"/>
              </w:rPr>
              <w:t>5</w:t>
            </w:r>
            <w:r w:rsidRPr="006B7451" w:rsidR="00F01D53">
              <w:rPr>
                <w:sz w:val="20"/>
                <w:szCs w:val="20"/>
              </w:rPr>
              <w:t>,</w:t>
            </w:r>
            <w:r w:rsidRPr="006B7451">
              <w:rPr>
                <w:sz w:val="20"/>
                <w:szCs w:val="20"/>
              </w:rPr>
              <w:t>8</w:t>
            </w:r>
          </w:p>
        </w:tc>
      </w:tr>
      <w:tr w:rsidRPr="006B7451" w:rsidR="00F01D53" w:rsidTr="005035DF" w14:paraId="41C4B560" w14:textId="77777777">
        <w:trPr>
          <w:cantSplit/>
        </w:trPr>
        <w:tc>
          <w:tcPr>
            <w:tcW w:w="2127" w:type="dxa"/>
          </w:tcPr>
          <w:p w:rsidRPr="006B7451" w:rsidR="00F01D53" w:rsidP="005035DF" w:rsidRDefault="00F01D53" w14:paraId="054A62AB" w14:textId="77777777">
            <w:pPr>
              <w:spacing w:before="80" w:line="240" w:lineRule="exact"/>
              <w:ind w:firstLine="0"/>
              <w:rPr>
                <w:b/>
                <w:sz w:val="20"/>
                <w:szCs w:val="20"/>
              </w:rPr>
            </w:pPr>
            <w:r w:rsidRPr="006B7451">
              <w:rPr>
                <w:b/>
                <w:sz w:val="20"/>
                <w:szCs w:val="20"/>
              </w:rPr>
              <w:t>Indien</w:t>
            </w:r>
          </w:p>
        </w:tc>
        <w:tc>
          <w:tcPr>
            <w:tcW w:w="2126" w:type="dxa"/>
          </w:tcPr>
          <w:p w:rsidRPr="006B7451" w:rsidR="00F01D53" w:rsidP="005035DF" w:rsidRDefault="007530F6" w14:paraId="11B7F2B2" w14:textId="217F1162">
            <w:pPr>
              <w:spacing w:before="80" w:line="240" w:lineRule="exact"/>
              <w:ind w:firstLine="0"/>
              <w:jc w:val="right"/>
              <w:rPr>
                <w:sz w:val="20"/>
                <w:szCs w:val="20"/>
              </w:rPr>
            </w:pPr>
            <w:r>
              <w:rPr>
                <w:sz w:val="20"/>
                <w:szCs w:val="20"/>
              </w:rPr>
              <w:t>–</w:t>
            </w:r>
            <w:r w:rsidRPr="006B7451" w:rsidR="00F01D53">
              <w:rPr>
                <w:sz w:val="20"/>
                <w:szCs w:val="20"/>
              </w:rPr>
              <w:t>7,3</w:t>
            </w:r>
          </w:p>
        </w:tc>
        <w:tc>
          <w:tcPr>
            <w:tcW w:w="2126" w:type="dxa"/>
          </w:tcPr>
          <w:p w:rsidRPr="006B7451" w:rsidR="00F01D53" w:rsidP="005035DF" w:rsidRDefault="00F01D53" w14:paraId="58E64F75" w14:textId="77777777">
            <w:pPr>
              <w:spacing w:before="80" w:line="240" w:lineRule="exact"/>
              <w:ind w:firstLine="0"/>
              <w:jc w:val="right"/>
              <w:rPr>
                <w:sz w:val="20"/>
                <w:szCs w:val="20"/>
              </w:rPr>
            </w:pPr>
            <w:r w:rsidRPr="006B7451">
              <w:rPr>
                <w:sz w:val="20"/>
                <w:szCs w:val="20"/>
              </w:rPr>
              <w:t>9,5</w:t>
            </w:r>
          </w:p>
        </w:tc>
        <w:tc>
          <w:tcPr>
            <w:tcW w:w="2126" w:type="dxa"/>
          </w:tcPr>
          <w:p w:rsidRPr="006B7451" w:rsidR="00F01D53" w:rsidP="005035DF" w:rsidRDefault="00D31B91" w14:paraId="16832F92" w14:textId="77777777">
            <w:pPr>
              <w:spacing w:before="80" w:line="240" w:lineRule="exact"/>
              <w:ind w:firstLine="0"/>
              <w:jc w:val="right"/>
              <w:rPr>
                <w:sz w:val="20"/>
                <w:szCs w:val="20"/>
              </w:rPr>
            </w:pPr>
            <w:r w:rsidRPr="006B7451">
              <w:rPr>
                <w:sz w:val="20"/>
                <w:szCs w:val="20"/>
              </w:rPr>
              <w:t>7</w:t>
            </w:r>
            <w:r w:rsidRPr="006B7451" w:rsidR="00F01D53">
              <w:rPr>
                <w:sz w:val="20"/>
                <w:szCs w:val="20"/>
              </w:rPr>
              <w:t>,</w:t>
            </w:r>
            <w:r w:rsidRPr="006B7451">
              <w:rPr>
                <w:sz w:val="20"/>
                <w:szCs w:val="20"/>
              </w:rPr>
              <w:t>9</w:t>
            </w:r>
          </w:p>
        </w:tc>
      </w:tr>
      <w:tr w:rsidRPr="006B7451" w:rsidR="00F01D53" w:rsidTr="005035DF" w14:paraId="5D0E53E6" w14:textId="77777777">
        <w:trPr>
          <w:cantSplit/>
        </w:trPr>
        <w:tc>
          <w:tcPr>
            <w:tcW w:w="2127" w:type="dxa"/>
            <w:tcBorders>
              <w:bottom w:val="single" w:color="auto" w:sz="4" w:space="0"/>
            </w:tcBorders>
          </w:tcPr>
          <w:p w:rsidRPr="006B7451" w:rsidR="00F01D53" w:rsidP="005035DF" w:rsidRDefault="00F01D53" w14:paraId="326F0CB3" w14:textId="77777777">
            <w:pPr>
              <w:spacing w:before="80" w:line="240" w:lineRule="exact"/>
              <w:ind w:firstLine="0"/>
              <w:rPr>
                <w:b/>
                <w:sz w:val="20"/>
                <w:szCs w:val="20"/>
              </w:rPr>
            </w:pPr>
            <w:r w:rsidRPr="006B7451">
              <w:rPr>
                <w:b/>
                <w:sz w:val="20"/>
                <w:szCs w:val="20"/>
              </w:rPr>
              <w:t>Världsekonomin</w:t>
            </w:r>
          </w:p>
        </w:tc>
        <w:tc>
          <w:tcPr>
            <w:tcW w:w="2126" w:type="dxa"/>
            <w:tcBorders>
              <w:bottom w:val="single" w:color="auto" w:sz="4" w:space="0"/>
            </w:tcBorders>
          </w:tcPr>
          <w:p w:rsidRPr="006B7451" w:rsidR="00F01D53" w:rsidP="005035DF" w:rsidRDefault="007530F6" w14:paraId="69470D49" w14:textId="3207865B">
            <w:pPr>
              <w:spacing w:before="80" w:line="240" w:lineRule="exact"/>
              <w:ind w:firstLine="0"/>
              <w:jc w:val="right"/>
              <w:rPr>
                <w:b/>
                <w:sz w:val="20"/>
                <w:szCs w:val="20"/>
              </w:rPr>
            </w:pPr>
            <w:r>
              <w:rPr>
                <w:b/>
                <w:sz w:val="20"/>
                <w:szCs w:val="20"/>
              </w:rPr>
              <w:t>–</w:t>
            </w:r>
            <w:r w:rsidRPr="006B7451" w:rsidR="00F01D53">
              <w:rPr>
                <w:b/>
                <w:sz w:val="20"/>
                <w:szCs w:val="20"/>
              </w:rPr>
              <w:t>3,</w:t>
            </w:r>
            <w:r w:rsidRPr="006B7451" w:rsidR="00D31B91">
              <w:rPr>
                <w:b/>
                <w:sz w:val="20"/>
                <w:szCs w:val="20"/>
              </w:rPr>
              <w:t>4</w:t>
            </w:r>
          </w:p>
        </w:tc>
        <w:tc>
          <w:tcPr>
            <w:tcW w:w="2126" w:type="dxa"/>
            <w:tcBorders>
              <w:bottom w:val="single" w:color="auto" w:sz="4" w:space="0"/>
            </w:tcBorders>
          </w:tcPr>
          <w:p w:rsidRPr="006B7451" w:rsidR="00F01D53" w:rsidP="005035DF" w:rsidRDefault="00D31B91" w14:paraId="65D596B0" w14:textId="77777777">
            <w:pPr>
              <w:spacing w:before="80" w:line="240" w:lineRule="exact"/>
              <w:ind w:firstLine="0"/>
              <w:jc w:val="right"/>
              <w:rPr>
                <w:b/>
                <w:sz w:val="20"/>
                <w:szCs w:val="20"/>
              </w:rPr>
            </w:pPr>
            <w:r w:rsidRPr="006B7451">
              <w:rPr>
                <w:b/>
                <w:sz w:val="20"/>
                <w:szCs w:val="20"/>
              </w:rPr>
              <w:t>5</w:t>
            </w:r>
            <w:r w:rsidRPr="006B7451" w:rsidR="00F01D53">
              <w:rPr>
                <w:b/>
                <w:sz w:val="20"/>
                <w:szCs w:val="20"/>
              </w:rPr>
              <w:t>,</w:t>
            </w:r>
            <w:r w:rsidRPr="006B7451">
              <w:rPr>
                <w:b/>
                <w:sz w:val="20"/>
                <w:szCs w:val="20"/>
              </w:rPr>
              <w:t>7</w:t>
            </w:r>
          </w:p>
        </w:tc>
        <w:tc>
          <w:tcPr>
            <w:tcW w:w="2126" w:type="dxa"/>
            <w:tcBorders>
              <w:bottom w:val="single" w:color="auto" w:sz="4" w:space="0"/>
            </w:tcBorders>
          </w:tcPr>
          <w:p w:rsidRPr="006B7451" w:rsidR="00F01D53" w:rsidP="005035DF" w:rsidRDefault="00F01D53" w14:paraId="4E02D0BA" w14:textId="77777777">
            <w:pPr>
              <w:spacing w:before="80" w:line="240" w:lineRule="exact"/>
              <w:ind w:firstLine="0"/>
              <w:jc w:val="right"/>
              <w:rPr>
                <w:b/>
                <w:sz w:val="20"/>
                <w:szCs w:val="20"/>
              </w:rPr>
            </w:pPr>
            <w:r w:rsidRPr="006B7451">
              <w:rPr>
                <w:b/>
                <w:sz w:val="20"/>
                <w:szCs w:val="20"/>
              </w:rPr>
              <w:t>4,</w:t>
            </w:r>
            <w:r w:rsidRPr="006B7451" w:rsidR="00D31B91">
              <w:rPr>
                <w:b/>
                <w:sz w:val="20"/>
                <w:szCs w:val="20"/>
              </w:rPr>
              <w:t>5</w:t>
            </w:r>
          </w:p>
        </w:tc>
      </w:tr>
    </w:tbl>
    <w:p w:rsidRPr="005035DF" w:rsidR="00F01D53" w:rsidP="005035DF" w:rsidRDefault="00F01D53" w14:paraId="13179E03" w14:textId="7D91ECCB">
      <w:pPr>
        <w:pStyle w:val="Klla"/>
      </w:pPr>
      <w:r w:rsidRPr="005035DF">
        <w:t xml:space="preserve">Källa: </w:t>
      </w:r>
      <w:r w:rsidRPr="005035DF" w:rsidR="00933366">
        <w:t xml:space="preserve">OECD Interim </w:t>
      </w:r>
      <w:proofErr w:type="spellStart"/>
      <w:r w:rsidRPr="005035DF" w:rsidR="00933366">
        <w:t>Economic</w:t>
      </w:r>
      <w:proofErr w:type="spellEnd"/>
      <w:r w:rsidRPr="005035DF" w:rsidR="00933366">
        <w:t xml:space="preserve"> Outlook </w:t>
      </w:r>
      <w:proofErr w:type="spellStart"/>
      <w:r w:rsidRPr="005035DF" w:rsidR="00933366">
        <w:t>Forecasts</w:t>
      </w:r>
      <w:proofErr w:type="spellEnd"/>
      <w:r w:rsidRPr="005035DF" w:rsidR="00D21111">
        <w:t>,</w:t>
      </w:r>
      <w:r w:rsidRPr="005035DF" w:rsidR="00933366">
        <w:t xml:space="preserve"> </w:t>
      </w:r>
      <w:r w:rsidRPr="005035DF" w:rsidR="00D31B91">
        <w:t>september</w:t>
      </w:r>
      <w:r w:rsidRPr="005035DF" w:rsidR="00933366">
        <w:t xml:space="preserve"> 2021</w:t>
      </w:r>
      <w:r w:rsidRPr="005035DF">
        <w:t>.</w:t>
      </w:r>
    </w:p>
    <w:p w:rsidRPr="006B7451" w:rsidR="00D8183E" w:rsidP="001C4DE2" w:rsidRDefault="00A72D6F" w14:paraId="0C158F0B" w14:textId="08239557">
      <w:pPr>
        <w:pStyle w:val="Normalutanindragellerluft"/>
        <w:spacing w:before="150"/>
      </w:pPr>
      <w:r w:rsidRPr="006B7451">
        <w:t xml:space="preserve">Den amerikanska ekonomin har haft en särskilt stabil återhämtning och förväntas gå fortsatt starkt. </w:t>
      </w:r>
      <w:r w:rsidRPr="006B7451" w:rsidR="00D8183E">
        <w:t>Mellan mars och april 2020 ökade a</w:t>
      </w:r>
      <w:r w:rsidRPr="006B7451">
        <w:t xml:space="preserve">rbetslösheten </w:t>
      </w:r>
      <w:r w:rsidRPr="006B7451" w:rsidR="00D8183E">
        <w:t>med 10 procentenheter</w:t>
      </w:r>
      <w:r w:rsidRPr="006B7451">
        <w:t>, motsvarar</w:t>
      </w:r>
      <w:r w:rsidRPr="006B7451" w:rsidR="00D8183E">
        <w:t>ande</w:t>
      </w:r>
      <w:r w:rsidRPr="006B7451">
        <w:t xml:space="preserve"> cirka 2 miljoner människor.</w:t>
      </w:r>
      <w:r w:rsidRPr="006B7451" w:rsidR="00D8183E">
        <w:t xml:space="preserve"> Därefter har den minskat kontinuerligt och under augusti 2021</w:t>
      </w:r>
      <w:r w:rsidR="00B4779C">
        <w:t xml:space="preserve"> </w:t>
      </w:r>
      <w:r w:rsidRPr="006B7451" w:rsidR="00B4779C">
        <w:t>uppgick</w:t>
      </w:r>
      <w:r w:rsidR="00B4779C">
        <w:t xml:space="preserve"> den</w:t>
      </w:r>
      <w:r w:rsidRPr="006B7451" w:rsidR="00D8183E">
        <w:t xml:space="preserve"> till 5,2 procent. Hushållen har fått breda stimulanser</w:t>
      </w:r>
      <w:r w:rsidR="00D63AB9">
        <w:t>,</w:t>
      </w:r>
      <w:r w:rsidRPr="006B7451" w:rsidR="00D8183E">
        <w:t xml:space="preserve"> vilket har ökat konsumtionen och företagen har ökat investeringarna. Tillväxten kan</w:t>
      </w:r>
      <w:r w:rsidRPr="006B7451" w:rsidR="009F2F1B">
        <w:t xml:space="preserve"> dock</w:t>
      </w:r>
      <w:r w:rsidRPr="006B7451" w:rsidR="00D8183E">
        <w:t xml:space="preserve"> dämpas något av utbudsbrist</w:t>
      </w:r>
      <w:r w:rsidRPr="006B7451" w:rsidR="002760B2">
        <w:t>en</w:t>
      </w:r>
      <w:r w:rsidRPr="006B7451" w:rsidR="00D8183E">
        <w:t xml:space="preserve"> på varumarknaden och en obalans på arbets</w:t>
      </w:r>
      <w:r w:rsidR="00610552">
        <w:softHyphen/>
      </w:r>
      <w:r w:rsidRPr="006B7451" w:rsidR="00D8183E">
        <w:t>marknaden mellan utbud och efterfrågan.</w:t>
      </w:r>
    </w:p>
    <w:p w:rsidRPr="006B7451" w:rsidR="00915DA7" w:rsidP="00915DA7" w:rsidRDefault="00915DA7" w14:paraId="321D4415" w14:textId="77777777">
      <w:r w:rsidRPr="006B7451">
        <w:t>Under sommaren har USA haft ett högt inflationstryck och mycket talar för att inflationen i närtid kommer att vara fortsatt hög till följd av fortsatta stimulansåtgärder som driver upp efterfrågan samtidigt som utbudet är lägre än vid normalläget. Detta kan leda till att åtstramningsåtgärder behöver ske tidigare än väntat.</w:t>
      </w:r>
    </w:p>
    <w:p w:rsidRPr="006B7451" w:rsidR="00F87813" w:rsidP="00010CF7" w:rsidRDefault="00010CF7" w14:paraId="27C99E1D" w14:textId="79BD1AC2">
      <w:r w:rsidRPr="006B7451">
        <w:lastRenderedPageBreak/>
        <w:t>Även Asien fortsätter att gå starkt</w:t>
      </w:r>
      <w:r w:rsidRPr="006B7451" w:rsidR="00C048F3">
        <w:t>.</w:t>
      </w:r>
      <w:r w:rsidRPr="006B7451">
        <w:t xml:space="preserve"> Kina beräknas ha en BNP-tillväxt på 8,</w:t>
      </w:r>
      <w:r w:rsidRPr="006B7451" w:rsidR="00D31B91">
        <w:t>5</w:t>
      </w:r>
      <w:r w:rsidRPr="006B7451">
        <w:t xml:space="preserve"> procent och Indien en BNP-tillväxt på 9,5 procent. Att notera är att Kinas prognosticerande tillväxtökning 2021 är en av världens kraftigaste, vilket innebär att tillväxten är tillbaka </w:t>
      </w:r>
      <w:r w:rsidRPr="006B7451" w:rsidR="00D86FE7">
        <w:t xml:space="preserve">på samma nivåer </w:t>
      </w:r>
      <w:r w:rsidRPr="006B7451">
        <w:t>som innan pandemin.</w:t>
      </w:r>
      <w:r w:rsidRPr="006B7451" w:rsidR="00C048F3">
        <w:t xml:space="preserve"> 2020 var tillväxten i Kina 2,3 procent.</w:t>
      </w:r>
    </w:p>
    <w:p w:rsidRPr="006B7451" w:rsidR="00010CF7" w:rsidP="00010CF7" w:rsidRDefault="00010CF7" w14:paraId="7CC3991F" w14:textId="2FB71D2F">
      <w:r w:rsidRPr="006B7451">
        <w:t>Det finns dock tecken som visar på en avmattning. Inköpschefsindex för till</w:t>
      </w:r>
      <w:r w:rsidR="00610552">
        <w:softHyphen/>
      </w:r>
      <w:r w:rsidRPr="006B7451">
        <w:t>verkningsindustrin har sjunkit och antalet virusutbrott har ökat, med restriktioner och minskad ekonomisk aktivitet som följd. Det finns även ett antal risker som inte är pandemirelaterade, bland annat relationerna mellan EU och USA, störningar i leveranskedjor och strukturella utmaningar.</w:t>
      </w:r>
    </w:p>
    <w:p w:rsidRPr="006B7451" w:rsidR="00C01A67" w:rsidP="00C01A67" w:rsidRDefault="00DC1435" w14:paraId="76D62B40" w14:textId="33F0C5B7">
      <w:r w:rsidRPr="006B7451">
        <w:t xml:space="preserve">För </w:t>
      </w:r>
      <w:r w:rsidRPr="006B7451" w:rsidR="00C01A67">
        <w:t>eurozonen</w:t>
      </w:r>
      <w:r w:rsidRPr="006B7451">
        <w:t xml:space="preserve"> har återhämtningen släpat efter omvärlden</w:t>
      </w:r>
      <w:r w:rsidRPr="006B7451" w:rsidR="00C01A67">
        <w:t>. Vaccineringstakten var initialt lägre än i USA och återinförda restriktioner i början av året bidr</w:t>
      </w:r>
      <w:r w:rsidRPr="006B7451" w:rsidR="001F3D18">
        <w:t>o</w:t>
      </w:r>
      <w:r w:rsidRPr="006B7451" w:rsidR="00C01A67">
        <w:t>g till en lägre ekonomisk aktivitet. Under det andra kvartalet, med en ökad vaccinationstakt och lättade restriktioner, har dock tillväxten tagit fart. De höjda prognoserna beror främst på en snabbare återhämtning i Spanien och Italien</w:t>
      </w:r>
      <w:r w:rsidRPr="006B7451" w:rsidR="004C1107">
        <w:t>.</w:t>
      </w:r>
    </w:p>
    <w:p w:rsidRPr="006B7451" w:rsidR="00C01A67" w:rsidP="005D6A4A" w:rsidRDefault="0013146B" w14:paraId="11463329" w14:textId="5D2350AA">
      <w:r w:rsidRPr="006B7451">
        <w:t>EU:s arbetslöshet ökade f</w:t>
      </w:r>
      <w:r w:rsidR="00D668F0">
        <w:t>ör f</w:t>
      </w:r>
      <w:r w:rsidRPr="006B7451">
        <w:t>örsta gången på sju år när pandemin utbröt</w:t>
      </w:r>
      <w:r w:rsidRPr="006B7451" w:rsidR="001F3D18">
        <w:t>.</w:t>
      </w:r>
      <w:r w:rsidRPr="006B7451" w:rsidR="00C01A67">
        <w:t xml:space="preserve"> </w:t>
      </w:r>
      <w:r w:rsidRPr="006B7451" w:rsidR="001F3D18">
        <w:t>T</w:t>
      </w:r>
      <w:r w:rsidRPr="006B7451" w:rsidR="00C01A67">
        <w:t xml:space="preserve">rots en stark återhämtning är arbetslösheten emellertid inte tillbaka på </w:t>
      </w:r>
      <w:r w:rsidR="00EB3224">
        <w:t xml:space="preserve">de </w:t>
      </w:r>
      <w:r w:rsidRPr="006B7451" w:rsidR="00C01A67">
        <w:t>nivåer</w:t>
      </w:r>
      <w:r w:rsidR="00EB3224">
        <w:t xml:space="preserve"> som var</w:t>
      </w:r>
      <w:r w:rsidRPr="006B7451" w:rsidR="00C01A67">
        <w:t xml:space="preserve"> före pandemin</w:t>
      </w:r>
      <w:r w:rsidRPr="006B7451" w:rsidR="004C1107">
        <w:t>, även om skillnaderna inom EU är markanta.</w:t>
      </w:r>
    </w:p>
    <w:p w:rsidRPr="001C4DE2" w:rsidR="004C1107" w:rsidP="00671B3A" w:rsidRDefault="004C1107" w14:paraId="4D255794" w14:textId="2C59981A">
      <w:pPr>
        <w:pStyle w:val="Tabellrubrik"/>
        <w:keepNext/>
      </w:pPr>
      <w:r w:rsidRPr="001C4DE2">
        <w:t xml:space="preserve">Figur </w:t>
      </w:r>
      <w:r w:rsidR="001C4DE2">
        <w:t>1</w:t>
      </w:r>
      <w:r w:rsidRPr="001C4DE2">
        <w:t xml:space="preserve"> Arbetslöshet, juli 2021</w:t>
      </w:r>
    </w:p>
    <w:p w:rsidRPr="006B7451" w:rsidR="004C1107" w:rsidP="0006666B" w:rsidRDefault="004C1107" w14:paraId="2C9D9EA3" w14:textId="77777777">
      <w:pPr>
        <w:ind w:firstLine="0"/>
      </w:pPr>
      <w:r w:rsidRPr="006B7451">
        <w:rPr>
          <w:noProof/>
          <w14:numSpacing w14:val="default"/>
        </w:rPr>
        <w:drawing>
          <wp:inline distT="0" distB="0" distL="0" distR="0" wp14:anchorId="1EF5A575" wp14:editId="5EFFE1B9">
            <wp:extent cx="5399405" cy="4457700"/>
            <wp:effectExtent l="0" t="0" r="0" b="0"/>
            <wp:docPr id="20" name="Diagram 20" descr="">
              <a:extLst xmlns:a="http://schemas.openxmlformats.org/drawingml/2006/main">
                <a:ext uri="{FF2B5EF4-FFF2-40B4-BE49-F238E27FC236}">
                  <a16:creationId xmlns:a16="http://schemas.microsoft.com/office/drawing/2014/main" id="{F96739B3-6851-4E00-B5C7-91B535DD8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95548D" w:rsidR="004C1107" w:rsidP="001C4DE2" w:rsidRDefault="004C1107" w14:paraId="35DB8CD6" w14:textId="3D401C55">
      <w:pPr>
        <w:pStyle w:val="Klla"/>
      </w:pPr>
      <w:r w:rsidRPr="0095548D">
        <w:t>Källa: Eurostat</w:t>
      </w:r>
      <w:r w:rsidR="00D86E51">
        <w:t>.</w:t>
      </w:r>
    </w:p>
    <w:p w:rsidRPr="001C4DE2" w:rsidR="002E6FB3" w:rsidP="00671B3A" w:rsidRDefault="002E6FB3" w14:paraId="6E182959" w14:textId="4A54317F">
      <w:pPr>
        <w:pStyle w:val="Tabellrubrik"/>
        <w:keepNext/>
        <w:spacing w:before="240"/>
      </w:pPr>
      <w:r w:rsidRPr="001C4DE2">
        <w:lastRenderedPageBreak/>
        <w:t xml:space="preserve">Figur </w:t>
      </w:r>
      <w:r w:rsidR="001C4DE2">
        <w:t>2</w:t>
      </w:r>
      <w:r w:rsidRPr="001C4DE2">
        <w:t xml:space="preserve"> Arbetslöshetens utveckling 2014–2021</w:t>
      </w:r>
    </w:p>
    <w:p w:rsidRPr="006B7451" w:rsidR="00694A4E" w:rsidP="00CA27A4" w:rsidRDefault="005F1E1F" w14:paraId="4DA99BC4" w14:textId="5431BF92">
      <w:pPr>
        <w:ind w:firstLine="0"/>
      </w:pPr>
      <w:r w:rsidRPr="006B7451">
        <w:rPr>
          <w:noProof/>
          <w14:numSpacing w14:val="default"/>
        </w:rPr>
        <w:drawing>
          <wp:inline distT="0" distB="0" distL="0" distR="0" wp14:anchorId="138F2AFE" wp14:editId="58CA661B">
            <wp:extent cx="5399405" cy="2247900"/>
            <wp:effectExtent l="0" t="0" r="0" b="0"/>
            <wp:docPr id="11" name="Diagram 11" descr="">
              <a:extLst xmlns:a="http://schemas.openxmlformats.org/drawingml/2006/main">
                <a:ext uri="{FF2B5EF4-FFF2-40B4-BE49-F238E27FC236}">
                  <a16:creationId xmlns:a16="http://schemas.microsoft.com/office/drawing/2014/main" id="{BAE71FE6-AB13-4238-9C04-C0D1CCEE4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1C4DE2" w:rsidR="00694A4E" w:rsidP="001C4DE2" w:rsidRDefault="00694A4E" w14:paraId="725F4CAE" w14:textId="0C85AB51">
      <w:pPr>
        <w:pStyle w:val="Klla"/>
      </w:pPr>
      <w:r w:rsidRPr="001C4DE2">
        <w:t>Källa: Eurostat och Arbetsförmedlingen.</w:t>
      </w:r>
    </w:p>
    <w:p w:rsidRPr="006B7451" w:rsidR="00D27185" w:rsidP="00ED5D60" w:rsidRDefault="00D27185" w14:paraId="1E96D0F1" w14:textId="77777777">
      <w:pPr>
        <w:pStyle w:val="Rubrik2numrerat"/>
      </w:pPr>
      <w:bookmarkStart w:name="_Toc121752523" w:id="12"/>
      <w:r w:rsidRPr="006B7451">
        <w:t>Konjunkturläget i Sverige</w:t>
      </w:r>
      <w:bookmarkEnd w:id="12"/>
    </w:p>
    <w:p w:rsidRPr="006B7451" w:rsidR="001B030F" w:rsidP="001C4DE2" w:rsidRDefault="001B030F" w14:paraId="364E89DE" w14:textId="123823E6">
      <w:pPr>
        <w:pStyle w:val="Normalutanindragellerluft"/>
      </w:pPr>
      <w:r w:rsidRPr="006B7451">
        <w:t xml:space="preserve">Utsikterna för svensk ekonomi ser goda ut. Prognoserna har reviderats upp jämfört med våren till följd av en ökad återhämtning där tjänstesektorn står ut särskilt. Sveriges BNP föll inledningsvis mycket kraftigt när </w:t>
      </w:r>
      <w:r w:rsidRPr="006B7451" w:rsidR="00DB2BE2">
        <w:t>smittspridningen ökade</w:t>
      </w:r>
      <w:r w:rsidRPr="006B7451" w:rsidR="001F3D18">
        <w:t>.</w:t>
      </w:r>
      <w:r w:rsidRPr="006B7451">
        <w:t xml:space="preserve"> </w:t>
      </w:r>
      <w:r w:rsidRPr="006B7451" w:rsidR="001F3D18">
        <w:t>F</w:t>
      </w:r>
      <w:r w:rsidRPr="006B7451">
        <w:t>allet</w:t>
      </w:r>
      <w:r w:rsidRPr="006B7451" w:rsidR="00DB2BE2">
        <w:t xml:space="preserve"> i ekonomisk aktivitet</w:t>
      </w:r>
      <w:r w:rsidRPr="006B7451">
        <w:t xml:space="preserve"> var det kraftigaste som uppmät</w:t>
      </w:r>
      <w:r w:rsidR="00BC6BE8">
        <w:t>t</w:t>
      </w:r>
      <w:r w:rsidRPr="006B7451">
        <w:t xml:space="preserve">s någonsin i Sverige. Under andra halvan av 2020 ökade aktiviteten till följd av en starkare export, hushållens ökade konsumtion och en ökning i investeringar </w:t>
      </w:r>
      <w:r w:rsidRPr="006B7451" w:rsidR="001F3D18">
        <w:t>(</w:t>
      </w:r>
      <w:r w:rsidRPr="006B7451">
        <w:t>framförallt i maskiner och inventarier</w:t>
      </w:r>
      <w:r w:rsidRPr="006B7451" w:rsidR="001F3D18">
        <w:t>)</w:t>
      </w:r>
      <w:r w:rsidRPr="006B7451" w:rsidR="00DB2BE2">
        <w:t>,</w:t>
      </w:r>
      <w:r w:rsidRPr="006B7451">
        <w:t xml:space="preserve"> vilket bidrog till </w:t>
      </w:r>
      <w:r w:rsidR="002967B5">
        <w:t xml:space="preserve">en </w:t>
      </w:r>
      <w:r w:rsidRPr="006B7451">
        <w:t xml:space="preserve">kraftigt ökad BNP. Totalt föll Sveriges BNP med </w:t>
      </w:r>
      <w:r w:rsidR="002967B5">
        <w:t>–</w:t>
      </w:r>
      <w:r w:rsidRPr="006B7451">
        <w:t xml:space="preserve">2,8 procent under 2020. För 2021 förväntas tillväxten uppgå till 4,7 procent. </w:t>
      </w:r>
    </w:p>
    <w:p w:rsidRPr="001C4DE2" w:rsidR="000B1F20" w:rsidP="00671B3A" w:rsidRDefault="000B1F20" w14:paraId="214834DD" w14:textId="15ED3F34">
      <w:pPr>
        <w:pStyle w:val="Tabellrubrik"/>
        <w:keepNext/>
      </w:pPr>
      <w:r w:rsidRPr="001C4DE2">
        <w:t xml:space="preserve">Figur </w:t>
      </w:r>
      <w:r w:rsidR="001C4DE2">
        <w:t>3</w:t>
      </w:r>
      <w:r w:rsidRPr="001C4DE2">
        <w:t xml:space="preserve"> Tillväxt BNP, 2020–2024, andel i procent</w:t>
      </w:r>
    </w:p>
    <w:p w:rsidRPr="006B7451" w:rsidR="000B1F20" w:rsidP="000B1F20" w:rsidRDefault="000B1F20" w14:paraId="6A20CC3D" w14:textId="77777777">
      <w:pPr>
        <w:ind w:firstLine="0"/>
      </w:pPr>
      <w:r w:rsidRPr="006B7451">
        <w:rPr>
          <w:noProof/>
          <w14:numSpacing w14:val="default"/>
        </w:rPr>
        <w:drawing>
          <wp:inline distT="0" distB="0" distL="0" distR="0" wp14:anchorId="776E8D49" wp14:editId="79705960">
            <wp:extent cx="5400040" cy="2171065"/>
            <wp:effectExtent l="0" t="0" r="0" b="635"/>
            <wp:docPr id="34" name="Diagram 34" descr="">
              <a:extLst xmlns:a="http://schemas.openxmlformats.org/drawingml/2006/main">
                <a:ext uri="{FF2B5EF4-FFF2-40B4-BE49-F238E27FC236}">
                  <a16:creationId xmlns:a16="http://schemas.microsoft.com/office/drawing/2014/main" id="{2C4F02A2-D166-4E7D-9D49-AB28263675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1C4DE2" w:rsidR="000B1F20" w:rsidP="001C4DE2" w:rsidRDefault="000B1F20" w14:paraId="07483038" w14:textId="77777777">
      <w:pPr>
        <w:pStyle w:val="Klla"/>
      </w:pPr>
      <w:r w:rsidRPr="001C4DE2">
        <w:t>Källa: Finansdepartementet.</w:t>
      </w:r>
    </w:p>
    <w:p w:rsidRPr="006B7451" w:rsidR="00600FBB" w:rsidP="001C4DE2" w:rsidRDefault="00377173" w14:paraId="46A0DD06" w14:textId="6896F5EE">
      <w:pPr>
        <w:pStyle w:val="Normalutanindragellerluft"/>
        <w:spacing w:before="150"/>
      </w:pPr>
      <w:r w:rsidRPr="006B7451">
        <w:t>Hushållens konsumtion</w:t>
      </w:r>
      <w:r w:rsidRPr="006B7451" w:rsidR="005067B7">
        <w:t xml:space="preserve"> har</w:t>
      </w:r>
      <w:r w:rsidRPr="006B7451">
        <w:t xml:space="preserve"> under sommaren </w:t>
      </w:r>
      <w:r w:rsidRPr="006B7451" w:rsidR="005067B7">
        <w:t>varit</w:t>
      </w:r>
      <w:r w:rsidRPr="006B7451">
        <w:t xml:space="preserve"> högre än </w:t>
      </w:r>
      <w:r w:rsidRPr="006B7451" w:rsidR="001F3D18">
        <w:t xml:space="preserve">under </w:t>
      </w:r>
      <w:r w:rsidRPr="006B7451">
        <w:t xml:space="preserve">föregående år och </w:t>
      </w:r>
      <w:r w:rsidR="00C70C66">
        <w:t xml:space="preserve">den </w:t>
      </w:r>
      <w:r w:rsidRPr="006B7451">
        <w:t>närmar sig nivåerna som rådde före pandemin</w:t>
      </w:r>
      <w:r w:rsidRPr="006B7451" w:rsidR="001F3D18">
        <w:t>. Konsumtionen</w:t>
      </w:r>
      <w:r w:rsidRPr="006B7451" w:rsidR="005067B7">
        <w:t xml:space="preserve"> </w:t>
      </w:r>
      <w:r w:rsidRPr="006B7451">
        <w:t>väntas öka ytterligare under hösten i takt med lättade restriktioner.</w:t>
      </w:r>
    </w:p>
    <w:p w:rsidRPr="006B7451" w:rsidR="00377173" w:rsidP="00600FBB" w:rsidRDefault="00377173" w14:paraId="244C1BE7" w14:textId="4CB945E1">
      <w:r w:rsidRPr="006B7451">
        <w:t xml:space="preserve">Hushållen är mer </w:t>
      </w:r>
      <w:r w:rsidRPr="006B7451" w:rsidR="00BE6662">
        <w:t>optimistiska om framtiden</w:t>
      </w:r>
      <w:r w:rsidR="00C70C66">
        <w:t>,</w:t>
      </w:r>
      <w:r w:rsidRPr="006B7451" w:rsidR="00BE6662">
        <w:t xml:space="preserve"> vilket delvis kan förklaras av </w:t>
      </w:r>
      <w:r w:rsidRPr="006B7451" w:rsidR="001F3D18">
        <w:t xml:space="preserve">bland annat </w:t>
      </w:r>
      <w:r w:rsidRPr="006B7451" w:rsidR="00BE6662">
        <w:t>korttidspermitteringar och stärkt a-kassa men även av en expansiv penningpolitik som inneburit låga räntor samt stigande bostadspriser och börsmarknad.</w:t>
      </w:r>
    </w:p>
    <w:p w:rsidRPr="001C4DE2" w:rsidR="00B6669B" w:rsidP="001C4DE2" w:rsidRDefault="00B6669B" w14:paraId="42E592E4" w14:textId="45AA8287">
      <w:pPr>
        <w:pStyle w:val="Tabellrubrik"/>
        <w:keepNext/>
      </w:pPr>
      <w:r w:rsidRPr="001C4DE2">
        <w:lastRenderedPageBreak/>
        <w:t xml:space="preserve">Figur </w:t>
      </w:r>
      <w:r w:rsidR="001C4DE2">
        <w:t>4</w:t>
      </w:r>
      <w:r w:rsidRPr="001C4DE2">
        <w:t xml:space="preserve"> Konfidensindikator, hushåll</w:t>
      </w:r>
    </w:p>
    <w:p w:rsidRPr="006B7451" w:rsidR="00B6669B" w:rsidP="00B6669B" w:rsidRDefault="00B6669B" w14:paraId="7A2D9424" w14:textId="77777777">
      <w:pPr>
        <w:ind w:firstLine="0"/>
      </w:pPr>
      <w:r w:rsidRPr="006B7451">
        <w:rPr>
          <w:noProof/>
          <w14:numSpacing w14:val="default"/>
        </w:rPr>
        <w:drawing>
          <wp:inline distT="0" distB="0" distL="0" distR="0" wp14:anchorId="2F91DAA5" wp14:editId="6621AABD">
            <wp:extent cx="5400000" cy="3277235"/>
            <wp:effectExtent l="0" t="0" r="0" b="0"/>
            <wp:docPr id="33" name="Diagram 33" descr="">
              <a:extLst xmlns:a="http://schemas.openxmlformats.org/drawingml/2006/main">
                <a:ext uri="{FF2B5EF4-FFF2-40B4-BE49-F238E27FC236}">
                  <a16:creationId xmlns:a16="http://schemas.microsoft.com/office/drawing/2014/main" id="{6D3A8C90-8AC1-41DA-B754-C4E540B5A2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63514E" w:rsidR="002139F6" w:rsidP="0063514E" w:rsidRDefault="00B6669B" w14:paraId="7B7CAFC3" w14:textId="198360FC">
      <w:pPr>
        <w:pStyle w:val="Klla"/>
      </w:pPr>
      <w:r w:rsidRPr="0063514E">
        <w:t>Källa: Konjunkturinstitutet.</w:t>
      </w:r>
    </w:p>
    <w:p w:rsidRPr="006B7451" w:rsidR="00297885" w:rsidP="0063514E" w:rsidRDefault="005067B7" w14:paraId="796FD70E" w14:textId="77777777">
      <w:pPr>
        <w:pStyle w:val="Normalutanindragellerluft"/>
        <w:spacing w:before="150"/>
      </w:pPr>
      <w:r w:rsidRPr="006B7451">
        <w:t>Även företagen är</w:t>
      </w:r>
      <w:r w:rsidRPr="006B7451" w:rsidR="00297885">
        <w:t xml:space="preserve"> fortsatt</w:t>
      </w:r>
      <w:r w:rsidRPr="006B7451">
        <w:t xml:space="preserve"> optimistiska</w:t>
      </w:r>
      <w:r w:rsidRPr="006B7451" w:rsidR="00297885">
        <w:t xml:space="preserve">. Konfidensindikatorn för näringslivet minskade förvisso något jämfört med junimätningen men är alltjämt på historiskt höga nivåer. Inom tillverkningsindustrin </w:t>
      </w:r>
      <w:r w:rsidRPr="006B7451">
        <w:t>förväntar sig</w:t>
      </w:r>
      <w:r w:rsidRPr="006B7451" w:rsidR="00297885">
        <w:t xml:space="preserve"> fler företag</w:t>
      </w:r>
      <w:r w:rsidRPr="006B7451">
        <w:t xml:space="preserve"> en ökning av produktionen de kommande tre månaderna jämfört med tidigare mätningar.</w:t>
      </w:r>
      <w:r w:rsidRPr="006B7451" w:rsidR="00297885">
        <w:t xml:space="preserve"> På andra sidan spektrumet återfinns detaljhandeln och tjänstesektorn vars optimism har minskat något, särskilt gällande de senaste månadernas försäljningsutveckling och efterfrågeutveckling.</w:t>
      </w:r>
    </w:p>
    <w:p w:rsidRPr="006B7451" w:rsidR="00297885" w:rsidP="0063514E" w:rsidRDefault="00297885" w14:paraId="529A20CE" w14:textId="4B737807">
      <w:r w:rsidRPr="006B7451">
        <w:t xml:space="preserve">Anställningsplanerna har överlag blivit mer optimistiska. </w:t>
      </w:r>
      <w:r w:rsidRPr="006B7451" w:rsidR="005067B7">
        <w:t xml:space="preserve">Företagen rapporterar att antalet anställda har ökat de senaste tre månaderna och i ungefär samma omfattning som i </w:t>
      </w:r>
      <w:r w:rsidRPr="006B7451">
        <w:t>föregående undersökning.</w:t>
      </w:r>
    </w:p>
    <w:p w:rsidRPr="0063514E" w:rsidR="0006666B" w:rsidP="00ED72D5" w:rsidRDefault="0006666B" w14:paraId="343CBEF1" w14:textId="69F6A150">
      <w:pPr>
        <w:pStyle w:val="Tabellrubrik"/>
        <w:keepNext/>
      </w:pPr>
      <w:r w:rsidRPr="0063514E">
        <w:t xml:space="preserve">Tabell </w:t>
      </w:r>
      <w:r w:rsidR="0063514E">
        <w:t>2</w:t>
      </w:r>
      <w:r w:rsidRPr="0063514E">
        <w:t xml:space="preserve"> Indikatorer i konjunkturbarometern</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4252"/>
        <w:gridCol w:w="4253"/>
      </w:tblGrid>
      <w:tr w:rsidRPr="006B7451" w:rsidR="0006666B" w:rsidTr="00ED72D5" w14:paraId="457612F6" w14:textId="77777777">
        <w:tc>
          <w:tcPr>
            <w:tcW w:w="4247" w:type="dxa"/>
            <w:tcBorders>
              <w:top w:val="single" w:color="auto" w:sz="4" w:space="0"/>
              <w:bottom w:val="single" w:color="auto" w:sz="4" w:space="0"/>
            </w:tcBorders>
          </w:tcPr>
          <w:p w:rsidRPr="006B7451" w:rsidR="0006666B" w:rsidP="008C2447" w:rsidRDefault="0006666B" w14:paraId="10E86738" w14:textId="77777777">
            <w:pPr>
              <w:spacing w:before="80" w:line="240" w:lineRule="exact"/>
              <w:ind w:firstLine="0"/>
              <w:rPr>
                <w:sz w:val="20"/>
                <w:szCs w:val="20"/>
              </w:rPr>
            </w:pPr>
          </w:p>
        </w:tc>
        <w:tc>
          <w:tcPr>
            <w:tcW w:w="4247" w:type="dxa"/>
            <w:tcBorders>
              <w:top w:val="single" w:color="auto" w:sz="4" w:space="0"/>
              <w:bottom w:val="single" w:color="auto" w:sz="4" w:space="0"/>
            </w:tcBorders>
          </w:tcPr>
          <w:p w:rsidRPr="006B7451" w:rsidR="0006666B" w:rsidP="008C2447" w:rsidRDefault="0006666B" w14:paraId="3ECC7A21" w14:textId="28EE5C3F">
            <w:pPr>
              <w:spacing w:before="80" w:line="240" w:lineRule="exact"/>
              <w:ind w:firstLine="0"/>
              <w:jc w:val="right"/>
              <w:rPr>
                <w:sz w:val="20"/>
                <w:szCs w:val="20"/>
              </w:rPr>
            </w:pPr>
            <w:r w:rsidRPr="006B7451">
              <w:rPr>
                <w:sz w:val="20"/>
                <w:szCs w:val="20"/>
              </w:rPr>
              <w:t>Juni 2021</w:t>
            </w:r>
          </w:p>
        </w:tc>
      </w:tr>
      <w:tr w:rsidRPr="006B7451" w:rsidR="0006666B" w:rsidTr="00ED72D5" w14:paraId="204C0358" w14:textId="77777777">
        <w:tc>
          <w:tcPr>
            <w:tcW w:w="4247" w:type="dxa"/>
            <w:tcBorders>
              <w:top w:val="single" w:color="auto" w:sz="4" w:space="0"/>
            </w:tcBorders>
          </w:tcPr>
          <w:p w:rsidRPr="006B7451" w:rsidR="0006666B" w:rsidP="008C2447" w:rsidRDefault="0006666B" w14:paraId="5DC25270" w14:textId="162B619B">
            <w:pPr>
              <w:spacing w:before="80" w:line="240" w:lineRule="exact"/>
              <w:ind w:firstLine="0"/>
              <w:rPr>
                <w:b/>
                <w:sz w:val="20"/>
                <w:szCs w:val="20"/>
              </w:rPr>
            </w:pPr>
            <w:r w:rsidRPr="006B7451">
              <w:rPr>
                <w:b/>
                <w:sz w:val="20"/>
                <w:szCs w:val="20"/>
              </w:rPr>
              <w:t>Barometerindikatorn</w:t>
            </w:r>
          </w:p>
        </w:tc>
        <w:tc>
          <w:tcPr>
            <w:tcW w:w="4247" w:type="dxa"/>
            <w:tcBorders>
              <w:top w:val="single" w:color="auto" w:sz="4" w:space="0"/>
            </w:tcBorders>
          </w:tcPr>
          <w:p w:rsidRPr="006B7451" w:rsidR="0006666B" w:rsidP="008C2447" w:rsidRDefault="0006666B" w14:paraId="02E1822F" w14:textId="42B67684">
            <w:pPr>
              <w:spacing w:before="80" w:line="240" w:lineRule="exact"/>
              <w:ind w:firstLine="0"/>
              <w:jc w:val="right"/>
              <w:rPr>
                <w:sz w:val="20"/>
                <w:szCs w:val="20"/>
              </w:rPr>
            </w:pPr>
            <w:r w:rsidRPr="006B7451">
              <w:rPr>
                <w:sz w:val="20"/>
                <w:szCs w:val="20"/>
              </w:rPr>
              <w:t>119,2</w:t>
            </w:r>
          </w:p>
        </w:tc>
      </w:tr>
      <w:tr w:rsidRPr="006B7451" w:rsidR="0006666B" w:rsidTr="00ED72D5" w14:paraId="286DD3DA" w14:textId="77777777">
        <w:tc>
          <w:tcPr>
            <w:tcW w:w="4247" w:type="dxa"/>
          </w:tcPr>
          <w:p w:rsidRPr="006B7451" w:rsidR="0006666B" w:rsidP="008C2447" w:rsidRDefault="0006666B" w14:paraId="1F28F847" w14:textId="5B109554">
            <w:pPr>
              <w:spacing w:before="80" w:line="240" w:lineRule="exact"/>
              <w:ind w:firstLine="0"/>
              <w:rPr>
                <w:b/>
                <w:sz w:val="20"/>
                <w:szCs w:val="20"/>
              </w:rPr>
            </w:pPr>
            <w:r w:rsidRPr="006B7451">
              <w:rPr>
                <w:b/>
                <w:sz w:val="20"/>
                <w:szCs w:val="20"/>
              </w:rPr>
              <w:t>Konfidensindikatorer</w:t>
            </w:r>
          </w:p>
        </w:tc>
        <w:tc>
          <w:tcPr>
            <w:tcW w:w="4247" w:type="dxa"/>
          </w:tcPr>
          <w:p w:rsidRPr="006B7451" w:rsidR="0006666B" w:rsidP="008C2447" w:rsidRDefault="0006666B" w14:paraId="01C973D8" w14:textId="77777777">
            <w:pPr>
              <w:spacing w:before="80" w:line="240" w:lineRule="exact"/>
              <w:ind w:firstLine="0"/>
              <w:jc w:val="right"/>
              <w:rPr>
                <w:sz w:val="20"/>
                <w:szCs w:val="20"/>
              </w:rPr>
            </w:pPr>
          </w:p>
        </w:tc>
      </w:tr>
      <w:tr w:rsidRPr="006B7451" w:rsidR="0006666B" w:rsidTr="00ED72D5" w14:paraId="3C72B2D6" w14:textId="77777777">
        <w:tc>
          <w:tcPr>
            <w:tcW w:w="4247" w:type="dxa"/>
          </w:tcPr>
          <w:p w:rsidRPr="006B7451" w:rsidR="0006666B" w:rsidP="008C2447" w:rsidRDefault="0006666B" w14:paraId="18651663" w14:textId="4DC90E9C">
            <w:pPr>
              <w:spacing w:before="80" w:line="240" w:lineRule="exact"/>
              <w:ind w:firstLine="0"/>
              <w:rPr>
                <w:sz w:val="20"/>
                <w:szCs w:val="20"/>
              </w:rPr>
            </w:pPr>
            <w:r w:rsidRPr="006B7451">
              <w:rPr>
                <w:sz w:val="20"/>
                <w:szCs w:val="20"/>
              </w:rPr>
              <w:t>Tillverkningsindustrin</w:t>
            </w:r>
          </w:p>
        </w:tc>
        <w:tc>
          <w:tcPr>
            <w:tcW w:w="4247" w:type="dxa"/>
          </w:tcPr>
          <w:p w:rsidRPr="006B7451" w:rsidR="0006666B" w:rsidP="008C2447" w:rsidRDefault="0006666B" w14:paraId="79188351" w14:textId="1CCECDA6">
            <w:pPr>
              <w:spacing w:before="80" w:line="240" w:lineRule="exact"/>
              <w:ind w:firstLine="0"/>
              <w:jc w:val="right"/>
              <w:rPr>
                <w:sz w:val="20"/>
                <w:szCs w:val="20"/>
              </w:rPr>
            </w:pPr>
            <w:r w:rsidRPr="006B7451">
              <w:rPr>
                <w:sz w:val="20"/>
                <w:szCs w:val="20"/>
              </w:rPr>
              <w:t>124,6</w:t>
            </w:r>
          </w:p>
        </w:tc>
      </w:tr>
      <w:tr w:rsidRPr="006B7451" w:rsidR="0006666B" w:rsidTr="00ED72D5" w14:paraId="1C317D8D" w14:textId="77777777">
        <w:tc>
          <w:tcPr>
            <w:tcW w:w="4247" w:type="dxa"/>
          </w:tcPr>
          <w:p w:rsidRPr="006B7451" w:rsidR="0006666B" w:rsidP="008C2447" w:rsidRDefault="0006666B" w14:paraId="174391B0" w14:textId="35975D6B">
            <w:pPr>
              <w:spacing w:before="80" w:line="240" w:lineRule="exact"/>
              <w:ind w:firstLine="0"/>
              <w:rPr>
                <w:sz w:val="20"/>
                <w:szCs w:val="20"/>
              </w:rPr>
            </w:pPr>
            <w:r w:rsidRPr="006B7451">
              <w:rPr>
                <w:sz w:val="20"/>
                <w:szCs w:val="20"/>
              </w:rPr>
              <w:t>Bygg och anläggning</w:t>
            </w:r>
          </w:p>
        </w:tc>
        <w:tc>
          <w:tcPr>
            <w:tcW w:w="4247" w:type="dxa"/>
          </w:tcPr>
          <w:p w:rsidRPr="006B7451" w:rsidR="0006666B" w:rsidP="008C2447" w:rsidRDefault="0006666B" w14:paraId="1638CD87" w14:textId="5F19A83E">
            <w:pPr>
              <w:spacing w:before="80" w:line="240" w:lineRule="exact"/>
              <w:ind w:firstLine="0"/>
              <w:jc w:val="right"/>
              <w:rPr>
                <w:sz w:val="20"/>
                <w:szCs w:val="20"/>
              </w:rPr>
            </w:pPr>
            <w:r w:rsidRPr="006B7451">
              <w:rPr>
                <w:sz w:val="20"/>
                <w:szCs w:val="20"/>
              </w:rPr>
              <w:t>109,3</w:t>
            </w:r>
          </w:p>
        </w:tc>
      </w:tr>
      <w:tr w:rsidRPr="006B7451" w:rsidR="0006666B" w:rsidTr="00ED72D5" w14:paraId="544744CF" w14:textId="77777777">
        <w:tc>
          <w:tcPr>
            <w:tcW w:w="4247" w:type="dxa"/>
          </w:tcPr>
          <w:p w:rsidRPr="006B7451" w:rsidR="0006666B" w:rsidP="008C2447" w:rsidRDefault="0006666B" w14:paraId="31AA44F8" w14:textId="3113294E">
            <w:pPr>
              <w:spacing w:before="80" w:line="240" w:lineRule="exact"/>
              <w:ind w:firstLine="0"/>
              <w:rPr>
                <w:sz w:val="20"/>
                <w:szCs w:val="20"/>
              </w:rPr>
            </w:pPr>
            <w:r w:rsidRPr="006B7451">
              <w:rPr>
                <w:sz w:val="20"/>
                <w:szCs w:val="20"/>
              </w:rPr>
              <w:t>Detaljhandel</w:t>
            </w:r>
          </w:p>
        </w:tc>
        <w:tc>
          <w:tcPr>
            <w:tcW w:w="4247" w:type="dxa"/>
          </w:tcPr>
          <w:p w:rsidRPr="006B7451" w:rsidR="0006666B" w:rsidP="008C2447" w:rsidRDefault="0006666B" w14:paraId="6C24A127" w14:textId="17634714">
            <w:pPr>
              <w:spacing w:before="80" w:line="240" w:lineRule="exact"/>
              <w:ind w:firstLine="0"/>
              <w:jc w:val="right"/>
              <w:rPr>
                <w:sz w:val="20"/>
                <w:szCs w:val="20"/>
              </w:rPr>
            </w:pPr>
            <w:r w:rsidRPr="006B7451">
              <w:rPr>
                <w:sz w:val="20"/>
                <w:szCs w:val="20"/>
              </w:rPr>
              <w:t>114,1</w:t>
            </w:r>
          </w:p>
        </w:tc>
      </w:tr>
      <w:tr w:rsidRPr="006B7451" w:rsidR="0006666B" w:rsidTr="00ED72D5" w14:paraId="0B3CB56E" w14:textId="77777777">
        <w:tc>
          <w:tcPr>
            <w:tcW w:w="4247" w:type="dxa"/>
          </w:tcPr>
          <w:p w:rsidRPr="006B7451" w:rsidR="0006666B" w:rsidP="008C2447" w:rsidRDefault="0006666B" w14:paraId="4D27ABEA" w14:textId="2E3BF8EB">
            <w:pPr>
              <w:spacing w:before="80" w:line="240" w:lineRule="exact"/>
              <w:ind w:firstLine="0"/>
              <w:rPr>
                <w:sz w:val="20"/>
                <w:szCs w:val="20"/>
              </w:rPr>
            </w:pPr>
            <w:r w:rsidRPr="006B7451">
              <w:rPr>
                <w:sz w:val="20"/>
                <w:szCs w:val="20"/>
              </w:rPr>
              <w:t>Tjänstesektorn</w:t>
            </w:r>
          </w:p>
        </w:tc>
        <w:tc>
          <w:tcPr>
            <w:tcW w:w="4247" w:type="dxa"/>
          </w:tcPr>
          <w:p w:rsidRPr="006B7451" w:rsidR="0006666B" w:rsidP="008C2447" w:rsidRDefault="0006666B" w14:paraId="05FB0D5F" w14:textId="6DBFFC35">
            <w:pPr>
              <w:spacing w:before="80" w:line="240" w:lineRule="exact"/>
              <w:ind w:firstLine="0"/>
              <w:jc w:val="right"/>
              <w:rPr>
                <w:sz w:val="20"/>
                <w:szCs w:val="20"/>
              </w:rPr>
            </w:pPr>
            <w:r w:rsidRPr="006B7451">
              <w:rPr>
                <w:sz w:val="20"/>
                <w:szCs w:val="20"/>
              </w:rPr>
              <w:t>112,4</w:t>
            </w:r>
          </w:p>
        </w:tc>
      </w:tr>
      <w:tr w:rsidRPr="006B7451" w:rsidR="0006666B" w:rsidTr="00ED72D5" w14:paraId="3A653234" w14:textId="77777777">
        <w:tc>
          <w:tcPr>
            <w:tcW w:w="4247" w:type="dxa"/>
          </w:tcPr>
          <w:p w:rsidRPr="006B7451" w:rsidR="0006666B" w:rsidP="008C2447" w:rsidRDefault="0006666B" w14:paraId="3308EE1D" w14:textId="334401A1">
            <w:pPr>
              <w:spacing w:before="80" w:line="240" w:lineRule="exact"/>
              <w:ind w:firstLine="0"/>
              <w:rPr>
                <w:sz w:val="20"/>
                <w:szCs w:val="20"/>
              </w:rPr>
            </w:pPr>
            <w:r w:rsidRPr="006B7451">
              <w:rPr>
                <w:sz w:val="20"/>
                <w:szCs w:val="20"/>
              </w:rPr>
              <w:t>Hushållen</w:t>
            </w:r>
          </w:p>
        </w:tc>
        <w:tc>
          <w:tcPr>
            <w:tcW w:w="4247" w:type="dxa"/>
          </w:tcPr>
          <w:p w:rsidRPr="006B7451" w:rsidR="0006666B" w:rsidP="008C2447" w:rsidRDefault="0006666B" w14:paraId="78A3AE5E" w14:textId="4290EBA5">
            <w:pPr>
              <w:spacing w:before="80" w:line="240" w:lineRule="exact"/>
              <w:ind w:firstLine="0"/>
              <w:jc w:val="right"/>
              <w:rPr>
                <w:sz w:val="20"/>
                <w:szCs w:val="20"/>
              </w:rPr>
            </w:pPr>
            <w:r w:rsidRPr="006B7451">
              <w:rPr>
                <w:sz w:val="20"/>
                <w:szCs w:val="20"/>
              </w:rPr>
              <w:t>108,7</w:t>
            </w:r>
          </w:p>
        </w:tc>
      </w:tr>
      <w:tr w:rsidRPr="006B7451" w:rsidR="0006666B" w:rsidTr="00ED72D5" w14:paraId="3D301FC9" w14:textId="77777777">
        <w:tc>
          <w:tcPr>
            <w:tcW w:w="4247" w:type="dxa"/>
          </w:tcPr>
          <w:p w:rsidRPr="006B7451" w:rsidR="0006666B" w:rsidP="008C2447" w:rsidRDefault="0006666B" w14:paraId="77B8097D" w14:textId="2B1DDB18">
            <w:pPr>
              <w:spacing w:before="80" w:line="240" w:lineRule="exact"/>
              <w:ind w:firstLine="0"/>
              <w:rPr>
                <w:sz w:val="20"/>
                <w:szCs w:val="20"/>
              </w:rPr>
            </w:pPr>
            <w:r w:rsidRPr="006B7451">
              <w:rPr>
                <w:sz w:val="20"/>
                <w:szCs w:val="20"/>
              </w:rPr>
              <w:t>Mikroindex hushåll</w:t>
            </w:r>
          </w:p>
        </w:tc>
        <w:tc>
          <w:tcPr>
            <w:tcW w:w="4247" w:type="dxa"/>
          </w:tcPr>
          <w:p w:rsidRPr="006B7451" w:rsidR="0006666B" w:rsidP="008C2447" w:rsidRDefault="0006666B" w14:paraId="6A50EA0F" w14:textId="0D706906">
            <w:pPr>
              <w:spacing w:before="80" w:line="240" w:lineRule="exact"/>
              <w:ind w:firstLine="0"/>
              <w:jc w:val="right"/>
              <w:rPr>
                <w:sz w:val="20"/>
                <w:szCs w:val="20"/>
              </w:rPr>
            </w:pPr>
            <w:r w:rsidRPr="006B7451">
              <w:rPr>
                <w:sz w:val="20"/>
                <w:szCs w:val="20"/>
              </w:rPr>
              <w:t>109,3</w:t>
            </w:r>
          </w:p>
        </w:tc>
      </w:tr>
      <w:tr w:rsidRPr="006B7451" w:rsidR="0006666B" w:rsidTr="00ED72D5" w14:paraId="2C9FEE77" w14:textId="77777777">
        <w:tc>
          <w:tcPr>
            <w:tcW w:w="4247" w:type="dxa"/>
            <w:tcBorders>
              <w:bottom w:val="single" w:color="auto" w:sz="4" w:space="0"/>
            </w:tcBorders>
          </w:tcPr>
          <w:p w:rsidRPr="006B7451" w:rsidR="0006666B" w:rsidP="008C2447" w:rsidRDefault="0006666B" w14:paraId="2E527F3A" w14:textId="50F4CE81">
            <w:pPr>
              <w:spacing w:before="80" w:line="240" w:lineRule="exact"/>
              <w:ind w:firstLine="0"/>
              <w:rPr>
                <w:sz w:val="20"/>
                <w:szCs w:val="20"/>
              </w:rPr>
            </w:pPr>
            <w:r w:rsidRPr="006B7451">
              <w:rPr>
                <w:sz w:val="20"/>
                <w:szCs w:val="20"/>
              </w:rPr>
              <w:t>Makroindex hushåll</w:t>
            </w:r>
          </w:p>
        </w:tc>
        <w:tc>
          <w:tcPr>
            <w:tcW w:w="4247" w:type="dxa"/>
            <w:tcBorders>
              <w:bottom w:val="single" w:color="auto" w:sz="4" w:space="0"/>
            </w:tcBorders>
          </w:tcPr>
          <w:p w:rsidRPr="006B7451" w:rsidR="0006666B" w:rsidP="008C2447" w:rsidRDefault="0006666B" w14:paraId="2DE7B1E2" w14:textId="2D1A4D0B">
            <w:pPr>
              <w:spacing w:before="80" w:line="240" w:lineRule="exact"/>
              <w:ind w:firstLine="0"/>
              <w:jc w:val="right"/>
              <w:rPr>
                <w:sz w:val="20"/>
                <w:szCs w:val="20"/>
              </w:rPr>
            </w:pPr>
            <w:r w:rsidRPr="006B7451">
              <w:rPr>
                <w:sz w:val="20"/>
                <w:szCs w:val="20"/>
              </w:rPr>
              <w:t>109,3</w:t>
            </w:r>
          </w:p>
        </w:tc>
      </w:tr>
    </w:tbl>
    <w:p w:rsidRPr="00ED72D5" w:rsidR="0006666B" w:rsidP="00ED72D5" w:rsidRDefault="0006666B" w14:paraId="2671B7AC" w14:textId="563D8F32">
      <w:pPr>
        <w:pStyle w:val="Klla"/>
      </w:pPr>
      <w:r w:rsidRPr="00ED72D5">
        <w:t>Källa: Konjunkturinstitutet.</w:t>
      </w:r>
    </w:p>
    <w:p w:rsidRPr="006B7451" w:rsidR="00D27185" w:rsidP="00F74926" w:rsidRDefault="00D27185" w14:paraId="594F7575" w14:textId="3C3E5A1D">
      <w:pPr>
        <w:pStyle w:val="Rubrik3"/>
      </w:pPr>
      <w:bookmarkStart w:name="_Toc121752524" w:id="13"/>
      <w:r w:rsidRPr="006B7451">
        <w:t>Företag</w:t>
      </w:r>
      <w:bookmarkEnd w:id="13"/>
    </w:p>
    <w:p w:rsidRPr="006B7451" w:rsidR="00386C5E" w:rsidP="00B77BA2" w:rsidRDefault="00DB2BE2" w14:paraId="040F113F" w14:textId="7E4A177A">
      <w:pPr>
        <w:pStyle w:val="Normalutanindragellerluft"/>
        <w:rPr>
          <w:noProof/>
        </w:rPr>
      </w:pPr>
      <w:r w:rsidRPr="006B7451">
        <w:rPr>
          <w:noProof/>
        </w:rPr>
        <w:t>Trots att restriktionerna medförde minskad lönsamhet inom</w:t>
      </w:r>
      <w:r w:rsidRPr="006B7451" w:rsidR="00386C5E">
        <w:rPr>
          <w:noProof/>
        </w:rPr>
        <w:t xml:space="preserve"> flertalet</w:t>
      </w:r>
      <w:r w:rsidRPr="006B7451">
        <w:rPr>
          <w:noProof/>
        </w:rPr>
        <w:t xml:space="preserve"> personalintensiva branscher ökade inte antalet företagskonkurser</w:t>
      </w:r>
      <w:r w:rsidRPr="006B7451" w:rsidR="00386C5E">
        <w:rPr>
          <w:noProof/>
        </w:rPr>
        <w:t xml:space="preserve">, </w:t>
      </w:r>
      <w:r w:rsidRPr="006B7451" w:rsidR="001A5B64">
        <w:rPr>
          <w:noProof/>
        </w:rPr>
        <w:t xml:space="preserve">tvärtom så </w:t>
      </w:r>
      <w:r w:rsidRPr="006B7451" w:rsidR="00386C5E">
        <w:rPr>
          <w:noProof/>
        </w:rPr>
        <w:t>minskade</w:t>
      </w:r>
      <w:r w:rsidRPr="006B7451" w:rsidR="001A5B64">
        <w:rPr>
          <w:noProof/>
        </w:rPr>
        <w:t xml:space="preserve"> de</w:t>
      </w:r>
      <w:r w:rsidRPr="006B7451" w:rsidR="00386C5E">
        <w:rPr>
          <w:noProof/>
        </w:rPr>
        <w:t>. Detta</w:t>
      </w:r>
      <w:r w:rsidRPr="006B7451">
        <w:rPr>
          <w:noProof/>
        </w:rPr>
        <w:t xml:space="preserve"> till följd</w:t>
      </w:r>
      <w:r w:rsidRPr="006B7451" w:rsidR="00386C5E">
        <w:rPr>
          <w:noProof/>
        </w:rPr>
        <w:t xml:space="preserve"> av riktade </w:t>
      </w:r>
      <w:r w:rsidRPr="006B7451">
        <w:rPr>
          <w:noProof/>
        </w:rPr>
        <w:t>stödåtgärder till näringslivet. Effekten av permitteringsstödet och omställ</w:t>
      </w:r>
      <w:r w:rsidR="00BE1094">
        <w:rPr>
          <w:noProof/>
        </w:rPr>
        <w:softHyphen/>
      </w:r>
      <w:r w:rsidRPr="006B7451">
        <w:rPr>
          <w:noProof/>
        </w:rPr>
        <w:t xml:space="preserve">ningsstödet bidrog </w:t>
      </w:r>
      <w:r w:rsidRPr="006B7451" w:rsidR="00820F7F">
        <w:rPr>
          <w:noProof/>
        </w:rPr>
        <w:t xml:space="preserve">på kort sikt </w:t>
      </w:r>
      <w:r w:rsidRPr="006B7451">
        <w:rPr>
          <w:noProof/>
        </w:rPr>
        <w:t xml:space="preserve">till att företag som under normala förhållanden hade gått </w:t>
      </w:r>
      <w:r w:rsidRPr="006B7451">
        <w:rPr>
          <w:noProof/>
        </w:rPr>
        <w:lastRenderedPageBreak/>
        <w:t xml:space="preserve">i konkurs klarade sig. Under andra halvåret av 2020 </w:t>
      </w:r>
      <w:r w:rsidRPr="006B7451" w:rsidR="00386C5E">
        <w:rPr>
          <w:noProof/>
        </w:rPr>
        <w:t>ökade</w:t>
      </w:r>
      <w:r w:rsidRPr="006B7451">
        <w:rPr>
          <w:noProof/>
        </w:rPr>
        <w:t xml:space="preserve"> antalet konkurser och utfallet av antalet konkurser hamnade på samma nivå som året innan pandemin.</w:t>
      </w:r>
      <w:r w:rsidRPr="006B7451" w:rsidR="00386C5E">
        <w:rPr>
          <w:noProof/>
        </w:rPr>
        <w:t xml:space="preserve"> För att hålla nere företagskonkurserna framgent krävs det dock att stödåtgärderna fasas</w:t>
      </w:r>
      <w:r w:rsidRPr="006B7451" w:rsidR="001A5B64">
        <w:rPr>
          <w:noProof/>
        </w:rPr>
        <w:t xml:space="preserve"> ut</w:t>
      </w:r>
      <w:r w:rsidRPr="006B7451" w:rsidR="00386C5E">
        <w:rPr>
          <w:noProof/>
        </w:rPr>
        <w:t xml:space="preserve"> ansvars</w:t>
      </w:r>
      <w:r w:rsidR="00BE1094">
        <w:rPr>
          <w:noProof/>
        </w:rPr>
        <w:softHyphen/>
      </w:r>
      <w:r w:rsidRPr="006B7451" w:rsidR="00386C5E">
        <w:rPr>
          <w:noProof/>
        </w:rPr>
        <w:t>fullt</w:t>
      </w:r>
      <w:r w:rsidRPr="006B7451" w:rsidR="001A5B64">
        <w:rPr>
          <w:noProof/>
        </w:rPr>
        <w:t>.</w:t>
      </w:r>
      <w:r w:rsidRPr="006B7451" w:rsidR="00386C5E">
        <w:rPr>
          <w:noProof/>
        </w:rPr>
        <w:t xml:space="preserve"> </w:t>
      </w:r>
      <w:r w:rsidRPr="006B7451" w:rsidR="001A5B64">
        <w:rPr>
          <w:noProof/>
        </w:rPr>
        <w:t>E</w:t>
      </w:r>
      <w:r w:rsidRPr="006B7451" w:rsidR="00386C5E">
        <w:rPr>
          <w:noProof/>
        </w:rPr>
        <w:t xml:space="preserve">tt särskilt orosmoln är </w:t>
      </w:r>
      <w:r w:rsidRPr="006B7451">
        <w:rPr>
          <w:noProof/>
        </w:rPr>
        <w:t xml:space="preserve">anstånden på skatten </w:t>
      </w:r>
      <w:r w:rsidRPr="006B7451" w:rsidR="00386C5E">
        <w:rPr>
          <w:noProof/>
        </w:rPr>
        <w:t>som kan resultera i att i övrigt välfungerande bolag drivs till konkurs.</w:t>
      </w:r>
    </w:p>
    <w:p w:rsidRPr="00E5585D" w:rsidR="009108AB" w:rsidP="00E5585D" w:rsidRDefault="009108AB" w14:paraId="7FC28BEA" w14:textId="6E8A1DC5">
      <w:pPr>
        <w:pStyle w:val="Tabellrubrik"/>
        <w:keepNext/>
      </w:pPr>
      <w:r w:rsidRPr="00E5585D">
        <w:t xml:space="preserve">Figur </w:t>
      </w:r>
      <w:r w:rsidR="00E5585D">
        <w:t>5</w:t>
      </w:r>
      <w:r w:rsidRPr="00E5585D">
        <w:t xml:space="preserve"> Antal företagskonkurser, 2000–2020</w:t>
      </w:r>
    </w:p>
    <w:p w:rsidRPr="006B7451" w:rsidR="009108AB" w:rsidP="009108AB" w:rsidRDefault="009108AB" w14:paraId="2F16EBCC" w14:textId="464B3AB0">
      <w:pPr>
        <w:ind w:firstLine="0"/>
      </w:pPr>
      <w:r w:rsidRPr="006B7451">
        <w:rPr>
          <w:noProof/>
          <w14:numSpacing w14:val="default"/>
        </w:rPr>
        <w:drawing>
          <wp:inline distT="0" distB="0" distL="0" distR="0" wp14:anchorId="1237C6E7" wp14:editId="34A00009">
            <wp:extent cx="5400040" cy="3441065"/>
            <wp:effectExtent l="0" t="0" r="0" b="6985"/>
            <wp:docPr id="36" name="Diagram 36" descr="">
              <a:extLst xmlns:a="http://schemas.openxmlformats.org/drawingml/2006/main">
                <a:ext uri="{FF2B5EF4-FFF2-40B4-BE49-F238E27FC236}">
                  <a16:creationId xmlns:a16="http://schemas.microsoft.com/office/drawing/2014/main" id="{ACDDA78F-4168-4B8D-97A5-0EAB3886D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08AB" w:rsidP="00016FE7" w:rsidRDefault="009108AB" w14:paraId="4F173E5D" w14:textId="2E91185B">
      <w:pPr>
        <w:pStyle w:val="Klla"/>
      </w:pPr>
      <w:r w:rsidRPr="00016FE7">
        <w:t>Källa: Tillväxtanalys.</w:t>
      </w:r>
    </w:p>
    <w:p w:rsidRPr="006B7451" w:rsidR="00D27185" w:rsidP="00ED5D60" w:rsidRDefault="00600FBB" w14:paraId="302544C1" w14:textId="783EF435">
      <w:pPr>
        <w:pStyle w:val="Rubrik2numrerat"/>
      </w:pPr>
      <w:bookmarkStart w:name="_Toc121752525" w:id="14"/>
      <w:r w:rsidRPr="006B7451">
        <w:t>Utsikter för arbetslösheten</w:t>
      </w:r>
      <w:bookmarkEnd w:id="14"/>
    </w:p>
    <w:p w:rsidRPr="006B7451" w:rsidR="007E01EA" w:rsidP="00016FE7" w:rsidRDefault="00106AEE" w14:paraId="20CB7B61" w14:textId="671DB5FF">
      <w:pPr>
        <w:pStyle w:val="Normalutanindragellerluft"/>
      </w:pPr>
      <w:r w:rsidRPr="006B7451">
        <w:t>Arbetslösheten ökade under pandemin</w:t>
      </w:r>
      <w:r w:rsidRPr="006B7451" w:rsidR="00B53DEF">
        <w:t>,</w:t>
      </w:r>
      <w:r w:rsidRPr="006B7451">
        <w:t xml:space="preserve"> från 6,8 procent 2019 till 8,3 procent 2020</w:t>
      </w:r>
      <w:r w:rsidRPr="006B7451" w:rsidR="001A5B64">
        <w:t>,</w:t>
      </w:r>
      <w:r w:rsidRPr="006B7451" w:rsidR="00600FBB">
        <w:t xml:space="preserve"> och har därefter planat ut. Till följd av korttidspermitteringarna har arbetsmarknaden klarat sig bättre än befarat och den ekonomiska återhämtningen får även genomslag på arbetsmarknaden där arbetsgivare i högre utsträckning söker personal</w:t>
      </w:r>
      <w:r w:rsidRPr="006B7451" w:rsidR="007E01EA">
        <w:t>.</w:t>
      </w:r>
    </w:p>
    <w:p w:rsidRPr="00E5585D" w:rsidR="00677E7C" w:rsidP="00016FE7" w:rsidRDefault="00677E7C" w14:paraId="3948F4DB" w14:textId="0003B3B4">
      <w:pPr>
        <w:pStyle w:val="Tabellrubrik"/>
        <w:keepNext/>
      </w:pPr>
      <w:r w:rsidRPr="00E5585D">
        <w:lastRenderedPageBreak/>
        <w:t xml:space="preserve">Figur </w:t>
      </w:r>
      <w:r w:rsidR="00E5585D">
        <w:t>6</w:t>
      </w:r>
      <w:r w:rsidRPr="00E5585D">
        <w:t xml:space="preserve"> Arbetslöshet, </w:t>
      </w:r>
      <w:r w:rsidRPr="00E5585D" w:rsidR="00694A4E">
        <w:t>15–74</w:t>
      </w:r>
      <w:r w:rsidRPr="00E5585D">
        <w:t xml:space="preserve"> år, 2005–2021</w:t>
      </w:r>
    </w:p>
    <w:p w:rsidRPr="006B7451" w:rsidR="00677E7C" w:rsidP="00171D39" w:rsidRDefault="00677E7C" w14:paraId="3EE64D60" w14:textId="77777777">
      <w:pPr>
        <w:ind w:firstLine="0"/>
      </w:pPr>
      <w:r w:rsidRPr="006B7451">
        <w:rPr>
          <w:noProof/>
          <w14:numSpacing w14:val="default"/>
        </w:rPr>
        <w:drawing>
          <wp:inline distT="0" distB="0" distL="0" distR="0" wp14:anchorId="7ED68CD1" wp14:editId="1AA945BB">
            <wp:extent cx="5400000" cy="2743200"/>
            <wp:effectExtent l="0" t="0" r="0" b="0"/>
            <wp:docPr id="10" name="Diagram 10" descr="">
              <a:extLst xmlns:a="http://schemas.openxmlformats.org/drawingml/2006/main">
                <a:ext uri="{FF2B5EF4-FFF2-40B4-BE49-F238E27FC236}">
                  <a16:creationId xmlns:a16="http://schemas.microsoft.com/office/drawing/2014/main" id="{C9A42D17-1E89-43BB-A3FD-547705EC3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016FE7" w:rsidR="00677E7C" w:rsidP="00016FE7" w:rsidRDefault="00677E7C" w14:paraId="5AF406E9" w14:textId="5D2E4B48">
      <w:pPr>
        <w:pStyle w:val="Klla"/>
      </w:pPr>
      <w:r w:rsidRPr="00016FE7">
        <w:t>Källa: Arbetsförmedlingen.</w:t>
      </w:r>
    </w:p>
    <w:p w:rsidRPr="005D6A4A" w:rsidR="002E6FB3" w:rsidP="005D6A4A" w:rsidRDefault="002E6FB3" w14:paraId="3A949A1D" w14:textId="2CF677E2">
      <w:pPr>
        <w:pStyle w:val="Tabellrubrik"/>
      </w:pPr>
      <w:r w:rsidRPr="005D6A4A">
        <w:t xml:space="preserve">Tabell </w:t>
      </w:r>
      <w:r w:rsidRPr="005D6A4A" w:rsidR="00016FE7">
        <w:t>3</w:t>
      </w:r>
      <w:r w:rsidRPr="005D6A4A">
        <w:t xml:space="preserve"> Prognos för arbetslösheten, andel i procent</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1434"/>
        <w:gridCol w:w="1442"/>
        <w:gridCol w:w="1430"/>
        <w:gridCol w:w="1439"/>
        <w:gridCol w:w="1437"/>
        <w:gridCol w:w="1322"/>
      </w:tblGrid>
      <w:tr w:rsidRPr="006B7451" w:rsidR="007E01EA" w:rsidTr="00016FE7" w14:paraId="63FACC4B" w14:textId="77777777">
        <w:tc>
          <w:tcPr>
            <w:tcW w:w="843" w:type="pct"/>
            <w:tcBorders>
              <w:top w:val="single" w:color="auto" w:sz="4" w:space="0"/>
              <w:bottom w:val="single" w:color="auto" w:sz="4" w:space="0"/>
            </w:tcBorders>
          </w:tcPr>
          <w:p w:rsidRPr="006B7451" w:rsidR="007E01EA" w:rsidP="00016FE7" w:rsidRDefault="007E01EA" w14:paraId="5EBA031E" w14:textId="77777777">
            <w:pPr>
              <w:spacing w:before="80" w:line="240" w:lineRule="exact"/>
              <w:ind w:firstLine="0"/>
              <w:rPr>
                <w:sz w:val="20"/>
                <w:szCs w:val="20"/>
              </w:rPr>
            </w:pPr>
          </w:p>
        </w:tc>
        <w:tc>
          <w:tcPr>
            <w:tcW w:w="848" w:type="pct"/>
            <w:tcBorders>
              <w:top w:val="single" w:color="auto" w:sz="4" w:space="0"/>
              <w:bottom w:val="single" w:color="auto" w:sz="4" w:space="0"/>
            </w:tcBorders>
          </w:tcPr>
          <w:p w:rsidRPr="006B7451" w:rsidR="007E01EA" w:rsidP="00016FE7" w:rsidRDefault="007E01EA" w14:paraId="21167403" w14:textId="77777777">
            <w:pPr>
              <w:spacing w:before="80" w:line="240" w:lineRule="exact"/>
              <w:ind w:firstLine="0"/>
              <w:jc w:val="right"/>
              <w:rPr>
                <w:b/>
                <w:sz w:val="20"/>
                <w:szCs w:val="20"/>
              </w:rPr>
            </w:pPr>
            <w:r w:rsidRPr="006B7451">
              <w:rPr>
                <w:b/>
                <w:sz w:val="20"/>
                <w:szCs w:val="20"/>
              </w:rPr>
              <w:t>2020</w:t>
            </w:r>
          </w:p>
        </w:tc>
        <w:tc>
          <w:tcPr>
            <w:tcW w:w="841" w:type="pct"/>
            <w:tcBorders>
              <w:top w:val="single" w:color="auto" w:sz="4" w:space="0"/>
              <w:bottom w:val="single" w:color="auto" w:sz="4" w:space="0"/>
            </w:tcBorders>
          </w:tcPr>
          <w:p w:rsidRPr="006B7451" w:rsidR="007E01EA" w:rsidP="00016FE7" w:rsidRDefault="007E01EA" w14:paraId="756D4FF5" w14:textId="77777777">
            <w:pPr>
              <w:spacing w:before="80" w:line="240" w:lineRule="exact"/>
              <w:ind w:firstLine="0"/>
              <w:jc w:val="right"/>
              <w:rPr>
                <w:b/>
                <w:sz w:val="20"/>
                <w:szCs w:val="20"/>
              </w:rPr>
            </w:pPr>
            <w:r w:rsidRPr="006B7451">
              <w:rPr>
                <w:b/>
                <w:sz w:val="20"/>
                <w:szCs w:val="20"/>
              </w:rPr>
              <w:t>2021</w:t>
            </w:r>
          </w:p>
        </w:tc>
        <w:tc>
          <w:tcPr>
            <w:tcW w:w="846" w:type="pct"/>
            <w:tcBorders>
              <w:top w:val="single" w:color="auto" w:sz="4" w:space="0"/>
              <w:bottom w:val="single" w:color="auto" w:sz="4" w:space="0"/>
            </w:tcBorders>
          </w:tcPr>
          <w:p w:rsidRPr="006B7451" w:rsidR="007E01EA" w:rsidP="00016FE7" w:rsidRDefault="007E01EA" w14:paraId="7DA16508" w14:textId="77777777">
            <w:pPr>
              <w:spacing w:before="80" w:line="240" w:lineRule="exact"/>
              <w:ind w:firstLine="0"/>
              <w:jc w:val="right"/>
              <w:rPr>
                <w:b/>
                <w:sz w:val="20"/>
                <w:szCs w:val="20"/>
              </w:rPr>
            </w:pPr>
            <w:r w:rsidRPr="006B7451">
              <w:rPr>
                <w:b/>
                <w:sz w:val="20"/>
                <w:szCs w:val="20"/>
              </w:rPr>
              <w:t>2022</w:t>
            </w:r>
          </w:p>
        </w:tc>
        <w:tc>
          <w:tcPr>
            <w:tcW w:w="845" w:type="pct"/>
            <w:tcBorders>
              <w:top w:val="single" w:color="auto" w:sz="4" w:space="0"/>
              <w:bottom w:val="single" w:color="auto" w:sz="4" w:space="0"/>
            </w:tcBorders>
          </w:tcPr>
          <w:p w:rsidRPr="006B7451" w:rsidR="007E01EA" w:rsidP="00016FE7" w:rsidRDefault="007E01EA" w14:paraId="33ADEE00" w14:textId="77777777">
            <w:pPr>
              <w:spacing w:before="80" w:line="240" w:lineRule="exact"/>
              <w:ind w:firstLine="0"/>
              <w:jc w:val="right"/>
              <w:rPr>
                <w:b/>
                <w:sz w:val="20"/>
                <w:szCs w:val="20"/>
              </w:rPr>
            </w:pPr>
            <w:r w:rsidRPr="006B7451">
              <w:rPr>
                <w:b/>
                <w:sz w:val="20"/>
                <w:szCs w:val="20"/>
              </w:rPr>
              <w:t>2023</w:t>
            </w:r>
          </w:p>
        </w:tc>
        <w:tc>
          <w:tcPr>
            <w:tcW w:w="778" w:type="pct"/>
            <w:tcBorders>
              <w:top w:val="single" w:color="auto" w:sz="4" w:space="0"/>
              <w:bottom w:val="single" w:color="auto" w:sz="4" w:space="0"/>
            </w:tcBorders>
          </w:tcPr>
          <w:p w:rsidRPr="006B7451" w:rsidR="007E01EA" w:rsidP="00016FE7" w:rsidRDefault="007E01EA" w14:paraId="329046D9" w14:textId="77777777">
            <w:pPr>
              <w:spacing w:before="80" w:line="240" w:lineRule="exact"/>
              <w:ind w:firstLine="0"/>
              <w:jc w:val="right"/>
              <w:rPr>
                <w:b/>
                <w:sz w:val="20"/>
                <w:szCs w:val="20"/>
              </w:rPr>
            </w:pPr>
            <w:r w:rsidRPr="006B7451">
              <w:rPr>
                <w:b/>
                <w:sz w:val="20"/>
                <w:szCs w:val="20"/>
              </w:rPr>
              <w:t>2024</w:t>
            </w:r>
          </w:p>
        </w:tc>
      </w:tr>
      <w:tr w:rsidRPr="006B7451" w:rsidR="007E01EA" w:rsidTr="00016FE7" w14:paraId="39EA7ED5" w14:textId="77777777">
        <w:tc>
          <w:tcPr>
            <w:tcW w:w="843" w:type="pct"/>
            <w:tcBorders>
              <w:top w:val="single" w:color="auto" w:sz="4" w:space="0"/>
              <w:bottom w:val="single" w:color="auto" w:sz="4" w:space="0"/>
            </w:tcBorders>
          </w:tcPr>
          <w:p w:rsidRPr="006B7451" w:rsidR="007E01EA" w:rsidP="00016FE7" w:rsidRDefault="007E01EA" w14:paraId="277C54CE" w14:textId="77777777">
            <w:pPr>
              <w:spacing w:before="80" w:line="240" w:lineRule="exact"/>
              <w:ind w:firstLine="0"/>
              <w:rPr>
                <w:sz w:val="20"/>
                <w:szCs w:val="20"/>
              </w:rPr>
            </w:pPr>
            <w:r w:rsidRPr="006B7451">
              <w:rPr>
                <w:sz w:val="20"/>
                <w:szCs w:val="20"/>
              </w:rPr>
              <w:t>Arbetslöshet</w:t>
            </w:r>
          </w:p>
        </w:tc>
        <w:tc>
          <w:tcPr>
            <w:tcW w:w="848" w:type="pct"/>
            <w:tcBorders>
              <w:top w:val="single" w:color="auto" w:sz="4" w:space="0"/>
              <w:bottom w:val="single" w:color="auto" w:sz="4" w:space="0"/>
            </w:tcBorders>
          </w:tcPr>
          <w:p w:rsidRPr="006B7451" w:rsidR="007E01EA" w:rsidP="00016FE7" w:rsidRDefault="007E01EA" w14:paraId="67CE2A77" w14:textId="77777777">
            <w:pPr>
              <w:spacing w:before="80" w:line="240" w:lineRule="exact"/>
              <w:ind w:firstLine="0"/>
              <w:jc w:val="right"/>
              <w:rPr>
                <w:sz w:val="20"/>
                <w:szCs w:val="20"/>
              </w:rPr>
            </w:pPr>
            <w:r w:rsidRPr="006B7451">
              <w:rPr>
                <w:sz w:val="20"/>
                <w:szCs w:val="20"/>
              </w:rPr>
              <w:t>8,3</w:t>
            </w:r>
          </w:p>
        </w:tc>
        <w:tc>
          <w:tcPr>
            <w:tcW w:w="841" w:type="pct"/>
            <w:tcBorders>
              <w:top w:val="single" w:color="auto" w:sz="4" w:space="0"/>
              <w:bottom w:val="single" w:color="auto" w:sz="4" w:space="0"/>
            </w:tcBorders>
          </w:tcPr>
          <w:p w:rsidRPr="006B7451" w:rsidR="007E01EA" w:rsidP="00016FE7" w:rsidRDefault="007E01EA" w14:paraId="6B4009F2" w14:textId="77777777">
            <w:pPr>
              <w:spacing w:before="80" w:line="240" w:lineRule="exact"/>
              <w:ind w:firstLine="0"/>
              <w:jc w:val="right"/>
              <w:rPr>
                <w:sz w:val="20"/>
                <w:szCs w:val="20"/>
              </w:rPr>
            </w:pPr>
            <w:r w:rsidRPr="006B7451">
              <w:rPr>
                <w:sz w:val="20"/>
                <w:szCs w:val="20"/>
              </w:rPr>
              <w:t>8,8</w:t>
            </w:r>
          </w:p>
        </w:tc>
        <w:tc>
          <w:tcPr>
            <w:tcW w:w="846" w:type="pct"/>
            <w:tcBorders>
              <w:top w:val="single" w:color="auto" w:sz="4" w:space="0"/>
              <w:bottom w:val="single" w:color="auto" w:sz="4" w:space="0"/>
            </w:tcBorders>
          </w:tcPr>
          <w:p w:rsidRPr="006B7451" w:rsidR="007E01EA" w:rsidP="00016FE7" w:rsidRDefault="007E01EA" w14:paraId="12CA6647" w14:textId="77777777">
            <w:pPr>
              <w:spacing w:before="80" w:line="240" w:lineRule="exact"/>
              <w:ind w:firstLine="0"/>
              <w:jc w:val="right"/>
              <w:rPr>
                <w:sz w:val="20"/>
                <w:szCs w:val="20"/>
              </w:rPr>
            </w:pPr>
            <w:r w:rsidRPr="006B7451">
              <w:rPr>
                <w:sz w:val="20"/>
                <w:szCs w:val="20"/>
              </w:rPr>
              <w:t>7,7</w:t>
            </w:r>
          </w:p>
        </w:tc>
        <w:tc>
          <w:tcPr>
            <w:tcW w:w="845" w:type="pct"/>
            <w:tcBorders>
              <w:top w:val="single" w:color="auto" w:sz="4" w:space="0"/>
              <w:bottom w:val="single" w:color="auto" w:sz="4" w:space="0"/>
            </w:tcBorders>
          </w:tcPr>
          <w:p w:rsidRPr="006B7451" w:rsidR="007E01EA" w:rsidP="00016FE7" w:rsidRDefault="007E01EA" w14:paraId="79C271DA" w14:textId="77777777">
            <w:pPr>
              <w:spacing w:before="80" w:line="240" w:lineRule="exact"/>
              <w:ind w:firstLine="0"/>
              <w:jc w:val="right"/>
              <w:rPr>
                <w:sz w:val="20"/>
                <w:szCs w:val="20"/>
              </w:rPr>
            </w:pPr>
            <w:r w:rsidRPr="006B7451">
              <w:rPr>
                <w:sz w:val="20"/>
                <w:szCs w:val="20"/>
              </w:rPr>
              <w:t>7,0</w:t>
            </w:r>
          </w:p>
        </w:tc>
        <w:tc>
          <w:tcPr>
            <w:tcW w:w="778" w:type="pct"/>
            <w:tcBorders>
              <w:top w:val="single" w:color="auto" w:sz="4" w:space="0"/>
              <w:bottom w:val="single" w:color="auto" w:sz="4" w:space="0"/>
            </w:tcBorders>
          </w:tcPr>
          <w:p w:rsidRPr="006B7451" w:rsidR="007E01EA" w:rsidP="00016FE7" w:rsidRDefault="007E01EA" w14:paraId="3396C403" w14:textId="77777777">
            <w:pPr>
              <w:spacing w:before="80" w:line="240" w:lineRule="exact"/>
              <w:ind w:firstLine="0"/>
              <w:jc w:val="right"/>
              <w:rPr>
                <w:sz w:val="20"/>
                <w:szCs w:val="20"/>
              </w:rPr>
            </w:pPr>
            <w:r w:rsidRPr="006B7451">
              <w:rPr>
                <w:sz w:val="20"/>
                <w:szCs w:val="20"/>
              </w:rPr>
              <w:t>7,0</w:t>
            </w:r>
          </w:p>
        </w:tc>
      </w:tr>
    </w:tbl>
    <w:p w:rsidRPr="00137C91" w:rsidR="007E01EA" w:rsidP="00137C91" w:rsidRDefault="007E01EA" w14:paraId="74107FC0" w14:textId="77777777">
      <w:pPr>
        <w:pStyle w:val="Klla"/>
      </w:pPr>
      <w:r w:rsidRPr="00137C91">
        <w:t>Källa: Finansdepartementet</w:t>
      </w:r>
    </w:p>
    <w:p w:rsidRPr="006B7451" w:rsidR="00600FBB" w:rsidP="003D1A36" w:rsidRDefault="00171D39" w14:paraId="3801E8CE" w14:textId="1C40E001">
      <w:pPr>
        <w:pStyle w:val="Normalutanindragellerluft"/>
        <w:spacing w:before="150"/>
      </w:pPr>
      <w:r w:rsidRPr="006B7451">
        <w:t xml:space="preserve">Det som är oroväckande i sammanhanget är de allt större problemen med matchningen på arbetsmarknaden där allt fler arbetsgivare har svårigheter att hitta personal med rätt kompetens. Detta </w:t>
      </w:r>
      <w:r w:rsidRPr="006B7451" w:rsidR="002201C3">
        <w:t xml:space="preserve">syns även </w:t>
      </w:r>
      <w:r w:rsidRPr="006B7451" w:rsidR="001A5B64">
        <w:t xml:space="preserve">i </w:t>
      </w:r>
      <w:r w:rsidRPr="006B7451" w:rsidR="002201C3">
        <w:t xml:space="preserve">antalet långtidsarbetslösa, </w:t>
      </w:r>
      <w:r w:rsidRPr="006B7451" w:rsidR="001A5B64">
        <w:t>d</w:t>
      </w:r>
      <w:r w:rsidRPr="006B7451" w:rsidR="00597F12">
        <w:t>et vill säga</w:t>
      </w:r>
      <w:r w:rsidRPr="006B7451" w:rsidR="001A5B64">
        <w:t xml:space="preserve"> </w:t>
      </w:r>
      <w:r w:rsidRPr="006B7451" w:rsidR="002201C3">
        <w:t xml:space="preserve">personer som varit inskrivna </w:t>
      </w:r>
      <w:r w:rsidRPr="006B7451" w:rsidR="007115AA">
        <w:t xml:space="preserve">som arbetslösa </w:t>
      </w:r>
      <w:r w:rsidRPr="006B7451" w:rsidR="001A5B64">
        <w:t xml:space="preserve">och </w:t>
      </w:r>
      <w:r w:rsidRPr="006B7451" w:rsidR="007115AA">
        <w:t>som varit utan arbete i sex månader eller mer</w:t>
      </w:r>
      <w:r w:rsidRPr="006B7451" w:rsidR="001A5B64">
        <w:t>. De</w:t>
      </w:r>
      <w:r w:rsidRPr="006B7451" w:rsidR="007115AA">
        <w:t xml:space="preserve"> uppgick till 190 000 personer i juli, </w:t>
      </w:r>
      <w:r w:rsidRPr="006B7451" w:rsidR="001A5B64">
        <w:t xml:space="preserve">vilket är </w:t>
      </w:r>
      <w:r w:rsidRPr="006B7451" w:rsidR="007115AA">
        <w:t xml:space="preserve">en ökning med 25 000 </w:t>
      </w:r>
      <w:r w:rsidRPr="006B7451" w:rsidR="001A5B64">
        <w:t xml:space="preserve">personer </w:t>
      </w:r>
      <w:r w:rsidRPr="006B7451" w:rsidR="007115AA">
        <w:t>på ett år. Av dessa är en övervägande majoritet, 62 procent, utrikes födda – där utrikes födda kvinnor är särskilt överrepresenterade.</w:t>
      </w:r>
    </w:p>
    <w:p w:rsidRPr="006B7451" w:rsidR="007115AA" w:rsidP="007115AA" w:rsidRDefault="007115AA" w14:paraId="3C4CEAA6" w14:textId="027BC15E">
      <w:r w:rsidRPr="006B7451">
        <w:t xml:space="preserve">Även för </w:t>
      </w:r>
      <w:r w:rsidRPr="006B7451" w:rsidR="001A5B64">
        <w:t xml:space="preserve">den </w:t>
      </w:r>
      <w:r w:rsidRPr="006B7451">
        <w:t xml:space="preserve">sammantagna arbetslösheten finns det en stor </w:t>
      </w:r>
      <w:r w:rsidRPr="006B7451" w:rsidR="00597F12">
        <w:t>diskrepans</w:t>
      </w:r>
      <w:r w:rsidRPr="006B7451">
        <w:t xml:space="preserve"> mellan inrikes och utrikes födda. </w:t>
      </w:r>
      <w:r w:rsidRPr="006B7451" w:rsidR="00600FBB">
        <w:t xml:space="preserve">Arbetslösheten för utrikes födda ligger kvar på </w:t>
      </w:r>
      <w:r w:rsidRPr="006B7451">
        <w:t>höga</w:t>
      </w:r>
      <w:r w:rsidRPr="006B7451" w:rsidR="00600FBB">
        <w:t xml:space="preserve"> nivå</w:t>
      </w:r>
      <w:r w:rsidRPr="006B7451">
        <w:t>er</w:t>
      </w:r>
      <w:r w:rsidRPr="006B7451" w:rsidR="00600FBB">
        <w:t xml:space="preserve"> (cirka 20 procent</w:t>
      </w:r>
      <w:r w:rsidRPr="006B7451">
        <w:t xml:space="preserve"> </w:t>
      </w:r>
      <w:r w:rsidRPr="006B7451" w:rsidR="00600FBB">
        <w:t>jämfört med cirka 6 procent för inrikes födda)</w:t>
      </w:r>
      <w:r w:rsidRPr="006B7451">
        <w:t xml:space="preserve"> och förväntas </w:t>
      </w:r>
      <w:r w:rsidRPr="006B7451" w:rsidR="001A5B64">
        <w:t xml:space="preserve">fortsätta att </w:t>
      </w:r>
      <w:r w:rsidRPr="006B7451">
        <w:t>göra det under de kommande åren.</w:t>
      </w:r>
    </w:p>
    <w:p w:rsidRPr="006B7451" w:rsidR="007115AA" w:rsidP="004F1EA3" w:rsidRDefault="007115AA" w14:paraId="6DD2A48A" w14:textId="7B739BE0">
      <w:r w:rsidRPr="006B7451">
        <w:t xml:space="preserve">Gruppen utrikes födda är inte homogen, utan inkluderar såväl högutbildad och högkompetent arbetskraft som tillfälligt befinner sig i Sverige </w:t>
      </w:r>
      <w:r w:rsidRPr="006B7451" w:rsidR="001A5B64">
        <w:t xml:space="preserve">som </w:t>
      </w:r>
      <w:r w:rsidRPr="006B7451">
        <w:t xml:space="preserve">personer med låg utbildning som står långt </w:t>
      </w:r>
      <w:r w:rsidR="00F853AD">
        <w:t>i</w:t>
      </w:r>
      <w:r w:rsidRPr="006B7451">
        <w:t xml:space="preserve">från arbetsmarknaden. Även inom </w:t>
      </w:r>
      <w:r w:rsidRPr="006B7451" w:rsidR="001A5B64">
        <w:t xml:space="preserve">undergrupperna </w:t>
      </w:r>
      <w:r w:rsidRPr="006B7451">
        <w:t xml:space="preserve">finns det markanta skillnader, där det främst är </w:t>
      </w:r>
      <w:r w:rsidRPr="006B7451" w:rsidR="001A5B64">
        <w:t xml:space="preserve">personer från </w:t>
      </w:r>
      <w:r w:rsidRPr="006B7451">
        <w:t>Asien och Afrika som höjer genom</w:t>
      </w:r>
      <w:r w:rsidR="00BE1094">
        <w:softHyphen/>
      </w:r>
      <w:r w:rsidRPr="006B7451">
        <w:t xml:space="preserve">snittet (och även inom dessa </w:t>
      </w:r>
      <w:r w:rsidRPr="006B7451" w:rsidR="001A5B64">
        <w:t>under</w:t>
      </w:r>
      <w:r w:rsidRPr="006B7451">
        <w:t>grupper finns det grupper som står för en stor del av arbetslösheten). Detta beror främst på att det är från dessa områden som Sverige har haft en hög nivå av asylrelaterad invandring.</w:t>
      </w:r>
    </w:p>
    <w:p w:rsidR="004F1EA3" w:rsidRDefault="004F1EA3" w14:paraId="59D65A6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939FB" w:rsidR="007115AA" w:rsidP="00B3746F" w:rsidRDefault="007115AA" w14:paraId="44FF31DA" w14:textId="0945E7B2">
      <w:pPr>
        <w:pStyle w:val="Tabellrubrik"/>
        <w:keepNext/>
      </w:pPr>
      <w:r w:rsidRPr="00C939FB">
        <w:lastRenderedPageBreak/>
        <w:t xml:space="preserve">Tabell </w:t>
      </w:r>
      <w:r w:rsidR="00C939FB">
        <w:t>4</w:t>
      </w:r>
      <w:r w:rsidRPr="00C939FB">
        <w:t xml:space="preserve"> Arbetslöshet efter födelseland, 2020</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20"/>
        <w:gridCol w:w="5584"/>
      </w:tblGrid>
      <w:tr w:rsidRPr="006B7451" w:rsidR="007115AA" w:rsidTr="00C939FB" w14:paraId="6890348F" w14:textId="77777777">
        <w:tc>
          <w:tcPr>
            <w:tcW w:w="1717" w:type="pct"/>
            <w:tcBorders>
              <w:top w:val="single" w:color="auto" w:sz="4" w:space="0"/>
              <w:bottom w:val="single" w:color="auto" w:sz="4" w:space="0"/>
            </w:tcBorders>
          </w:tcPr>
          <w:p w:rsidRPr="006B7451" w:rsidR="007115AA" w:rsidP="00C939FB" w:rsidRDefault="007115AA" w14:paraId="0D284B72" w14:textId="77777777">
            <w:pPr>
              <w:spacing w:before="80" w:line="240" w:lineRule="exact"/>
              <w:ind w:firstLine="0"/>
              <w:rPr>
                <w:b/>
                <w:sz w:val="20"/>
                <w:szCs w:val="20"/>
              </w:rPr>
            </w:pPr>
          </w:p>
        </w:tc>
        <w:tc>
          <w:tcPr>
            <w:tcW w:w="3283" w:type="pct"/>
            <w:tcBorders>
              <w:top w:val="single" w:color="auto" w:sz="4" w:space="0"/>
              <w:bottom w:val="single" w:color="auto" w:sz="4" w:space="0"/>
            </w:tcBorders>
          </w:tcPr>
          <w:p w:rsidRPr="006B7451" w:rsidR="007115AA" w:rsidP="00C939FB" w:rsidRDefault="007115AA" w14:paraId="5DE30052" w14:textId="77777777">
            <w:pPr>
              <w:spacing w:before="80" w:line="240" w:lineRule="exact"/>
              <w:ind w:firstLine="0"/>
              <w:jc w:val="right"/>
              <w:rPr>
                <w:b/>
                <w:sz w:val="20"/>
                <w:szCs w:val="20"/>
              </w:rPr>
            </w:pPr>
            <w:r w:rsidRPr="006B7451">
              <w:rPr>
                <w:b/>
                <w:sz w:val="20"/>
                <w:szCs w:val="20"/>
              </w:rPr>
              <w:t>Procentuell andel av arbetskraften 15–74 år</w:t>
            </w:r>
          </w:p>
        </w:tc>
      </w:tr>
      <w:tr w:rsidRPr="006B7451" w:rsidR="007115AA" w:rsidTr="00C939FB" w14:paraId="4FE583A5" w14:textId="77777777">
        <w:tc>
          <w:tcPr>
            <w:tcW w:w="1717" w:type="pct"/>
            <w:tcBorders>
              <w:top w:val="single" w:color="auto" w:sz="4" w:space="0"/>
            </w:tcBorders>
          </w:tcPr>
          <w:p w:rsidRPr="006B7451" w:rsidR="007115AA" w:rsidP="00C939FB" w:rsidRDefault="007115AA" w14:paraId="7F3D4BEE" w14:textId="77777777">
            <w:pPr>
              <w:spacing w:before="80" w:line="240" w:lineRule="exact"/>
              <w:ind w:firstLine="0"/>
              <w:rPr>
                <w:sz w:val="20"/>
                <w:szCs w:val="20"/>
              </w:rPr>
            </w:pPr>
            <w:r w:rsidRPr="006B7451">
              <w:rPr>
                <w:sz w:val="20"/>
                <w:szCs w:val="20"/>
              </w:rPr>
              <w:t>Inrikes födda</w:t>
            </w:r>
          </w:p>
        </w:tc>
        <w:tc>
          <w:tcPr>
            <w:tcW w:w="3283" w:type="pct"/>
            <w:tcBorders>
              <w:top w:val="single" w:color="auto" w:sz="4" w:space="0"/>
            </w:tcBorders>
          </w:tcPr>
          <w:p w:rsidRPr="006B7451" w:rsidR="007115AA" w:rsidP="00C939FB" w:rsidRDefault="007115AA" w14:paraId="6D96DE92" w14:textId="77777777">
            <w:pPr>
              <w:spacing w:before="80" w:line="240" w:lineRule="exact"/>
              <w:ind w:firstLine="0"/>
              <w:jc w:val="right"/>
              <w:rPr>
                <w:sz w:val="20"/>
                <w:szCs w:val="20"/>
              </w:rPr>
            </w:pPr>
            <w:r w:rsidRPr="006B7451">
              <w:rPr>
                <w:sz w:val="20"/>
                <w:szCs w:val="20"/>
              </w:rPr>
              <w:t>5,1</w:t>
            </w:r>
          </w:p>
        </w:tc>
      </w:tr>
      <w:tr w:rsidRPr="006B7451" w:rsidR="007115AA" w:rsidTr="00C939FB" w14:paraId="6762AFF8" w14:textId="77777777">
        <w:tc>
          <w:tcPr>
            <w:tcW w:w="1717" w:type="pct"/>
          </w:tcPr>
          <w:p w:rsidRPr="006B7451" w:rsidR="007115AA" w:rsidP="00C939FB" w:rsidRDefault="007115AA" w14:paraId="32F82D7B" w14:textId="77777777">
            <w:pPr>
              <w:spacing w:before="80" w:line="240" w:lineRule="exact"/>
              <w:ind w:firstLine="0"/>
              <w:rPr>
                <w:sz w:val="20"/>
                <w:szCs w:val="20"/>
              </w:rPr>
            </w:pPr>
            <w:r w:rsidRPr="006B7451">
              <w:rPr>
                <w:sz w:val="20"/>
                <w:szCs w:val="20"/>
              </w:rPr>
              <w:t>Utrikes födda</w:t>
            </w:r>
          </w:p>
        </w:tc>
        <w:tc>
          <w:tcPr>
            <w:tcW w:w="3283" w:type="pct"/>
          </w:tcPr>
          <w:p w:rsidRPr="006B7451" w:rsidR="007115AA" w:rsidP="00C939FB" w:rsidRDefault="007115AA" w14:paraId="75F587AB" w14:textId="77777777">
            <w:pPr>
              <w:spacing w:before="80" w:line="240" w:lineRule="exact"/>
              <w:ind w:firstLine="0"/>
              <w:jc w:val="right"/>
              <w:rPr>
                <w:sz w:val="20"/>
                <w:szCs w:val="20"/>
              </w:rPr>
            </w:pPr>
            <w:r w:rsidRPr="006B7451">
              <w:rPr>
                <w:sz w:val="20"/>
                <w:szCs w:val="20"/>
              </w:rPr>
              <w:t>18,8</w:t>
            </w:r>
          </w:p>
        </w:tc>
      </w:tr>
      <w:tr w:rsidRPr="006B7451" w:rsidR="007115AA" w:rsidTr="00C939FB" w14:paraId="451E42AF" w14:textId="77777777">
        <w:tc>
          <w:tcPr>
            <w:tcW w:w="1717" w:type="pct"/>
          </w:tcPr>
          <w:p w:rsidRPr="006B7451" w:rsidR="007115AA" w:rsidP="00C939FB" w:rsidRDefault="007115AA" w14:paraId="500598E1" w14:textId="77777777">
            <w:pPr>
              <w:spacing w:before="80" w:line="240" w:lineRule="exact"/>
              <w:ind w:firstLine="0"/>
              <w:rPr>
                <w:sz w:val="20"/>
                <w:szCs w:val="20"/>
              </w:rPr>
            </w:pPr>
            <w:r w:rsidRPr="006B7451">
              <w:rPr>
                <w:sz w:val="20"/>
                <w:szCs w:val="20"/>
              </w:rPr>
              <w:t>Europa</w:t>
            </w:r>
          </w:p>
        </w:tc>
        <w:tc>
          <w:tcPr>
            <w:tcW w:w="3283" w:type="pct"/>
          </w:tcPr>
          <w:p w:rsidRPr="006B7451" w:rsidR="007115AA" w:rsidP="00C939FB" w:rsidRDefault="007115AA" w14:paraId="01C6DD23" w14:textId="77777777">
            <w:pPr>
              <w:spacing w:before="80" w:line="240" w:lineRule="exact"/>
              <w:ind w:firstLine="0"/>
              <w:jc w:val="right"/>
              <w:rPr>
                <w:sz w:val="20"/>
                <w:szCs w:val="20"/>
              </w:rPr>
            </w:pPr>
            <w:r w:rsidRPr="006B7451">
              <w:rPr>
                <w:sz w:val="20"/>
                <w:szCs w:val="20"/>
              </w:rPr>
              <w:t>8,0</w:t>
            </w:r>
          </w:p>
        </w:tc>
      </w:tr>
      <w:tr w:rsidRPr="006B7451" w:rsidR="007115AA" w:rsidTr="00C939FB" w14:paraId="30A77822" w14:textId="77777777">
        <w:tc>
          <w:tcPr>
            <w:tcW w:w="1717" w:type="pct"/>
          </w:tcPr>
          <w:p w:rsidRPr="006B7451" w:rsidR="007115AA" w:rsidP="00C939FB" w:rsidRDefault="007115AA" w14:paraId="34F10B8B" w14:textId="77777777">
            <w:pPr>
              <w:spacing w:before="80" w:line="240" w:lineRule="exact"/>
              <w:ind w:firstLine="0"/>
              <w:rPr>
                <w:sz w:val="20"/>
                <w:szCs w:val="20"/>
              </w:rPr>
            </w:pPr>
            <w:r w:rsidRPr="006B7451">
              <w:rPr>
                <w:sz w:val="20"/>
                <w:szCs w:val="20"/>
              </w:rPr>
              <w:t>Sydamerika</w:t>
            </w:r>
          </w:p>
        </w:tc>
        <w:tc>
          <w:tcPr>
            <w:tcW w:w="3283" w:type="pct"/>
          </w:tcPr>
          <w:p w:rsidRPr="006B7451" w:rsidR="007115AA" w:rsidP="00C939FB" w:rsidRDefault="007115AA" w14:paraId="1E54A76B" w14:textId="77777777">
            <w:pPr>
              <w:spacing w:before="80" w:line="240" w:lineRule="exact"/>
              <w:ind w:firstLine="0"/>
              <w:jc w:val="right"/>
              <w:rPr>
                <w:sz w:val="20"/>
                <w:szCs w:val="20"/>
              </w:rPr>
            </w:pPr>
            <w:r w:rsidRPr="006B7451">
              <w:rPr>
                <w:sz w:val="20"/>
                <w:szCs w:val="20"/>
              </w:rPr>
              <w:t>11,2</w:t>
            </w:r>
          </w:p>
        </w:tc>
      </w:tr>
      <w:tr w:rsidRPr="006B7451" w:rsidR="007115AA" w:rsidTr="00C939FB" w14:paraId="4F50F5C2" w14:textId="77777777">
        <w:tc>
          <w:tcPr>
            <w:tcW w:w="1717" w:type="pct"/>
          </w:tcPr>
          <w:p w:rsidRPr="006B7451" w:rsidR="007115AA" w:rsidP="00C939FB" w:rsidRDefault="007115AA" w14:paraId="23B87609" w14:textId="77777777">
            <w:pPr>
              <w:spacing w:before="80" w:line="240" w:lineRule="exact"/>
              <w:ind w:firstLine="0"/>
              <w:rPr>
                <w:sz w:val="20"/>
                <w:szCs w:val="20"/>
              </w:rPr>
            </w:pPr>
            <w:r w:rsidRPr="006B7451">
              <w:rPr>
                <w:sz w:val="20"/>
                <w:szCs w:val="20"/>
              </w:rPr>
              <w:t>Nordamerika</w:t>
            </w:r>
          </w:p>
        </w:tc>
        <w:tc>
          <w:tcPr>
            <w:tcW w:w="3283" w:type="pct"/>
          </w:tcPr>
          <w:p w:rsidRPr="006B7451" w:rsidR="007115AA" w:rsidP="00C939FB" w:rsidRDefault="007115AA" w14:paraId="76950E42" w14:textId="77777777">
            <w:pPr>
              <w:spacing w:before="80" w:line="240" w:lineRule="exact"/>
              <w:ind w:firstLine="0"/>
              <w:jc w:val="right"/>
              <w:rPr>
                <w:sz w:val="20"/>
                <w:szCs w:val="20"/>
              </w:rPr>
            </w:pPr>
            <w:r w:rsidRPr="006B7451">
              <w:rPr>
                <w:sz w:val="20"/>
                <w:szCs w:val="20"/>
              </w:rPr>
              <w:t>11,5</w:t>
            </w:r>
          </w:p>
        </w:tc>
      </w:tr>
      <w:tr w:rsidRPr="006B7451" w:rsidR="007115AA" w:rsidTr="00C939FB" w14:paraId="3F8992B0" w14:textId="77777777">
        <w:tc>
          <w:tcPr>
            <w:tcW w:w="1717" w:type="pct"/>
          </w:tcPr>
          <w:p w:rsidRPr="006B7451" w:rsidR="007115AA" w:rsidP="00C939FB" w:rsidRDefault="007115AA" w14:paraId="6FF0F003" w14:textId="77777777">
            <w:pPr>
              <w:spacing w:before="80" w:line="240" w:lineRule="exact"/>
              <w:ind w:firstLine="0"/>
              <w:rPr>
                <w:sz w:val="20"/>
                <w:szCs w:val="20"/>
              </w:rPr>
            </w:pPr>
            <w:r w:rsidRPr="006B7451">
              <w:rPr>
                <w:sz w:val="20"/>
                <w:szCs w:val="20"/>
              </w:rPr>
              <w:t>Asien</w:t>
            </w:r>
          </w:p>
        </w:tc>
        <w:tc>
          <w:tcPr>
            <w:tcW w:w="3283" w:type="pct"/>
          </w:tcPr>
          <w:p w:rsidRPr="006B7451" w:rsidR="007115AA" w:rsidP="00C939FB" w:rsidRDefault="007115AA" w14:paraId="09348972" w14:textId="77777777">
            <w:pPr>
              <w:spacing w:before="80" w:line="240" w:lineRule="exact"/>
              <w:ind w:firstLine="0"/>
              <w:jc w:val="right"/>
              <w:rPr>
                <w:sz w:val="20"/>
                <w:szCs w:val="20"/>
              </w:rPr>
            </w:pPr>
            <w:r w:rsidRPr="006B7451">
              <w:rPr>
                <w:sz w:val="20"/>
                <w:szCs w:val="20"/>
              </w:rPr>
              <w:t>28,0</w:t>
            </w:r>
          </w:p>
        </w:tc>
      </w:tr>
      <w:tr w:rsidRPr="006B7451" w:rsidR="007115AA" w:rsidTr="00C939FB" w14:paraId="00B72E09" w14:textId="77777777">
        <w:tc>
          <w:tcPr>
            <w:tcW w:w="1717" w:type="pct"/>
          </w:tcPr>
          <w:p w:rsidRPr="006B7451" w:rsidR="007115AA" w:rsidP="00C939FB" w:rsidRDefault="007115AA" w14:paraId="1BCD2D3A" w14:textId="77777777">
            <w:pPr>
              <w:spacing w:before="80" w:line="240" w:lineRule="exact"/>
              <w:ind w:firstLine="0"/>
              <w:rPr>
                <w:sz w:val="20"/>
                <w:szCs w:val="20"/>
              </w:rPr>
            </w:pPr>
            <w:r w:rsidRPr="006B7451">
              <w:rPr>
                <w:sz w:val="20"/>
                <w:szCs w:val="20"/>
              </w:rPr>
              <w:t>Afrika</w:t>
            </w:r>
          </w:p>
        </w:tc>
        <w:tc>
          <w:tcPr>
            <w:tcW w:w="3283" w:type="pct"/>
          </w:tcPr>
          <w:p w:rsidRPr="006B7451" w:rsidR="007115AA" w:rsidP="00C939FB" w:rsidRDefault="007115AA" w14:paraId="294CC1E5" w14:textId="77777777">
            <w:pPr>
              <w:spacing w:before="80" w:line="240" w:lineRule="exact"/>
              <w:ind w:firstLine="0"/>
              <w:jc w:val="right"/>
              <w:rPr>
                <w:sz w:val="20"/>
                <w:szCs w:val="20"/>
              </w:rPr>
            </w:pPr>
            <w:r w:rsidRPr="006B7451">
              <w:rPr>
                <w:sz w:val="20"/>
                <w:szCs w:val="20"/>
              </w:rPr>
              <w:t>30,1</w:t>
            </w:r>
          </w:p>
        </w:tc>
      </w:tr>
      <w:tr w:rsidRPr="006B7451" w:rsidR="007115AA" w:rsidTr="00C939FB" w14:paraId="502F38E6" w14:textId="77777777">
        <w:tc>
          <w:tcPr>
            <w:tcW w:w="1717" w:type="pct"/>
            <w:tcBorders>
              <w:bottom w:val="single" w:color="auto" w:sz="4" w:space="0"/>
            </w:tcBorders>
          </w:tcPr>
          <w:p w:rsidRPr="006B7451" w:rsidR="007115AA" w:rsidP="00C939FB" w:rsidRDefault="007115AA" w14:paraId="0E6DB975" w14:textId="77777777">
            <w:pPr>
              <w:spacing w:before="80" w:line="240" w:lineRule="exact"/>
              <w:ind w:firstLine="0"/>
              <w:rPr>
                <w:sz w:val="20"/>
                <w:szCs w:val="20"/>
              </w:rPr>
            </w:pPr>
            <w:r w:rsidRPr="006B7451">
              <w:rPr>
                <w:sz w:val="20"/>
                <w:szCs w:val="20"/>
              </w:rPr>
              <w:t>Övriga länder</w:t>
            </w:r>
          </w:p>
        </w:tc>
        <w:tc>
          <w:tcPr>
            <w:tcW w:w="3283" w:type="pct"/>
            <w:tcBorders>
              <w:bottom w:val="single" w:color="auto" w:sz="4" w:space="0"/>
            </w:tcBorders>
          </w:tcPr>
          <w:p w:rsidRPr="006B7451" w:rsidR="007115AA" w:rsidP="00C939FB" w:rsidRDefault="007115AA" w14:paraId="22707B19" w14:textId="77777777">
            <w:pPr>
              <w:spacing w:before="80" w:line="240" w:lineRule="exact"/>
              <w:ind w:firstLine="0"/>
              <w:jc w:val="right"/>
              <w:rPr>
                <w:sz w:val="20"/>
                <w:szCs w:val="20"/>
              </w:rPr>
            </w:pPr>
            <w:r w:rsidRPr="006B7451">
              <w:rPr>
                <w:sz w:val="20"/>
                <w:szCs w:val="20"/>
              </w:rPr>
              <w:t>12,5</w:t>
            </w:r>
          </w:p>
        </w:tc>
      </w:tr>
    </w:tbl>
    <w:p w:rsidRPr="00C939FB" w:rsidR="007115AA" w:rsidP="00C939FB" w:rsidRDefault="007115AA" w14:paraId="3EA6A456" w14:textId="4966CCB8">
      <w:pPr>
        <w:pStyle w:val="Klla"/>
      </w:pPr>
      <w:r w:rsidRPr="00C939FB">
        <w:t>Källa: SCB</w:t>
      </w:r>
      <w:r w:rsidR="00C939FB">
        <w:t>.</w:t>
      </w:r>
    </w:p>
    <w:p w:rsidR="00106AEE" w:rsidP="00C939FB" w:rsidRDefault="007115AA" w14:paraId="19FB520F" w14:textId="1D2FEA9F">
      <w:pPr>
        <w:pStyle w:val="Normalutanindragellerluft"/>
        <w:spacing w:before="150"/>
      </w:pPr>
      <w:r w:rsidRPr="006B7451">
        <w:t>Med de</w:t>
      </w:r>
      <w:r w:rsidRPr="006B7451" w:rsidR="00106AEE">
        <w:t xml:space="preserve"> tekn</w:t>
      </w:r>
      <w:r w:rsidRPr="006B7451">
        <w:t>iska</w:t>
      </w:r>
      <w:r w:rsidRPr="006B7451" w:rsidR="00106AEE">
        <w:t xml:space="preserve"> framsteg</w:t>
      </w:r>
      <w:r w:rsidRPr="006B7451">
        <w:t xml:space="preserve"> som sker samt den</w:t>
      </w:r>
      <w:r w:rsidRPr="006B7451" w:rsidR="00106AEE">
        <w:t xml:space="preserve"> fortsatt</w:t>
      </w:r>
      <w:r w:rsidRPr="006B7451">
        <w:t>a</w:t>
      </w:r>
      <w:r w:rsidRPr="006B7451" w:rsidR="00106AEE">
        <w:t xml:space="preserve"> automatisering</w:t>
      </w:r>
      <w:r w:rsidRPr="006B7451">
        <w:t>en</w:t>
      </w:r>
      <w:r w:rsidRPr="006B7451" w:rsidR="00106AEE">
        <w:t xml:space="preserve"> och digitali</w:t>
      </w:r>
      <w:r w:rsidR="00BE1094">
        <w:softHyphen/>
      </w:r>
      <w:r w:rsidRPr="006B7451" w:rsidR="00106AEE">
        <w:t>sering</w:t>
      </w:r>
      <w:r w:rsidRPr="006B7451">
        <w:t>en</w:t>
      </w:r>
      <w:r w:rsidRPr="006B7451" w:rsidR="001A5B64">
        <w:t>,</w:t>
      </w:r>
      <w:r w:rsidRPr="006B7451" w:rsidR="00106AEE">
        <w:t xml:space="preserve"> som minskar efterfrågan på okvalificerad arbetskraft</w:t>
      </w:r>
      <w:r w:rsidRPr="006B7451" w:rsidR="001A5B64">
        <w:t>,</w:t>
      </w:r>
      <w:r w:rsidRPr="006B7451">
        <w:t xml:space="preserve"> är </w:t>
      </w:r>
      <w:r w:rsidRPr="006B7451" w:rsidR="00106AEE">
        <w:t>gruppen utrikes födda</w:t>
      </w:r>
      <w:r w:rsidRPr="006B7451">
        <w:t xml:space="preserve"> fortsatt i riskzonen givet den demografiska sammansättningen.</w:t>
      </w:r>
      <w:r w:rsidRPr="006B7451" w:rsidR="00106AEE">
        <w:t xml:space="preserve"> Regeringens tidigare riktade åtgärder för att minska gapet har </w:t>
      </w:r>
      <w:r w:rsidRPr="006B7451" w:rsidR="00053B01">
        <w:t>gett få eller inga resultat</w:t>
      </w:r>
      <w:r w:rsidRPr="006B7451" w:rsidR="00106AEE">
        <w:t>. Det blir allt tydligare att regeringens försök att anpassa arbetsmarknaden efter nyanlända i</w:t>
      </w:r>
      <w:r w:rsidRPr="006B7451" w:rsidR="00377173">
        <w:t xml:space="preserve"> </w:t>
      </w:r>
      <w:r w:rsidRPr="006B7451" w:rsidR="00106AEE">
        <w:t>stället för att anpassa de nyanlända till arbetsmarknaden har varit en misslyckad strategi.</w:t>
      </w:r>
      <w:r w:rsidRPr="006B7451" w:rsidR="00053B01">
        <w:t xml:space="preserve"> </w:t>
      </w:r>
      <w:r w:rsidRPr="006B7451" w:rsidR="00106AEE">
        <w:t>Prognosen för hur arbetslösheten utvecklar sig är fortfarande osäker och beror på en rad faktorer såsom pandemins utveckling, vaccinationen</w:t>
      </w:r>
      <w:r w:rsidRPr="006B7451" w:rsidR="001A5B64">
        <w:t xml:space="preserve"> samt</w:t>
      </w:r>
      <w:r w:rsidRPr="006B7451" w:rsidR="00106AEE">
        <w:t xml:space="preserve"> hur länge och i vilken grad regeringen fortsätter att stödja och stimulera ekonomin. </w:t>
      </w:r>
    </w:p>
    <w:p w:rsidRPr="006B7451" w:rsidR="00106AEE" w:rsidP="004F1EA3" w:rsidRDefault="00106AEE" w14:paraId="5987C29E" w14:textId="3421F998">
      <w:r w:rsidRPr="006B7451">
        <w:t xml:space="preserve">Arbetslöshetens sammansättning och struktur har genomgått en avsevärd förändring efter 1990-talskrisen. Den genomsnittliga arbetslöshetsnivån har ökat, både i absoluta tal och i förhållande till övriga Norden. Parallellt med att den generella arbetslösheten har ökat har antalet inskrivna arbetssökande med en svag ställning på arbetsmarknaden </w:t>
      </w:r>
      <w:r w:rsidRPr="006B7451" w:rsidR="001A5B64">
        <w:t>ökat</w:t>
      </w:r>
      <w:r w:rsidRPr="006B7451">
        <w:t xml:space="preserve">. </w:t>
      </w:r>
      <w:r w:rsidRPr="006B7451" w:rsidR="00053B01">
        <w:t>A</w:t>
      </w:r>
      <w:r w:rsidRPr="006B7451">
        <w:t>ntalet personer som tillhör dessa grupper – personer med kortare utbildning, utrikes födda, äldre och personer med en eller flera funktionsnedsättningar som medför nedsatt arbetsförmåga – nästintill fördubbla</w:t>
      </w:r>
      <w:r w:rsidRPr="006B7451" w:rsidR="00053B01">
        <w:t>des</w:t>
      </w:r>
      <w:r w:rsidRPr="006B7451">
        <w:t xml:space="preserve"> mellan åren 2008</w:t>
      </w:r>
      <w:r w:rsidR="009C1EEF">
        <w:t xml:space="preserve"> och </w:t>
      </w:r>
      <w:r w:rsidRPr="006B7451">
        <w:t>2014. Därefter har utvecklingen fortsatt i samma riktning, där främst utomeuropeiskt födda har stått för ökningen.</w:t>
      </w:r>
    </w:p>
    <w:p w:rsidRPr="00B3746F" w:rsidR="007364C6" w:rsidP="00B3746F" w:rsidRDefault="007364C6" w14:paraId="484217F1" w14:textId="4461FFEC">
      <w:pPr>
        <w:pStyle w:val="Tabellrubrik"/>
      </w:pPr>
      <w:r w:rsidRPr="00B3746F">
        <w:t xml:space="preserve">Figur </w:t>
      </w:r>
      <w:r w:rsidR="00B3746F">
        <w:t>7</w:t>
      </w:r>
      <w:r w:rsidRPr="00B3746F">
        <w:t xml:space="preserve"> Andel utomeuropeiskt inskrivna på </w:t>
      </w:r>
      <w:r w:rsidR="008B32BF">
        <w:t>A</w:t>
      </w:r>
      <w:r w:rsidRPr="00B3746F">
        <w:t>rbetsförmedlingen, 2005–2021</w:t>
      </w:r>
    </w:p>
    <w:p w:rsidRPr="006B7451" w:rsidR="007364C6" w:rsidP="007364C6" w:rsidRDefault="00D31B91" w14:paraId="2A9D4BA6" w14:textId="77777777">
      <w:pPr>
        <w:keepNext/>
        <w:ind w:firstLine="0"/>
      </w:pPr>
      <w:r w:rsidRPr="006B7451">
        <w:rPr>
          <w:noProof/>
          <w14:numSpacing w14:val="default"/>
        </w:rPr>
        <w:drawing>
          <wp:inline distT="0" distB="0" distL="0" distR="0" wp14:anchorId="7D69C244" wp14:editId="5549592A">
            <wp:extent cx="5400000" cy="2743200"/>
            <wp:effectExtent l="0" t="0" r="0" b="0"/>
            <wp:docPr id="5" name="Diagram 5" descr="">
              <a:extLst xmlns:a="http://schemas.openxmlformats.org/drawingml/2006/main">
                <a:ext uri="{FF2B5EF4-FFF2-40B4-BE49-F238E27FC236}">
                  <a16:creationId xmlns:a16="http://schemas.microsoft.com/office/drawing/2014/main" id="{5ACCDD31-2271-4C61-B667-40D318B72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8B32BF" w:rsidR="007364C6" w:rsidP="008B32BF" w:rsidRDefault="007364C6" w14:paraId="6F6BE3A3" w14:textId="123EB34F">
      <w:pPr>
        <w:pStyle w:val="Klla"/>
      </w:pPr>
      <w:r w:rsidRPr="008B32BF">
        <w:t>Källa: Arbetsförmedlingen</w:t>
      </w:r>
      <w:r w:rsidR="008B32BF">
        <w:t>.</w:t>
      </w:r>
    </w:p>
    <w:p w:rsidRPr="006B7451" w:rsidR="00600FBB" w:rsidP="00ED5D60" w:rsidRDefault="00600FBB" w14:paraId="1908D73C" w14:textId="329EA5AD">
      <w:pPr>
        <w:pStyle w:val="Rubrik2numrerat"/>
      </w:pPr>
      <w:bookmarkStart w:name="_Toc121752526" w:id="15"/>
      <w:r w:rsidRPr="006B7451">
        <w:lastRenderedPageBreak/>
        <w:t>Pandemin medför en fortsatt ovisshet</w:t>
      </w:r>
      <w:bookmarkEnd w:id="15"/>
    </w:p>
    <w:p w:rsidRPr="006B7451" w:rsidR="00600FBB" w:rsidP="00F651EB" w:rsidRDefault="00600FBB" w14:paraId="0335C562" w14:textId="46199E76">
      <w:pPr>
        <w:pStyle w:val="Normalutanindragellerluft"/>
      </w:pPr>
      <w:r w:rsidRPr="006B7451">
        <w:t xml:space="preserve">Åtgärderna för att begränsa pandemins påverkan på arbetsmarknaden har gett resultat. Möjligheten till korttidsarbete, som innebär att den anställde permitteras på upp till 80 procent av sin ordinarie arbetstid samtidigt som staten betalar stöd för en del av lönen för den tid som den anställde inte arbetar, infördes under våren 2020 och omfattade som mest cirka 270 000 personer under maj 2020. Därefter har antalet kontinuerligt minskat och </w:t>
      </w:r>
      <w:r w:rsidR="00EB74D7">
        <w:t>det v</w:t>
      </w:r>
      <w:r w:rsidRPr="006B7451">
        <w:t>ar under juni och juli 2021 nästintill obefintligt. Därutöver har företag som till följd av pandemin fått kraftigt minskad omsättning kunnat söka särskilt stöd. Medan det har varit positivt med stöd som riktar sig till både företag och anställda har det varit problematiskt att kraven för utbetalningen av stöden har varierat kraftigt under pandemin, vilket har skapat en osäkerhet för företagen</w:t>
      </w:r>
      <w:r w:rsidRPr="006B7451" w:rsidR="0042266B">
        <w:t xml:space="preserve"> och lett till att de har fått </w:t>
      </w:r>
      <w:r w:rsidRPr="006B7451">
        <w:t xml:space="preserve">sämre förutsättningar att </w:t>
      </w:r>
      <w:r w:rsidRPr="006B7451" w:rsidR="0042266B">
        <w:t xml:space="preserve">kunna </w:t>
      </w:r>
      <w:r w:rsidRPr="006B7451">
        <w:t>behålla personal.</w:t>
      </w:r>
    </w:p>
    <w:p w:rsidRPr="006B7451" w:rsidR="00600FBB" w:rsidP="00600FBB" w:rsidRDefault="00600FBB" w14:paraId="40E1F700" w14:textId="01C4A38E">
      <w:r w:rsidRPr="006B7451">
        <w:t xml:space="preserve">Förutsatt att smittspridningen fortsätter att minska i samhället är det troligt </w:t>
      </w:r>
      <w:r w:rsidRPr="006B7451" w:rsidR="0042266B">
        <w:t xml:space="preserve">att det blir </w:t>
      </w:r>
      <w:r w:rsidRPr="006B7451">
        <w:t>en fortsatt återhämtning i de drabbade branscherna, men det går inte att utesluta ytterligare smittvågor och därmed bör det finnas en beredskap för ytterligare stöd</w:t>
      </w:r>
      <w:r w:rsidR="00BE1094">
        <w:softHyphen/>
      </w:r>
      <w:r w:rsidRPr="006B7451">
        <w:t>åtgärder. Vissa stödåtgärder har även inneburit att företagens kostnader har skjutits framåt för att skapa ett tillfälligt andrum. Här kan exempelvis anstånden med skatte</w:t>
      </w:r>
      <w:r w:rsidR="00BE1094">
        <w:softHyphen/>
      </w:r>
      <w:r w:rsidRPr="006B7451">
        <w:t>inbetalning nämnas, som innebär att företag kan skjuta upp inbetalningar av arbets</w:t>
      </w:r>
      <w:r w:rsidR="00BE1094">
        <w:softHyphen/>
      </w:r>
      <w:r w:rsidRPr="006B7451">
        <w:t xml:space="preserve">givaravgifter, preliminärskatt för anställdas löner och moms. Dessa företag kommer snart att få krav </w:t>
      </w:r>
      <w:r w:rsidR="00043110">
        <w:t xml:space="preserve">på </w:t>
      </w:r>
      <w:r w:rsidRPr="006B7451">
        <w:t>att betala in hela den uppskjuta skatten utan möjlighet att amortera skulden över en längre tid. Totalt berörs cirka 51 000 företag, med en gemensam skuld som uppgår till 51 miljarder kronor. Följaktligen finns det en överhängande risk för markant högre konkurstal under 2022 om inte åtgärder införs för att förlänga anståndstiden.</w:t>
      </w:r>
    </w:p>
    <w:p w:rsidR="00381FD6" w:rsidRDefault="00381FD6" w14:paraId="37CD8FE6" w14:textId="3E9FBC4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27185" w:rsidP="00ED5D60" w:rsidRDefault="00D27185" w14:paraId="64162D50" w14:textId="179B5F32">
      <w:pPr>
        <w:pStyle w:val="Rubrik1numrerat"/>
      </w:pPr>
      <w:bookmarkStart w:name="_Toc121752527" w:id="16"/>
      <w:r w:rsidRPr="006B7451">
        <w:lastRenderedPageBreak/>
        <w:t>Arbete/</w:t>
      </w:r>
      <w:r w:rsidR="00031AF0">
        <w:t>f</w:t>
      </w:r>
      <w:r w:rsidRPr="006B7451">
        <w:t>öretag</w:t>
      </w:r>
      <w:bookmarkEnd w:id="16"/>
    </w:p>
    <w:p w:rsidRPr="006B7451" w:rsidR="00BD6EBF" w:rsidP="00BD6EBF" w:rsidRDefault="00BD6EBF" w14:paraId="41D55032" w14:textId="6B6F400F">
      <w:pPr>
        <w:ind w:firstLine="0"/>
      </w:pPr>
      <w:r w:rsidRPr="006B7451">
        <w:t>Grunden för ett fungerande välfärdssamhälle är att alla är med och bidrar efter förmåga</w:t>
      </w:r>
      <w:r w:rsidRPr="006B7451" w:rsidR="0042266B">
        <w:t>.</w:t>
      </w:r>
      <w:r w:rsidRPr="006B7451" w:rsidR="003101B3">
        <w:t xml:space="preserve"> </w:t>
      </w:r>
      <w:r w:rsidRPr="006B7451" w:rsidR="0042266B">
        <w:t>D</w:t>
      </w:r>
      <w:r w:rsidRPr="006B7451">
        <w:t xml:space="preserve">en som kan jobba ska jobba. </w:t>
      </w:r>
      <w:r w:rsidRPr="006B7451" w:rsidR="002C456D">
        <w:t>Så är dock inte fallet i dag.</w:t>
      </w:r>
    </w:p>
    <w:p w:rsidRPr="006B7451" w:rsidR="002C456D" w:rsidP="002C456D" w:rsidRDefault="00274367" w14:paraId="2F726ADA" w14:textId="305B6ADB">
      <w:r w:rsidRPr="006B7451">
        <w:t xml:space="preserve">Sverige har stora samhällsproblem som åtminstone delvis kan förklaras med att stora grupper står </w:t>
      </w:r>
      <w:r w:rsidRPr="006B7451" w:rsidR="00BD6EBF">
        <w:t xml:space="preserve">långt </w:t>
      </w:r>
      <w:r w:rsidR="00542379">
        <w:t>i</w:t>
      </w:r>
      <w:r w:rsidRPr="006B7451" w:rsidR="00BD6EBF">
        <w:t>från arbetsmarknaden</w:t>
      </w:r>
      <w:r w:rsidRPr="006B7451">
        <w:t xml:space="preserve">. I många fall gäller det människor som faktiskt har potential att arbeta. </w:t>
      </w:r>
      <w:r w:rsidRPr="006B7451" w:rsidR="00BD6EBF">
        <w:t xml:space="preserve">Regeringen har under lång tid varit kreativa i att konstruera ineffektiva anställningar för dem som står långt ifrån arbetsmarknaden i form </w:t>
      </w:r>
      <w:r w:rsidR="00EA225E">
        <w:t xml:space="preserve">av </w:t>
      </w:r>
      <w:r w:rsidRPr="006B7451" w:rsidR="00BD6EBF">
        <w:t>nystartsjobb, etableringsanställningar och introduktionsjobb</w:t>
      </w:r>
      <w:r w:rsidRPr="006B7451" w:rsidR="0042266B">
        <w:t xml:space="preserve">. Dessa satsningar </w:t>
      </w:r>
      <w:r w:rsidRPr="006B7451" w:rsidR="00BD6EBF">
        <w:t xml:space="preserve">har visat sig </w:t>
      </w:r>
      <w:r w:rsidRPr="006B7451" w:rsidR="0042266B">
        <w:t xml:space="preserve">vara </w:t>
      </w:r>
      <w:r w:rsidRPr="006B7451" w:rsidR="00BD6EBF">
        <w:t>verkningslösa</w:t>
      </w:r>
      <w:r w:rsidRPr="006B7451" w:rsidR="002C456D">
        <w:t>.</w:t>
      </w:r>
    </w:p>
    <w:p w:rsidRPr="006B7451" w:rsidR="006A56EA" w:rsidP="00B555B2" w:rsidRDefault="002C456D" w14:paraId="5379FB1F" w14:textId="4A6A8542">
      <w:r w:rsidRPr="006B7451">
        <w:t>För att minska arbetslösheten måste åtgärderna rikta sig mot de områden där riktiga arbetstillfällen skapas: hos företag som expanderar och nyanställer på grund av tillväxt</w:t>
      </w:r>
      <w:r w:rsidRPr="006B7451" w:rsidR="0042266B">
        <w:t xml:space="preserve">, </w:t>
      </w:r>
      <w:r w:rsidRPr="006B7451">
        <w:t>inte på grund av massiva subventioner från staten. Det behöver bli billigare och lättare att starta företag, mer gynnsamt att expandera verksamheten</w:t>
      </w:r>
      <w:r w:rsidRPr="006B7451" w:rsidR="00457F2C">
        <w:t xml:space="preserve"> samt </w:t>
      </w:r>
      <w:r w:rsidRPr="006B7451">
        <w:t>mer lönsamt att gå från bidrag till arbete.</w:t>
      </w:r>
    </w:p>
    <w:p w:rsidRPr="006B7451" w:rsidR="00D67D66" w:rsidP="00ED5D60" w:rsidRDefault="00D67D66" w14:paraId="09A3AA82" w14:textId="77777777">
      <w:pPr>
        <w:pStyle w:val="Rubrik2numrerat"/>
      </w:pPr>
      <w:bookmarkStart w:name="_Toc121752528" w:id="17"/>
      <w:r w:rsidRPr="006B7451">
        <w:t>Mer i plånboken för arbetstagare och pensionärer</w:t>
      </w:r>
      <w:bookmarkEnd w:id="17"/>
    </w:p>
    <w:p w:rsidRPr="006B7451" w:rsidR="00D67D66" w:rsidP="00AB32CA" w:rsidRDefault="00D67D66" w14:paraId="66D0F353" w14:textId="77777777">
      <w:pPr>
        <w:pStyle w:val="Normalutanindragellerluft"/>
      </w:pPr>
      <w:r w:rsidRPr="006B7451">
        <w:rPr>
          <w:b/>
        </w:rPr>
        <w:t>Sverigedemokraternas förslag</w:t>
      </w:r>
      <w:r w:rsidRPr="00AB32CA">
        <w:t xml:space="preserve">: </w:t>
      </w:r>
      <w:r w:rsidRPr="006B7451" w:rsidR="00516344">
        <w:t>En skattereduktion för arbetstagare och pensionärer ska införas.</w:t>
      </w:r>
      <w:r w:rsidRPr="006B7451" w:rsidR="001E1919">
        <w:t xml:space="preserve"> </w:t>
      </w:r>
    </w:p>
    <w:p w:rsidRPr="006B7451" w:rsidR="00D67D66" w:rsidP="00AB32CA" w:rsidRDefault="00D67D66" w14:paraId="79139688" w14:textId="73871568">
      <w:pPr>
        <w:pStyle w:val="Normalutanindragellerluft"/>
        <w:spacing w:before="150"/>
      </w:pPr>
      <w:r w:rsidRPr="006B7451">
        <w:t>Medan lägre arbetsgivaravgifter vid de första anställningarna är en effektiv åtgärd för att möjliggöra för mindre företag att nyanställa i samband med att coronarestriktionerna lyfter och återhämtningen kommer igång finns det samtidigt anledning att stärka ekonomin för arbetstagare och pensionärer och då särskilt bland dem med lägre inkomster.</w:t>
      </w:r>
    </w:p>
    <w:p w:rsidRPr="006B7451" w:rsidR="00B71288" w:rsidP="009B7CE4" w:rsidRDefault="00D67D66" w14:paraId="7F82E85F" w14:textId="7D7CC8BF">
      <w:r w:rsidRPr="006B7451">
        <w:t>Sverigedemokraterna föreslår därför att det så kallade jobbskatteavdraget förstärks med en finansiering motsvarande 10 miljarder kronor, som innefattar både inkomst av tjänst och inkomst av pension. För en medelinkomsttagare skulle förslaget innebära 1</w:t>
      </w:r>
      <w:r w:rsidR="00381892">
        <w:t> </w:t>
      </w:r>
      <w:r w:rsidRPr="006B7451">
        <w:t>300–1</w:t>
      </w:r>
      <w:r w:rsidR="00381892">
        <w:t> </w:t>
      </w:r>
      <w:r w:rsidRPr="006B7451">
        <w:t>400 kronor mer i plånboken varje år, samtidigt som personer med lägre inkomster får en större relativ ökning av den ekonomiska standarden.</w:t>
      </w:r>
    </w:p>
    <w:p w:rsidRPr="00F651EB" w:rsidR="00D67D66" w:rsidP="00F651EB" w:rsidRDefault="00D67D66" w14:paraId="5C198636" w14:textId="3E1F254E">
      <w:pPr>
        <w:pStyle w:val="Tabellrubrik"/>
      </w:pPr>
      <w:r w:rsidRPr="00F651EB">
        <w:t xml:space="preserve">Tabell </w:t>
      </w:r>
      <w:r w:rsidR="00F651EB">
        <w:t>5</w:t>
      </w:r>
      <w:r w:rsidRPr="00F651EB">
        <w:t xml:space="preserve"> – Genomsnittlig förändring av disponibel inkomst per konsumtionsenhet berörda av förslaget, år 2022</w:t>
      </w:r>
    </w:p>
    <w:tbl>
      <w:tblPr>
        <w:tblStyle w:val="Tabellrutnt"/>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1774"/>
        <w:gridCol w:w="2762"/>
        <w:gridCol w:w="3686"/>
      </w:tblGrid>
      <w:tr w:rsidRPr="006B7451" w:rsidR="00D67D66" w:rsidTr="00AB32CA" w14:paraId="37CC6CAF" w14:textId="77777777">
        <w:tc>
          <w:tcPr>
            <w:tcW w:w="1774" w:type="dxa"/>
            <w:tcBorders>
              <w:top w:val="single" w:color="auto" w:sz="2" w:space="0"/>
              <w:bottom w:val="single" w:color="auto" w:sz="4" w:space="0"/>
            </w:tcBorders>
          </w:tcPr>
          <w:p w:rsidRPr="006B7451" w:rsidR="00D67D66" w:rsidP="00AB32CA" w:rsidRDefault="00D67D66" w14:paraId="5A3EAFA4" w14:textId="77777777">
            <w:pPr>
              <w:pStyle w:val="Tabell-Kolumnrubrik"/>
              <w:rPr>
                <w:szCs w:val="20"/>
              </w:rPr>
            </w:pPr>
            <w:proofErr w:type="spellStart"/>
            <w:r w:rsidRPr="006B7451">
              <w:rPr>
                <w:szCs w:val="20"/>
              </w:rPr>
              <w:t>Decil</w:t>
            </w:r>
            <w:proofErr w:type="spellEnd"/>
          </w:p>
        </w:tc>
        <w:tc>
          <w:tcPr>
            <w:tcW w:w="2762" w:type="dxa"/>
            <w:tcBorders>
              <w:top w:val="single" w:color="auto" w:sz="2" w:space="0"/>
              <w:bottom w:val="single" w:color="auto" w:sz="4" w:space="0"/>
            </w:tcBorders>
          </w:tcPr>
          <w:p w:rsidRPr="006B7451" w:rsidR="00D67D66" w:rsidP="00AB32CA" w:rsidRDefault="00D67D66" w14:paraId="31E5013E" w14:textId="77777777">
            <w:pPr>
              <w:pStyle w:val="Tabell-Kolumnrubrik"/>
              <w:jc w:val="right"/>
            </w:pPr>
            <w:r w:rsidRPr="006B7451">
              <w:t xml:space="preserve">Kronor per konsumtionsenhet  </w:t>
            </w:r>
          </w:p>
        </w:tc>
        <w:tc>
          <w:tcPr>
            <w:tcW w:w="3686" w:type="dxa"/>
            <w:tcBorders>
              <w:top w:val="single" w:color="auto" w:sz="2" w:space="0"/>
              <w:bottom w:val="single" w:color="auto" w:sz="4" w:space="0"/>
            </w:tcBorders>
          </w:tcPr>
          <w:p w:rsidRPr="006B7451" w:rsidR="00D67D66" w:rsidP="00AB32CA" w:rsidRDefault="00D67D66" w14:paraId="396D791F" w14:textId="77777777">
            <w:pPr>
              <w:pStyle w:val="Tabell-Kolumnrubrik"/>
              <w:jc w:val="right"/>
            </w:pPr>
            <w:r w:rsidRPr="006B7451">
              <w:t>Procentuell förändring av disponibel inkomst per konsumtionsenhet</w:t>
            </w:r>
          </w:p>
        </w:tc>
      </w:tr>
      <w:tr w:rsidRPr="006B7451" w:rsidR="00D67D66" w:rsidTr="00AB32CA" w14:paraId="61024464" w14:textId="77777777">
        <w:tc>
          <w:tcPr>
            <w:tcW w:w="1774" w:type="dxa"/>
          </w:tcPr>
          <w:p w:rsidRPr="006B7451" w:rsidR="00D67D66" w:rsidP="00114151" w:rsidRDefault="00D67D66" w14:paraId="387247EC" w14:textId="77777777">
            <w:pPr>
              <w:pStyle w:val="Tabell-Radrubrik"/>
            </w:pPr>
            <w:r w:rsidRPr="006B7451">
              <w:t>1</w:t>
            </w:r>
          </w:p>
        </w:tc>
        <w:tc>
          <w:tcPr>
            <w:tcW w:w="2762" w:type="dxa"/>
          </w:tcPr>
          <w:p w:rsidRPr="006B7451" w:rsidR="00D67D66" w:rsidP="00114151" w:rsidRDefault="00D67D66" w14:paraId="133DF41E" w14:textId="77777777">
            <w:pPr>
              <w:pStyle w:val="Tabell-Siffror"/>
            </w:pPr>
            <w:r w:rsidRPr="006B7451">
              <w:t>800</w:t>
            </w:r>
          </w:p>
        </w:tc>
        <w:tc>
          <w:tcPr>
            <w:tcW w:w="3686" w:type="dxa"/>
          </w:tcPr>
          <w:p w:rsidRPr="006B7451" w:rsidR="00D67D66" w:rsidP="00114151" w:rsidRDefault="00D67D66" w14:paraId="4ACACC09" w14:textId="77777777">
            <w:pPr>
              <w:pStyle w:val="Tabell-Siffror"/>
            </w:pPr>
            <w:r w:rsidRPr="006B7451">
              <w:t>0,66</w:t>
            </w:r>
          </w:p>
        </w:tc>
      </w:tr>
      <w:tr w:rsidRPr="006B7451" w:rsidR="00D67D66" w:rsidTr="00AB32CA" w14:paraId="1EB2DACB" w14:textId="77777777">
        <w:tc>
          <w:tcPr>
            <w:tcW w:w="1774" w:type="dxa"/>
          </w:tcPr>
          <w:p w:rsidRPr="006B7451" w:rsidR="00D67D66" w:rsidP="00114151" w:rsidRDefault="00D67D66" w14:paraId="2F06A957" w14:textId="77777777">
            <w:pPr>
              <w:pStyle w:val="Tabell-Radrubrik"/>
            </w:pPr>
            <w:r w:rsidRPr="006B7451">
              <w:t>2</w:t>
            </w:r>
          </w:p>
        </w:tc>
        <w:tc>
          <w:tcPr>
            <w:tcW w:w="2762" w:type="dxa"/>
          </w:tcPr>
          <w:p w:rsidRPr="006B7451" w:rsidR="00D67D66" w:rsidP="00114151" w:rsidRDefault="00D67D66" w14:paraId="2D9B2F7F" w14:textId="77777777">
            <w:pPr>
              <w:pStyle w:val="Tabell-Siffror"/>
            </w:pPr>
            <w:r w:rsidRPr="006B7451">
              <w:t>1 100</w:t>
            </w:r>
          </w:p>
        </w:tc>
        <w:tc>
          <w:tcPr>
            <w:tcW w:w="3686" w:type="dxa"/>
          </w:tcPr>
          <w:p w:rsidRPr="006B7451" w:rsidR="00D67D66" w:rsidP="00114151" w:rsidRDefault="00D67D66" w14:paraId="3579DA27" w14:textId="77777777">
            <w:pPr>
              <w:pStyle w:val="Tabell-Siffror"/>
            </w:pPr>
            <w:r w:rsidRPr="006B7451">
              <w:t>0,66</w:t>
            </w:r>
          </w:p>
        </w:tc>
      </w:tr>
      <w:tr w:rsidRPr="006B7451" w:rsidR="00D67D66" w:rsidTr="00AB32CA" w14:paraId="2C15C7F2" w14:textId="77777777">
        <w:tc>
          <w:tcPr>
            <w:tcW w:w="1774" w:type="dxa"/>
          </w:tcPr>
          <w:p w:rsidRPr="006B7451" w:rsidR="00D67D66" w:rsidP="00114151" w:rsidRDefault="00D67D66" w14:paraId="4E80624E" w14:textId="77777777">
            <w:pPr>
              <w:pStyle w:val="Tabell-Radrubrik"/>
            </w:pPr>
            <w:r w:rsidRPr="006B7451">
              <w:t>3</w:t>
            </w:r>
          </w:p>
        </w:tc>
        <w:tc>
          <w:tcPr>
            <w:tcW w:w="2762" w:type="dxa"/>
          </w:tcPr>
          <w:p w:rsidRPr="006B7451" w:rsidR="00D67D66" w:rsidP="00114151" w:rsidRDefault="00D67D66" w14:paraId="2E482BE5" w14:textId="77777777">
            <w:pPr>
              <w:pStyle w:val="Tabell-Siffror"/>
              <w:rPr>
                <w:szCs w:val="20"/>
              </w:rPr>
            </w:pPr>
            <w:r w:rsidRPr="006B7451">
              <w:t>1 200</w:t>
            </w:r>
          </w:p>
        </w:tc>
        <w:tc>
          <w:tcPr>
            <w:tcW w:w="3686" w:type="dxa"/>
          </w:tcPr>
          <w:p w:rsidRPr="006B7451" w:rsidR="00D67D66" w:rsidP="00114151" w:rsidRDefault="00D67D66" w14:paraId="21C8B6B3" w14:textId="77777777">
            <w:pPr>
              <w:pStyle w:val="Tabell-Siffror"/>
              <w:rPr>
                <w:szCs w:val="20"/>
              </w:rPr>
            </w:pPr>
            <w:r w:rsidRPr="006B7451">
              <w:t>0,60</w:t>
            </w:r>
          </w:p>
        </w:tc>
      </w:tr>
      <w:tr w:rsidRPr="006B7451" w:rsidR="00D67D66" w:rsidTr="00AB32CA" w14:paraId="7AFD709F" w14:textId="77777777">
        <w:tc>
          <w:tcPr>
            <w:tcW w:w="1774" w:type="dxa"/>
          </w:tcPr>
          <w:p w:rsidRPr="006B7451" w:rsidR="00D67D66" w:rsidP="00114151" w:rsidRDefault="00D67D66" w14:paraId="5AA45D5D" w14:textId="77777777">
            <w:pPr>
              <w:pStyle w:val="Tabell-Radrubrik"/>
            </w:pPr>
            <w:r w:rsidRPr="006B7451">
              <w:t>4</w:t>
            </w:r>
          </w:p>
        </w:tc>
        <w:tc>
          <w:tcPr>
            <w:tcW w:w="2762" w:type="dxa"/>
          </w:tcPr>
          <w:p w:rsidRPr="006B7451" w:rsidR="00D67D66" w:rsidP="00114151" w:rsidRDefault="00D67D66" w14:paraId="6E9E9971" w14:textId="77777777">
            <w:pPr>
              <w:pStyle w:val="Tabell-Siffror"/>
            </w:pPr>
            <w:r w:rsidRPr="006B7451">
              <w:t>1 300</w:t>
            </w:r>
          </w:p>
        </w:tc>
        <w:tc>
          <w:tcPr>
            <w:tcW w:w="3686" w:type="dxa"/>
          </w:tcPr>
          <w:p w:rsidRPr="006B7451" w:rsidR="00D67D66" w:rsidP="00114151" w:rsidRDefault="00D67D66" w14:paraId="55716A07" w14:textId="77777777">
            <w:pPr>
              <w:pStyle w:val="Tabell-Siffror"/>
            </w:pPr>
            <w:r w:rsidRPr="006B7451">
              <w:t>0,54</w:t>
            </w:r>
          </w:p>
        </w:tc>
      </w:tr>
      <w:tr w:rsidRPr="006B7451" w:rsidR="00D67D66" w:rsidTr="00AB32CA" w14:paraId="44927F4C" w14:textId="77777777">
        <w:tc>
          <w:tcPr>
            <w:tcW w:w="1774" w:type="dxa"/>
          </w:tcPr>
          <w:p w:rsidRPr="006B7451" w:rsidR="00D67D66" w:rsidP="00114151" w:rsidRDefault="00D67D66" w14:paraId="67D67B0C" w14:textId="77777777">
            <w:pPr>
              <w:pStyle w:val="Tabell-Radrubrik"/>
            </w:pPr>
            <w:r w:rsidRPr="006B7451">
              <w:t>5</w:t>
            </w:r>
          </w:p>
        </w:tc>
        <w:tc>
          <w:tcPr>
            <w:tcW w:w="2762" w:type="dxa"/>
          </w:tcPr>
          <w:p w:rsidRPr="006B7451" w:rsidR="00D67D66" w:rsidP="00114151" w:rsidRDefault="00D67D66" w14:paraId="2A3B5BCB" w14:textId="77777777">
            <w:pPr>
              <w:pStyle w:val="Tabell-Siffror"/>
            </w:pPr>
            <w:r w:rsidRPr="006B7451">
              <w:t>1 300</w:t>
            </w:r>
          </w:p>
        </w:tc>
        <w:tc>
          <w:tcPr>
            <w:tcW w:w="3686" w:type="dxa"/>
          </w:tcPr>
          <w:p w:rsidRPr="006B7451" w:rsidR="00D67D66" w:rsidP="00114151" w:rsidRDefault="00D67D66" w14:paraId="423D4BD2" w14:textId="77777777">
            <w:pPr>
              <w:pStyle w:val="Tabell-Siffror"/>
            </w:pPr>
            <w:r w:rsidRPr="006B7451">
              <w:t>0,49</w:t>
            </w:r>
          </w:p>
        </w:tc>
      </w:tr>
      <w:tr w:rsidRPr="006B7451" w:rsidR="00D67D66" w:rsidTr="00AB32CA" w14:paraId="3778D7D2" w14:textId="77777777">
        <w:tc>
          <w:tcPr>
            <w:tcW w:w="1774" w:type="dxa"/>
          </w:tcPr>
          <w:p w:rsidRPr="006B7451" w:rsidR="00D67D66" w:rsidP="00114151" w:rsidRDefault="00D67D66" w14:paraId="432A4F71" w14:textId="77777777">
            <w:pPr>
              <w:pStyle w:val="Tabell-Radrubrik"/>
            </w:pPr>
            <w:r w:rsidRPr="006B7451">
              <w:t>6</w:t>
            </w:r>
          </w:p>
        </w:tc>
        <w:tc>
          <w:tcPr>
            <w:tcW w:w="2762" w:type="dxa"/>
          </w:tcPr>
          <w:p w:rsidRPr="006B7451" w:rsidR="00D67D66" w:rsidP="00114151" w:rsidRDefault="00D67D66" w14:paraId="49366ACE" w14:textId="77777777">
            <w:pPr>
              <w:pStyle w:val="Tabell-Siffror"/>
            </w:pPr>
            <w:r w:rsidRPr="006B7451">
              <w:t>1 400</w:t>
            </w:r>
          </w:p>
        </w:tc>
        <w:tc>
          <w:tcPr>
            <w:tcW w:w="3686" w:type="dxa"/>
          </w:tcPr>
          <w:p w:rsidRPr="006B7451" w:rsidR="00D67D66" w:rsidP="00114151" w:rsidRDefault="00D67D66" w14:paraId="47AC48FC" w14:textId="77777777">
            <w:pPr>
              <w:pStyle w:val="Tabell-Siffror"/>
            </w:pPr>
            <w:r w:rsidRPr="006B7451">
              <w:t>0,45</w:t>
            </w:r>
          </w:p>
        </w:tc>
      </w:tr>
      <w:tr w:rsidRPr="006B7451" w:rsidR="00D67D66" w:rsidTr="00AB32CA" w14:paraId="05C73E4D" w14:textId="77777777">
        <w:tc>
          <w:tcPr>
            <w:tcW w:w="1774" w:type="dxa"/>
          </w:tcPr>
          <w:p w:rsidRPr="006B7451" w:rsidR="00D67D66" w:rsidP="00114151" w:rsidRDefault="00D67D66" w14:paraId="31FC58D3" w14:textId="77777777">
            <w:pPr>
              <w:pStyle w:val="Tabell-Radrubrik"/>
            </w:pPr>
            <w:r w:rsidRPr="006B7451">
              <w:t>7</w:t>
            </w:r>
          </w:p>
        </w:tc>
        <w:tc>
          <w:tcPr>
            <w:tcW w:w="2762" w:type="dxa"/>
          </w:tcPr>
          <w:p w:rsidRPr="006B7451" w:rsidR="00D67D66" w:rsidP="00114151" w:rsidRDefault="00D67D66" w14:paraId="38E85FB5" w14:textId="77777777">
            <w:pPr>
              <w:pStyle w:val="Tabell-Siffror"/>
            </w:pPr>
            <w:r w:rsidRPr="006B7451">
              <w:t>1 400</w:t>
            </w:r>
          </w:p>
        </w:tc>
        <w:tc>
          <w:tcPr>
            <w:tcW w:w="3686" w:type="dxa"/>
          </w:tcPr>
          <w:p w:rsidRPr="006B7451" w:rsidR="00D67D66" w:rsidP="00114151" w:rsidRDefault="00D67D66" w14:paraId="45AC806A" w14:textId="77777777">
            <w:pPr>
              <w:pStyle w:val="Tabell-Siffror"/>
            </w:pPr>
            <w:r w:rsidRPr="006B7451">
              <w:t>0,42</w:t>
            </w:r>
          </w:p>
        </w:tc>
      </w:tr>
      <w:tr w:rsidRPr="006B7451" w:rsidR="00D67D66" w:rsidTr="00AB32CA" w14:paraId="3D3A421A" w14:textId="77777777">
        <w:tc>
          <w:tcPr>
            <w:tcW w:w="1774" w:type="dxa"/>
          </w:tcPr>
          <w:p w:rsidRPr="006B7451" w:rsidR="00D67D66" w:rsidP="00114151" w:rsidRDefault="00D67D66" w14:paraId="47ADB0A4" w14:textId="77777777">
            <w:pPr>
              <w:pStyle w:val="Tabell-Radrubrik"/>
            </w:pPr>
            <w:r w:rsidRPr="006B7451">
              <w:t>8</w:t>
            </w:r>
          </w:p>
        </w:tc>
        <w:tc>
          <w:tcPr>
            <w:tcW w:w="2762" w:type="dxa"/>
          </w:tcPr>
          <w:p w:rsidRPr="006B7451" w:rsidR="00D67D66" w:rsidP="00114151" w:rsidRDefault="00D67D66" w14:paraId="6D5E64E8" w14:textId="77777777">
            <w:pPr>
              <w:pStyle w:val="Tabell-Siffror"/>
            </w:pPr>
            <w:r w:rsidRPr="006B7451">
              <w:t>1 500</w:t>
            </w:r>
          </w:p>
        </w:tc>
        <w:tc>
          <w:tcPr>
            <w:tcW w:w="3686" w:type="dxa"/>
          </w:tcPr>
          <w:p w:rsidRPr="006B7451" w:rsidR="00D67D66" w:rsidP="00114151" w:rsidRDefault="00D67D66" w14:paraId="5952169C" w14:textId="77777777">
            <w:pPr>
              <w:pStyle w:val="Tabell-Siffror"/>
            </w:pPr>
            <w:r w:rsidRPr="006B7451">
              <w:t>0,39</w:t>
            </w:r>
          </w:p>
        </w:tc>
      </w:tr>
      <w:tr w:rsidRPr="006B7451" w:rsidR="00D67D66" w:rsidTr="00AB32CA" w14:paraId="73E7B5BF" w14:textId="77777777">
        <w:tc>
          <w:tcPr>
            <w:tcW w:w="1774" w:type="dxa"/>
          </w:tcPr>
          <w:p w:rsidRPr="006B7451" w:rsidR="00D67D66" w:rsidP="00114151" w:rsidRDefault="00D67D66" w14:paraId="7F06BAB4" w14:textId="77777777">
            <w:pPr>
              <w:pStyle w:val="Tabell-Radrubrik"/>
            </w:pPr>
            <w:r w:rsidRPr="006B7451">
              <w:t>9</w:t>
            </w:r>
          </w:p>
        </w:tc>
        <w:tc>
          <w:tcPr>
            <w:tcW w:w="2762" w:type="dxa"/>
          </w:tcPr>
          <w:p w:rsidRPr="006B7451" w:rsidR="00D67D66" w:rsidP="00114151" w:rsidRDefault="00D67D66" w14:paraId="403594BC" w14:textId="77777777">
            <w:pPr>
              <w:pStyle w:val="Tabell-Siffror"/>
            </w:pPr>
            <w:r w:rsidRPr="006B7451">
              <w:t>1 600</w:t>
            </w:r>
          </w:p>
        </w:tc>
        <w:tc>
          <w:tcPr>
            <w:tcW w:w="3686" w:type="dxa"/>
          </w:tcPr>
          <w:p w:rsidRPr="006B7451" w:rsidR="00D67D66" w:rsidP="00114151" w:rsidRDefault="00D67D66" w14:paraId="6297C830" w14:textId="77777777">
            <w:pPr>
              <w:pStyle w:val="Tabell-Siffror"/>
            </w:pPr>
            <w:r w:rsidRPr="006B7451">
              <w:t>0,35</w:t>
            </w:r>
          </w:p>
        </w:tc>
      </w:tr>
      <w:tr w:rsidRPr="006B7451" w:rsidR="00D67D66" w:rsidTr="00AB32CA" w14:paraId="770169BA" w14:textId="77777777">
        <w:tc>
          <w:tcPr>
            <w:tcW w:w="1774" w:type="dxa"/>
            <w:tcBorders>
              <w:bottom w:val="single" w:color="auto" w:sz="4" w:space="0"/>
            </w:tcBorders>
          </w:tcPr>
          <w:p w:rsidRPr="006B7451" w:rsidR="00D67D66" w:rsidP="00114151" w:rsidRDefault="00D67D66" w14:paraId="1B345833" w14:textId="77777777">
            <w:pPr>
              <w:pStyle w:val="Tabell-Radrubrik"/>
            </w:pPr>
            <w:r w:rsidRPr="006B7451">
              <w:t>10</w:t>
            </w:r>
          </w:p>
        </w:tc>
        <w:tc>
          <w:tcPr>
            <w:tcW w:w="2762" w:type="dxa"/>
            <w:tcBorders>
              <w:bottom w:val="single" w:color="auto" w:sz="4" w:space="0"/>
            </w:tcBorders>
          </w:tcPr>
          <w:p w:rsidRPr="006B7451" w:rsidR="00D67D66" w:rsidP="00114151" w:rsidRDefault="00D67D66" w14:paraId="42286116" w14:textId="77777777">
            <w:pPr>
              <w:pStyle w:val="Tabell-Siffror"/>
            </w:pPr>
            <w:r w:rsidRPr="006B7451">
              <w:t>1 500</w:t>
            </w:r>
          </w:p>
        </w:tc>
        <w:tc>
          <w:tcPr>
            <w:tcW w:w="3686" w:type="dxa"/>
            <w:tcBorders>
              <w:bottom w:val="single" w:color="auto" w:sz="4" w:space="0"/>
            </w:tcBorders>
          </w:tcPr>
          <w:p w:rsidRPr="006B7451" w:rsidR="00D67D66" w:rsidP="00114151" w:rsidRDefault="00D67D66" w14:paraId="22216A8D" w14:textId="77777777">
            <w:pPr>
              <w:pStyle w:val="Tabell-Siffror"/>
            </w:pPr>
            <w:r w:rsidRPr="006B7451">
              <w:t>0,19</w:t>
            </w:r>
          </w:p>
        </w:tc>
      </w:tr>
    </w:tbl>
    <w:p w:rsidRPr="00AB32CA" w:rsidR="00D67D66" w:rsidP="00AB32CA" w:rsidRDefault="00D67D66" w14:paraId="0C4201DB" w14:textId="77777777">
      <w:pPr>
        <w:pStyle w:val="Klla"/>
      </w:pPr>
      <w:r w:rsidRPr="00AB32CA">
        <w:t>Källa: SCB, FASIT, basår 2019, version 1, STAR</w:t>
      </w:r>
    </w:p>
    <w:p w:rsidRPr="006B7451" w:rsidR="00B56E05" w:rsidP="00AB32CA" w:rsidRDefault="00A46809" w14:paraId="54305899" w14:textId="71098104">
      <w:pPr>
        <w:pStyle w:val="Normalutanindragellerluft"/>
        <w:spacing w:before="150"/>
      </w:pPr>
      <w:bookmarkStart w:name="_Hlk83880956" w:id="18"/>
      <w:r w:rsidRPr="006B7451">
        <w:t xml:space="preserve">Förslaget beräknas </w:t>
      </w:r>
      <w:r w:rsidRPr="006B7451" w:rsidR="008D1961">
        <w:t>öka utgifterna i statens budget</w:t>
      </w:r>
      <w:r w:rsidRPr="006B7451">
        <w:t xml:space="preserve"> med 10,00 miljarder kronor 202</w:t>
      </w:r>
      <w:r w:rsidRPr="006B7451" w:rsidR="00BC27E3">
        <w:t>2</w:t>
      </w:r>
      <w:r w:rsidRPr="006B7451">
        <w:t>.</w:t>
      </w:r>
    </w:p>
    <w:p w:rsidRPr="006B7451" w:rsidR="002C456D" w:rsidP="00ED5D60" w:rsidRDefault="002C456D" w14:paraId="5DC3CB8F" w14:textId="77777777">
      <w:pPr>
        <w:pStyle w:val="Rubrik2numrerat"/>
      </w:pPr>
      <w:bookmarkStart w:name="_Toc121752529" w:id="19"/>
      <w:bookmarkEnd w:id="18"/>
      <w:r w:rsidRPr="006B7451">
        <w:lastRenderedPageBreak/>
        <w:t>Utökat växa-stöd</w:t>
      </w:r>
      <w:r w:rsidRPr="006B7451" w:rsidR="00D47214">
        <w:t xml:space="preserve"> och lindrat sjuklöneansvar</w:t>
      </w:r>
      <w:bookmarkEnd w:id="19"/>
    </w:p>
    <w:p w:rsidRPr="006B7451" w:rsidR="001E1919" w:rsidP="00AB32CA" w:rsidRDefault="001E1919" w14:paraId="3B650EF5" w14:textId="2ADC4E9C">
      <w:pPr>
        <w:pStyle w:val="Normalutanindragellerluft"/>
      </w:pPr>
      <w:r w:rsidRPr="006B7451">
        <w:rPr>
          <w:b/>
        </w:rPr>
        <w:t>Sverigedemokraternas förslag:</w:t>
      </w:r>
      <w:r w:rsidRPr="006B7451">
        <w:t xml:space="preserve"> Den tillfälliga nedsättningen av arbetsgivaravgifter för </w:t>
      </w:r>
      <w:r w:rsidRPr="006B7451" w:rsidR="0042266B">
        <w:t xml:space="preserve">företag med </w:t>
      </w:r>
      <w:r w:rsidRPr="006B7451">
        <w:t>upp till två anställda ska utvidgas till att omfatta upp till tre anställda.</w:t>
      </w:r>
      <w:r w:rsidRPr="006B7451" w:rsidR="00D47214">
        <w:t xml:space="preserve"> Ett avdrag i sjuklönekostnaderna som motsvarar de faktiska kostnaderna för ett småföretag med upp till nio anställda ska införas. För företag med fler anställda betalas enbart de sjuklönekostnader som överstiger schablonavdraget.</w:t>
      </w:r>
    </w:p>
    <w:p w:rsidRPr="006B7451" w:rsidR="002C456D" w:rsidP="00AB32CA" w:rsidRDefault="002C456D" w14:paraId="2EFB96F6" w14:textId="124F8486">
      <w:pPr>
        <w:pStyle w:val="Normalutanindragellerluft"/>
        <w:spacing w:before="150"/>
      </w:pPr>
      <w:r w:rsidRPr="006B7451">
        <w:t xml:space="preserve">Växa-stödet </w:t>
      </w:r>
      <w:r w:rsidRPr="006B7451" w:rsidR="00F46EB8">
        <w:t>innebär att enmansföretag som anställer sin första medarbetare bara betalar ålderspensionsavgift (10,21 procent) på ersättning upp till 25</w:t>
      </w:r>
      <w:r w:rsidR="00061B19">
        <w:t> </w:t>
      </w:r>
      <w:r w:rsidRPr="006B7451" w:rsidR="00F46EB8">
        <w:t>000 kr</w:t>
      </w:r>
      <w:r w:rsidRPr="006B7451" w:rsidR="00E3040E">
        <w:t>onor</w:t>
      </w:r>
      <w:r w:rsidRPr="006B7451" w:rsidR="00F46EB8">
        <w:t xml:space="preserve"> per kalender</w:t>
      </w:r>
      <w:r w:rsidR="00BA4B2C">
        <w:softHyphen/>
      </w:r>
      <w:r w:rsidRPr="006B7451" w:rsidR="00F46EB8">
        <w:t>månad som betalas till den första anställda. Riksdagen beslutade den 20 maj 2021 att tillfälligt utöka växa-stödet från en till två anställda för anställningar som påbörjas fram till och med december 2022.</w:t>
      </w:r>
    </w:p>
    <w:p w:rsidRPr="006B7451" w:rsidR="00F46EB8" w:rsidP="001E1919" w:rsidRDefault="00C35622" w14:paraId="04DB1990" w14:textId="66E6E12C">
      <w:r w:rsidRPr="006B7451">
        <w:t>När stödet först infördes 2017</w:t>
      </w:r>
      <w:r w:rsidRPr="006B7451" w:rsidR="00D374E8">
        <w:t xml:space="preserve"> omfattades enbart personer med enskild närings</w:t>
      </w:r>
      <w:r w:rsidR="00BA4B2C">
        <w:softHyphen/>
      </w:r>
      <w:r w:rsidRPr="006B7451" w:rsidR="00D374E8">
        <w:t>verksamhet</w:t>
      </w:r>
      <w:r w:rsidRPr="006B7451" w:rsidR="0042266B">
        <w:t>.</w:t>
      </w:r>
      <w:r w:rsidRPr="006B7451" w:rsidR="00D374E8">
        <w:t xml:space="preserve"> </w:t>
      </w:r>
      <w:r w:rsidRPr="006B7451" w:rsidR="0042266B">
        <w:t xml:space="preserve">Denna företagsform medför </w:t>
      </w:r>
      <w:r w:rsidRPr="006B7451" w:rsidR="00D374E8">
        <w:t xml:space="preserve">ett personligt betalningsansvar för eventuella skulder i </w:t>
      </w:r>
      <w:r w:rsidRPr="006B7451" w:rsidR="0042266B">
        <w:t xml:space="preserve">företaget </w:t>
      </w:r>
      <w:r w:rsidRPr="006B7451" w:rsidR="00D374E8">
        <w:t>och är en riskabel företagsform vid den första nyanställningen – särskilt kombinerat med ett tillfälligt stöd. Detta har dock justerats till att även omfatta soloföretagare med aktiebolag och handelsbolag.</w:t>
      </w:r>
      <w:r w:rsidRPr="006B7451" w:rsidR="001E1919">
        <w:t xml:space="preserve"> </w:t>
      </w:r>
      <w:r w:rsidRPr="006B7451" w:rsidR="00F46EB8">
        <w:t xml:space="preserve">Stödet har visat sig vara en effektiv åtgärd inom flertalet branscher </w:t>
      </w:r>
      <w:r w:rsidRPr="006B7451" w:rsidR="002C2E98">
        <w:t xml:space="preserve">där företaget </w:t>
      </w:r>
      <w:r w:rsidRPr="006B7451" w:rsidR="00F46EB8">
        <w:t xml:space="preserve">har en </w:t>
      </w:r>
      <w:r w:rsidRPr="006B7451" w:rsidR="00D374E8">
        <w:t>efterfråga</w:t>
      </w:r>
      <w:r w:rsidRPr="006B7451" w:rsidR="002C2E98">
        <w:t>n</w:t>
      </w:r>
      <w:r w:rsidRPr="006B7451" w:rsidR="00D374E8">
        <w:t xml:space="preserve"> som överstiger arbets</w:t>
      </w:r>
      <w:r w:rsidR="00BA4B2C">
        <w:softHyphen/>
      </w:r>
      <w:r w:rsidRPr="006B7451" w:rsidR="00D374E8">
        <w:t>kapaciteten för den enskilde</w:t>
      </w:r>
      <w:r w:rsidRPr="006B7451" w:rsidR="002C2E98">
        <w:t>,</w:t>
      </w:r>
      <w:r w:rsidRPr="006B7451" w:rsidR="00F46EB8">
        <w:t xml:space="preserve"> </w:t>
      </w:r>
      <w:r w:rsidRPr="006B7451" w:rsidR="00D374E8">
        <w:t xml:space="preserve">men </w:t>
      </w:r>
      <w:r w:rsidRPr="006B7451" w:rsidR="002C2E98">
        <w:t xml:space="preserve">där en expansion </w:t>
      </w:r>
      <w:r w:rsidRPr="006B7451" w:rsidR="001E1919">
        <w:t>inte nödvändigtvis innebär att den först</w:t>
      </w:r>
      <w:r w:rsidR="00A83E81">
        <w:t>a</w:t>
      </w:r>
      <w:r w:rsidRPr="006B7451" w:rsidR="001E1919">
        <w:t xml:space="preserve"> anställd</w:t>
      </w:r>
      <w:r w:rsidR="00A83E81">
        <w:t>a</w:t>
      </w:r>
      <w:r w:rsidRPr="006B7451" w:rsidR="001E1919">
        <w:t xml:space="preserve"> ökar företagets lönsamhet från start.</w:t>
      </w:r>
    </w:p>
    <w:p w:rsidRPr="006B7451" w:rsidR="001E1919" w:rsidP="001E1919" w:rsidRDefault="001E1919" w14:paraId="647053A5" w14:textId="200834C3">
      <w:r w:rsidRPr="006B7451">
        <w:t xml:space="preserve">Den tillfälliga utökningen innebär att ytterligare 6 000 företag kan få nedsatta arbetsgivaravgifter till en marginell offentligfinansiell effekt. Sverigedemokraterna är </w:t>
      </w:r>
      <w:r w:rsidRPr="006B7451" w:rsidR="003C4294">
        <w:t xml:space="preserve">dels </w:t>
      </w:r>
      <w:r w:rsidRPr="006B7451">
        <w:t xml:space="preserve">av uppfattningen att den tillfälliga utvidgningen av växa-stödet bör göras permanent, </w:t>
      </w:r>
      <w:r w:rsidRPr="006B7451" w:rsidR="002C2E98">
        <w:t xml:space="preserve">dels </w:t>
      </w:r>
      <w:r w:rsidR="003C4294">
        <w:t xml:space="preserve">att </w:t>
      </w:r>
      <w:r w:rsidRPr="006B7451">
        <w:t xml:space="preserve">stödet som helhet </w:t>
      </w:r>
      <w:r w:rsidRPr="006B7451" w:rsidR="003C4294">
        <w:t xml:space="preserve">bör </w:t>
      </w:r>
      <w:r w:rsidRPr="006B7451">
        <w:t>utökas till att omfatta upp till tre anställda.</w:t>
      </w:r>
    </w:p>
    <w:p w:rsidRPr="006B7451" w:rsidR="00D47214" w:rsidP="001F5DD1" w:rsidRDefault="00D47214" w14:paraId="45B612D1" w14:textId="25BB7C0F">
      <w:pPr>
        <w:ind w:firstLine="0"/>
      </w:pPr>
      <w:r w:rsidRPr="006B7451">
        <w:t xml:space="preserve">Sjuklönen är den ersättning som företag betalar till en anställd under de två första veckorna </w:t>
      </w:r>
      <w:r w:rsidR="00CA0DCB">
        <w:t>som denne</w:t>
      </w:r>
      <w:r w:rsidRPr="006B7451">
        <w:t xml:space="preserve"> är sjuk och har en stor betydelse för företagare när det kommer till att anställa personer utanför familjen. Många företag drar sig för att anställa okända personer som kanske risk</w:t>
      </w:r>
      <w:r w:rsidRPr="006B7451" w:rsidR="007D540B">
        <w:t>erar</w:t>
      </w:r>
      <w:r w:rsidRPr="006B7451">
        <w:t xml:space="preserve"> att bli sjuka. Enligt gällande regler kan företaget tvingas </w:t>
      </w:r>
      <w:r w:rsidR="00F11229">
        <w:t xml:space="preserve">att </w:t>
      </w:r>
      <w:r w:rsidRPr="006B7451">
        <w:t xml:space="preserve">stå för hela sjuklönekostnaden vid sjukdom, vilket förstärker utanförskapet genom att individer med sjukdomshistorik har svårare att få anställning. Det är viktigt att på alla sätt bryta utanförskapet i Sverige </w:t>
      </w:r>
      <w:r w:rsidRPr="006B7451" w:rsidR="007D540B">
        <w:t xml:space="preserve">– såväl </w:t>
      </w:r>
      <w:r w:rsidRPr="006B7451">
        <w:t xml:space="preserve">ekonomiskt </w:t>
      </w:r>
      <w:r w:rsidRPr="006B7451" w:rsidR="007D540B">
        <w:t xml:space="preserve">som socialt </w:t>
      </w:r>
      <w:r w:rsidRPr="006B7451">
        <w:t xml:space="preserve">och kulturellt </w:t>
      </w:r>
      <w:r w:rsidRPr="006B7451" w:rsidR="007D540B">
        <w:t xml:space="preserve">– </w:t>
      </w:r>
      <w:r w:rsidRPr="006B7451">
        <w:t>för</w:t>
      </w:r>
      <w:r w:rsidRPr="006B7451" w:rsidR="007D540B">
        <w:t xml:space="preserve"> </w:t>
      </w:r>
      <w:r w:rsidRPr="006B7451">
        <w:t xml:space="preserve">ökad sammanhållning och starkare ekonomi </w:t>
      </w:r>
      <w:r w:rsidRPr="006B7451" w:rsidR="007D540B">
        <w:t xml:space="preserve">både </w:t>
      </w:r>
      <w:r w:rsidRPr="006B7451">
        <w:t xml:space="preserve">i hushållen </w:t>
      </w:r>
      <w:r w:rsidRPr="006B7451" w:rsidR="007D540B">
        <w:t xml:space="preserve">och </w:t>
      </w:r>
      <w:r w:rsidRPr="006B7451">
        <w:t>i</w:t>
      </w:r>
      <w:r w:rsidRPr="006B7451" w:rsidR="007D540B">
        <w:t xml:space="preserve"> den</w:t>
      </w:r>
      <w:r w:rsidRPr="006B7451">
        <w:t xml:space="preserve"> offentliga sektorn.</w:t>
      </w:r>
      <w:r w:rsidRPr="006B7451" w:rsidR="001F5DD1">
        <w:t xml:space="preserve"> </w:t>
      </w:r>
      <w:r w:rsidRPr="006B7451">
        <w:t>Sverigedemokraterna vill ta bort denna tröskel genom att överlåta sjuklöne</w:t>
      </w:r>
      <w:r w:rsidR="00C828E4">
        <w:softHyphen/>
      </w:r>
      <w:r w:rsidRPr="006B7451">
        <w:t>ansvaret för småföretag till staten.</w:t>
      </w:r>
    </w:p>
    <w:p w:rsidRPr="006B7451" w:rsidR="00EC0924" w:rsidP="00EC0924" w:rsidRDefault="00EC0924" w14:paraId="6F49A4AF" w14:textId="0081B12A">
      <w:r w:rsidRPr="006B7451">
        <w:t>Förslaget beräknas öka utgifterna i statens budget med 3,0</w:t>
      </w:r>
      <w:r w:rsidRPr="006B7451" w:rsidR="00D241F3">
        <w:t>0</w:t>
      </w:r>
      <w:r w:rsidRPr="006B7451">
        <w:t xml:space="preserve"> miljarder och minska skatteintäkterna i statens budget med 0,15 miljarder kronor 2022.</w:t>
      </w:r>
    </w:p>
    <w:p w:rsidRPr="006B7451" w:rsidR="00516344" w:rsidP="00ED5D60" w:rsidRDefault="00516344" w14:paraId="74FCA2CE" w14:textId="77777777">
      <w:pPr>
        <w:pStyle w:val="Rubrik2numrerat"/>
      </w:pPr>
      <w:bookmarkStart w:name="_Toc121752530" w:id="20"/>
      <w:r w:rsidRPr="006B7451">
        <w:t>Starta eget-bidrag</w:t>
      </w:r>
      <w:bookmarkEnd w:id="20"/>
    </w:p>
    <w:p w:rsidRPr="006B7451" w:rsidR="00516344" w:rsidP="00DD2F77" w:rsidRDefault="00516344" w14:paraId="1AFEB299" w14:textId="2F27AD27">
      <w:pPr>
        <w:pStyle w:val="Normalutanindragellerluft"/>
      </w:pPr>
      <w:r w:rsidRPr="006B7451">
        <w:rPr>
          <w:b/>
        </w:rPr>
        <w:t>Sverigedemokraternas förslag</w:t>
      </w:r>
      <w:r w:rsidRPr="00DD2F77">
        <w:t xml:space="preserve">: </w:t>
      </w:r>
      <w:r w:rsidRPr="006B7451">
        <w:t>Ett starta</w:t>
      </w:r>
      <w:r w:rsidRPr="006B7451" w:rsidR="007D540B">
        <w:t xml:space="preserve"> </w:t>
      </w:r>
      <w:r w:rsidRPr="006B7451">
        <w:t>eget-bidrag för yrkesverksamma ska införas.</w:t>
      </w:r>
    </w:p>
    <w:p w:rsidRPr="006B7451" w:rsidR="00F46EB8" w:rsidP="00DD2F77" w:rsidRDefault="00516344" w14:paraId="38165181" w14:textId="45105B46">
      <w:pPr>
        <w:pStyle w:val="Normalutanindragellerluft"/>
        <w:spacing w:before="150"/>
      </w:pPr>
      <w:r w:rsidRPr="006B7451">
        <w:t xml:space="preserve">Sverigedemokraterna vill se fler småföretag och underlätta för människor som har företagsidéer att våga sig på att </w:t>
      </w:r>
      <w:r w:rsidRPr="006B7451" w:rsidR="007D540B">
        <w:t xml:space="preserve">förverkliga </w:t>
      </w:r>
      <w:r w:rsidRPr="006B7451">
        <w:t>dessa. I dagsläget ges denna möjlighet främst till arbetssökande. Många yrkesverksamma som bär på företagsidéer vågar av ekonomiska skäl inte säga upp sig för att pröva sin idé. Därför bör ett starta</w:t>
      </w:r>
      <w:r w:rsidRPr="006B7451" w:rsidR="007D540B">
        <w:t xml:space="preserve"> </w:t>
      </w:r>
      <w:r w:rsidRPr="006B7451">
        <w:t>eget-bidrag införas för yrkesverksamma. Den administrativa hanteringen bör ligga på Tillväxtverket och kraven för att erhålla stödet ska vara likvärdiga med de krav som i dag ställs av Arbetsförmedlingen.</w:t>
      </w:r>
    </w:p>
    <w:p w:rsidRPr="006B7451" w:rsidR="00A46809" w:rsidP="000F2D42" w:rsidRDefault="00A46809" w14:paraId="2B982140" w14:textId="2228E56B">
      <w:r w:rsidRPr="006B7451">
        <w:lastRenderedPageBreak/>
        <w:t>Förslaget beräknas öka utgifterna i statens budget med 0,10</w:t>
      </w:r>
      <w:r w:rsidRPr="006B7451" w:rsidR="00D241F3">
        <w:t>0</w:t>
      </w:r>
      <w:r w:rsidRPr="006B7451">
        <w:t xml:space="preserve"> miljarder kronor 202</w:t>
      </w:r>
      <w:r w:rsidRPr="006B7451" w:rsidR="00D241F3">
        <w:t>2</w:t>
      </w:r>
      <w:r w:rsidRPr="006B7451">
        <w:t>.</w:t>
      </w:r>
    </w:p>
    <w:p w:rsidRPr="006B7451" w:rsidR="00A943E8" w:rsidP="00ED5D60" w:rsidRDefault="00D67D66" w14:paraId="06405C56" w14:textId="77777777">
      <w:pPr>
        <w:pStyle w:val="Rubrik2numrerat"/>
      </w:pPr>
      <w:bookmarkStart w:name="_Toc121752531" w:id="21"/>
      <w:r w:rsidRPr="006B7451">
        <w:t>Lärlingsanställningar</w:t>
      </w:r>
      <w:bookmarkEnd w:id="21"/>
    </w:p>
    <w:p w:rsidRPr="006B7451" w:rsidR="00D67D66" w:rsidP="00DD2F77" w:rsidRDefault="00D67D66" w14:paraId="6E22F8AD" w14:textId="77777777">
      <w:pPr>
        <w:pStyle w:val="Normalutanindragellerluft"/>
      </w:pPr>
      <w:r w:rsidRPr="006B7451">
        <w:rPr>
          <w:b/>
        </w:rPr>
        <w:t>Sverigedemokraternas förslag</w:t>
      </w:r>
      <w:r w:rsidRPr="00DD2F77">
        <w:t xml:space="preserve">: </w:t>
      </w:r>
      <w:r w:rsidRPr="006B7451">
        <w:t>Statligt subventionerade lärlingsanställningar ska införas.</w:t>
      </w:r>
    </w:p>
    <w:p w:rsidRPr="006B7451" w:rsidR="00B50545" w:rsidP="00DD2F77" w:rsidRDefault="00D67D66" w14:paraId="4EAAEFD8" w14:textId="24931601">
      <w:pPr>
        <w:pStyle w:val="Normalutanindragellerluft"/>
        <w:spacing w:before="150"/>
      </w:pPr>
      <w:r w:rsidRPr="006B7451">
        <w:t>I ett internationellt perspektiv finns många framgångsrika exempel på lärlings</w:t>
      </w:r>
      <w:r w:rsidR="00C828E4">
        <w:t>-</w:t>
      </w:r>
      <w:r w:rsidRPr="006B7451">
        <w:t xml:space="preserve">anställningar. Sverigedemokraterna vill </w:t>
      </w:r>
      <w:r w:rsidRPr="006B7451" w:rsidR="007D540B">
        <w:t>undersöka</w:t>
      </w:r>
      <w:r w:rsidRPr="006B7451">
        <w:t xml:space="preserve"> möjligheten att </w:t>
      </w:r>
      <w:r w:rsidRPr="006B7451" w:rsidR="003E47DD">
        <w:t xml:space="preserve">i samarbete med arbetsmarknadens parter </w:t>
      </w:r>
      <w:r w:rsidRPr="006B7451">
        <w:t xml:space="preserve">skapa en svensk modell anpassad </w:t>
      </w:r>
      <w:r w:rsidRPr="006B7451" w:rsidR="003E47DD">
        <w:t xml:space="preserve">efter </w:t>
      </w:r>
      <w:r w:rsidRPr="006B7451">
        <w:t xml:space="preserve">de förutsättningar som råder på den svenska arbetsmarknaden. Utgångspunkten ska vara att den som deltar i denna utbildningsinsats ska kunna kombinera gymnasiestudier med möjligheten att lära sig ett yrke hos en arbetsgivare. Insatsen ska kunna erhållas efter behov och inte begränsas till någon specifik kategori av arbetssökande. Deltagarnas ersättning under insatsen ska bestå av en </w:t>
      </w:r>
      <w:r w:rsidRPr="006B7451" w:rsidR="003E47DD">
        <w:t xml:space="preserve">del </w:t>
      </w:r>
      <w:r w:rsidRPr="006B7451">
        <w:t>av den av parterna överenskomna ingångslönen.</w:t>
      </w:r>
      <w:r w:rsidRPr="006B7451" w:rsidR="003E47DD">
        <w:t xml:space="preserve"> Hur stor andel av ingångslönen som ersättningen ska uppgå till får bestämmas i samråd med parterna.</w:t>
      </w:r>
      <w:r w:rsidRPr="006B7451">
        <w:t xml:space="preserve"> Arbetsgivarna ska erhålla ett handledarstöd under tiden individen deltar i insatsen.</w:t>
      </w:r>
    </w:p>
    <w:p w:rsidRPr="006B7451" w:rsidR="00A46809" w:rsidP="000F2D42" w:rsidRDefault="00A46809" w14:paraId="7AB20E05" w14:textId="2D009CE4">
      <w:r w:rsidRPr="006B7451">
        <w:t>Förslaget beräknas öka utgifterna i statens budget med 0,25 miljarder kronor 202</w:t>
      </w:r>
      <w:r w:rsidRPr="006B7451" w:rsidR="00D241F3">
        <w:t>2</w:t>
      </w:r>
      <w:r w:rsidRPr="006B7451">
        <w:t>.</w:t>
      </w:r>
    </w:p>
    <w:p w:rsidRPr="006B7451" w:rsidR="00B50545" w:rsidP="00ED5D60" w:rsidRDefault="00DF5583" w14:paraId="1BD0D379" w14:textId="77777777">
      <w:pPr>
        <w:pStyle w:val="Rubrik2numrerat"/>
      </w:pPr>
      <w:bookmarkStart w:name="_Toc121752532" w:id="22"/>
      <w:r w:rsidRPr="006B7451">
        <w:t>Utbildning för riktiga jobb</w:t>
      </w:r>
      <w:bookmarkEnd w:id="22"/>
    </w:p>
    <w:p w:rsidRPr="006B7451" w:rsidR="00405B8C" w:rsidP="00DD2F77" w:rsidRDefault="00405B8C" w14:paraId="354D93F6" w14:textId="77777777">
      <w:pPr>
        <w:pStyle w:val="Normalutanindragellerluft"/>
      </w:pPr>
      <w:r w:rsidRPr="006B7451">
        <w:rPr>
          <w:b/>
        </w:rPr>
        <w:t>Sverigedemokraternas förslag</w:t>
      </w:r>
      <w:r w:rsidRPr="00DD2F77">
        <w:t>:</w:t>
      </w:r>
      <w:r w:rsidRPr="006B7451">
        <w:t xml:space="preserve"> Studiebidrag för utbildningar med arbetskraftsbrist ska höjas. Det statliga stödet till yrkeshögskoleutbildningen ska höjas.</w:t>
      </w:r>
    </w:p>
    <w:p w:rsidRPr="006B7451" w:rsidR="00405B8C" w:rsidP="00DD2F77" w:rsidRDefault="00405B8C" w14:paraId="7C321762" w14:textId="6F758641">
      <w:pPr>
        <w:pStyle w:val="Normalutanindragellerluft"/>
        <w:spacing w:before="150"/>
      </w:pPr>
      <w:r w:rsidRPr="006B7451">
        <w:t>För att råda bot på rådande arbetskraftsbrist vill Sverigedemokraterna uppmuntra studenter att gå de utbildningar där det finns ett stort arbetsmarknadsmässigt behov och som är viktiga för Sveriges ekonomi och framtida utveckling. Studenter som läser någon av de tio utbildningar som har störst arbetskraftsbrist ska därför ges högre månatligt studiebidrag.</w:t>
      </w:r>
      <w:r w:rsidRPr="006B7451" w:rsidR="00DF5583">
        <w:t xml:space="preserve"> </w:t>
      </w:r>
      <w:r w:rsidRPr="006B7451">
        <w:t xml:space="preserve">Vidare ska yrkeshögskoleutbildningen förstärkas med fokus på kvalitet och examensgrad. </w:t>
      </w:r>
    </w:p>
    <w:p w:rsidRPr="006B7451" w:rsidR="00A46809" w:rsidP="000F2D42" w:rsidRDefault="00A46809" w14:paraId="28B814B2" w14:textId="28626F8C">
      <w:r w:rsidRPr="006B7451">
        <w:t>Förslaget beräknas öka utgifterna i statens budget med 0,</w:t>
      </w:r>
      <w:r w:rsidRPr="006B7451" w:rsidR="00555A1E">
        <w:t>94</w:t>
      </w:r>
      <w:r w:rsidRPr="006B7451">
        <w:t xml:space="preserve"> miljarder kronor 202</w:t>
      </w:r>
      <w:r w:rsidRPr="006B7451" w:rsidR="00D241F3">
        <w:t>2</w:t>
      </w:r>
      <w:r w:rsidRPr="006B7451">
        <w:t>.</w:t>
      </w:r>
    </w:p>
    <w:p w:rsidRPr="006B7451" w:rsidR="00A943E8" w:rsidP="00ED5D60" w:rsidRDefault="00A943E8" w14:paraId="38FEC183" w14:textId="71B97EAC">
      <w:pPr>
        <w:pStyle w:val="Rubrik2numrerat"/>
      </w:pPr>
      <w:bookmarkStart w:name="_Toc121752533" w:id="23"/>
      <w:r w:rsidRPr="006B7451">
        <w:t xml:space="preserve">Statligt finansierad </w:t>
      </w:r>
      <w:r w:rsidRPr="006B7451" w:rsidR="00EC0924">
        <w:t>a</w:t>
      </w:r>
      <w:r w:rsidRPr="006B7451">
        <w:t>-kassa</w:t>
      </w:r>
      <w:bookmarkEnd w:id="23"/>
    </w:p>
    <w:p w:rsidRPr="006B7451" w:rsidR="00A943E8" w:rsidP="001009EF" w:rsidRDefault="00A943E8" w14:paraId="2052980E" w14:textId="77777777">
      <w:pPr>
        <w:pStyle w:val="Normalutanindragellerluft"/>
      </w:pPr>
      <w:r w:rsidRPr="006B7451">
        <w:rPr>
          <w:b/>
        </w:rPr>
        <w:t>Sverigedemokraternas förslag</w:t>
      </w:r>
      <w:r w:rsidRPr="001009EF">
        <w:t>:</w:t>
      </w:r>
      <w:r w:rsidRPr="006B7451">
        <w:t xml:space="preserve"> Arbetslöshetsförsäkringen ska finansieras av staten och administreras på myndighetsnivå i stället för av fackförbunden.</w:t>
      </w:r>
    </w:p>
    <w:p w:rsidRPr="006B7451" w:rsidR="00A943E8" w:rsidP="001009EF" w:rsidRDefault="00A943E8" w14:paraId="1BA02648" w14:textId="5476C07B">
      <w:pPr>
        <w:pStyle w:val="Normalutanindragellerluft"/>
        <w:spacing w:before="150"/>
      </w:pPr>
      <w:r w:rsidRPr="006B7451">
        <w:t xml:space="preserve">Det är uppenbart att alla löntagare behöver ha tillgång till grundläggande trygghet vid sjukdom och arbetslöshet. Sverigedemokraterna har sedan riksdagsinträdet framfört att arbetslöshetsförsäkringen bör ses som en del av </w:t>
      </w:r>
      <w:r w:rsidRPr="006B7451" w:rsidR="00387970">
        <w:t>statens välfärdsåtagande.</w:t>
      </w:r>
      <w:r w:rsidRPr="006B7451">
        <w:t xml:space="preserve"> För att skapa förutsättningar för detta bör arbetslöshetsförsäkringen bli helt statligt finansierad och rent administrativt övertas av Försäkringskassan.</w:t>
      </w:r>
    </w:p>
    <w:p w:rsidRPr="006B7451" w:rsidR="00D62DDD" w:rsidP="00387970" w:rsidRDefault="00A943E8" w14:paraId="390C94BC" w14:textId="2EB5A8EA">
      <w:r w:rsidRPr="006B7451">
        <w:t>I dag är arbetslöshetsförsäkringen i hög grad skattefinansierad</w:t>
      </w:r>
      <w:r w:rsidRPr="006B7451" w:rsidR="003E47DD">
        <w:t>.</w:t>
      </w:r>
      <w:r w:rsidRPr="006B7451">
        <w:t xml:space="preserve"> </w:t>
      </w:r>
      <w:r w:rsidRPr="006B7451" w:rsidR="003E47DD">
        <w:t>D</w:t>
      </w:r>
      <w:r w:rsidRPr="006B7451">
        <w:t>ärför är det inte mer än rätt att alla löntagare ges möjlighet att ta del av denna trygghet vid arbetslöshet. Kraven för att få ersättning ska kvarstå i nuvarande form men kravet på medlemskap i en a-kassa ska avvecklas.</w:t>
      </w:r>
      <w:r w:rsidRPr="006B7451" w:rsidR="00EC0924">
        <w:t xml:space="preserve"> Maxbeloppen i a-kassan bör vidare uppgå till 1</w:t>
      </w:r>
      <w:r w:rsidR="0010210A">
        <w:t> </w:t>
      </w:r>
      <w:r w:rsidRPr="006B7451" w:rsidR="00EC0924">
        <w:t>200 kronor per dag de första 100 dagarna och därefter till 800 kronor per dag</w:t>
      </w:r>
    </w:p>
    <w:p w:rsidRPr="001009EF" w:rsidR="00EC0924" w:rsidP="001009EF" w:rsidRDefault="00EC0924" w14:paraId="61CD2B32" w14:textId="19DEDBA5">
      <w:pPr>
        <w:pStyle w:val="Tabellrubrik"/>
      </w:pPr>
      <w:r w:rsidRPr="001009EF">
        <w:lastRenderedPageBreak/>
        <w:t xml:space="preserve">Tabell </w:t>
      </w:r>
      <w:r w:rsidR="001009EF">
        <w:t>6</w:t>
      </w:r>
      <w:r w:rsidRPr="001009EF">
        <w:t xml:space="preserve"> Ökade kostnader för staten av statligt finansierad a-kassa med höjt tak, miljarder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4673"/>
        <w:gridCol w:w="1276"/>
        <w:gridCol w:w="1276"/>
        <w:gridCol w:w="1269"/>
      </w:tblGrid>
      <w:tr w:rsidRPr="006B7451" w:rsidR="00EC0924" w:rsidTr="001009EF" w14:paraId="5662D8B5" w14:textId="77777777">
        <w:tc>
          <w:tcPr>
            <w:tcW w:w="4673" w:type="dxa"/>
            <w:tcBorders>
              <w:top w:val="single" w:color="auto" w:sz="4" w:space="0"/>
              <w:bottom w:val="single" w:color="auto" w:sz="4" w:space="0"/>
            </w:tcBorders>
          </w:tcPr>
          <w:p w:rsidRPr="006B7451" w:rsidR="00EC0924" w:rsidP="00287FD2" w:rsidRDefault="00EC0924" w14:paraId="4C907C4C" w14:textId="77777777">
            <w:pPr>
              <w:spacing w:before="80" w:line="240" w:lineRule="exact"/>
              <w:ind w:firstLine="0"/>
              <w:rPr>
                <w:sz w:val="20"/>
                <w:szCs w:val="20"/>
              </w:rPr>
            </w:pPr>
          </w:p>
        </w:tc>
        <w:tc>
          <w:tcPr>
            <w:tcW w:w="1276" w:type="dxa"/>
            <w:tcBorders>
              <w:top w:val="single" w:color="auto" w:sz="4" w:space="0"/>
              <w:bottom w:val="single" w:color="auto" w:sz="4" w:space="0"/>
            </w:tcBorders>
          </w:tcPr>
          <w:p w:rsidRPr="006B7451" w:rsidR="00EC0924" w:rsidP="00CF5E9C" w:rsidRDefault="00EC0924" w14:paraId="5DFD45B3" w14:textId="6A80CA1E">
            <w:pPr>
              <w:spacing w:before="80" w:line="240" w:lineRule="exact"/>
              <w:ind w:firstLine="0"/>
              <w:jc w:val="right"/>
              <w:rPr>
                <w:b/>
                <w:sz w:val="20"/>
                <w:szCs w:val="20"/>
              </w:rPr>
            </w:pPr>
            <w:r w:rsidRPr="006B7451">
              <w:rPr>
                <w:b/>
                <w:sz w:val="20"/>
                <w:szCs w:val="20"/>
              </w:rPr>
              <w:t>2022</w:t>
            </w:r>
          </w:p>
        </w:tc>
        <w:tc>
          <w:tcPr>
            <w:tcW w:w="1276" w:type="dxa"/>
            <w:tcBorders>
              <w:top w:val="single" w:color="auto" w:sz="4" w:space="0"/>
              <w:bottom w:val="single" w:color="auto" w:sz="4" w:space="0"/>
            </w:tcBorders>
          </w:tcPr>
          <w:p w:rsidRPr="006B7451" w:rsidR="00EC0924" w:rsidP="00CF5E9C" w:rsidRDefault="00EC0924" w14:paraId="5867D8EA" w14:textId="47BF8D71">
            <w:pPr>
              <w:spacing w:before="80" w:line="240" w:lineRule="exact"/>
              <w:ind w:firstLine="0"/>
              <w:jc w:val="right"/>
              <w:rPr>
                <w:b/>
                <w:sz w:val="20"/>
                <w:szCs w:val="20"/>
              </w:rPr>
            </w:pPr>
            <w:r w:rsidRPr="006B7451">
              <w:rPr>
                <w:b/>
                <w:sz w:val="20"/>
                <w:szCs w:val="20"/>
              </w:rPr>
              <w:t>2023</w:t>
            </w:r>
          </w:p>
        </w:tc>
        <w:tc>
          <w:tcPr>
            <w:tcW w:w="1269" w:type="dxa"/>
            <w:tcBorders>
              <w:top w:val="single" w:color="auto" w:sz="4" w:space="0"/>
              <w:bottom w:val="single" w:color="auto" w:sz="4" w:space="0"/>
            </w:tcBorders>
          </w:tcPr>
          <w:p w:rsidRPr="006B7451" w:rsidR="00EC0924" w:rsidP="00CF5E9C" w:rsidRDefault="00EC0924" w14:paraId="22F970A3" w14:textId="1E172500">
            <w:pPr>
              <w:spacing w:before="80" w:line="240" w:lineRule="exact"/>
              <w:ind w:firstLine="0"/>
              <w:jc w:val="right"/>
              <w:rPr>
                <w:b/>
                <w:sz w:val="20"/>
                <w:szCs w:val="20"/>
              </w:rPr>
            </w:pPr>
            <w:r w:rsidRPr="006B7451">
              <w:rPr>
                <w:b/>
                <w:sz w:val="20"/>
                <w:szCs w:val="20"/>
              </w:rPr>
              <w:t>2024</w:t>
            </w:r>
          </w:p>
        </w:tc>
      </w:tr>
      <w:tr w:rsidRPr="006B7451" w:rsidR="00EC0924" w:rsidTr="001009EF" w14:paraId="74251BDB" w14:textId="77777777">
        <w:tc>
          <w:tcPr>
            <w:tcW w:w="4673" w:type="dxa"/>
            <w:tcBorders>
              <w:top w:val="single" w:color="auto" w:sz="4" w:space="0"/>
              <w:bottom w:val="single" w:color="auto" w:sz="4" w:space="0"/>
            </w:tcBorders>
          </w:tcPr>
          <w:p w:rsidRPr="006B7451" w:rsidR="00EC0924" w:rsidP="00287FD2" w:rsidRDefault="00EC0924" w14:paraId="29207A23" w14:textId="787CB992">
            <w:pPr>
              <w:spacing w:before="80" w:line="240" w:lineRule="exact"/>
              <w:ind w:firstLine="0"/>
              <w:rPr>
                <w:sz w:val="20"/>
                <w:szCs w:val="20"/>
              </w:rPr>
            </w:pPr>
            <w:r w:rsidRPr="006B7451">
              <w:rPr>
                <w:sz w:val="20"/>
                <w:szCs w:val="20"/>
              </w:rPr>
              <w:t xml:space="preserve">Centraliserad </w:t>
            </w:r>
            <w:r w:rsidR="008D32C3">
              <w:rPr>
                <w:sz w:val="20"/>
                <w:szCs w:val="20"/>
              </w:rPr>
              <w:t>a</w:t>
            </w:r>
            <w:r w:rsidRPr="006B7451">
              <w:rPr>
                <w:sz w:val="20"/>
                <w:szCs w:val="20"/>
              </w:rPr>
              <w:t>-kassa med höjt tak</w:t>
            </w:r>
          </w:p>
        </w:tc>
        <w:tc>
          <w:tcPr>
            <w:tcW w:w="1276" w:type="dxa"/>
            <w:tcBorders>
              <w:top w:val="single" w:color="auto" w:sz="4" w:space="0"/>
              <w:bottom w:val="single" w:color="auto" w:sz="4" w:space="0"/>
            </w:tcBorders>
          </w:tcPr>
          <w:p w:rsidRPr="006B7451" w:rsidR="00EC0924" w:rsidP="00CF5E9C" w:rsidRDefault="00EC0924" w14:paraId="5DFA5725" w14:textId="77777777">
            <w:pPr>
              <w:spacing w:before="80" w:line="240" w:lineRule="exact"/>
              <w:ind w:firstLine="0"/>
              <w:jc w:val="right"/>
              <w:rPr>
                <w:sz w:val="20"/>
                <w:szCs w:val="20"/>
              </w:rPr>
            </w:pPr>
          </w:p>
        </w:tc>
        <w:tc>
          <w:tcPr>
            <w:tcW w:w="1276" w:type="dxa"/>
            <w:tcBorders>
              <w:top w:val="single" w:color="auto" w:sz="4" w:space="0"/>
              <w:bottom w:val="single" w:color="auto" w:sz="4" w:space="0"/>
            </w:tcBorders>
          </w:tcPr>
          <w:p w:rsidRPr="006B7451" w:rsidR="00EC0924" w:rsidP="00CF5E9C" w:rsidRDefault="00EC0924" w14:paraId="67EE1CC0" w14:textId="61AC4D25">
            <w:pPr>
              <w:spacing w:before="80" w:line="240" w:lineRule="exact"/>
              <w:ind w:firstLine="0"/>
              <w:jc w:val="right"/>
              <w:rPr>
                <w:sz w:val="20"/>
                <w:szCs w:val="20"/>
              </w:rPr>
            </w:pPr>
            <w:r w:rsidRPr="006B7451">
              <w:rPr>
                <w:sz w:val="20"/>
                <w:szCs w:val="20"/>
              </w:rPr>
              <w:t>7,10</w:t>
            </w:r>
          </w:p>
        </w:tc>
        <w:tc>
          <w:tcPr>
            <w:tcW w:w="1269" w:type="dxa"/>
            <w:tcBorders>
              <w:top w:val="single" w:color="auto" w:sz="4" w:space="0"/>
              <w:bottom w:val="single" w:color="auto" w:sz="4" w:space="0"/>
            </w:tcBorders>
          </w:tcPr>
          <w:p w:rsidRPr="006B7451" w:rsidR="00EC0924" w:rsidP="00CF5E9C" w:rsidRDefault="00EC0924" w14:paraId="34D1EAAF" w14:textId="7995054A">
            <w:pPr>
              <w:spacing w:before="80" w:line="240" w:lineRule="exact"/>
              <w:ind w:firstLine="0"/>
              <w:jc w:val="right"/>
              <w:rPr>
                <w:sz w:val="20"/>
                <w:szCs w:val="20"/>
              </w:rPr>
            </w:pPr>
            <w:r w:rsidRPr="006B7451">
              <w:rPr>
                <w:sz w:val="20"/>
                <w:szCs w:val="20"/>
              </w:rPr>
              <w:t>7,10</w:t>
            </w:r>
          </w:p>
        </w:tc>
      </w:tr>
    </w:tbl>
    <w:p w:rsidRPr="006B7451" w:rsidR="00A943E8" w:rsidP="00ED5D60" w:rsidRDefault="007D227A" w14:paraId="10888C50" w14:textId="77777777">
      <w:pPr>
        <w:pStyle w:val="Rubrik2numrerat"/>
      </w:pPr>
      <w:bookmarkStart w:name="_Toc121752534" w:id="24"/>
      <w:r w:rsidRPr="006B7451">
        <w:t>Ökad trygghet på jobbet</w:t>
      </w:r>
      <w:bookmarkEnd w:id="24"/>
    </w:p>
    <w:p w:rsidRPr="006B7451" w:rsidR="00A943E8" w:rsidP="00287FD2" w:rsidRDefault="00A943E8" w14:paraId="617B8A37" w14:textId="37863D77">
      <w:pPr>
        <w:pStyle w:val="Normalutanindragellerluft"/>
      </w:pPr>
      <w:r w:rsidRPr="006B7451">
        <w:rPr>
          <w:b/>
        </w:rPr>
        <w:t>Sverigedemokraternas förslag</w:t>
      </w:r>
      <w:r w:rsidRPr="00287FD2">
        <w:t>:</w:t>
      </w:r>
      <w:r w:rsidRPr="006B7451">
        <w:t xml:space="preserve"> </w:t>
      </w:r>
      <w:r w:rsidRPr="006B7451" w:rsidR="007D227A">
        <w:t>Arbetsplatsinspektionerna ska bli fler</w:t>
      </w:r>
      <w:r w:rsidRPr="006B7451" w:rsidR="003E47DD">
        <w:t>.</w:t>
      </w:r>
      <w:r w:rsidRPr="006B7451" w:rsidR="007D227A">
        <w:t xml:space="preserve"> Myndigheten för arbetsmiljökunskap ska få i uppdrag att utreda pandemins arbetsmiljöeffekter.</w:t>
      </w:r>
    </w:p>
    <w:p w:rsidRPr="006B7451" w:rsidR="007D227A" w:rsidP="00287FD2" w:rsidRDefault="007510E3" w14:paraId="5B723FD0" w14:textId="5959B236">
      <w:pPr>
        <w:pStyle w:val="Normalutanindragellerluft"/>
        <w:spacing w:before="150"/>
      </w:pPr>
      <w:r w:rsidRPr="006B7451">
        <w:t>Hittills under 2021 har 26 personer mist livet på sin arbetsplats. Dagens arbetsmiljö</w:t>
      </w:r>
      <w:r w:rsidR="00A1566A">
        <w:softHyphen/>
      </w:r>
      <w:r w:rsidRPr="006B7451">
        <w:t>arbete behöver organiseras på ett nytt sätt för att uppnå nollvisionen. Ingen ska behöva avlida på sin arbetsplats eller på grund av sitt arbete. Ingen ska heller utsättas för hot och våld på sin arbetsplats, något som är vanligt för bland annat blåljuspersonal och myndighetspersonal. Sverigedemokraterna vill se en avpolitisering av arbetsmiljöarbetet då dagens modell är exkluderande och leder till olika utfall för den enskilde löntagaren beroende på dennes politiska och fackliga tillhörighet. Arbetslivet ska vara tryggt för alla.</w:t>
      </w:r>
    </w:p>
    <w:p w:rsidRPr="006B7451" w:rsidR="007D227A" w:rsidP="007510E3" w:rsidRDefault="007D227A" w14:paraId="4906F49D" w14:textId="5183CA3B">
      <w:r w:rsidRPr="006B7451">
        <w:t>Myndigheten för arbetsmiljökunskap bör få i uppdrag att utreda pandemins konsekvenser för vårdpersonal men också för löntagar</w:t>
      </w:r>
      <w:r w:rsidR="00FB188C">
        <w:t>e</w:t>
      </w:r>
      <w:r w:rsidRPr="006B7451">
        <w:t xml:space="preserve"> som arbetat hemma under en längre period. Arbetsmiljöverkets tillsynsarbete är vitalt för arbetsmiljöarbetet och myndigheten bör genomföra ett ökat antal arbetsplatsinspektioner. Båda dessa myndigheter är viktiga aktörer i </w:t>
      </w:r>
      <w:r w:rsidR="00331F52">
        <w:t xml:space="preserve">fråga om </w:t>
      </w:r>
      <w:r w:rsidRPr="006B7451">
        <w:t>att utreda och informera om hur globalisering, digitalisering, demografiska förutsättningar och migration kan komma att påverka framtidens arbetsliv.</w:t>
      </w:r>
    </w:p>
    <w:p w:rsidRPr="006B7451" w:rsidR="008C00F4" w:rsidP="00D241F3" w:rsidRDefault="008C00F4" w14:paraId="235C4EAA" w14:textId="181AFCC7">
      <w:r w:rsidRPr="006B7451">
        <w:t>Förslaget beräknas öka utgifterna i statens budget med 0,06 miljarder kronor 202</w:t>
      </w:r>
      <w:r w:rsidRPr="006B7451" w:rsidR="00D241F3">
        <w:t>2</w:t>
      </w:r>
      <w:r w:rsidRPr="006B7451">
        <w:t>.</w:t>
      </w:r>
    </w:p>
    <w:p w:rsidR="00425239" w:rsidRDefault="00425239" w14:paraId="776F263F" w14:textId="1D997AA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27185" w:rsidP="00ED5D60" w:rsidRDefault="00D27185" w14:paraId="7E1B289B" w14:textId="25F75C37">
      <w:pPr>
        <w:pStyle w:val="Rubrik1numrerat"/>
      </w:pPr>
      <w:bookmarkStart w:name="_Toc121752535" w:id="25"/>
      <w:r w:rsidRPr="006B7451">
        <w:lastRenderedPageBreak/>
        <w:t>Kommu</w:t>
      </w:r>
      <w:r w:rsidRPr="006B7451" w:rsidR="0039603E">
        <w:t>nsektorn</w:t>
      </w:r>
      <w:bookmarkEnd w:id="25"/>
    </w:p>
    <w:p w:rsidRPr="006B7451" w:rsidR="00F405EB" w:rsidP="008D32C3" w:rsidRDefault="00F405EB" w14:paraId="3ACFBC0E" w14:textId="7721F4E8">
      <w:pPr>
        <w:pStyle w:val="Normalutanindragellerluft"/>
      </w:pPr>
      <w:r w:rsidRPr="006B7451">
        <w:t>Kommunsektorns överskott uppgick till 55 miljarder kronor år 2020</w:t>
      </w:r>
      <w:r w:rsidRPr="006B7451" w:rsidR="003E47DD">
        <w:t>.</w:t>
      </w:r>
      <w:r w:rsidRPr="006B7451">
        <w:t xml:space="preserve"> </w:t>
      </w:r>
      <w:r w:rsidRPr="006B7451" w:rsidR="003E47DD">
        <w:t>F</w:t>
      </w:r>
      <w:r w:rsidRPr="006B7451">
        <w:t xml:space="preserve">ör regionerna var 2020 det bästa ekonomiska året någonsin. Inom ett antal verksamheter har trycket varit mindre än normalt, såsom </w:t>
      </w:r>
      <w:r w:rsidRPr="006B7451" w:rsidR="003E47DD">
        <w:t xml:space="preserve">inom </w:t>
      </w:r>
      <w:r w:rsidRPr="006B7451">
        <w:t xml:space="preserve">viss hälso- och sjukvård, dagverksamheter, förskola, kultur- och fritidsverksamheter och äldreomsorg i </w:t>
      </w:r>
      <w:r w:rsidRPr="006B7451" w:rsidR="00BE47D6">
        <w:t xml:space="preserve">en del </w:t>
      </w:r>
      <w:r w:rsidRPr="006B7451">
        <w:t>kommuner, med en lång</w:t>
      </w:r>
      <w:r w:rsidR="00425239">
        <w:softHyphen/>
      </w:r>
      <w:r w:rsidRPr="006B7451">
        <w:t>sammare kostnadsökning som följd. Den stora anledningen till kommunsektorns över</w:t>
      </w:r>
      <w:r w:rsidR="00425239">
        <w:softHyphen/>
      </w:r>
      <w:r w:rsidRPr="006B7451">
        <w:t xml:space="preserve">skott är dock </w:t>
      </w:r>
      <w:r w:rsidRPr="006B7451" w:rsidR="00A84252">
        <w:t>de statliga pandemiåtgärderna med både riktade och generella statsbidrag som överstigit minskningen av skatteintäkterna</w:t>
      </w:r>
      <w:r w:rsidRPr="006B7451" w:rsidR="00E93A8B">
        <w:t xml:space="preserve"> samt statlig finansiering av kommun</w:t>
      </w:r>
      <w:r w:rsidR="00425239">
        <w:softHyphen/>
      </w:r>
      <w:r w:rsidRPr="006B7451" w:rsidR="00E93A8B">
        <w:t>sektorns sjuklönekostnader under delar av året</w:t>
      </w:r>
      <w:r w:rsidRPr="006B7451" w:rsidR="00A84252">
        <w:t>.</w:t>
      </w:r>
    </w:p>
    <w:p w:rsidRPr="006B7451" w:rsidR="00A84252" w:rsidP="00A84252" w:rsidRDefault="00F405EB" w14:paraId="4E6E48BD" w14:textId="77777777">
      <w:r w:rsidRPr="006B7451">
        <w:t>Även 2021 beräknas</w:t>
      </w:r>
      <w:r w:rsidRPr="006B7451" w:rsidR="00A84252">
        <w:t xml:space="preserve"> kommunsektorn ha en förhållandevis stark ekonomi med ett beräknat resultat på 24 miljarder kronor med anledning av att de generella statsbidragen kvarstår på en hög nivå, även om prognosen är behäftad med stor osäkerhet.</w:t>
      </w:r>
      <w:r w:rsidRPr="006B7451" w:rsidR="00A84252">
        <w:rPr>
          <w:rStyle w:val="Fotnotsreferens"/>
        </w:rPr>
        <w:footnoteReference w:id="1"/>
      </w:r>
    </w:p>
    <w:p w:rsidRPr="006B7451" w:rsidR="00F405EB" w:rsidP="00246DC7" w:rsidRDefault="00A84252" w14:paraId="77E96AD3" w14:textId="77777777">
      <w:r w:rsidRPr="006B7451">
        <w:t xml:space="preserve">Med en minskad smittspridning </w:t>
      </w:r>
      <w:r w:rsidRPr="006B7451" w:rsidR="00246DC7">
        <w:t xml:space="preserve">står kommunsektorn dock dels inför utmaningen att hantera vård och annan verksamhet som har skjutits upp, dels inför demografiska utmaningar med en åldrande befolkning och ett ökat vårdbehov som följd. </w:t>
      </w:r>
    </w:p>
    <w:p w:rsidRPr="006B7451" w:rsidR="00053B01" w:rsidP="00246DC7" w:rsidRDefault="00053B01" w14:paraId="50B41DA2" w14:textId="388F381B">
      <w:r w:rsidRPr="006B7451">
        <w:t>Andelen av de inskrivna vid Arbetsförmedlingen som får ersättning från arbetslöshetsförsäkringen har sjunkit. Mellan 2005 och 2019 sjönk täckningsgraden i arbetslöshetsförsäkringen från 72 procent till 42 procent.</w:t>
      </w:r>
      <w:r w:rsidRPr="006B7451" w:rsidR="00AB63C6">
        <w:rPr>
          <w:rStyle w:val="Fotnotsreferens"/>
        </w:rPr>
        <w:footnoteReference w:id="2"/>
      </w:r>
      <w:r w:rsidRPr="006B7451">
        <w:t xml:space="preserve"> </w:t>
      </w:r>
      <w:r w:rsidRPr="006B7451" w:rsidR="00E93A8B">
        <w:t>Anledningen till att många står utanför arbetslöshetsförsäkringen kan dels förklaras av att ett större antal in</w:t>
      </w:r>
      <w:r w:rsidR="008371F6">
        <w:t>te</w:t>
      </w:r>
      <w:r w:rsidRPr="006B7451" w:rsidR="00E93A8B">
        <w:t xml:space="preserve"> uppfyller de villkor som krävs för att kvalificera sig till arbetslösheten. De har ej arbetat tillräckligt mycket eller i de former som krävs</w:t>
      </w:r>
      <w:r w:rsidRPr="006B7451" w:rsidR="00AC220F">
        <w:t xml:space="preserve">. </w:t>
      </w:r>
      <w:r w:rsidRPr="006B7451">
        <w:t>En ytterligare faktor är att en stor andel av de nytillkomna i arbetskraften saknar de kvalifikationer som företagen efterfrågar. Gruppen nyanlända, som utgör en stor andel av dessa, har en lång etableringstid rent generellt, vilket resulterar i att de i mindre utsträckning uppfyller villkoren för ersättning.</w:t>
      </w:r>
    </w:p>
    <w:p w:rsidRPr="006B7451" w:rsidR="00053B01" w:rsidP="00053B01" w:rsidRDefault="00053B01" w14:paraId="28E1A8CB" w14:textId="633ADE86">
      <w:r w:rsidRPr="006B7451">
        <w:t xml:space="preserve">Att täckningsgraden minskar betyder att en ökad </w:t>
      </w:r>
      <w:r w:rsidRPr="006B7451" w:rsidR="00AC220F">
        <w:t xml:space="preserve">börda läggs på kommunerna då de behöver betala ut </w:t>
      </w:r>
      <w:r w:rsidRPr="006B7451">
        <w:t>försörjningsstöd</w:t>
      </w:r>
      <w:r w:rsidRPr="006B7451" w:rsidR="00AC220F">
        <w:t>.</w:t>
      </w:r>
    </w:p>
    <w:p w:rsidRPr="006B7451" w:rsidR="00053B01" w:rsidP="00053B01" w:rsidRDefault="00053B01" w14:paraId="74153E86" w14:textId="5E87E12F">
      <w:r w:rsidRPr="006B7451">
        <w:t>Under 2020 ökade andelen biståndsmottagare som är i behov av kommunalt försörjningsstöd på grund av arbetslöshet. I november utgjorde vuxna biståndsmottagare med arbetslöshet som försörjningshinder cirka 54 procent av biståndsmottagarna. Motsvarande siffra i november 2019 var 51 procent.</w:t>
      </w:r>
      <w:r w:rsidRPr="006B7451">
        <w:rPr>
          <w:rStyle w:val="Fotnotsreferens"/>
        </w:rPr>
        <w:footnoteReference w:id="3"/>
      </w:r>
    </w:p>
    <w:p w:rsidRPr="006B7451" w:rsidR="00CB3EBF" w:rsidP="00F74926" w:rsidRDefault="00CB3EBF" w14:paraId="707711B2" w14:textId="56A189FA">
      <w:pPr>
        <w:pStyle w:val="Rubrik3"/>
      </w:pPr>
      <w:bookmarkStart w:name="_Toc121752536" w:id="26"/>
      <w:r w:rsidRPr="006B7451">
        <w:t>Fler ska försörja färre</w:t>
      </w:r>
      <w:bookmarkEnd w:id="26"/>
    </w:p>
    <w:p w:rsidRPr="006B7451" w:rsidR="00450C2E" w:rsidP="00A839A4" w:rsidRDefault="00450C2E" w14:paraId="22EED6B9" w14:textId="77777777">
      <w:pPr>
        <w:pStyle w:val="Normalutanindragellerluft"/>
      </w:pPr>
      <w:r w:rsidRPr="006B7451">
        <w:t>Det finns olika sätt att bedöma försörjningsbörda. Statistiska centralbyrån presenterar kvartalsvisa rapporter inom området arbetskraftsundersökningar (AKU) vilka visar på skillnaden mellan anställda, arbetslösa och de som överhuvudtaget inte befinner sig på arbetsmarknaden såsom pensionärer, sjukpensionärer m.fl.</w:t>
      </w:r>
    </w:p>
    <w:p w:rsidRPr="006B7451" w:rsidR="00450C2E" w:rsidP="0001026A" w:rsidRDefault="00450C2E" w14:paraId="3FB030D4" w14:textId="65EF54A9">
      <w:r w:rsidRPr="006B7451">
        <w:t>Den ekonomiska försörjningskvoten, det vill säga kvoten mellan den befolkning som inte är ekonomisk</w:t>
      </w:r>
      <w:r w:rsidR="00DA196B">
        <w:t>t</w:t>
      </w:r>
      <w:r w:rsidRPr="006B7451">
        <w:t xml:space="preserve"> aktiv och den ekonomiskt aktiva befolkningen, är det vedertagna sättet för att beskriva den demografiska utmaningen. För kommuner och regioner är kvoten särskilt relevant då den sätter utgifter för skola, vård och omsorg i förhållande till storleken på skattebasen. Kvoten beräknas genom summan av antalet </w:t>
      </w:r>
      <w:r w:rsidRPr="006B7451">
        <w:lastRenderedPageBreak/>
        <w:t>personer som inte är sysselsatta dividerat med antalet personer som är sysselsatta. Ju högre försörjningskvoten är, desto tyngre är försörjningsbördan.</w:t>
      </w:r>
    </w:p>
    <w:p w:rsidR="00476B79" w:rsidP="00A839A4" w:rsidRDefault="00777DD0" w14:paraId="5986E396" w14:textId="684C109F">
      <w:pPr>
        <w:pStyle w:val="Tabellrubrik"/>
      </w:pPr>
      <w:r w:rsidRPr="00A839A4">
        <w:t xml:space="preserve">Tabell </w:t>
      </w:r>
      <w:r w:rsidR="00476B79">
        <w:t>7</w:t>
      </w:r>
      <w:r w:rsidRPr="00A839A4">
        <w:t xml:space="preserve"> Folkmängd efter ålder och demografisk försörjningskvot 1960–2015 samt prognos 2020–2060</w:t>
      </w:r>
      <w:r w:rsidR="00AC2857">
        <w:t>, t</w:t>
      </w:r>
      <w:r w:rsidRPr="00476B79" w:rsidR="00AC2857">
        <w:t>usental</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1418"/>
        <w:gridCol w:w="1240"/>
        <w:gridCol w:w="1240"/>
        <w:gridCol w:w="1226"/>
        <w:gridCol w:w="14"/>
        <w:gridCol w:w="1242"/>
        <w:gridCol w:w="2124"/>
      </w:tblGrid>
      <w:tr w:rsidRPr="006B7451" w:rsidR="00777DD0" w:rsidTr="00747FAB" w14:paraId="70D2C3C8" w14:textId="77777777">
        <w:tc>
          <w:tcPr>
            <w:tcW w:w="834" w:type="pct"/>
            <w:tcBorders>
              <w:top w:val="single" w:color="auto" w:sz="4" w:space="0"/>
            </w:tcBorders>
          </w:tcPr>
          <w:p w:rsidRPr="006B7451" w:rsidR="00777DD0" w:rsidP="00A775A5" w:rsidRDefault="00777DD0" w14:paraId="7CC82E4F" w14:textId="77777777">
            <w:pPr>
              <w:spacing w:before="80" w:line="240" w:lineRule="exact"/>
              <w:rPr>
                <w:b/>
                <w:sz w:val="20"/>
                <w:szCs w:val="20"/>
              </w:rPr>
            </w:pPr>
          </w:p>
        </w:tc>
        <w:tc>
          <w:tcPr>
            <w:tcW w:w="2179" w:type="pct"/>
            <w:gridSpan w:val="3"/>
            <w:tcBorders>
              <w:top w:val="single" w:color="auto" w:sz="4" w:space="0"/>
              <w:bottom w:val="single" w:color="auto" w:sz="4" w:space="0"/>
            </w:tcBorders>
          </w:tcPr>
          <w:p w:rsidRPr="006B7451" w:rsidR="00777DD0" w:rsidP="00A775A5" w:rsidRDefault="00777DD0" w14:paraId="26A579A6" w14:textId="77777777">
            <w:pPr>
              <w:spacing w:before="80" w:line="240" w:lineRule="exact"/>
              <w:jc w:val="center"/>
              <w:rPr>
                <w:b/>
                <w:sz w:val="20"/>
                <w:szCs w:val="20"/>
              </w:rPr>
            </w:pPr>
            <w:r w:rsidRPr="006B7451">
              <w:rPr>
                <w:b/>
                <w:sz w:val="20"/>
                <w:szCs w:val="20"/>
              </w:rPr>
              <w:t>Ålder</w:t>
            </w:r>
          </w:p>
        </w:tc>
        <w:tc>
          <w:tcPr>
            <w:tcW w:w="738" w:type="pct"/>
            <w:gridSpan w:val="2"/>
            <w:tcBorders>
              <w:top w:val="single" w:color="auto" w:sz="4" w:space="0"/>
              <w:bottom w:val="single" w:color="auto" w:sz="4" w:space="0"/>
            </w:tcBorders>
          </w:tcPr>
          <w:p w:rsidRPr="006B7451" w:rsidR="00777DD0" w:rsidP="00A775A5" w:rsidRDefault="00777DD0" w14:paraId="35388CFA" w14:textId="77777777">
            <w:pPr>
              <w:spacing w:before="80" w:line="240" w:lineRule="exact"/>
              <w:rPr>
                <w:b/>
                <w:sz w:val="20"/>
                <w:szCs w:val="20"/>
              </w:rPr>
            </w:pPr>
          </w:p>
        </w:tc>
        <w:tc>
          <w:tcPr>
            <w:tcW w:w="1249" w:type="pct"/>
            <w:tcBorders>
              <w:top w:val="single" w:color="auto" w:sz="4" w:space="0"/>
            </w:tcBorders>
          </w:tcPr>
          <w:p w:rsidRPr="006B7451" w:rsidR="00777DD0" w:rsidP="00A775A5" w:rsidRDefault="00777DD0" w14:paraId="55852B16" w14:textId="77777777">
            <w:pPr>
              <w:spacing w:before="80" w:line="240" w:lineRule="exact"/>
              <w:rPr>
                <w:b/>
                <w:sz w:val="20"/>
                <w:szCs w:val="20"/>
              </w:rPr>
            </w:pPr>
          </w:p>
        </w:tc>
      </w:tr>
      <w:tr w:rsidRPr="006B7451" w:rsidR="00777DD0" w:rsidTr="00747FAB" w14:paraId="510D9564" w14:textId="77777777">
        <w:tc>
          <w:tcPr>
            <w:tcW w:w="834" w:type="pct"/>
            <w:tcBorders>
              <w:bottom w:val="single" w:color="auto" w:sz="4" w:space="0"/>
            </w:tcBorders>
          </w:tcPr>
          <w:p w:rsidRPr="006B7451" w:rsidR="00777DD0" w:rsidP="00A775A5" w:rsidRDefault="00777DD0" w14:paraId="60ADB2DC" w14:textId="77777777">
            <w:pPr>
              <w:spacing w:before="80" w:line="240" w:lineRule="exact"/>
              <w:ind w:firstLine="0"/>
              <w:jc w:val="both"/>
              <w:rPr>
                <w:b/>
                <w:sz w:val="20"/>
                <w:szCs w:val="20"/>
              </w:rPr>
            </w:pPr>
            <w:r w:rsidRPr="006B7451">
              <w:rPr>
                <w:b/>
                <w:sz w:val="20"/>
                <w:szCs w:val="20"/>
              </w:rPr>
              <w:t>År</w:t>
            </w:r>
          </w:p>
        </w:tc>
        <w:tc>
          <w:tcPr>
            <w:tcW w:w="729" w:type="pct"/>
            <w:tcBorders>
              <w:top w:val="single" w:color="auto" w:sz="4" w:space="0"/>
              <w:bottom w:val="single" w:color="auto" w:sz="4" w:space="0"/>
            </w:tcBorders>
          </w:tcPr>
          <w:p w:rsidRPr="00476B79" w:rsidR="00777DD0" w:rsidP="00A775A5" w:rsidRDefault="00777DD0" w14:paraId="02B38EA6" w14:textId="77777777">
            <w:pPr>
              <w:spacing w:before="80" w:line="240" w:lineRule="exact"/>
              <w:jc w:val="right"/>
              <w:rPr>
                <w:b/>
                <w:bCs/>
                <w:sz w:val="20"/>
                <w:szCs w:val="20"/>
              </w:rPr>
            </w:pPr>
            <w:r w:rsidRPr="00476B79">
              <w:rPr>
                <w:b/>
                <w:bCs/>
                <w:sz w:val="20"/>
                <w:szCs w:val="20"/>
              </w:rPr>
              <w:t>0–19</w:t>
            </w:r>
          </w:p>
        </w:tc>
        <w:tc>
          <w:tcPr>
            <w:tcW w:w="729" w:type="pct"/>
            <w:tcBorders>
              <w:top w:val="single" w:color="auto" w:sz="4" w:space="0"/>
              <w:bottom w:val="single" w:color="auto" w:sz="4" w:space="0"/>
            </w:tcBorders>
          </w:tcPr>
          <w:p w:rsidRPr="00476B79" w:rsidR="00777DD0" w:rsidP="00A775A5" w:rsidRDefault="00777DD0" w14:paraId="3D7418EC" w14:textId="77777777">
            <w:pPr>
              <w:spacing w:before="80" w:line="240" w:lineRule="exact"/>
              <w:ind w:firstLine="0"/>
              <w:jc w:val="right"/>
              <w:rPr>
                <w:b/>
                <w:bCs/>
                <w:sz w:val="20"/>
                <w:szCs w:val="20"/>
              </w:rPr>
            </w:pPr>
            <w:r w:rsidRPr="00476B79">
              <w:rPr>
                <w:b/>
                <w:bCs/>
                <w:sz w:val="20"/>
                <w:szCs w:val="20"/>
              </w:rPr>
              <w:t>20–64</w:t>
            </w:r>
          </w:p>
        </w:tc>
        <w:tc>
          <w:tcPr>
            <w:tcW w:w="729" w:type="pct"/>
            <w:gridSpan w:val="2"/>
            <w:tcBorders>
              <w:top w:val="single" w:color="auto" w:sz="4" w:space="0"/>
              <w:bottom w:val="single" w:color="auto" w:sz="4" w:space="0"/>
            </w:tcBorders>
          </w:tcPr>
          <w:p w:rsidRPr="00476B79" w:rsidR="00777DD0" w:rsidP="00A775A5" w:rsidRDefault="00777DD0" w14:paraId="29ECEC6E" w14:textId="77777777">
            <w:pPr>
              <w:spacing w:before="80" w:line="240" w:lineRule="exact"/>
              <w:jc w:val="right"/>
              <w:rPr>
                <w:b/>
                <w:bCs/>
                <w:sz w:val="20"/>
                <w:szCs w:val="20"/>
              </w:rPr>
            </w:pPr>
            <w:r w:rsidRPr="00476B79">
              <w:rPr>
                <w:b/>
                <w:bCs/>
                <w:sz w:val="20"/>
                <w:szCs w:val="20"/>
              </w:rPr>
              <w:t>65+</w:t>
            </w:r>
          </w:p>
        </w:tc>
        <w:tc>
          <w:tcPr>
            <w:tcW w:w="730" w:type="pct"/>
            <w:tcBorders>
              <w:top w:val="single" w:color="auto" w:sz="4" w:space="0"/>
              <w:bottom w:val="single" w:color="auto" w:sz="4" w:space="0"/>
            </w:tcBorders>
          </w:tcPr>
          <w:p w:rsidRPr="00476B79" w:rsidR="00777DD0" w:rsidP="00A775A5" w:rsidRDefault="00777DD0" w14:paraId="01370883" w14:textId="77777777">
            <w:pPr>
              <w:spacing w:before="80" w:line="240" w:lineRule="exact"/>
              <w:jc w:val="right"/>
              <w:rPr>
                <w:b/>
                <w:bCs/>
                <w:sz w:val="20"/>
                <w:szCs w:val="20"/>
              </w:rPr>
            </w:pPr>
            <w:r w:rsidRPr="00476B79">
              <w:rPr>
                <w:b/>
                <w:bCs/>
                <w:sz w:val="20"/>
                <w:szCs w:val="20"/>
              </w:rPr>
              <w:t>Totalt</w:t>
            </w:r>
          </w:p>
        </w:tc>
        <w:tc>
          <w:tcPr>
            <w:tcW w:w="1249" w:type="pct"/>
            <w:tcBorders>
              <w:bottom w:val="single" w:color="auto" w:sz="4" w:space="0"/>
            </w:tcBorders>
          </w:tcPr>
          <w:p w:rsidRPr="006B7451" w:rsidR="00777DD0" w:rsidP="00A775A5" w:rsidRDefault="00777DD0" w14:paraId="374E472F" w14:textId="77777777">
            <w:pPr>
              <w:spacing w:before="80" w:line="240" w:lineRule="exact"/>
              <w:ind w:firstLine="0"/>
              <w:jc w:val="right"/>
              <w:rPr>
                <w:b/>
                <w:sz w:val="20"/>
                <w:szCs w:val="20"/>
              </w:rPr>
            </w:pPr>
            <w:r w:rsidRPr="006B7451">
              <w:rPr>
                <w:b/>
                <w:sz w:val="20"/>
                <w:szCs w:val="20"/>
              </w:rPr>
              <w:t>Demografisk försörjningskvot</w:t>
            </w:r>
          </w:p>
        </w:tc>
      </w:tr>
      <w:tr w:rsidRPr="006B7451" w:rsidR="00777DD0" w:rsidTr="00747FAB" w14:paraId="48A23E1B" w14:textId="77777777">
        <w:tc>
          <w:tcPr>
            <w:tcW w:w="834" w:type="pct"/>
          </w:tcPr>
          <w:p w:rsidRPr="006B7451" w:rsidR="00777DD0" w:rsidP="00A775A5" w:rsidRDefault="00777DD0" w14:paraId="1128EEEE" w14:textId="77777777">
            <w:pPr>
              <w:spacing w:before="80" w:line="240" w:lineRule="exact"/>
              <w:ind w:firstLine="0"/>
              <w:jc w:val="both"/>
              <w:rPr>
                <w:sz w:val="20"/>
                <w:szCs w:val="20"/>
              </w:rPr>
            </w:pPr>
            <w:r w:rsidRPr="006B7451">
              <w:rPr>
                <w:sz w:val="20"/>
                <w:szCs w:val="20"/>
              </w:rPr>
              <w:t>1970</w:t>
            </w:r>
          </w:p>
        </w:tc>
        <w:tc>
          <w:tcPr>
            <w:tcW w:w="729" w:type="pct"/>
          </w:tcPr>
          <w:p w:rsidRPr="006B7451" w:rsidR="00777DD0" w:rsidP="00A775A5" w:rsidRDefault="00777DD0" w14:paraId="6A62CC84" w14:textId="77777777">
            <w:pPr>
              <w:spacing w:before="80" w:line="240" w:lineRule="exact"/>
              <w:jc w:val="right"/>
              <w:rPr>
                <w:sz w:val="20"/>
                <w:szCs w:val="20"/>
              </w:rPr>
            </w:pPr>
            <w:r w:rsidRPr="006B7451">
              <w:rPr>
                <w:sz w:val="20"/>
                <w:szCs w:val="20"/>
              </w:rPr>
              <w:t>2 233</w:t>
            </w:r>
          </w:p>
        </w:tc>
        <w:tc>
          <w:tcPr>
            <w:tcW w:w="729" w:type="pct"/>
          </w:tcPr>
          <w:p w:rsidRPr="006B7451" w:rsidR="00777DD0" w:rsidP="00A775A5" w:rsidRDefault="00777DD0" w14:paraId="6B4CDCA9" w14:textId="77777777">
            <w:pPr>
              <w:spacing w:before="80" w:line="240" w:lineRule="exact"/>
              <w:jc w:val="right"/>
              <w:rPr>
                <w:sz w:val="20"/>
                <w:szCs w:val="20"/>
              </w:rPr>
            </w:pPr>
            <w:r w:rsidRPr="006B7451">
              <w:rPr>
                <w:sz w:val="20"/>
                <w:szCs w:val="20"/>
              </w:rPr>
              <w:t>4 734</w:t>
            </w:r>
          </w:p>
        </w:tc>
        <w:tc>
          <w:tcPr>
            <w:tcW w:w="729" w:type="pct"/>
            <w:gridSpan w:val="2"/>
          </w:tcPr>
          <w:p w:rsidRPr="006B7451" w:rsidR="00777DD0" w:rsidP="00A775A5" w:rsidRDefault="00777DD0" w14:paraId="7EBA3122" w14:textId="77777777">
            <w:pPr>
              <w:spacing w:before="80" w:line="240" w:lineRule="exact"/>
              <w:jc w:val="right"/>
              <w:rPr>
                <w:sz w:val="20"/>
                <w:szCs w:val="20"/>
              </w:rPr>
            </w:pPr>
            <w:r w:rsidRPr="006B7451">
              <w:rPr>
                <w:sz w:val="20"/>
                <w:szCs w:val="20"/>
              </w:rPr>
              <w:t>1 113</w:t>
            </w:r>
          </w:p>
        </w:tc>
        <w:tc>
          <w:tcPr>
            <w:tcW w:w="730" w:type="pct"/>
          </w:tcPr>
          <w:p w:rsidRPr="006B7451" w:rsidR="00777DD0" w:rsidP="00A775A5" w:rsidRDefault="00777DD0" w14:paraId="47FBDB5D" w14:textId="77777777">
            <w:pPr>
              <w:spacing w:before="80" w:line="240" w:lineRule="exact"/>
              <w:jc w:val="right"/>
              <w:rPr>
                <w:sz w:val="20"/>
                <w:szCs w:val="20"/>
              </w:rPr>
            </w:pPr>
            <w:r w:rsidRPr="006B7451">
              <w:rPr>
                <w:sz w:val="20"/>
                <w:szCs w:val="20"/>
              </w:rPr>
              <w:t>8 081</w:t>
            </w:r>
          </w:p>
        </w:tc>
        <w:tc>
          <w:tcPr>
            <w:tcW w:w="1249" w:type="pct"/>
          </w:tcPr>
          <w:p w:rsidRPr="006B7451" w:rsidR="00777DD0" w:rsidP="00A775A5" w:rsidRDefault="00777DD0" w14:paraId="241B5BEC" w14:textId="77777777">
            <w:pPr>
              <w:spacing w:before="80" w:line="240" w:lineRule="exact"/>
              <w:jc w:val="right"/>
              <w:rPr>
                <w:sz w:val="20"/>
                <w:szCs w:val="20"/>
              </w:rPr>
            </w:pPr>
            <w:r w:rsidRPr="006B7451">
              <w:rPr>
                <w:sz w:val="20"/>
                <w:szCs w:val="20"/>
              </w:rPr>
              <w:t>0,71</w:t>
            </w:r>
          </w:p>
        </w:tc>
      </w:tr>
      <w:tr w:rsidRPr="006B7451" w:rsidR="00777DD0" w:rsidTr="00747FAB" w14:paraId="159C0028" w14:textId="77777777">
        <w:tc>
          <w:tcPr>
            <w:tcW w:w="834" w:type="pct"/>
          </w:tcPr>
          <w:p w:rsidRPr="006B7451" w:rsidR="00777DD0" w:rsidP="00A775A5" w:rsidRDefault="00777DD0" w14:paraId="133575B1" w14:textId="77777777">
            <w:pPr>
              <w:spacing w:before="80" w:line="240" w:lineRule="exact"/>
              <w:ind w:firstLine="0"/>
              <w:jc w:val="both"/>
              <w:rPr>
                <w:sz w:val="20"/>
                <w:szCs w:val="20"/>
              </w:rPr>
            </w:pPr>
            <w:r w:rsidRPr="006B7451">
              <w:rPr>
                <w:sz w:val="20"/>
                <w:szCs w:val="20"/>
              </w:rPr>
              <w:t>1980</w:t>
            </w:r>
          </w:p>
        </w:tc>
        <w:tc>
          <w:tcPr>
            <w:tcW w:w="729" w:type="pct"/>
          </w:tcPr>
          <w:p w:rsidRPr="006B7451" w:rsidR="00777DD0" w:rsidP="00A775A5" w:rsidRDefault="00777DD0" w14:paraId="04F0BFA7" w14:textId="77777777">
            <w:pPr>
              <w:spacing w:before="80" w:line="240" w:lineRule="exact"/>
              <w:jc w:val="right"/>
              <w:rPr>
                <w:sz w:val="20"/>
                <w:szCs w:val="20"/>
              </w:rPr>
            </w:pPr>
            <w:r w:rsidRPr="006B7451">
              <w:rPr>
                <w:sz w:val="20"/>
                <w:szCs w:val="20"/>
              </w:rPr>
              <w:t>2 194</w:t>
            </w:r>
          </w:p>
        </w:tc>
        <w:tc>
          <w:tcPr>
            <w:tcW w:w="729" w:type="pct"/>
          </w:tcPr>
          <w:p w:rsidRPr="006B7451" w:rsidR="00777DD0" w:rsidP="00A775A5" w:rsidRDefault="00777DD0" w14:paraId="22F50D90" w14:textId="77777777">
            <w:pPr>
              <w:spacing w:before="80" w:line="240" w:lineRule="exact"/>
              <w:jc w:val="right"/>
              <w:rPr>
                <w:sz w:val="20"/>
                <w:szCs w:val="20"/>
              </w:rPr>
            </w:pPr>
            <w:r w:rsidRPr="006B7451">
              <w:rPr>
                <w:sz w:val="20"/>
                <w:szCs w:val="20"/>
              </w:rPr>
              <w:t>4 761</w:t>
            </w:r>
          </w:p>
        </w:tc>
        <w:tc>
          <w:tcPr>
            <w:tcW w:w="729" w:type="pct"/>
            <w:gridSpan w:val="2"/>
          </w:tcPr>
          <w:p w:rsidRPr="006B7451" w:rsidR="00777DD0" w:rsidP="00A775A5" w:rsidRDefault="00777DD0" w14:paraId="2E160104" w14:textId="77777777">
            <w:pPr>
              <w:spacing w:before="80" w:line="240" w:lineRule="exact"/>
              <w:jc w:val="right"/>
              <w:rPr>
                <w:sz w:val="20"/>
                <w:szCs w:val="20"/>
              </w:rPr>
            </w:pPr>
            <w:r w:rsidRPr="006B7451">
              <w:rPr>
                <w:sz w:val="20"/>
                <w:szCs w:val="20"/>
              </w:rPr>
              <w:t>1 362</w:t>
            </w:r>
          </w:p>
        </w:tc>
        <w:tc>
          <w:tcPr>
            <w:tcW w:w="730" w:type="pct"/>
          </w:tcPr>
          <w:p w:rsidRPr="006B7451" w:rsidR="00777DD0" w:rsidP="00A775A5" w:rsidRDefault="00777DD0" w14:paraId="1D31B6AB" w14:textId="77777777">
            <w:pPr>
              <w:spacing w:before="80" w:line="240" w:lineRule="exact"/>
              <w:jc w:val="right"/>
              <w:rPr>
                <w:sz w:val="20"/>
                <w:szCs w:val="20"/>
              </w:rPr>
            </w:pPr>
            <w:r w:rsidRPr="006B7451">
              <w:rPr>
                <w:sz w:val="20"/>
                <w:szCs w:val="20"/>
              </w:rPr>
              <w:t>8 318</w:t>
            </w:r>
          </w:p>
        </w:tc>
        <w:tc>
          <w:tcPr>
            <w:tcW w:w="1249" w:type="pct"/>
          </w:tcPr>
          <w:p w:rsidRPr="006B7451" w:rsidR="00777DD0" w:rsidP="00A775A5" w:rsidRDefault="00777DD0" w14:paraId="17398B26" w14:textId="77777777">
            <w:pPr>
              <w:spacing w:before="80" w:line="240" w:lineRule="exact"/>
              <w:jc w:val="right"/>
              <w:rPr>
                <w:sz w:val="20"/>
                <w:szCs w:val="20"/>
              </w:rPr>
            </w:pPr>
            <w:r w:rsidRPr="006B7451">
              <w:rPr>
                <w:sz w:val="20"/>
                <w:szCs w:val="20"/>
              </w:rPr>
              <w:t>0,75</w:t>
            </w:r>
          </w:p>
        </w:tc>
      </w:tr>
      <w:tr w:rsidRPr="006B7451" w:rsidR="00777DD0" w:rsidTr="00747FAB" w14:paraId="79F366C7" w14:textId="77777777">
        <w:tc>
          <w:tcPr>
            <w:tcW w:w="834" w:type="pct"/>
          </w:tcPr>
          <w:p w:rsidRPr="006B7451" w:rsidR="00777DD0" w:rsidP="00A775A5" w:rsidRDefault="00777DD0" w14:paraId="1CBEBFB9" w14:textId="77777777">
            <w:pPr>
              <w:spacing w:before="80" w:line="240" w:lineRule="exact"/>
              <w:ind w:firstLine="0"/>
              <w:jc w:val="both"/>
              <w:rPr>
                <w:sz w:val="20"/>
                <w:szCs w:val="20"/>
              </w:rPr>
            </w:pPr>
            <w:r w:rsidRPr="006B7451">
              <w:rPr>
                <w:sz w:val="20"/>
                <w:szCs w:val="20"/>
              </w:rPr>
              <w:t>1990</w:t>
            </w:r>
          </w:p>
        </w:tc>
        <w:tc>
          <w:tcPr>
            <w:tcW w:w="729" w:type="pct"/>
          </w:tcPr>
          <w:p w:rsidRPr="006B7451" w:rsidR="00777DD0" w:rsidP="00A775A5" w:rsidRDefault="00777DD0" w14:paraId="5CCDD0BB" w14:textId="77777777">
            <w:pPr>
              <w:spacing w:before="80" w:line="240" w:lineRule="exact"/>
              <w:jc w:val="right"/>
              <w:rPr>
                <w:sz w:val="20"/>
                <w:szCs w:val="20"/>
              </w:rPr>
            </w:pPr>
            <w:r w:rsidRPr="006B7451">
              <w:rPr>
                <w:sz w:val="20"/>
                <w:szCs w:val="20"/>
              </w:rPr>
              <w:t>2 111</w:t>
            </w:r>
          </w:p>
        </w:tc>
        <w:tc>
          <w:tcPr>
            <w:tcW w:w="729" w:type="pct"/>
          </w:tcPr>
          <w:p w:rsidRPr="006B7451" w:rsidR="00777DD0" w:rsidP="00A775A5" w:rsidRDefault="00777DD0" w14:paraId="5ECD7C6F" w14:textId="77777777">
            <w:pPr>
              <w:spacing w:before="80" w:line="240" w:lineRule="exact"/>
              <w:jc w:val="right"/>
              <w:rPr>
                <w:sz w:val="20"/>
                <w:szCs w:val="20"/>
              </w:rPr>
            </w:pPr>
            <w:r w:rsidRPr="006B7451">
              <w:rPr>
                <w:sz w:val="20"/>
                <w:szCs w:val="20"/>
              </w:rPr>
              <w:t>4 953</w:t>
            </w:r>
          </w:p>
        </w:tc>
        <w:tc>
          <w:tcPr>
            <w:tcW w:w="729" w:type="pct"/>
            <w:gridSpan w:val="2"/>
          </w:tcPr>
          <w:p w:rsidRPr="006B7451" w:rsidR="00777DD0" w:rsidP="00A775A5" w:rsidRDefault="00777DD0" w14:paraId="0C2B9AC0" w14:textId="77777777">
            <w:pPr>
              <w:spacing w:before="80" w:line="240" w:lineRule="exact"/>
              <w:jc w:val="right"/>
              <w:rPr>
                <w:sz w:val="20"/>
                <w:szCs w:val="20"/>
              </w:rPr>
            </w:pPr>
            <w:r w:rsidRPr="006B7451">
              <w:rPr>
                <w:sz w:val="20"/>
                <w:szCs w:val="20"/>
              </w:rPr>
              <w:t>1 526</w:t>
            </w:r>
          </w:p>
        </w:tc>
        <w:tc>
          <w:tcPr>
            <w:tcW w:w="730" w:type="pct"/>
          </w:tcPr>
          <w:p w:rsidRPr="006B7451" w:rsidR="00777DD0" w:rsidP="00A775A5" w:rsidRDefault="00777DD0" w14:paraId="7FDC64DA" w14:textId="77777777">
            <w:pPr>
              <w:spacing w:before="80" w:line="240" w:lineRule="exact"/>
              <w:jc w:val="right"/>
              <w:rPr>
                <w:sz w:val="20"/>
                <w:szCs w:val="20"/>
              </w:rPr>
            </w:pPr>
            <w:r w:rsidRPr="006B7451">
              <w:rPr>
                <w:sz w:val="20"/>
                <w:szCs w:val="20"/>
              </w:rPr>
              <w:t>8 591</w:t>
            </w:r>
          </w:p>
        </w:tc>
        <w:tc>
          <w:tcPr>
            <w:tcW w:w="1249" w:type="pct"/>
          </w:tcPr>
          <w:p w:rsidRPr="006B7451" w:rsidR="00777DD0" w:rsidP="00A775A5" w:rsidRDefault="00777DD0" w14:paraId="45160CBC" w14:textId="77777777">
            <w:pPr>
              <w:spacing w:before="80" w:line="240" w:lineRule="exact"/>
              <w:jc w:val="right"/>
              <w:rPr>
                <w:sz w:val="20"/>
                <w:szCs w:val="20"/>
              </w:rPr>
            </w:pPr>
            <w:r w:rsidRPr="006B7451">
              <w:rPr>
                <w:sz w:val="20"/>
                <w:szCs w:val="20"/>
              </w:rPr>
              <w:t>0,73</w:t>
            </w:r>
          </w:p>
        </w:tc>
      </w:tr>
      <w:tr w:rsidRPr="006B7451" w:rsidR="00777DD0" w:rsidTr="00747FAB" w14:paraId="507BE882" w14:textId="77777777">
        <w:tc>
          <w:tcPr>
            <w:tcW w:w="834" w:type="pct"/>
            <w:shd w:val="clear" w:color="auto" w:fill="auto"/>
          </w:tcPr>
          <w:p w:rsidRPr="006B7451" w:rsidR="00777DD0" w:rsidP="00A775A5" w:rsidRDefault="00777DD0" w14:paraId="09BAE25F" w14:textId="77777777">
            <w:pPr>
              <w:spacing w:before="80" w:line="240" w:lineRule="exact"/>
              <w:ind w:firstLine="0"/>
              <w:jc w:val="both"/>
              <w:rPr>
                <w:sz w:val="20"/>
                <w:szCs w:val="20"/>
              </w:rPr>
            </w:pPr>
            <w:r w:rsidRPr="006B7451">
              <w:rPr>
                <w:sz w:val="20"/>
                <w:szCs w:val="20"/>
              </w:rPr>
              <w:t>2000</w:t>
            </w:r>
          </w:p>
        </w:tc>
        <w:tc>
          <w:tcPr>
            <w:tcW w:w="729" w:type="pct"/>
            <w:shd w:val="clear" w:color="auto" w:fill="auto"/>
          </w:tcPr>
          <w:p w:rsidRPr="006B7451" w:rsidR="00777DD0" w:rsidP="00A775A5" w:rsidRDefault="00777DD0" w14:paraId="618B1693" w14:textId="77777777">
            <w:pPr>
              <w:spacing w:before="80" w:line="240" w:lineRule="exact"/>
              <w:jc w:val="right"/>
              <w:rPr>
                <w:sz w:val="20"/>
                <w:szCs w:val="20"/>
              </w:rPr>
            </w:pPr>
            <w:r w:rsidRPr="006B7451">
              <w:rPr>
                <w:sz w:val="20"/>
                <w:szCs w:val="20"/>
              </w:rPr>
              <w:t>2 139</w:t>
            </w:r>
          </w:p>
        </w:tc>
        <w:tc>
          <w:tcPr>
            <w:tcW w:w="729" w:type="pct"/>
            <w:shd w:val="clear" w:color="auto" w:fill="auto"/>
          </w:tcPr>
          <w:p w:rsidRPr="006B7451" w:rsidR="00777DD0" w:rsidP="00A775A5" w:rsidRDefault="00777DD0" w14:paraId="2FEDEADB" w14:textId="77777777">
            <w:pPr>
              <w:spacing w:before="80" w:line="240" w:lineRule="exact"/>
              <w:jc w:val="right"/>
              <w:rPr>
                <w:sz w:val="20"/>
                <w:szCs w:val="20"/>
              </w:rPr>
            </w:pPr>
            <w:r w:rsidRPr="006B7451">
              <w:rPr>
                <w:sz w:val="20"/>
                <w:szCs w:val="20"/>
              </w:rPr>
              <w:t>5 213</w:t>
            </w:r>
          </w:p>
        </w:tc>
        <w:tc>
          <w:tcPr>
            <w:tcW w:w="729" w:type="pct"/>
            <w:gridSpan w:val="2"/>
            <w:shd w:val="clear" w:color="auto" w:fill="auto"/>
          </w:tcPr>
          <w:p w:rsidRPr="006B7451" w:rsidR="00777DD0" w:rsidP="00A775A5" w:rsidRDefault="00777DD0" w14:paraId="5557AB26" w14:textId="77777777">
            <w:pPr>
              <w:spacing w:before="80" w:line="240" w:lineRule="exact"/>
              <w:jc w:val="right"/>
              <w:rPr>
                <w:sz w:val="20"/>
                <w:szCs w:val="20"/>
              </w:rPr>
            </w:pPr>
            <w:r w:rsidRPr="006B7451">
              <w:rPr>
                <w:sz w:val="20"/>
                <w:szCs w:val="20"/>
              </w:rPr>
              <w:t>1 531</w:t>
            </w:r>
          </w:p>
        </w:tc>
        <w:tc>
          <w:tcPr>
            <w:tcW w:w="730" w:type="pct"/>
            <w:shd w:val="clear" w:color="auto" w:fill="auto"/>
          </w:tcPr>
          <w:p w:rsidRPr="006B7451" w:rsidR="00777DD0" w:rsidP="00A775A5" w:rsidRDefault="00777DD0" w14:paraId="1F4DB79C" w14:textId="77777777">
            <w:pPr>
              <w:spacing w:before="80" w:line="240" w:lineRule="exact"/>
              <w:jc w:val="right"/>
              <w:rPr>
                <w:sz w:val="20"/>
                <w:szCs w:val="20"/>
              </w:rPr>
            </w:pPr>
            <w:r w:rsidRPr="006B7451">
              <w:rPr>
                <w:sz w:val="20"/>
                <w:szCs w:val="20"/>
              </w:rPr>
              <w:t>8 883</w:t>
            </w:r>
          </w:p>
        </w:tc>
        <w:tc>
          <w:tcPr>
            <w:tcW w:w="1249" w:type="pct"/>
            <w:shd w:val="clear" w:color="auto" w:fill="auto"/>
          </w:tcPr>
          <w:p w:rsidRPr="006B7451" w:rsidR="00777DD0" w:rsidP="00A775A5" w:rsidRDefault="00777DD0" w14:paraId="0389973E" w14:textId="77777777">
            <w:pPr>
              <w:spacing w:before="80" w:line="240" w:lineRule="exact"/>
              <w:jc w:val="right"/>
              <w:rPr>
                <w:sz w:val="20"/>
                <w:szCs w:val="20"/>
              </w:rPr>
            </w:pPr>
            <w:r w:rsidRPr="006B7451">
              <w:rPr>
                <w:sz w:val="20"/>
                <w:szCs w:val="20"/>
              </w:rPr>
              <w:t>0,70</w:t>
            </w:r>
          </w:p>
        </w:tc>
      </w:tr>
      <w:tr w:rsidRPr="006B7451" w:rsidR="00777DD0" w:rsidTr="00747FAB" w14:paraId="5DBCCD7D" w14:textId="77777777">
        <w:tc>
          <w:tcPr>
            <w:tcW w:w="834" w:type="pct"/>
            <w:shd w:val="clear" w:color="auto" w:fill="auto"/>
          </w:tcPr>
          <w:p w:rsidRPr="006B7451" w:rsidR="00777DD0" w:rsidP="00A775A5" w:rsidRDefault="00777DD0" w14:paraId="3C93ABE7" w14:textId="77777777">
            <w:pPr>
              <w:spacing w:before="80" w:line="240" w:lineRule="exact"/>
              <w:ind w:firstLine="0"/>
              <w:jc w:val="both"/>
              <w:rPr>
                <w:sz w:val="20"/>
                <w:szCs w:val="20"/>
              </w:rPr>
            </w:pPr>
            <w:r w:rsidRPr="006B7451">
              <w:rPr>
                <w:sz w:val="20"/>
                <w:szCs w:val="20"/>
              </w:rPr>
              <w:t>2010</w:t>
            </w:r>
          </w:p>
        </w:tc>
        <w:tc>
          <w:tcPr>
            <w:tcW w:w="729" w:type="pct"/>
            <w:shd w:val="clear" w:color="auto" w:fill="auto"/>
          </w:tcPr>
          <w:p w:rsidRPr="006B7451" w:rsidR="00777DD0" w:rsidP="00A775A5" w:rsidRDefault="00777DD0" w14:paraId="08368D3F" w14:textId="77777777">
            <w:pPr>
              <w:spacing w:before="80" w:line="240" w:lineRule="exact"/>
              <w:jc w:val="right"/>
              <w:rPr>
                <w:sz w:val="20"/>
                <w:szCs w:val="20"/>
              </w:rPr>
            </w:pPr>
            <w:r w:rsidRPr="006B7451">
              <w:rPr>
                <w:sz w:val="20"/>
                <w:szCs w:val="20"/>
              </w:rPr>
              <w:t>2 184</w:t>
            </w:r>
          </w:p>
        </w:tc>
        <w:tc>
          <w:tcPr>
            <w:tcW w:w="729" w:type="pct"/>
            <w:shd w:val="clear" w:color="auto" w:fill="auto"/>
          </w:tcPr>
          <w:p w:rsidRPr="006B7451" w:rsidR="00777DD0" w:rsidP="00A775A5" w:rsidRDefault="00777DD0" w14:paraId="2FD55293" w14:textId="77777777">
            <w:pPr>
              <w:spacing w:before="80" w:line="240" w:lineRule="exact"/>
              <w:jc w:val="right"/>
              <w:rPr>
                <w:sz w:val="20"/>
                <w:szCs w:val="20"/>
              </w:rPr>
            </w:pPr>
            <w:r w:rsidRPr="006B7451">
              <w:rPr>
                <w:sz w:val="20"/>
                <w:szCs w:val="20"/>
              </w:rPr>
              <w:t>5 495</w:t>
            </w:r>
          </w:p>
        </w:tc>
        <w:tc>
          <w:tcPr>
            <w:tcW w:w="729" w:type="pct"/>
            <w:gridSpan w:val="2"/>
            <w:shd w:val="clear" w:color="auto" w:fill="auto"/>
          </w:tcPr>
          <w:p w:rsidRPr="006B7451" w:rsidR="00777DD0" w:rsidP="00A775A5" w:rsidRDefault="00777DD0" w14:paraId="25CD9D15" w14:textId="77777777">
            <w:pPr>
              <w:spacing w:before="80" w:line="240" w:lineRule="exact"/>
              <w:jc w:val="right"/>
              <w:rPr>
                <w:sz w:val="20"/>
                <w:szCs w:val="20"/>
              </w:rPr>
            </w:pPr>
            <w:r w:rsidRPr="006B7451">
              <w:rPr>
                <w:sz w:val="20"/>
                <w:szCs w:val="20"/>
              </w:rPr>
              <w:t>1 737</w:t>
            </w:r>
          </w:p>
        </w:tc>
        <w:tc>
          <w:tcPr>
            <w:tcW w:w="730" w:type="pct"/>
            <w:shd w:val="clear" w:color="auto" w:fill="auto"/>
          </w:tcPr>
          <w:p w:rsidRPr="006B7451" w:rsidR="00777DD0" w:rsidP="00A775A5" w:rsidRDefault="00777DD0" w14:paraId="5C0FF3A3" w14:textId="77777777">
            <w:pPr>
              <w:spacing w:before="80" w:line="240" w:lineRule="exact"/>
              <w:jc w:val="right"/>
              <w:rPr>
                <w:sz w:val="20"/>
                <w:szCs w:val="20"/>
              </w:rPr>
            </w:pPr>
            <w:r w:rsidRPr="006B7451">
              <w:rPr>
                <w:sz w:val="20"/>
                <w:szCs w:val="20"/>
              </w:rPr>
              <w:t>9 416</w:t>
            </w:r>
          </w:p>
        </w:tc>
        <w:tc>
          <w:tcPr>
            <w:tcW w:w="1249" w:type="pct"/>
            <w:shd w:val="clear" w:color="auto" w:fill="auto"/>
          </w:tcPr>
          <w:p w:rsidRPr="006B7451" w:rsidR="00777DD0" w:rsidP="00A775A5" w:rsidRDefault="00777DD0" w14:paraId="6B029937" w14:textId="77777777">
            <w:pPr>
              <w:spacing w:before="80" w:line="240" w:lineRule="exact"/>
              <w:jc w:val="right"/>
              <w:rPr>
                <w:sz w:val="20"/>
                <w:szCs w:val="20"/>
              </w:rPr>
            </w:pPr>
            <w:r w:rsidRPr="006B7451">
              <w:rPr>
                <w:sz w:val="20"/>
                <w:szCs w:val="20"/>
              </w:rPr>
              <w:t>0,71</w:t>
            </w:r>
          </w:p>
        </w:tc>
      </w:tr>
      <w:tr w:rsidRPr="006B7451" w:rsidR="00777DD0" w:rsidTr="00747FAB" w14:paraId="20866B43" w14:textId="77777777">
        <w:tc>
          <w:tcPr>
            <w:tcW w:w="834" w:type="pct"/>
            <w:shd w:val="clear" w:color="auto" w:fill="auto"/>
          </w:tcPr>
          <w:p w:rsidRPr="006B7451" w:rsidR="00777DD0" w:rsidP="00A775A5" w:rsidRDefault="00777DD0" w14:paraId="2F240DA7" w14:textId="77777777">
            <w:pPr>
              <w:spacing w:before="80" w:line="240" w:lineRule="exact"/>
              <w:ind w:firstLine="0"/>
              <w:jc w:val="both"/>
              <w:rPr>
                <w:sz w:val="20"/>
                <w:szCs w:val="20"/>
              </w:rPr>
            </w:pPr>
            <w:r w:rsidRPr="006B7451">
              <w:rPr>
                <w:sz w:val="20"/>
                <w:szCs w:val="20"/>
              </w:rPr>
              <w:t>2017</w:t>
            </w:r>
          </w:p>
        </w:tc>
        <w:tc>
          <w:tcPr>
            <w:tcW w:w="729" w:type="pct"/>
            <w:shd w:val="clear" w:color="auto" w:fill="auto"/>
          </w:tcPr>
          <w:p w:rsidRPr="006B7451" w:rsidR="00777DD0" w:rsidP="00A775A5" w:rsidRDefault="00777DD0" w14:paraId="152C7FF6" w14:textId="77777777">
            <w:pPr>
              <w:spacing w:before="80" w:line="240" w:lineRule="exact"/>
              <w:ind w:firstLine="0"/>
              <w:jc w:val="right"/>
              <w:rPr>
                <w:sz w:val="20"/>
                <w:szCs w:val="20"/>
              </w:rPr>
            </w:pPr>
            <w:r w:rsidRPr="006B7451">
              <w:rPr>
                <w:sz w:val="20"/>
                <w:szCs w:val="20"/>
              </w:rPr>
              <w:t>2 340</w:t>
            </w:r>
          </w:p>
        </w:tc>
        <w:tc>
          <w:tcPr>
            <w:tcW w:w="729" w:type="pct"/>
            <w:shd w:val="clear" w:color="auto" w:fill="auto"/>
          </w:tcPr>
          <w:p w:rsidRPr="006B7451" w:rsidR="00777DD0" w:rsidP="00A775A5" w:rsidRDefault="00777DD0" w14:paraId="6735ADFF" w14:textId="77777777">
            <w:pPr>
              <w:spacing w:before="80" w:line="240" w:lineRule="exact"/>
              <w:jc w:val="right"/>
              <w:rPr>
                <w:sz w:val="20"/>
                <w:szCs w:val="20"/>
              </w:rPr>
            </w:pPr>
            <w:r w:rsidRPr="006B7451">
              <w:rPr>
                <w:sz w:val="20"/>
                <w:szCs w:val="20"/>
              </w:rPr>
              <w:t>5 775</w:t>
            </w:r>
          </w:p>
        </w:tc>
        <w:tc>
          <w:tcPr>
            <w:tcW w:w="729" w:type="pct"/>
            <w:gridSpan w:val="2"/>
            <w:shd w:val="clear" w:color="auto" w:fill="auto"/>
          </w:tcPr>
          <w:p w:rsidRPr="006B7451" w:rsidR="00777DD0" w:rsidP="00A775A5" w:rsidRDefault="00777DD0" w14:paraId="1161013B" w14:textId="77777777">
            <w:pPr>
              <w:spacing w:before="80" w:line="240" w:lineRule="exact"/>
              <w:jc w:val="right"/>
              <w:rPr>
                <w:sz w:val="20"/>
                <w:szCs w:val="20"/>
              </w:rPr>
            </w:pPr>
            <w:r w:rsidRPr="006B7451">
              <w:rPr>
                <w:sz w:val="20"/>
                <w:szCs w:val="20"/>
              </w:rPr>
              <w:t>2 006</w:t>
            </w:r>
          </w:p>
        </w:tc>
        <w:tc>
          <w:tcPr>
            <w:tcW w:w="730" w:type="pct"/>
            <w:shd w:val="clear" w:color="auto" w:fill="auto"/>
          </w:tcPr>
          <w:p w:rsidRPr="006B7451" w:rsidR="00777DD0" w:rsidP="00A775A5" w:rsidRDefault="00777DD0" w14:paraId="5178F5FF" w14:textId="77777777">
            <w:pPr>
              <w:spacing w:before="80" w:line="240" w:lineRule="exact"/>
              <w:jc w:val="right"/>
              <w:rPr>
                <w:sz w:val="20"/>
                <w:szCs w:val="20"/>
              </w:rPr>
            </w:pPr>
            <w:r w:rsidRPr="006B7451">
              <w:rPr>
                <w:sz w:val="20"/>
                <w:szCs w:val="20"/>
              </w:rPr>
              <w:t>10 120</w:t>
            </w:r>
          </w:p>
        </w:tc>
        <w:tc>
          <w:tcPr>
            <w:tcW w:w="1249" w:type="pct"/>
            <w:shd w:val="clear" w:color="auto" w:fill="auto"/>
          </w:tcPr>
          <w:p w:rsidRPr="006B7451" w:rsidR="00777DD0" w:rsidP="00A775A5" w:rsidRDefault="00777DD0" w14:paraId="28820F01" w14:textId="77777777">
            <w:pPr>
              <w:spacing w:before="80" w:line="240" w:lineRule="exact"/>
              <w:jc w:val="right"/>
              <w:rPr>
                <w:sz w:val="20"/>
                <w:szCs w:val="20"/>
              </w:rPr>
            </w:pPr>
            <w:r w:rsidRPr="006B7451">
              <w:rPr>
                <w:sz w:val="20"/>
                <w:szCs w:val="20"/>
              </w:rPr>
              <w:t>0,75</w:t>
            </w:r>
          </w:p>
        </w:tc>
      </w:tr>
      <w:tr w:rsidRPr="006B7451" w:rsidR="00777DD0" w:rsidTr="00747FAB" w14:paraId="629FB33A" w14:textId="77777777">
        <w:tc>
          <w:tcPr>
            <w:tcW w:w="834" w:type="pct"/>
            <w:shd w:val="clear" w:color="auto" w:fill="auto"/>
          </w:tcPr>
          <w:p w:rsidRPr="006B7451" w:rsidR="00777DD0" w:rsidP="00A775A5" w:rsidRDefault="00777DD0" w14:paraId="5FCDB145" w14:textId="77777777">
            <w:pPr>
              <w:spacing w:before="80" w:line="240" w:lineRule="exact"/>
              <w:ind w:firstLine="0"/>
              <w:jc w:val="both"/>
              <w:rPr>
                <w:sz w:val="20"/>
                <w:szCs w:val="20"/>
              </w:rPr>
            </w:pPr>
            <w:r w:rsidRPr="006B7451">
              <w:rPr>
                <w:sz w:val="20"/>
                <w:szCs w:val="20"/>
              </w:rPr>
              <w:t>2018</w:t>
            </w:r>
          </w:p>
        </w:tc>
        <w:tc>
          <w:tcPr>
            <w:tcW w:w="729" w:type="pct"/>
            <w:shd w:val="clear" w:color="auto" w:fill="auto"/>
          </w:tcPr>
          <w:p w:rsidRPr="006B7451" w:rsidR="00777DD0" w:rsidP="00A775A5" w:rsidRDefault="00777DD0" w14:paraId="71168C4A" w14:textId="77777777">
            <w:pPr>
              <w:spacing w:before="80" w:line="240" w:lineRule="exact"/>
              <w:jc w:val="right"/>
              <w:rPr>
                <w:sz w:val="20"/>
                <w:szCs w:val="20"/>
              </w:rPr>
            </w:pPr>
            <w:r w:rsidRPr="006B7451">
              <w:rPr>
                <w:sz w:val="20"/>
                <w:szCs w:val="20"/>
              </w:rPr>
              <w:t>2 379</w:t>
            </w:r>
          </w:p>
        </w:tc>
        <w:tc>
          <w:tcPr>
            <w:tcW w:w="729" w:type="pct"/>
            <w:shd w:val="clear" w:color="auto" w:fill="auto"/>
          </w:tcPr>
          <w:p w:rsidRPr="006B7451" w:rsidR="00777DD0" w:rsidP="00A775A5" w:rsidRDefault="00777DD0" w14:paraId="0910E620" w14:textId="77777777">
            <w:pPr>
              <w:spacing w:before="80" w:line="240" w:lineRule="exact"/>
              <w:jc w:val="right"/>
              <w:rPr>
                <w:sz w:val="20"/>
                <w:szCs w:val="20"/>
              </w:rPr>
            </w:pPr>
            <w:r w:rsidRPr="006B7451">
              <w:rPr>
                <w:sz w:val="20"/>
                <w:szCs w:val="20"/>
              </w:rPr>
              <w:t>5 815</w:t>
            </w:r>
          </w:p>
        </w:tc>
        <w:tc>
          <w:tcPr>
            <w:tcW w:w="729" w:type="pct"/>
            <w:gridSpan w:val="2"/>
            <w:shd w:val="clear" w:color="auto" w:fill="auto"/>
          </w:tcPr>
          <w:p w:rsidRPr="006B7451" w:rsidR="00777DD0" w:rsidP="00A775A5" w:rsidRDefault="00777DD0" w14:paraId="68591B2F" w14:textId="77777777">
            <w:pPr>
              <w:spacing w:before="80" w:line="240" w:lineRule="exact"/>
              <w:jc w:val="right"/>
              <w:rPr>
                <w:sz w:val="20"/>
                <w:szCs w:val="20"/>
              </w:rPr>
            </w:pPr>
            <w:r w:rsidRPr="006B7451">
              <w:rPr>
                <w:sz w:val="20"/>
                <w:szCs w:val="20"/>
              </w:rPr>
              <w:t>2 036</w:t>
            </w:r>
          </w:p>
        </w:tc>
        <w:tc>
          <w:tcPr>
            <w:tcW w:w="730" w:type="pct"/>
            <w:shd w:val="clear" w:color="auto" w:fill="auto"/>
          </w:tcPr>
          <w:p w:rsidRPr="006B7451" w:rsidR="00777DD0" w:rsidP="00A775A5" w:rsidRDefault="00777DD0" w14:paraId="3D74D7CE" w14:textId="77777777">
            <w:pPr>
              <w:spacing w:before="80" w:line="240" w:lineRule="exact"/>
              <w:jc w:val="right"/>
              <w:rPr>
                <w:sz w:val="20"/>
                <w:szCs w:val="20"/>
              </w:rPr>
            </w:pPr>
            <w:r w:rsidRPr="006B7451">
              <w:rPr>
                <w:sz w:val="20"/>
                <w:szCs w:val="20"/>
              </w:rPr>
              <w:t>10 230</w:t>
            </w:r>
          </w:p>
        </w:tc>
        <w:tc>
          <w:tcPr>
            <w:tcW w:w="1249" w:type="pct"/>
            <w:shd w:val="clear" w:color="auto" w:fill="auto"/>
          </w:tcPr>
          <w:p w:rsidRPr="006B7451" w:rsidR="00777DD0" w:rsidP="00A775A5" w:rsidRDefault="00777DD0" w14:paraId="4687CBBC" w14:textId="77777777">
            <w:pPr>
              <w:spacing w:before="80" w:line="240" w:lineRule="exact"/>
              <w:jc w:val="right"/>
              <w:rPr>
                <w:sz w:val="20"/>
                <w:szCs w:val="20"/>
              </w:rPr>
            </w:pPr>
            <w:r w:rsidRPr="006B7451">
              <w:rPr>
                <w:sz w:val="20"/>
                <w:szCs w:val="20"/>
              </w:rPr>
              <w:t>0,76</w:t>
            </w:r>
          </w:p>
        </w:tc>
      </w:tr>
      <w:tr w:rsidRPr="006B7451" w:rsidR="00777DD0" w:rsidTr="00747FAB" w14:paraId="57BEB5A7" w14:textId="77777777">
        <w:tc>
          <w:tcPr>
            <w:tcW w:w="834" w:type="pct"/>
            <w:shd w:val="clear" w:color="auto" w:fill="auto"/>
          </w:tcPr>
          <w:p w:rsidRPr="006B7451" w:rsidR="00777DD0" w:rsidP="00A775A5" w:rsidRDefault="00777DD0" w14:paraId="23ABA04C" w14:textId="77777777">
            <w:pPr>
              <w:spacing w:before="80" w:line="240" w:lineRule="exact"/>
              <w:ind w:firstLine="0"/>
              <w:jc w:val="both"/>
              <w:rPr>
                <w:sz w:val="20"/>
                <w:szCs w:val="20"/>
              </w:rPr>
            </w:pPr>
            <w:r w:rsidRPr="006B7451">
              <w:rPr>
                <w:sz w:val="20"/>
                <w:szCs w:val="20"/>
              </w:rPr>
              <w:t>2019</w:t>
            </w:r>
          </w:p>
        </w:tc>
        <w:tc>
          <w:tcPr>
            <w:tcW w:w="729" w:type="pct"/>
            <w:shd w:val="clear" w:color="auto" w:fill="auto"/>
          </w:tcPr>
          <w:p w:rsidRPr="006B7451" w:rsidR="00777DD0" w:rsidP="00A775A5" w:rsidRDefault="00777DD0" w14:paraId="0A31507D" w14:textId="77777777">
            <w:pPr>
              <w:spacing w:before="80" w:line="240" w:lineRule="exact"/>
              <w:ind w:firstLine="0"/>
              <w:jc w:val="right"/>
              <w:rPr>
                <w:sz w:val="20"/>
                <w:szCs w:val="20"/>
              </w:rPr>
            </w:pPr>
            <w:r w:rsidRPr="006B7451">
              <w:rPr>
                <w:sz w:val="20"/>
                <w:szCs w:val="20"/>
              </w:rPr>
              <w:t>2 404</w:t>
            </w:r>
          </w:p>
        </w:tc>
        <w:tc>
          <w:tcPr>
            <w:tcW w:w="729" w:type="pct"/>
            <w:shd w:val="clear" w:color="auto" w:fill="auto"/>
          </w:tcPr>
          <w:p w:rsidRPr="006B7451" w:rsidR="00777DD0" w:rsidP="00A775A5" w:rsidRDefault="00777DD0" w14:paraId="20E98CD3" w14:textId="77777777">
            <w:pPr>
              <w:spacing w:before="80" w:line="240" w:lineRule="exact"/>
              <w:jc w:val="right"/>
              <w:rPr>
                <w:sz w:val="20"/>
                <w:szCs w:val="20"/>
              </w:rPr>
            </w:pPr>
            <w:r w:rsidRPr="006B7451">
              <w:rPr>
                <w:sz w:val="20"/>
                <w:szCs w:val="20"/>
              </w:rPr>
              <w:t>5 858</w:t>
            </w:r>
          </w:p>
        </w:tc>
        <w:tc>
          <w:tcPr>
            <w:tcW w:w="729" w:type="pct"/>
            <w:gridSpan w:val="2"/>
            <w:shd w:val="clear" w:color="auto" w:fill="auto"/>
          </w:tcPr>
          <w:p w:rsidRPr="006B7451" w:rsidR="00777DD0" w:rsidP="00A775A5" w:rsidRDefault="00777DD0" w14:paraId="3ACC4415" w14:textId="77777777">
            <w:pPr>
              <w:spacing w:before="80" w:line="240" w:lineRule="exact"/>
              <w:jc w:val="right"/>
              <w:rPr>
                <w:sz w:val="20"/>
                <w:szCs w:val="20"/>
              </w:rPr>
            </w:pPr>
            <w:r w:rsidRPr="006B7451">
              <w:rPr>
                <w:sz w:val="20"/>
                <w:szCs w:val="20"/>
              </w:rPr>
              <w:t>2 065</w:t>
            </w:r>
          </w:p>
        </w:tc>
        <w:tc>
          <w:tcPr>
            <w:tcW w:w="730" w:type="pct"/>
            <w:shd w:val="clear" w:color="auto" w:fill="auto"/>
          </w:tcPr>
          <w:p w:rsidRPr="006B7451" w:rsidR="00777DD0" w:rsidP="00A775A5" w:rsidRDefault="00777DD0" w14:paraId="495CB3C4" w14:textId="77777777">
            <w:pPr>
              <w:spacing w:before="80" w:line="240" w:lineRule="exact"/>
              <w:jc w:val="right"/>
              <w:rPr>
                <w:sz w:val="20"/>
                <w:szCs w:val="20"/>
              </w:rPr>
            </w:pPr>
            <w:r w:rsidRPr="006B7451">
              <w:rPr>
                <w:sz w:val="20"/>
                <w:szCs w:val="20"/>
              </w:rPr>
              <w:t>10 328</w:t>
            </w:r>
          </w:p>
        </w:tc>
        <w:tc>
          <w:tcPr>
            <w:tcW w:w="1249" w:type="pct"/>
            <w:shd w:val="clear" w:color="auto" w:fill="auto"/>
          </w:tcPr>
          <w:p w:rsidRPr="006B7451" w:rsidR="00777DD0" w:rsidP="00A775A5" w:rsidRDefault="00777DD0" w14:paraId="046953C1" w14:textId="77777777">
            <w:pPr>
              <w:spacing w:before="80" w:line="240" w:lineRule="exact"/>
              <w:jc w:val="right"/>
              <w:rPr>
                <w:sz w:val="20"/>
                <w:szCs w:val="20"/>
              </w:rPr>
            </w:pPr>
            <w:r w:rsidRPr="006B7451">
              <w:rPr>
                <w:sz w:val="20"/>
                <w:szCs w:val="20"/>
              </w:rPr>
              <w:t>0,76</w:t>
            </w:r>
          </w:p>
        </w:tc>
      </w:tr>
      <w:tr w:rsidRPr="006B7451" w:rsidR="00777DD0" w:rsidTr="00747FAB" w14:paraId="10D1B1F0" w14:textId="77777777">
        <w:tc>
          <w:tcPr>
            <w:tcW w:w="834" w:type="pct"/>
            <w:shd w:val="clear" w:color="auto" w:fill="auto"/>
          </w:tcPr>
          <w:p w:rsidRPr="006B7451" w:rsidR="00777DD0" w:rsidP="00A775A5" w:rsidRDefault="00777DD0" w14:paraId="4A4BBDC1" w14:textId="77777777">
            <w:pPr>
              <w:spacing w:before="80" w:line="240" w:lineRule="exact"/>
              <w:ind w:firstLine="0"/>
              <w:jc w:val="both"/>
              <w:rPr>
                <w:sz w:val="20"/>
                <w:szCs w:val="20"/>
              </w:rPr>
            </w:pPr>
          </w:p>
        </w:tc>
        <w:tc>
          <w:tcPr>
            <w:tcW w:w="729" w:type="pct"/>
            <w:shd w:val="clear" w:color="auto" w:fill="auto"/>
          </w:tcPr>
          <w:p w:rsidRPr="006B7451" w:rsidR="00777DD0" w:rsidP="00A775A5" w:rsidRDefault="00777DD0" w14:paraId="56BB7924" w14:textId="77777777">
            <w:pPr>
              <w:spacing w:before="80" w:line="240" w:lineRule="exact"/>
              <w:jc w:val="right"/>
              <w:rPr>
                <w:sz w:val="20"/>
                <w:szCs w:val="20"/>
              </w:rPr>
            </w:pPr>
          </w:p>
        </w:tc>
        <w:tc>
          <w:tcPr>
            <w:tcW w:w="729" w:type="pct"/>
            <w:shd w:val="clear" w:color="auto" w:fill="auto"/>
          </w:tcPr>
          <w:p w:rsidRPr="006B7451" w:rsidR="00777DD0" w:rsidP="00A775A5" w:rsidRDefault="00777DD0" w14:paraId="712346B9" w14:textId="77777777">
            <w:pPr>
              <w:spacing w:before="80" w:line="240" w:lineRule="exact"/>
              <w:jc w:val="right"/>
              <w:rPr>
                <w:sz w:val="20"/>
                <w:szCs w:val="20"/>
              </w:rPr>
            </w:pPr>
          </w:p>
        </w:tc>
        <w:tc>
          <w:tcPr>
            <w:tcW w:w="729" w:type="pct"/>
            <w:gridSpan w:val="2"/>
            <w:shd w:val="clear" w:color="auto" w:fill="auto"/>
          </w:tcPr>
          <w:p w:rsidRPr="006B7451" w:rsidR="00777DD0" w:rsidP="00A775A5" w:rsidRDefault="00777DD0" w14:paraId="715D0F94" w14:textId="77777777">
            <w:pPr>
              <w:spacing w:before="80" w:line="240" w:lineRule="exact"/>
              <w:jc w:val="right"/>
              <w:rPr>
                <w:sz w:val="20"/>
                <w:szCs w:val="20"/>
              </w:rPr>
            </w:pPr>
          </w:p>
        </w:tc>
        <w:tc>
          <w:tcPr>
            <w:tcW w:w="730" w:type="pct"/>
            <w:shd w:val="clear" w:color="auto" w:fill="auto"/>
          </w:tcPr>
          <w:p w:rsidRPr="006B7451" w:rsidR="00777DD0" w:rsidP="00A775A5" w:rsidRDefault="00777DD0" w14:paraId="1A2BA205" w14:textId="77777777">
            <w:pPr>
              <w:spacing w:before="80" w:line="240" w:lineRule="exact"/>
              <w:jc w:val="right"/>
              <w:rPr>
                <w:sz w:val="20"/>
                <w:szCs w:val="20"/>
              </w:rPr>
            </w:pPr>
          </w:p>
        </w:tc>
        <w:tc>
          <w:tcPr>
            <w:tcW w:w="1249" w:type="pct"/>
            <w:shd w:val="clear" w:color="auto" w:fill="auto"/>
          </w:tcPr>
          <w:p w:rsidRPr="006B7451" w:rsidR="00777DD0" w:rsidP="00A775A5" w:rsidRDefault="00777DD0" w14:paraId="16F35A08" w14:textId="77777777">
            <w:pPr>
              <w:spacing w:before="80" w:line="240" w:lineRule="exact"/>
              <w:jc w:val="right"/>
              <w:rPr>
                <w:sz w:val="20"/>
                <w:szCs w:val="20"/>
              </w:rPr>
            </w:pPr>
          </w:p>
        </w:tc>
      </w:tr>
      <w:tr w:rsidRPr="006B7451" w:rsidR="00777DD0" w:rsidTr="00747FAB" w14:paraId="480C2218" w14:textId="77777777">
        <w:tc>
          <w:tcPr>
            <w:tcW w:w="834" w:type="pct"/>
            <w:tcBorders>
              <w:bottom w:val="single" w:color="auto" w:sz="4" w:space="0"/>
            </w:tcBorders>
            <w:shd w:val="clear" w:color="auto" w:fill="auto"/>
          </w:tcPr>
          <w:p w:rsidRPr="006B7451" w:rsidR="00777DD0" w:rsidP="00A775A5" w:rsidRDefault="00777DD0" w14:paraId="57A3ED2C" w14:textId="77777777">
            <w:pPr>
              <w:spacing w:before="80" w:line="240" w:lineRule="exact"/>
              <w:ind w:firstLine="0"/>
              <w:jc w:val="both"/>
              <w:rPr>
                <w:b/>
                <w:sz w:val="20"/>
                <w:szCs w:val="20"/>
              </w:rPr>
            </w:pPr>
            <w:r w:rsidRPr="006B7451">
              <w:rPr>
                <w:b/>
                <w:sz w:val="20"/>
                <w:szCs w:val="20"/>
              </w:rPr>
              <w:t>Prognos</w:t>
            </w:r>
          </w:p>
        </w:tc>
        <w:tc>
          <w:tcPr>
            <w:tcW w:w="729" w:type="pct"/>
            <w:shd w:val="clear" w:color="auto" w:fill="auto"/>
          </w:tcPr>
          <w:p w:rsidRPr="006B7451" w:rsidR="00777DD0" w:rsidP="00A775A5" w:rsidRDefault="00777DD0" w14:paraId="46CE9889" w14:textId="77777777">
            <w:pPr>
              <w:spacing w:before="80" w:line="240" w:lineRule="exact"/>
              <w:jc w:val="right"/>
              <w:rPr>
                <w:sz w:val="20"/>
                <w:szCs w:val="20"/>
              </w:rPr>
            </w:pPr>
          </w:p>
        </w:tc>
        <w:tc>
          <w:tcPr>
            <w:tcW w:w="729" w:type="pct"/>
            <w:shd w:val="clear" w:color="auto" w:fill="auto"/>
          </w:tcPr>
          <w:p w:rsidRPr="006B7451" w:rsidR="00777DD0" w:rsidP="00A775A5" w:rsidRDefault="00777DD0" w14:paraId="7EBE9AA7" w14:textId="77777777">
            <w:pPr>
              <w:spacing w:before="80" w:line="240" w:lineRule="exact"/>
              <w:jc w:val="right"/>
              <w:rPr>
                <w:sz w:val="20"/>
                <w:szCs w:val="20"/>
              </w:rPr>
            </w:pPr>
          </w:p>
        </w:tc>
        <w:tc>
          <w:tcPr>
            <w:tcW w:w="729" w:type="pct"/>
            <w:gridSpan w:val="2"/>
            <w:shd w:val="clear" w:color="auto" w:fill="auto"/>
          </w:tcPr>
          <w:p w:rsidRPr="006B7451" w:rsidR="00777DD0" w:rsidP="00A775A5" w:rsidRDefault="00777DD0" w14:paraId="71400588" w14:textId="77777777">
            <w:pPr>
              <w:spacing w:before="80" w:line="240" w:lineRule="exact"/>
              <w:jc w:val="right"/>
              <w:rPr>
                <w:sz w:val="20"/>
                <w:szCs w:val="20"/>
              </w:rPr>
            </w:pPr>
          </w:p>
        </w:tc>
        <w:tc>
          <w:tcPr>
            <w:tcW w:w="730" w:type="pct"/>
            <w:shd w:val="clear" w:color="auto" w:fill="auto"/>
          </w:tcPr>
          <w:p w:rsidRPr="006B7451" w:rsidR="00777DD0" w:rsidP="00A775A5" w:rsidRDefault="00777DD0" w14:paraId="40211ED4" w14:textId="77777777">
            <w:pPr>
              <w:spacing w:before="80" w:line="240" w:lineRule="exact"/>
              <w:jc w:val="right"/>
              <w:rPr>
                <w:sz w:val="20"/>
                <w:szCs w:val="20"/>
              </w:rPr>
            </w:pPr>
          </w:p>
        </w:tc>
        <w:tc>
          <w:tcPr>
            <w:tcW w:w="1249" w:type="pct"/>
            <w:shd w:val="clear" w:color="auto" w:fill="auto"/>
          </w:tcPr>
          <w:p w:rsidRPr="006B7451" w:rsidR="00777DD0" w:rsidP="00A775A5" w:rsidRDefault="00777DD0" w14:paraId="51A87E8F" w14:textId="77777777">
            <w:pPr>
              <w:spacing w:before="80" w:line="240" w:lineRule="exact"/>
              <w:jc w:val="right"/>
              <w:rPr>
                <w:sz w:val="20"/>
                <w:szCs w:val="20"/>
              </w:rPr>
            </w:pPr>
          </w:p>
        </w:tc>
      </w:tr>
      <w:tr w:rsidRPr="006B7451" w:rsidR="00777DD0" w:rsidTr="00747FAB" w14:paraId="0C5386EC" w14:textId="77777777">
        <w:tc>
          <w:tcPr>
            <w:tcW w:w="834" w:type="pct"/>
            <w:tcBorders>
              <w:top w:val="single" w:color="auto" w:sz="4" w:space="0"/>
            </w:tcBorders>
            <w:shd w:val="clear" w:color="auto" w:fill="auto"/>
          </w:tcPr>
          <w:p w:rsidRPr="006B7451" w:rsidR="00777DD0" w:rsidP="00A775A5" w:rsidRDefault="00777DD0" w14:paraId="1484CD03" w14:textId="77777777">
            <w:pPr>
              <w:spacing w:before="80" w:line="240" w:lineRule="exact"/>
              <w:ind w:firstLine="0"/>
              <w:jc w:val="both"/>
              <w:rPr>
                <w:sz w:val="20"/>
                <w:szCs w:val="20"/>
              </w:rPr>
            </w:pPr>
            <w:r w:rsidRPr="006B7451">
              <w:rPr>
                <w:sz w:val="20"/>
                <w:szCs w:val="20"/>
              </w:rPr>
              <w:t>2020</w:t>
            </w:r>
          </w:p>
        </w:tc>
        <w:tc>
          <w:tcPr>
            <w:tcW w:w="729" w:type="pct"/>
            <w:shd w:val="clear" w:color="auto" w:fill="auto"/>
          </w:tcPr>
          <w:p w:rsidRPr="006B7451" w:rsidR="00777DD0" w:rsidP="00A775A5" w:rsidRDefault="00777DD0" w14:paraId="45B99AD8" w14:textId="77777777">
            <w:pPr>
              <w:spacing w:before="80" w:line="240" w:lineRule="exact"/>
              <w:ind w:firstLine="0"/>
              <w:jc w:val="right"/>
              <w:rPr>
                <w:sz w:val="20"/>
                <w:szCs w:val="20"/>
              </w:rPr>
            </w:pPr>
            <w:r w:rsidRPr="006B7451">
              <w:rPr>
                <w:sz w:val="20"/>
                <w:szCs w:val="20"/>
              </w:rPr>
              <w:t>2 427</w:t>
            </w:r>
          </w:p>
        </w:tc>
        <w:tc>
          <w:tcPr>
            <w:tcW w:w="729" w:type="pct"/>
            <w:shd w:val="clear" w:color="auto" w:fill="auto"/>
          </w:tcPr>
          <w:p w:rsidRPr="006B7451" w:rsidR="00777DD0" w:rsidP="00A775A5" w:rsidRDefault="00777DD0" w14:paraId="7C76377E" w14:textId="77777777">
            <w:pPr>
              <w:spacing w:before="80" w:line="240" w:lineRule="exact"/>
              <w:ind w:firstLine="0"/>
              <w:jc w:val="right"/>
              <w:rPr>
                <w:sz w:val="20"/>
                <w:szCs w:val="20"/>
              </w:rPr>
            </w:pPr>
            <w:r w:rsidRPr="006B7451">
              <w:rPr>
                <w:sz w:val="20"/>
                <w:szCs w:val="20"/>
              </w:rPr>
              <w:t>5 892</w:t>
            </w:r>
          </w:p>
        </w:tc>
        <w:tc>
          <w:tcPr>
            <w:tcW w:w="729" w:type="pct"/>
            <w:gridSpan w:val="2"/>
            <w:shd w:val="clear" w:color="auto" w:fill="auto"/>
          </w:tcPr>
          <w:p w:rsidRPr="006B7451" w:rsidR="00777DD0" w:rsidP="00A775A5" w:rsidRDefault="00777DD0" w14:paraId="5E3BD39C" w14:textId="77777777">
            <w:pPr>
              <w:spacing w:before="80" w:line="240" w:lineRule="exact"/>
              <w:jc w:val="right"/>
              <w:rPr>
                <w:sz w:val="20"/>
                <w:szCs w:val="20"/>
              </w:rPr>
            </w:pPr>
            <w:r w:rsidRPr="006B7451">
              <w:rPr>
                <w:sz w:val="20"/>
                <w:szCs w:val="20"/>
              </w:rPr>
              <w:t>2 096</w:t>
            </w:r>
          </w:p>
        </w:tc>
        <w:tc>
          <w:tcPr>
            <w:tcW w:w="730" w:type="pct"/>
            <w:shd w:val="clear" w:color="auto" w:fill="auto"/>
          </w:tcPr>
          <w:p w:rsidRPr="006B7451" w:rsidR="00777DD0" w:rsidP="00A775A5" w:rsidRDefault="00777DD0" w14:paraId="3831E4CF" w14:textId="77777777">
            <w:pPr>
              <w:spacing w:before="80" w:line="240" w:lineRule="exact"/>
              <w:jc w:val="right"/>
              <w:rPr>
                <w:sz w:val="20"/>
                <w:szCs w:val="20"/>
              </w:rPr>
            </w:pPr>
            <w:r w:rsidRPr="006B7451">
              <w:rPr>
                <w:sz w:val="20"/>
                <w:szCs w:val="20"/>
              </w:rPr>
              <w:t>10 416</w:t>
            </w:r>
          </w:p>
        </w:tc>
        <w:tc>
          <w:tcPr>
            <w:tcW w:w="1249" w:type="pct"/>
            <w:shd w:val="clear" w:color="auto" w:fill="auto"/>
          </w:tcPr>
          <w:p w:rsidRPr="006B7451" w:rsidR="00777DD0" w:rsidP="00A775A5" w:rsidRDefault="00777DD0" w14:paraId="6D23AA92" w14:textId="77777777">
            <w:pPr>
              <w:spacing w:before="80" w:line="240" w:lineRule="exact"/>
              <w:jc w:val="right"/>
              <w:rPr>
                <w:sz w:val="20"/>
                <w:szCs w:val="20"/>
              </w:rPr>
            </w:pPr>
            <w:r w:rsidRPr="006B7451">
              <w:rPr>
                <w:sz w:val="20"/>
                <w:szCs w:val="20"/>
              </w:rPr>
              <w:t>0,77</w:t>
            </w:r>
          </w:p>
        </w:tc>
      </w:tr>
      <w:tr w:rsidRPr="006B7451" w:rsidR="00777DD0" w:rsidTr="00747FAB" w14:paraId="50AED8CE" w14:textId="77777777">
        <w:tc>
          <w:tcPr>
            <w:tcW w:w="834" w:type="pct"/>
            <w:shd w:val="clear" w:color="auto" w:fill="auto"/>
          </w:tcPr>
          <w:p w:rsidRPr="006B7451" w:rsidR="00777DD0" w:rsidP="00A775A5" w:rsidRDefault="00777DD0" w14:paraId="7B6BC427" w14:textId="77777777">
            <w:pPr>
              <w:spacing w:before="80" w:line="240" w:lineRule="exact"/>
              <w:ind w:firstLine="0"/>
              <w:jc w:val="both"/>
              <w:rPr>
                <w:sz w:val="20"/>
                <w:szCs w:val="20"/>
              </w:rPr>
            </w:pPr>
            <w:r w:rsidRPr="006B7451">
              <w:rPr>
                <w:sz w:val="20"/>
                <w:szCs w:val="20"/>
              </w:rPr>
              <w:t>2030</w:t>
            </w:r>
          </w:p>
        </w:tc>
        <w:tc>
          <w:tcPr>
            <w:tcW w:w="729" w:type="pct"/>
            <w:shd w:val="clear" w:color="auto" w:fill="auto"/>
          </w:tcPr>
          <w:p w:rsidRPr="006B7451" w:rsidR="00777DD0" w:rsidP="00A775A5" w:rsidRDefault="00777DD0" w14:paraId="705103C0" w14:textId="77777777">
            <w:pPr>
              <w:spacing w:before="80" w:line="240" w:lineRule="exact"/>
              <w:ind w:firstLine="0"/>
              <w:jc w:val="right"/>
              <w:rPr>
                <w:sz w:val="20"/>
                <w:szCs w:val="20"/>
              </w:rPr>
            </w:pPr>
            <w:r w:rsidRPr="006B7451">
              <w:rPr>
                <w:sz w:val="20"/>
                <w:szCs w:val="20"/>
              </w:rPr>
              <w:t>2 535</w:t>
            </w:r>
          </w:p>
        </w:tc>
        <w:tc>
          <w:tcPr>
            <w:tcW w:w="729" w:type="pct"/>
            <w:shd w:val="clear" w:color="auto" w:fill="auto"/>
          </w:tcPr>
          <w:p w:rsidRPr="006B7451" w:rsidR="00777DD0" w:rsidP="00A775A5" w:rsidRDefault="00777DD0" w14:paraId="6F09D90E" w14:textId="77777777">
            <w:pPr>
              <w:spacing w:before="80" w:line="240" w:lineRule="exact"/>
              <w:jc w:val="right"/>
              <w:rPr>
                <w:sz w:val="20"/>
                <w:szCs w:val="20"/>
              </w:rPr>
            </w:pPr>
            <w:r w:rsidRPr="006B7451">
              <w:rPr>
                <w:sz w:val="20"/>
                <w:szCs w:val="20"/>
              </w:rPr>
              <w:t>6 151</w:t>
            </w:r>
          </w:p>
        </w:tc>
        <w:tc>
          <w:tcPr>
            <w:tcW w:w="729" w:type="pct"/>
            <w:gridSpan w:val="2"/>
            <w:shd w:val="clear" w:color="auto" w:fill="auto"/>
          </w:tcPr>
          <w:p w:rsidRPr="006B7451" w:rsidR="00777DD0" w:rsidP="00A775A5" w:rsidRDefault="00777DD0" w14:paraId="67D8D51C" w14:textId="77777777">
            <w:pPr>
              <w:spacing w:before="80" w:line="240" w:lineRule="exact"/>
              <w:jc w:val="right"/>
              <w:rPr>
                <w:sz w:val="20"/>
                <w:szCs w:val="20"/>
              </w:rPr>
            </w:pPr>
            <w:r w:rsidRPr="006B7451">
              <w:rPr>
                <w:sz w:val="20"/>
                <w:szCs w:val="20"/>
              </w:rPr>
              <w:t>2 409</w:t>
            </w:r>
          </w:p>
        </w:tc>
        <w:tc>
          <w:tcPr>
            <w:tcW w:w="730" w:type="pct"/>
            <w:shd w:val="clear" w:color="auto" w:fill="auto"/>
          </w:tcPr>
          <w:p w:rsidRPr="006B7451" w:rsidR="00777DD0" w:rsidP="00A775A5" w:rsidRDefault="00777DD0" w14:paraId="04748A16" w14:textId="77777777">
            <w:pPr>
              <w:spacing w:before="80" w:line="240" w:lineRule="exact"/>
              <w:jc w:val="right"/>
              <w:rPr>
                <w:sz w:val="20"/>
                <w:szCs w:val="20"/>
              </w:rPr>
            </w:pPr>
            <w:r w:rsidRPr="006B7451">
              <w:rPr>
                <w:sz w:val="20"/>
                <w:szCs w:val="20"/>
              </w:rPr>
              <w:t>11 095</w:t>
            </w:r>
          </w:p>
        </w:tc>
        <w:tc>
          <w:tcPr>
            <w:tcW w:w="1249" w:type="pct"/>
            <w:shd w:val="clear" w:color="auto" w:fill="auto"/>
          </w:tcPr>
          <w:p w:rsidRPr="006B7451" w:rsidR="00777DD0" w:rsidP="00A775A5" w:rsidRDefault="00777DD0" w14:paraId="05E22B96" w14:textId="77777777">
            <w:pPr>
              <w:spacing w:before="80" w:line="240" w:lineRule="exact"/>
              <w:jc w:val="right"/>
              <w:rPr>
                <w:sz w:val="20"/>
                <w:szCs w:val="20"/>
              </w:rPr>
            </w:pPr>
            <w:r w:rsidRPr="006B7451">
              <w:rPr>
                <w:sz w:val="20"/>
                <w:szCs w:val="20"/>
              </w:rPr>
              <w:t>0,80</w:t>
            </w:r>
          </w:p>
        </w:tc>
      </w:tr>
      <w:tr w:rsidRPr="006B7451" w:rsidR="00777DD0" w:rsidTr="00747FAB" w14:paraId="71343F99" w14:textId="77777777">
        <w:tc>
          <w:tcPr>
            <w:tcW w:w="834" w:type="pct"/>
            <w:shd w:val="clear" w:color="auto" w:fill="auto"/>
          </w:tcPr>
          <w:p w:rsidRPr="006B7451" w:rsidR="00777DD0" w:rsidP="00A775A5" w:rsidRDefault="00777DD0" w14:paraId="5EC04355" w14:textId="77777777">
            <w:pPr>
              <w:spacing w:before="80" w:line="240" w:lineRule="exact"/>
              <w:ind w:firstLine="0"/>
              <w:jc w:val="both"/>
              <w:rPr>
                <w:sz w:val="20"/>
                <w:szCs w:val="20"/>
              </w:rPr>
            </w:pPr>
            <w:r w:rsidRPr="006B7451">
              <w:rPr>
                <w:sz w:val="20"/>
                <w:szCs w:val="20"/>
              </w:rPr>
              <w:t>2040</w:t>
            </w:r>
          </w:p>
        </w:tc>
        <w:tc>
          <w:tcPr>
            <w:tcW w:w="729" w:type="pct"/>
            <w:shd w:val="clear" w:color="auto" w:fill="auto"/>
          </w:tcPr>
          <w:p w:rsidRPr="006B7451" w:rsidR="00777DD0" w:rsidP="00A775A5" w:rsidRDefault="00777DD0" w14:paraId="10E3EE52" w14:textId="77777777">
            <w:pPr>
              <w:spacing w:before="80" w:line="240" w:lineRule="exact"/>
              <w:ind w:firstLine="0"/>
              <w:jc w:val="right"/>
              <w:rPr>
                <w:sz w:val="20"/>
                <w:szCs w:val="20"/>
              </w:rPr>
            </w:pPr>
            <w:r w:rsidRPr="006B7451">
              <w:rPr>
                <w:sz w:val="20"/>
                <w:szCs w:val="20"/>
              </w:rPr>
              <w:t>2 569</w:t>
            </w:r>
          </w:p>
        </w:tc>
        <w:tc>
          <w:tcPr>
            <w:tcW w:w="729" w:type="pct"/>
            <w:shd w:val="clear" w:color="auto" w:fill="auto"/>
          </w:tcPr>
          <w:p w:rsidRPr="006B7451" w:rsidR="00777DD0" w:rsidP="00A775A5" w:rsidRDefault="00777DD0" w14:paraId="133A7C7C" w14:textId="77777777">
            <w:pPr>
              <w:spacing w:before="80" w:line="240" w:lineRule="exact"/>
              <w:jc w:val="right"/>
              <w:rPr>
                <w:sz w:val="20"/>
                <w:szCs w:val="20"/>
              </w:rPr>
            </w:pPr>
            <w:r w:rsidRPr="006B7451">
              <w:rPr>
                <w:sz w:val="20"/>
                <w:szCs w:val="20"/>
              </w:rPr>
              <w:t>6 291</w:t>
            </w:r>
          </w:p>
        </w:tc>
        <w:tc>
          <w:tcPr>
            <w:tcW w:w="729" w:type="pct"/>
            <w:gridSpan w:val="2"/>
            <w:shd w:val="clear" w:color="auto" w:fill="auto"/>
          </w:tcPr>
          <w:p w:rsidRPr="006B7451" w:rsidR="00777DD0" w:rsidP="00A775A5" w:rsidRDefault="00777DD0" w14:paraId="45C65978" w14:textId="77777777">
            <w:pPr>
              <w:spacing w:before="80" w:line="240" w:lineRule="exact"/>
              <w:jc w:val="right"/>
              <w:rPr>
                <w:sz w:val="20"/>
                <w:szCs w:val="20"/>
              </w:rPr>
            </w:pPr>
            <w:r w:rsidRPr="006B7451">
              <w:rPr>
                <w:sz w:val="20"/>
                <w:szCs w:val="20"/>
              </w:rPr>
              <w:t>2 670</w:t>
            </w:r>
          </w:p>
        </w:tc>
        <w:tc>
          <w:tcPr>
            <w:tcW w:w="730" w:type="pct"/>
            <w:shd w:val="clear" w:color="auto" w:fill="auto"/>
          </w:tcPr>
          <w:p w:rsidRPr="006B7451" w:rsidR="00777DD0" w:rsidP="00A775A5" w:rsidRDefault="00777DD0" w14:paraId="656321D0" w14:textId="77777777">
            <w:pPr>
              <w:spacing w:before="80" w:line="240" w:lineRule="exact"/>
              <w:jc w:val="right"/>
              <w:rPr>
                <w:sz w:val="20"/>
                <w:szCs w:val="20"/>
              </w:rPr>
            </w:pPr>
            <w:r w:rsidRPr="006B7451">
              <w:rPr>
                <w:sz w:val="20"/>
                <w:szCs w:val="20"/>
              </w:rPr>
              <w:t>11 530</w:t>
            </w:r>
          </w:p>
        </w:tc>
        <w:tc>
          <w:tcPr>
            <w:tcW w:w="1249" w:type="pct"/>
            <w:shd w:val="clear" w:color="auto" w:fill="auto"/>
          </w:tcPr>
          <w:p w:rsidRPr="006B7451" w:rsidR="00777DD0" w:rsidP="00A775A5" w:rsidRDefault="00777DD0" w14:paraId="271524DF" w14:textId="77777777">
            <w:pPr>
              <w:spacing w:before="80" w:line="240" w:lineRule="exact"/>
              <w:jc w:val="right"/>
              <w:rPr>
                <w:sz w:val="20"/>
                <w:szCs w:val="20"/>
              </w:rPr>
            </w:pPr>
            <w:r w:rsidRPr="006B7451">
              <w:rPr>
                <w:sz w:val="20"/>
                <w:szCs w:val="20"/>
              </w:rPr>
              <w:t>0,83</w:t>
            </w:r>
          </w:p>
        </w:tc>
      </w:tr>
      <w:tr w:rsidRPr="006B7451" w:rsidR="00777DD0" w:rsidTr="00747FAB" w14:paraId="210B34A1" w14:textId="77777777">
        <w:tc>
          <w:tcPr>
            <w:tcW w:w="834" w:type="pct"/>
            <w:shd w:val="clear" w:color="auto" w:fill="auto"/>
          </w:tcPr>
          <w:p w:rsidRPr="006B7451" w:rsidR="00777DD0" w:rsidP="00A775A5" w:rsidRDefault="00777DD0" w14:paraId="7C78C072" w14:textId="77777777">
            <w:pPr>
              <w:spacing w:before="80" w:line="240" w:lineRule="exact"/>
              <w:ind w:firstLine="0"/>
              <w:jc w:val="both"/>
              <w:rPr>
                <w:sz w:val="20"/>
                <w:szCs w:val="20"/>
              </w:rPr>
            </w:pPr>
            <w:r w:rsidRPr="006B7451">
              <w:rPr>
                <w:sz w:val="20"/>
                <w:szCs w:val="20"/>
              </w:rPr>
              <w:t>2050</w:t>
            </w:r>
          </w:p>
        </w:tc>
        <w:tc>
          <w:tcPr>
            <w:tcW w:w="729" w:type="pct"/>
            <w:shd w:val="clear" w:color="auto" w:fill="auto"/>
          </w:tcPr>
          <w:p w:rsidRPr="006B7451" w:rsidR="00777DD0" w:rsidP="00A775A5" w:rsidRDefault="00777DD0" w14:paraId="3F7BDCF6" w14:textId="77777777">
            <w:pPr>
              <w:spacing w:before="80" w:line="240" w:lineRule="exact"/>
              <w:jc w:val="right"/>
              <w:rPr>
                <w:sz w:val="20"/>
                <w:szCs w:val="20"/>
              </w:rPr>
            </w:pPr>
            <w:r w:rsidRPr="006B7451">
              <w:rPr>
                <w:sz w:val="20"/>
                <w:szCs w:val="20"/>
              </w:rPr>
              <w:t>2 663</w:t>
            </w:r>
          </w:p>
        </w:tc>
        <w:tc>
          <w:tcPr>
            <w:tcW w:w="729" w:type="pct"/>
            <w:shd w:val="clear" w:color="auto" w:fill="auto"/>
          </w:tcPr>
          <w:p w:rsidRPr="006B7451" w:rsidR="00777DD0" w:rsidP="00A775A5" w:rsidRDefault="00777DD0" w14:paraId="0DD8937A" w14:textId="77777777">
            <w:pPr>
              <w:spacing w:before="80" w:line="240" w:lineRule="exact"/>
              <w:ind w:firstLine="0"/>
              <w:jc w:val="right"/>
              <w:rPr>
                <w:sz w:val="20"/>
                <w:szCs w:val="20"/>
              </w:rPr>
            </w:pPr>
            <w:r w:rsidRPr="006B7451">
              <w:rPr>
                <w:sz w:val="20"/>
                <w:szCs w:val="20"/>
              </w:rPr>
              <w:t>6 462</w:t>
            </w:r>
          </w:p>
        </w:tc>
        <w:tc>
          <w:tcPr>
            <w:tcW w:w="729" w:type="pct"/>
            <w:gridSpan w:val="2"/>
            <w:shd w:val="clear" w:color="auto" w:fill="auto"/>
          </w:tcPr>
          <w:p w:rsidRPr="006B7451" w:rsidR="00777DD0" w:rsidP="00A775A5" w:rsidRDefault="00777DD0" w14:paraId="489E5515" w14:textId="77777777">
            <w:pPr>
              <w:spacing w:before="80" w:line="240" w:lineRule="exact"/>
              <w:jc w:val="right"/>
              <w:rPr>
                <w:sz w:val="20"/>
                <w:szCs w:val="20"/>
              </w:rPr>
            </w:pPr>
            <w:r w:rsidRPr="006B7451">
              <w:rPr>
                <w:sz w:val="20"/>
                <w:szCs w:val="20"/>
              </w:rPr>
              <w:t>2 810</w:t>
            </w:r>
          </w:p>
        </w:tc>
        <w:tc>
          <w:tcPr>
            <w:tcW w:w="730" w:type="pct"/>
            <w:shd w:val="clear" w:color="auto" w:fill="auto"/>
          </w:tcPr>
          <w:p w:rsidRPr="006B7451" w:rsidR="00777DD0" w:rsidP="00A775A5" w:rsidRDefault="00777DD0" w14:paraId="7D32F572" w14:textId="77777777">
            <w:pPr>
              <w:spacing w:before="80" w:line="240" w:lineRule="exact"/>
              <w:jc w:val="right"/>
              <w:rPr>
                <w:sz w:val="20"/>
                <w:szCs w:val="20"/>
              </w:rPr>
            </w:pPr>
            <w:r w:rsidRPr="006B7451">
              <w:rPr>
                <w:sz w:val="20"/>
                <w:szCs w:val="20"/>
              </w:rPr>
              <w:t>11 936</w:t>
            </w:r>
          </w:p>
        </w:tc>
        <w:tc>
          <w:tcPr>
            <w:tcW w:w="1249" w:type="pct"/>
            <w:shd w:val="clear" w:color="auto" w:fill="auto"/>
          </w:tcPr>
          <w:p w:rsidRPr="006B7451" w:rsidR="00777DD0" w:rsidP="00A775A5" w:rsidRDefault="00777DD0" w14:paraId="26FF090E" w14:textId="77777777">
            <w:pPr>
              <w:spacing w:before="80" w:line="240" w:lineRule="exact"/>
              <w:jc w:val="right"/>
              <w:rPr>
                <w:sz w:val="20"/>
                <w:szCs w:val="20"/>
              </w:rPr>
            </w:pPr>
            <w:r w:rsidRPr="006B7451">
              <w:rPr>
                <w:sz w:val="20"/>
                <w:szCs w:val="20"/>
              </w:rPr>
              <w:t>0,85</w:t>
            </w:r>
          </w:p>
        </w:tc>
      </w:tr>
      <w:tr w:rsidRPr="006B7451" w:rsidR="00777DD0" w:rsidTr="00747FAB" w14:paraId="0AEC2E4F" w14:textId="77777777">
        <w:tc>
          <w:tcPr>
            <w:tcW w:w="834" w:type="pct"/>
            <w:shd w:val="clear" w:color="auto" w:fill="auto"/>
          </w:tcPr>
          <w:p w:rsidRPr="006B7451" w:rsidR="00777DD0" w:rsidP="00A775A5" w:rsidRDefault="00777DD0" w14:paraId="45EED676" w14:textId="77777777">
            <w:pPr>
              <w:spacing w:before="80" w:line="240" w:lineRule="exact"/>
              <w:ind w:firstLine="0"/>
              <w:jc w:val="both"/>
              <w:rPr>
                <w:sz w:val="20"/>
                <w:szCs w:val="20"/>
              </w:rPr>
            </w:pPr>
            <w:r w:rsidRPr="006B7451">
              <w:rPr>
                <w:sz w:val="20"/>
                <w:szCs w:val="20"/>
              </w:rPr>
              <w:t>2060</w:t>
            </w:r>
          </w:p>
        </w:tc>
        <w:tc>
          <w:tcPr>
            <w:tcW w:w="729" w:type="pct"/>
            <w:shd w:val="clear" w:color="auto" w:fill="auto"/>
          </w:tcPr>
          <w:p w:rsidRPr="006B7451" w:rsidR="00777DD0" w:rsidP="00A775A5" w:rsidRDefault="00777DD0" w14:paraId="76A63BC3" w14:textId="77777777">
            <w:pPr>
              <w:spacing w:before="80" w:line="240" w:lineRule="exact"/>
              <w:ind w:firstLine="0"/>
              <w:jc w:val="right"/>
              <w:rPr>
                <w:sz w:val="20"/>
                <w:szCs w:val="20"/>
              </w:rPr>
            </w:pPr>
            <w:r w:rsidRPr="006B7451">
              <w:rPr>
                <w:sz w:val="20"/>
                <w:szCs w:val="20"/>
              </w:rPr>
              <w:t>2 759</w:t>
            </w:r>
          </w:p>
        </w:tc>
        <w:tc>
          <w:tcPr>
            <w:tcW w:w="729" w:type="pct"/>
            <w:shd w:val="clear" w:color="auto" w:fill="auto"/>
          </w:tcPr>
          <w:p w:rsidRPr="006B7451" w:rsidR="00777DD0" w:rsidP="00A775A5" w:rsidRDefault="00777DD0" w14:paraId="624FB24E" w14:textId="77777777">
            <w:pPr>
              <w:spacing w:before="80" w:line="240" w:lineRule="exact"/>
              <w:jc w:val="right"/>
              <w:rPr>
                <w:sz w:val="20"/>
                <w:szCs w:val="20"/>
              </w:rPr>
            </w:pPr>
            <w:r w:rsidRPr="006B7451">
              <w:rPr>
                <w:sz w:val="20"/>
                <w:szCs w:val="20"/>
              </w:rPr>
              <w:t>6 477</w:t>
            </w:r>
          </w:p>
        </w:tc>
        <w:tc>
          <w:tcPr>
            <w:tcW w:w="729" w:type="pct"/>
            <w:gridSpan w:val="2"/>
            <w:shd w:val="clear" w:color="auto" w:fill="auto"/>
          </w:tcPr>
          <w:p w:rsidRPr="006B7451" w:rsidR="00777DD0" w:rsidP="00A775A5" w:rsidRDefault="00777DD0" w14:paraId="26784DF4" w14:textId="77777777">
            <w:pPr>
              <w:spacing w:before="80" w:line="240" w:lineRule="exact"/>
              <w:jc w:val="right"/>
              <w:rPr>
                <w:sz w:val="20"/>
                <w:szCs w:val="20"/>
              </w:rPr>
            </w:pPr>
            <w:r w:rsidRPr="006B7451">
              <w:rPr>
                <w:sz w:val="20"/>
                <w:szCs w:val="20"/>
              </w:rPr>
              <w:t>3 088</w:t>
            </w:r>
          </w:p>
        </w:tc>
        <w:tc>
          <w:tcPr>
            <w:tcW w:w="730" w:type="pct"/>
            <w:shd w:val="clear" w:color="auto" w:fill="auto"/>
          </w:tcPr>
          <w:p w:rsidRPr="006B7451" w:rsidR="00777DD0" w:rsidP="00A775A5" w:rsidRDefault="00777DD0" w14:paraId="70534787" w14:textId="77777777">
            <w:pPr>
              <w:spacing w:before="80" w:line="240" w:lineRule="exact"/>
              <w:jc w:val="right"/>
              <w:rPr>
                <w:sz w:val="20"/>
                <w:szCs w:val="20"/>
              </w:rPr>
            </w:pPr>
            <w:r w:rsidRPr="006B7451">
              <w:rPr>
                <w:sz w:val="20"/>
                <w:szCs w:val="20"/>
              </w:rPr>
              <w:t>12 324</w:t>
            </w:r>
          </w:p>
        </w:tc>
        <w:tc>
          <w:tcPr>
            <w:tcW w:w="1249" w:type="pct"/>
            <w:shd w:val="clear" w:color="auto" w:fill="auto"/>
          </w:tcPr>
          <w:p w:rsidRPr="006B7451" w:rsidR="00777DD0" w:rsidP="00A775A5" w:rsidRDefault="00777DD0" w14:paraId="45EC0798" w14:textId="77777777">
            <w:pPr>
              <w:spacing w:before="80" w:line="240" w:lineRule="exact"/>
              <w:jc w:val="right"/>
              <w:rPr>
                <w:sz w:val="20"/>
                <w:szCs w:val="20"/>
              </w:rPr>
            </w:pPr>
            <w:r w:rsidRPr="006B7451">
              <w:rPr>
                <w:sz w:val="20"/>
                <w:szCs w:val="20"/>
              </w:rPr>
              <w:t>0,90</w:t>
            </w:r>
          </w:p>
        </w:tc>
      </w:tr>
      <w:tr w:rsidRPr="006B7451" w:rsidR="00777DD0" w:rsidTr="00747FAB" w14:paraId="49851938" w14:textId="77777777">
        <w:tc>
          <w:tcPr>
            <w:tcW w:w="834" w:type="pct"/>
            <w:tcBorders>
              <w:bottom w:val="single" w:color="auto" w:sz="4" w:space="0"/>
            </w:tcBorders>
            <w:shd w:val="clear" w:color="auto" w:fill="auto"/>
          </w:tcPr>
          <w:p w:rsidRPr="006B7451" w:rsidR="00777DD0" w:rsidP="00A775A5" w:rsidRDefault="00777DD0" w14:paraId="21B9493E" w14:textId="77777777">
            <w:pPr>
              <w:spacing w:before="80" w:line="240" w:lineRule="exact"/>
              <w:ind w:firstLine="0"/>
              <w:jc w:val="both"/>
              <w:rPr>
                <w:sz w:val="20"/>
                <w:szCs w:val="20"/>
              </w:rPr>
            </w:pPr>
            <w:r w:rsidRPr="006B7451">
              <w:rPr>
                <w:sz w:val="20"/>
                <w:szCs w:val="20"/>
              </w:rPr>
              <w:t>2070</w:t>
            </w:r>
          </w:p>
        </w:tc>
        <w:tc>
          <w:tcPr>
            <w:tcW w:w="729" w:type="pct"/>
            <w:tcBorders>
              <w:bottom w:val="single" w:color="auto" w:sz="4" w:space="0"/>
            </w:tcBorders>
            <w:shd w:val="clear" w:color="auto" w:fill="auto"/>
          </w:tcPr>
          <w:p w:rsidRPr="006B7451" w:rsidR="00777DD0" w:rsidP="00A775A5" w:rsidRDefault="00777DD0" w14:paraId="5C3BA05F" w14:textId="77777777">
            <w:pPr>
              <w:spacing w:before="80" w:line="240" w:lineRule="exact"/>
              <w:ind w:firstLine="0"/>
              <w:jc w:val="right"/>
              <w:rPr>
                <w:sz w:val="20"/>
                <w:szCs w:val="20"/>
              </w:rPr>
            </w:pPr>
            <w:r w:rsidRPr="006B7451">
              <w:rPr>
                <w:sz w:val="20"/>
                <w:szCs w:val="20"/>
              </w:rPr>
              <w:t>2 824</w:t>
            </w:r>
          </w:p>
        </w:tc>
        <w:tc>
          <w:tcPr>
            <w:tcW w:w="729" w:type="pct"/>
            <w:tcBorders>
              <w:bottom w:val="single" w:color="auto" w:sz="4" w:space="0"/>
            </w:tcBorders>
            <w:shd w:val="clear" w:color="auto" w:fill="auto"/>
          </w:tcPr>
          <w:p w:rsidRPr="006B7451" w:rsidR="00777DD0" w:rsidP="00A775A5" w:rsidRDefault="00777DD0" w14:paraId="768435F9" w14:textId="77777777">
            <w:pPr>
              <w:spacing w:before="80" w:line="240" w:lineRule="exact"/>
              <w:jc w:val="right"/>
              <w:rPr>
                <w:sz w:val="20"/>
                <w:szCs w:val="20"/>
              </w:rPr>
            </w:pPr>
            <w:r w:rsidRPr="006B7451">
              <w:rPr>
                <w:sz w:val="20"/>
                <w:szCs w:val="20"/>
              </w:rPr>
              <w:t>6 748</w:t>
            </w:r>
          </w:p>
        </w:tc>
        <w:tc>
          <w:tcPr>
            <w:tcW w:w="729" w:type="pct"/>
            <w:gridSpan w:val="2"/>
            <w:tcBorders>
              <w:bottom w:val="single" w:color="auto" w:sz="4" w:space="0"/>
            </w:tcBorders>
            <w:shd w:val="clear" w:color="auto" w:fill="auto"/>
          </w:tcPr>
          <w:p w:rsidRPr="006B7451" w:rsidR="00777DD0" w:rsidP="00A775A5" w:rsidRDefault="00777DD0" w14:paraId="49178D03" w14:textId="77777777">
            <w:pPr>
              <w:spacing w:before="80" w:line="240" w:lineRule="exact"/>
              <w:jc w:val="right"/>
              <w:rPr>
                <w:sz w:val="20"/>
                <w:szCs w:val="20"/>
              </w:rPr>
            </w:pPr>
            <w:r w:rsidRPr="006B7451">
              <w:rPr>
                <w:sz w:val="20"/>
                <w:szCs w:val="20"/>
              </w:rPr>
              <w:t>3 164</w:t>
            </w:r>
          </w:p>
        </w:tc>
        <w:tc>
          <w:tcPr>
            <w:tcW w:w="730" w:type="pct"/>
            <w:tcBorders>
              <w:bottom w:val="single" w:color="auto" w:sz="4" w:space="0"/>
            </w:tcBorders>
            <w:shd w:val="clear" w:color="auto" w:fill="auto"/>
          </w:tcPr>
          <w:p w:rsidRPr="006B7451" w:rsidR="00777DD0" w:rsidP="00A775A5" w:rsidRDefault="00777DD0" w14:paraId="27899A29" w14:textId="77777777">
            <w:pPr>
              <w:spacing w:before="80" w:line="240" w:lineRule="exact"/>
              <w:jc w:val="right"/>
              <w:rPr>
                <w:sz w:val="20"/>
                <w:szCs w:val="20"/>
              </w:rPr>
            </w:pPr>
            <w:r w:rsidRPr="006B7451">
              <w:rPr>
                <w:sz w:val="20"/>
                <w:szCs w:val="20"/>
              </w:rPr>
              <w:t>12 736</w:t>
            </w:r>
          </w:p>
        </w:tc>
        <w:tc>
          <w:tcPr>
            <w:tcW w:w="1249" w:type="pct"/>
            <w:tcBorders>
              <w:bottom w:val="single" w:color="auto" w:sz="4" w:space="0"/>
            </w:tcBorders>
            <w:shd w:val="clear" w:color="auto" w:fill="auto"/>
          </w:tcPr>
          <w:p w:rsidRPr="006B7451" w:rsidR="00777DD0" w:rsidP="00A775A5" w:rsidRDefault="00777DD0" w14:paraId="64EBEA36" w14:textId="77777777">
            <w:pPr>
              <w:spacing w:before="80" w:line="240" w:lineRule="exact"/>
              <w:jc w:val="right"/>
              <w:rPr>
                <w:sz w:val="20"/>
                <w:szCs w:val="20"/>
              </w:rPr>
            </w:pPr>
            <w:r w:rsidRPr="006B7451">
              <w:rPr>
                <w:sz w:val="20"/>
                <w:szCs w:val="20"/>
              </w:rPr>
              <w:t>0,89</w:t>
            </w:r>
          </w:p>
        </w:tc>
      </w:tr>
    </w:tbl>
    <w:p w:rsidRPr="00A775A5" w:rsidR="00777DD0" w:rsidP="00A775A5" w:rsidRDefault="00777DD0" w14:paraId="12256000" w14:textId="77777777">
      <w:pPr>
        <w:pStyle w:val="Klla"/>
      </w:pPr>
      <w:r w:rsidRPr="00A775A5">
        <w:t>Källa: Sveriges framtida befolkning, SCB, 2020.</w:t>
      </w:r>
    </w:p>
    <w:p w:rsidRPr="006B7451" w:rsidR="00246DC7" w:rsidP="00A775A5" w:rsidRDefault="00450C2E" w14:paraId="3EE08DA2" w14:textId="43A9D582">
      <w:pPr>
        <w:pStyle w:val="Normalutanindragellerluft"/>
        <w:spacing w:before="150"/>
      </w:pPr>
      <w:r w:rsidRPr="006B7451">
        <w:t>För att motverka ökningen i försörjningsbördan till år 2070 behöver sysselsättningen öka med cirka 500</w:t>
      </w:r>
      <w:r w:rsidR="00CA72F0">
        <w:t> </w:t>
      </w:r>
      <w:r w:rsidRPr="006B7451">
        <w:t>000 personer.</w:t>
      </w:r>
      <w:r w:rsidRPr="006B7451">
        <w:rPr>
          <w:rStyle w:val="Fotnotsreferens"/>
        </w:rPr>
        <w:footnoteReference w:id="4"/>
      </w:r>
      <w:r w:rsidRPr="006B7451">
        <w:t xml:space="preserve"> Det kan antingen ske genom en höjd pensionsålder, en tidigare debut på arbetsmarknaden eller en ökad sysselsättningsgrad. Risken finns</w:t>
      </w:r>
      <w:r w:rsidRPr="006B7451" w:rsidR="0068552B">
        <w:t xml:space="preserve"> dock</w:t>
      </w:r>
      <w:r w:rsidRPr="006B7451">
        <w:t xml:space="preserve"> att sysselsättningsgraden framöver minskar, vilket kan leda till en ökad försörjningskvot.</w:t>
      </w:r>
    </w:p>
    <w:p w:rsidRPr="006B7451" w:rsidR="009959DB" w:rsidP="00ED5D60" w:rsidRDefault="009959DB" w14:paraId="47A64B14" w14:textId="77777777">
      <w:pPr>
        <w:pStyle w:val="Rubrik2numrerat"/>
      </w:pPr>
      <w:bookmarkStart w:name="_Toc121752537" w:id="27"/>
      <w:r w:rsidRPr="006B7451">
        <w:t>En långsiktig förstärkning av kommunsektorn</w:t>
      </w:r>
      <w:bookmarkEnd w:id="27"/>
    </w:p>
    <w:p w:rsidRPr="006B7451" w:rsidR="006D3E7C" w:rsidP="006A7F32" w:rsidRDefault="006D3E7C" w14:paraId="082D9C39" w14:textId="7C9E25A8">
      <w:pPr>
        <w:pStyle w:val="Normalutanindragellerluft"/>
      </w:pPr>
      <w:r w:rsidRPr="006B7451">
        <w:rPr>
          <w:b/>
        </w:rPr>
        <w:t>Sverigedemokraternas förslag</w:t>
      </w:r>
      <w:r w:rsidRPr="006A7F32">
        <w:t xml:space="preserve">: </w:t>
      </w:r>
      <w:r w:rsidRPr="006B7451">
        <w:t>De generella statsbidragen till kommunsektorn ska öka med 3,0</w:t>
      </w:r>
      <w:r w:rsidRPr="006B7451" w:rsidR="00EC0924">
        <w:t>0</w:t>
      </w:r>
      <w:r w:rsidRPr="006B7451">
        <w:t xml:space="preserve"> miljarder</w:t>
      </w:r>
      <w:r w:rsidRPr="006B7451" w:rsidR="00EC0924">
        <w:t xml:space="preserve"> kronor</w:t>
      </w:r>
      <w:r w:rsidRPr="006B7451">
        <w:t xml:space="preserve"> per år.</w:t>
      </w:r>
    </w:p>
    <w:p w:rsidRPr="006B7451" w:rsidR="009959DB" w:rsidP="00D871B8" w:rsidRDefault="009959DB" w14:paraId="519B2631" w14:textId="7224479E">
      <w:pPr>
        <w:pStyle w:val="Normalutanindragellerluft"/>
        <w:spacing w:before="150"/>
      </w:pPr>
      <w:r w:rsidRPr="006B7451">
        <w:t>Pandemin har inte bara inneburit ökade kostnader för kommuner och regioner i form av extrapersonal, skyddsmaterial, läkemedel och fler intensivvårdsplatser. Den har även inneburit att intäkterna har minskat samt att delar av verksamheten avstannat. Även efter pandemin kommer kommuner och regioner ha ett stort personalbehov för att exempelvis hantera det stora antalet operationer som skjutits upp.</w:t>
      </w:r>
    </w:p>
    <w:p w:rsidRPr="006B7451" w:rsidR="009959DB" w:rsidP="009959DB" w:rsidRDefault="009959DB" w14:paraId="4814FD2B" w14:textId="44E3ED8B">
      <w:r w:rsidRPr="006B7451">
        <w:t xml:space="preserve">Kommunsektorn påverkas </w:t>
      </w:r>
      <w:r w:rsidRPr="006B7451" w:rsidR="00246DC7">
        <w:t>vidare</w:t>
      </w:r>
      <w:r w:rsidRPr="006B7451">
        <w:t xml:space="preserve"> av en minskad skattebas och ökade kostnader för ekonomiskt bistånd. Därutöver har kommuner och regioner </w:t>
      </w:r>
      <w:r w:rsidRPr="006B7451" w:rsidR="009F7FF2">
        <w:t>drabbats av</w:t>
      </w:r>
      <w:r w:rsidRPr="006B7451">
        <w:t xml:space="preserve"> intäktstapp från den egna verksamheten, exempelvis inom tandvård.</w:t>
      </w:r>
    </w:p>
    <w:p w:rsidRPr="006B7451" w:rsidR="009959DB" w:rsidP="009959DB" w:rsidRDefault="009959DB" w14:paraId="68412C84" w14:textId="77777777">
      <w:r w:rsidRPr="006B7451">
        <w:lastRenderedPageBreak/>
        <w:t>Sammantaget innebär detta att de ekonomiska effekterna av covid-19 behöver ses i ett större sammanhang och inte enbart med utgångspunkt från de direkta kostnaderna, vilket även gäller förstärkningen av statsbidragen.</w:t>
      </w:r>
    </w:p>
    <w:p w:rsidRPr="006B7451" w:rsidR="009959DB" w:rsidP="00246DC7" w:rsidRDefault="009959DB" w14:paraId="2755B240" w14:textId="1DD6A776">
      <w:r w:rsidRPr="006B7451">
        <w:t xml:space="preserve">Medan kommuner och regioner har fått kortsiktiga stöd är det svårt att </w:t>
      </w:r>
      <w:r w:rsidRPr="006B7451" w:rsidR="00246DC7">
        <w:t>nyttja</w:t>
      </w:r>
      <w:r w:rsidRPr="006B7451">
        <w:t xml:space="preserve"> dessa för att hantera strukturella problem. </w:t>
      </w:r>
      <w:r w:rsidRPr="006B7451" w:rsidR="00246DC7">
        <w:t>Anställning av</w:t>
      </w:r>
      <w:r w:rsidRPr="006B7451">
        <w:t xml:space="preserve"> vårdpersonal</w:t>
      </w:r>
      <w:r w:rsidRPr="006B7451" w:rsidR="00246DC7">
        <w:t xml:space="preserve">, som innebär en löpande kostnad, kan inte finansieras med kortsiktiga stöd för </w:t>
      </w:r>
      <w:r w:rsidRPr="006B7451">
        <w:t>innevarande år eller för året därefter – det behövs långsiktiga stöd.</w:t>
      </w:r>
      <w:r w:rsidRPr="006B7451" w:rsidR="0068552B">
        <w:t xml:space="preserve"> </w:t>
      </w:r>
      <w:r w:rsidRPr="006B7451">
        <w:t xml:space="preserve">Sverigedemokraterna föreslår därför att det kommunala utjämningssystemet tillförs en långsiktig förstärkning som bör uppgå </w:t>
      </w:r>
      <w:r w:rsidR="002679DA">
        <w:t xml:space="preserve">till </w:t>
      </w:r>
      <w:r w:rsidRPr="006B7451">
        <w:t xml:space="preserve">i storleksklassen </w:t>
      </w:r>
      <w:r w:rsidRPr="006B7451" w:rsidR="006D3E7C">
        <w:t>3</w:t>
      </w:r>
      <w:r w:rsidRPr="006B7451">
        <w:t xml:space="preserve"> miljarder kronor per år för att ge kommunsektorn rimliga förut</w:t>
      </w:r>
      <w:r w:rsidR="00425239">
        <w:softHyphen/>
      </w:r>
      <w:r w:rsidRPr="006B7451">
        <w:t>sättningar att upprätthålla</w:t>
      </w:r>
      <w:r w:rsidR="002679DA">
        <w:t xml:space="preserve"> en</w:t>
      </w:r>
      <w:r w:rsidRPr="006B7451">
        <w:t xml:space="preserve"> god välfärd</w:t>
      </w:r>
      <w:r w:rsidR="002679DA">
        <w:t xml:space="preserve"> och</w:t>
      </w:r>
      <w:r w:rsidRPr="006B7451">
        <w:t xml:space="preserve"> fungerande kärnverksamheter parallellt med ett rimligt skattetryck, utan att ytterligare behöva öka skuldbördan. Därmed förbättras även förutsättningarna avsevärt att inför framtiden upprätthålla krisberedskap, som i många avseenden är just ett lokalt ansvar.</w:t>
      </w:r>
    </w:p>
    <w:p w:rsidRPr="006B7451" w:rsidR="00EC0924" w:rsidP="00EC0924" w:rsidRDefault="00EC0924" w14:paraId="545DF54D" w14:textId="64F8B4A9">
      <w:r w:rsidRPr="006B7451">
        <w:t>Förslaget beräknas öka utgifterna i statens budget med 3,00 miljarder kronor 2022.</w:t>
      </w:r>
    </w:p>
    <w:p w:rsidRPr="006B7451" w:rsidR="009959DB" w:rsidP="00ED5D60" w:rsidRDefault="009959DB" w14:paraId="1DA4031D" w14:textId="4EE3161C">
      <w:pPr>
        <w:pStyle w:val="Rubrik2numrerat"/>
      </w:pPr>
      <w:bookmarkStart w:name="_Toc121752538" w:id="28"/>
      <w:r w:rsidRPr="006B7451">
        <w:t>Regionaliserad fastighetsskatt</w:t>
      </w:r>
      <w:bookmarkEnd w:id="28"/>
    </w:p>
    <w:p w:rsidRPr="006B7451" w:rsidR="006D3E7C" w:rsidP="004F6C26" w:rsidRDefault="006D3E7C" w14:paraId="6FE02D98" w14:textId="389AAC7C">
      <w:pPr>
        <w:pStyle w:val="Normalutanindragellerluft"/>
      </w:pPr>
      <w:r w:rsidRPr="006B7451">
        <w:rPr>
          <w:b/>
        </w:rPr>
        <w:t>Sverigedemokraternas förslag</w:t>
      </w:r>
      <w:r w:rsidRPr="004F6C26">
        <w:t>:</w:t>
      </w:r>
      <w:r w:rsidRPr="006B7451">
        <w:t xml:space="preserve"> Skatteintäkterna från den statliga fastighetsskatten på industrienheter och elproduktionsenheter ska tillfalla regionerna i stället för staten.</w:t>
      </w:r>
    </w:p>
    <w:p w:rsidRPr="006B7451" w:rsidR="009959DB" w:rsidP="004F6C26" w:rsidRDefault="009959DB" w14:paraId="38183C6A" w14:textId="6E827C6D">
      <w:pPr>
        <w:pStyle w:val="Normalutanindragellerluft"/>
        <w:spacing w:before="150"/>
      </w:pPr>
      <w:r w:rsidRPr="006B7451">
        <w:t xml:space="preserve">Sjukvårdens finansiering faller väsentligen tillbaka på regionerna, vars </w:t>
      </w:r>
      <w:r w:rsidRPr="006B7451" w:rsidR="00AC220F">
        <w:t xml:space="preserve">finanser </w:t>
      </w:r>
      <w:r w:rsidRPr="006B7451">
        <w:t xml:space="preserve">var </w:t>
      </w:r>
      <w:r w:rsidRPr="006B7451" w:rsidR="00AC220F">
        <w:t xml:space="preserve">ansträngda </w:t>
      </w:r>
      <w:r w:rsidRPr="006B7451">
        <w:t>redan före coronakrisen. Behoven är avsevärda, samtidigt som höjningar av regionalskatten riskerar att ytterligare förvärra situationen genom att familjer och företag flyttar. Lägg därtill att regionerna kan ha svårt att behålla sin personal</w:t>
      </w:r>
      <w:r w:rsidRPr="006B7451" w:rsidR="00D3258C">
        <w:t xml:space="preserve"> om löner och </w:t>
      </w:r>
      <w:r w:rsidRPr="006B7451">
        <w:t>arbetsförhållanden</w:t>
      </w:r>
      <w:r w:rsidRPr="006B7451" w:rsidR="00D3258C">
        <w:t xml:space="preserve"> blir för dåliga</w:t>
      </w:r>
      <w:r w:rsidRPr="006B7451">
        <w:t>. Orsakerna är många och komplexa, men bristen på resurser går inte att bortse från.</w:t>
      </w:r>
    </w:p>
    <w:p w:rsidRPr="006B7451" w:rsidR="009959DB" w:rsidP="009959DB" w:rsidRDefault="009959DB" w14:paraId="14D26FEC" w14:textId="6D7A5566">
      <w:r w:rsidRPr="006B7451">
        <w:t>Regionerna skulle dra nytta av satsningen på det kommunala (och regionala) utjämningssystemet enligt ovan. Därutöver vill Sverigedemokraterna stärka regionernas ekonomi genom att flytta över skatteinkomster från industrifastigheter samt elproduk</w:t>
      </w:r>
      <w:r w:rsidR="00425239">
        <w:softHyphen/>
      </w:r>
      <w:r w:rsidRPr="006B7451">
        <w:t>tionsenheter så att dessa medel kommer regionerna till del i stället för att gå direkt till statskassan, vilket är fallet i dag. För 202</w:t>
      </w:r>
      <w:r w:rsidRPr="006B7451" w:rsidR="004C663C">
        <w:t>2</w:t>
      </w:r>
      <w:r w:rsidRPr="006B7451">
        <w:t xml:space="preserve"> skulle detta innebära en förstärkning av regionernas ekonomi med cirka 3,</w:t>
      </w:r>
      <w:r w:rsidRPr="006B7451" w:rsidR="002E1ED5">
        <w:t>5</w:t>
      </w:r>
      <w:r w:rsidRPr="006B7451">
        <w:t xml:space="preserve"> miljarder kronor.</w:t>
      </w:r>
    </w:p>
    <w:p w:rsidRPr="006B7451" w:rsidR="009959DB" w:rsidP="009959DB" w:rsidRDefault="009959DB" w14:paraId="681C7A29" w14:textId="092B2E58">
      <w:r w:rsidRPr="006B7451">
        <w:t>Detta sker utan så kallad öronmärkning och innebär därmed en generell budget</w:t>
      </w:r>
      <w:r w:rsidR="00425239">
        <w:softHyphen/>
      </w:r>
      <w:r w:rsidRPr="006B7451">
        <w:t>förstärkning för regionerna, vilket skulle förbättra förutsättningarna att tillhandahålla god sjukvård och upprätthålla och utveckla infrastruktur i enlighet med lokala behov. Förslaget gagnar samtliga regioner. Samtidigt finns en nord-sydlig dimension och en skillnad mellan stad och landsbygd. Södra Sverige och storstadsregionerna får ett tillskott på mellan 150 och 310 kronor per person och år, medan exempelvis Jämtland får 1 350 kronor per person och år.</w:t>
      </w:r>
    </w:p>
    <w:p w:rsidR="00425239" w:rsidRDefault="00425239" w14:paraId="6471E631" w14:textId="0098C989">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AC2857" w:rsidR="009959DB" w:rsidP="00704AFA" w:rsidRDefault="009959DB" w14:paraId="27877766" w14:textId="79CA642C">
      <w:pPr>
        <w:pStyle w:val="Tabellrubrik"/>
        <w:keepNext/>
      </w:pPr>
      <w:r w:rsidRPr="00AC2857">
        <w:lastRenderedPageBreak/>
        <w:t xml:space="preserve">Tabell </w:t>
      </w:r>
      <w:r w:rsidR="009C76CE">
        <w:t>8</w:t>
      </w:r>
      <w:r w:rsidRPr="00AC2857">
        <w:t xml:space="preserve"> Regionalisering av statlig fastighetsskatt avseende industri- och elproduktionsenheter, utfall totalt samt per capita</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091"/>
        <w:gridCol w:w="3210"/>
        <w:gridCol w:w="3203"/>
      </w:tblGrid>
      <w:tr w:rsidRPr="006B7451" w:rsidR="006F2C14" w:rsidTr="009C76CE" w14:paraId="48FAF695" w14:textId="77777777">
        <w:trPr>
          <w:cantSplit/>
        </w:trPr>
        <w:tc>
          <w:tcPr>
            <w:tcW w:w="2091" w:type="dxa"/>
            <w:tcBorders>
              <w:top w:val="single" w:color="auto" w:sz="4" w:space="0"/>
              <w:left w:val="nil"/>
              <w:bottom w:val="single" w:color="auto" w:sz="4" w:space="0"/>
              <w:right w:val="nil"/>
            </w:tcBorders>
            <w:shd w:val="clear" w:color="auto" w:fill="FFFFFF" w:themeFill="background1"/>
            <w:hideMark/>
          </w:tcPr>
          <w:p w:rsidRPr="006B7451" w:rsidR="006F2C14" w:rsidP="00275FBA" w:rsidRDefault="006F2C14" w14:paraId="12FC4B3D" w14:textId="77777777">
            <w:pPr>
              <w:spacing w:before="80" w:line="240" w:lineRule="exact"/>
              <w:ind w:firstLine="0"/>
              <w:rPr>
                <w:rFonts w:asciiTheme="majorHAnsi" w:hAnsiTheme="majorHAnsi" w:cstheme="majorHAnsi"/>
                <w:b/>
                <w:sz w:val="20"/>
                <w:szCs w:val="20"/>
              </w:rPr>
            </w:pPr>
            <w:r w:rsidRPr="006B7451">
              <w:rPr>
                <w:rFonts w:asciiTheme="majorHAnsi" w:hAnsiTheme="majorHAnsi" w:cstheme="majorHAnsi"/>
                <w:b/>
                <w:sz w:val="20"/>
                <w:szCs w:val="20"/>
              </w:rPr>
              <w:t>Region</w:t>
            </w:r>
          </w:p>
        </w:tc>
        <w:tc>
          <w:tcPr>
            <w:tcW w:w="3210" w:type="dxa"/>
            <w:tcBorders>
              <w:top w:val="single" w:color="auto" w:sz="4" w:space="0"/>
              <w:left w:val="nil"/>
              <w:bottom w:val="single" w:color="auto" w:sz="4" w:space="0"/>
              <w:right w:val="nil"/>
            </w:tcBorders>
            <w:shd w:val="clear" w:color="auto" w:fill="FFFFFF" w:themeFill="background1"/>
            <w:hideMark/>
          </w:tcPr>
          <w:p w:rsidRPr="006B7451" w:rsidR="006F2C14" w:rsidP="00275FBA" w:rsidRDefault="006F2C14" w14:paraId="73DF2C10" w14:textId="77777777">
            <w:pPr>
              <w:spacing w:before="80" w:line="240" w:lineRule="exact"/>
              <w:ind w:left="340" w:firstLine="0"/>
              <w:jc w:val="right"/>
              <w:rPr>
                <w:rFonts w:asciiTheme="majorHAnsi" w:hAnsiTheme="majorHAnsi" w:cstheme="majorHAnsi"/>
                <w:b/>
                <w:sz w:val="20"/>
                <w:szCs w:val="20"/>
              </w:rPr>
            </w:pPr>
            <w:r w:rsidRPr="006B7451">
              <w:rPr>
                <w:rFonts w:asciiTheme="majorHAnsi" w:hAnsiTheme="majorHAnsi" w:cstheme="majorHAnsi"/>
                <w:b/>
                <w:sz w:val="20"/>
                <w:szCs w:val="20"/>
              </w:rPr>
              <w:t>Skatteintäkter totalt, 2020, tkr</w:t>
            </w:r>
          </w:p>
        </w:tc>
        <w:tc>
          <w:tcPr>
            <w:tcW w:w="3203" w:type="dxa"/>
            <w:tcBorders>
              <w:top w:val="single" w:color="auto" w:sz="4" w:space="0"/>
              <w:left w:val="nil"/>
              <w:bottom w:val="single" w:color="auto" w:sz="4" w:space="0"/>
              <w:right w:val="nil"/>
            </w:tcBorders>
            <w:shd w:val="clear" w:color="auto" w:fill="FFFFFF" w:themeFill="background1"/>
            <w:hideMark/>
          </w:tcPr>
          <w:p w:rsidRPr="006B7451" w:rsidR="006F2C14" w:rsidP="00275FBA" w:rsidRDefault="006F2C14" w14:paraId="53AA57E6" w14:textId="77777777">
            <w:pPr>
              <w:spacing w:before="80" w:line="240" w:lineRule="exact"/>
              <w:ind w:left="340" w:firstLine="0"/>
              <w:jc w:val="right"/>
              <w:rPr>
                <w:rFonts w:asciiTheme="majorHAnsi" w:hAnsiTheme="majorHAnsi" w:cstheme="majorHAnsi"/>
                <w:b/>
                <w:sz w:val="20"/>
                <w:szCs w:val="20"/>
              </w:rPr>
            </w:pPr>
            <w:r w:rsidRPr="006B7451">
              <w:rPr>
                <w:rFonts w:asciiTheme="majorHAnsi" w:hAnsiTheme="majorHAnsi" w:cstheme="majorHAnsi"/>
                <w:b/>
                <w:sz w:val="20"/>
                <w:szCs w:val="20"/>
              </w:rPr>
              <w:t>Skatteintäkter per capita, tkr</w:t>
            </w:r>
          </w:p>
        </w:tc>
      </w:tr>
      <w:tr w:rsidRPr="006B7451" w:rsidR="006F2C14" w:rsidTr="009C76CE" w14:paraId="66DE5A56" w14:textId="77777777">
        <w:trPr>
          <w:cantSplit/>
        </w:trPr>
        <w:tc>
          <w:tcPr>
            <w:tcW w:w="2091" w:type="dxa"/>
            <w:tcBorders>
              <w:top w:val="single" w:color="auto" w:sz="4" w:space="0"/>
              <w:left w:val="nil"/>
              <w:bottom w:val="nil"/>
              <w:right w:val="nil"/>
            </w:tcBorders>
            <w:hideMark/>
          </w:tcPr>
          <w:p w:rsidRPr="006B7451" w:rsidR="006F2C14" w:rsidP="00275FBA" w:rsidRDefault="006F2C14" w14:paraId="5ED29EC6"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Jämtland</w:t>
            </w:r>
          </w:p>
        </w:tc>
        <w:tc>
          <w:tcPr>
            <w:tcW w:w="3210" w:type="dxa"/>
            <w:tcBorders>
              <w:top w:val="single" w:color="auto" w:sz="4" w:space="0"/>
              <w:left w:val="nil"/>
              <w:bottom w:val="nil"/>
              <w:right w:val="nil"/>
            </w:tcBorders>
          </w:tcPr>
          <w:p w:rsidRPr="006B7451" w:rsidR="006F2C14" w:rsidP="00275FBA" w:rsidRDefault="006F2C14" w14:paraId="5121FA4E"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180 703</w:t>
            </w:r>
          </w:p>
        </w:tc>
        <w:tc>
          <w:tcPr>
            <w:tcW w:w="3203" w:type="dxa"/>
            <w:tcBorders>
              <w:top w:val="single" w:color="auto" w:sz="4" w:space="0"/>
              <w:left w:val="nil"/>
              <w:bottom w:val="nil"/>
              <w:right w:val="nil"/>
            </w:tcBorders>
          </w:tcPr>
          <w:p w:rsidRPr="006B7451" w:rsidR="006F2C14" w:rsidP="00275FBA" w:rsidRDefault="006F2C14" w14:paraId="1F8C5D27"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1,38</w:t>
            </w:r>
          </w:p>
        </w:tc>
      </w:tr>
      <w:tr w:rsidRPr="006B7451" w:rsidR="006F2C14" w:rsidTr="009C76CE" w14:paraId="66C89C51" w14:textId="77777777">
        <w:trPr>
          <w:cantSplit/>
        </w:trPr>
        <w:tc>
          <w:tcPr>
            <w:tcW w:w="2091" w:type="dxa"/>
            <w:hideMark/>
          </w:tcPr>
          <w:p w:rsidRPr="006B7451" w:rsidR="006F2C14" w:rsidP="00275FBA" w:rsidRDefault="006F2C14" w14:paraId="7B3C85C8"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Norrbotten</w:t>
            </w:r>
          </w:p>
        </w:tc>
        <w:tc>
          <w:tcPr>
            <w:tcW w:w="3210" w:type="dxa"/>
          </w:tcPr>
          <w:p w:rsidRPr="006B7451" w:rsidR="006F2C14" w:rsidP="00275FBA" w:rsidRDefault="006F2C14" w14:paraId="5BE5431D"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294 386</w:t>
            </w:r>
          </w:p>
        </w:tc>
        <w:tc>
          <w:tcPr>
            <w:tcW w:w="3203" w:type="dxa"/>
          </w:tcPr>
          <w:p w:rsidRPr="006B7451" w:rsidR="006F2C14" w:rsidP="00275FBA" w:rsidRDefault="006F2C14" w14:paraId="054C9A50"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1,18</w:t>
            </w:r>
          </w:p>
        </w:tc>
      </w:tr>
      <w:tr w:rsidRPr="006B7451" w:rsidR="006F2C14" w:rsidTr="009C76CE" w14:paraId="23A0B3BD" w14:textId="77777777">
        <w:trPr>
          <w:cantSplit/>
        </w:trPr>
        <w:tc>
          <w:tcPr>
            <w:tcW w:w="2091" w:type="dxa"/>
            <w:hideMark/>
          </w:tcPr>
          <w:p w:rsidRPr="006B7451" w:rsidR="006F2C14" w:rsidP="00275FBA" w:rsidRDefault="006F2C14" w14:paraId="3921C48A"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Västernorrland</w:t>
            </w:r>
          </w:p>
        </w:tc>
        <w:tc>
          <w:tcPr>
            <w:tcW w:w="3210" w:type="dxa"/>
          </w:tcPr>
          <w:p w:rsidRPr="006B7451" w:rsidR="006F2C14" w:rsidP="00275FBA" w:rsidRDefault="006F2C14" w14:paraId="5F7DB84C"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210 407</w:t>
            </w:r>
          </w:p>
        </w:tc>
        <w:tc>
          <w:tcPr>
            <w:tcW w:w="3203" w:type="dxa"/>
          </w:tcPr>
          <w:p w:rsidRPr="006B7451" w:rsidR="006F2C14" w:rsidP="00275FBA" w:rsidRDefault="006F2C14" w14:paraId="75143777"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0,86</w:t>
            </w:r>
          </w:p>
        </w:tc>
      </w:tr>
      <w:tr w:rsidRPr="006B7451" w:rsidR="006F2C14" w:rsidTr="009C76CE" w14:paraId="2D38EBFF" w14:textId="77777777">
        <w:trPr>
          <w:cantSplit/>
        </w:trPr>
        <w:tc>
          <w:tcPr>
            <w:tcW w:w="2091" w:type="dxa"/>
            <w:hideMark/>
          </w:tcPr>
          <w:p w:rsidRPr="006B7451" w:rsidR="006F2C14" w:rsidP="00275FBA" w:rsidRDefault="006F2C14" w14:paraId="671C1587"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Västerbotten</w:t>
            </w:r>
          </w:p>
        </w:tc>
        <w:tc>
          <w:tcPr>
            <w:tcW w:w="3210" w:type="dxa"/>
          </w:tcPr>
          <w:p w:rsidRPr="006B7451" w:rsidR="006F2C14" w:rsidP="00275FBA" w:rsidRDefault="006F2C14" w14:paraId="3B72BAE7"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231 123</w:t>
            </w:r>
          </w:p>
        </w:tc>
        <w:tc>
          <w:tcPr>
            <w:tcW w:w="3203" w:type="dxa"/>
          </w:tcPr>
          <w:p w:rsidRPr="006B7451" w:rsidR="006F2C14" w:rsidP="00275FBA" w:rsidRDefault="006F2C14" w14:paraId="3B79081C"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0,85</w:t>
            </w:r>
          </w:p>
        </w:tc>
      </w:tr>
      <w:tr w:rsidRPr="006B7451" w:rsidR="006F2C14" w:rsidTr="009C76CE" w14:paraId="7AAC7567" w14:textId="77777777">
        <w:trPr>
          <w:cantSplit/>
        </w:trPr>
        <w:tc>
          <w:tcPr>
            <w:tcW w:w="2091" w:type="dxa"/>
            <w:hideMark/>
          </w:tcPr>
          <w:p w:rsidRPr="006B7451" w:rsidR="006F2C14" w:rsidP="00275FBA" w:rsidRDefault="006F2C14" w14:paraId="7BC25699"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Halland</w:t>
            </w:r>
          </w:p>
        </w:tc>
        <w:tc>
          <w:tcPr>
            <w:tcW w:w="3210" w:type="dxa"/>
          </w:tcPr>
          <w:p w:rsidRPr="006B7451" w:rsidR="006F2C14" w:rsidP="00275FBA" w:rsidRDefault="006F2C14" w14:paraId="698117ED"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141 593</w:t>
            </w:r>
          </w:p>
        </w:tc>
        <w:tc>
          <w:tcPr>
            <w:tcW w:w="3203" w:type="dxa"/>
          </w:tcPr>
          <w:p w:rsidRPr="006B7451" w:rsidR="006F2C14" w:rsidP="00275FBA" w:rsidRDefault="006F2C14" w14:paraId="187FD21E"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0,42</w:t>
            </w:r>
          </w:p>
        </w:tc>
      </w:tr>
      <w:tr w:rsidRPr="006B7451" w:rsidR="006F2C14" w:rsidTr="009C76CE" w14:paraId="6F08A5A5" w14:textId="77777777">
        <w:trPr>
          <w:cantSplit/>
        </w:trPr>
        <w:tc>
          <w:tcPr>
            <w:tcW w:w="2091" w:type="dxa"/>
            <w:hideMark/>
          </w:tcPr>
          <w:p w:rsidRPr="006B7451" w:rsidR="006F2C14" w:rsidP="00275FBA" w:rsidRDefault="006F2C14" w14:paraId="4520EC93"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Jönköping</w:t>
            </w:r>
          </w:p>
        </w:tc>
        <w:tc>
          <w:tcPr>
            <w:tcW w:w="3210" w:type="dxa"/>
          </w:tcPr>
          <w:p w:rsidRPr="006B7451" w:rsidR="006F2C14" w:rsidP="00275FBA" w:rsidRDefault="006F2C14" w14:paraId="1B209C7F"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143 051</w:t>
            </w:r>
          </w:p>
        </w:tc>
        <w:tc>
          <w:tcPr>
            <w:tcW w:w="3203" w:type="dxa"/>
          </w:tcPr>
          <w:p w:rsidRPr="006B7451" w:rsidR="006F2C14" w:rsidP="00275FBA" w:rsidRDefault="006F2C14" w14:paraId="4D20667D"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0,39</w:t>
            </w:r>
          </w:p>
        </w:tc>
      </w:tr>
      <w:tr w:rsidRPr="006B7451" w:rsidR="006F2C14" w:rsidTr="009C76CE" w14:paraId="78B81589" w14:textId="77777777">
        <w:trPr>
          <w:cantSplit/>
        </w:trPr>
        <w:tc>
          <w:tcPr>
            <w:tcW w:w="2091" w:type="dxa"/>
            <w:hideMark/>
          </w:tcPr>
          <w:p w:rsidRPr="006B7451" w:rsidR="006F2C14" w:rsidP="00275FBA" w:rsidRDefault="006F2C14" w14:paraId="39C79BC9"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Uppsala</w:t>
            </w:r>
          </w:p>
        </w:tc>
        <w:tc>
          <w:tcPr>
            <w:tcW w:w="3210" w:type="dxa"/>
          </w:tcPr>
          <w:p w:rsidRPr="006B7451" w:rsidR="006F2C14" w:rsidP="00275FBA" w:rsidRDefault="006F2C14" w14:paraId="39B036C7"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134 869</w:t>
            </w:r>
          </w:p>
        </w:tc>
        <w:tc>
          <w:tcPr>
            <w:tcW w:w="3203" w:type="dxa"/>
          </w:tcPr>
          <w:p w:rsidRPr="006B7451" w:rsidR="006F2C14" w:rsidP="00275FBA" w:rsidRDefault="00084188" w14:paraId="38323215"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0,35</w:t>
            </w:r>
          </w:p>
        </w:tc>
      </w:tr>
      <w:tr w:rsidRPr="006B7451" w:rsidR="006F2C14" w:rsidTr="009C76CE" w14:paraId="0F3DA984" w14:textId="77777777">
        <w:trPr>
          <w:cantSplit/>
        </w:trPr>
        <w:tc>
          <w:tcPr>
            <w:tcW w:w="2091" w:type="dxa"/>
            <w:hideMark/>
          </w:tcPr>
          <w:p w:rsidRPr="006B7451" w:rsidR="006F2C14" w:rsidP="00275FBA" w:rsidRDefault="006F2C14" w14:paraId="491F14AB"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Dalarna</w:t>
            </w:r>
          </w:p>
        </w:tc>
        <w:tc>
          <w:tcPr>
            <w:tcW w:w="3210" w:type="dxa"/>
          </w:tcPr>
          <w:p w:rsidRPr="006B7451" w:rsidR="006F2C14" w:rsidP="00275FBA" w:rsidRDefault="006F2C14" w14:paraId="4868AD2D"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97 763</w:t>
            </w:r>
          </w:p>
        </w:tc>
        <w:tc>
          <w:tcPr>
            <w:tcW w:w="3203" w:type="dxa"/>
          </w:tcPr>
          <w:p w:rsidRPr="006B7451" w:rsidR="006F2C14" w:rsidP="00275FBA" w:rsidRDefault="00084188" w14:paraId="72C87501"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0,34</w:t>
            </w:r>
          </w:p>
        </w:tc>
      </w:tr>
      <w:tr w:rsidRPr="006B7451" w:rsidR="006F2C14" w:rsidTr="009C76CE" w14:paraId="6257A2DF" w14:textId="77777777">
        <w:trPr>
          <w:cantSplit/>
        </w:trPr>
        <w:tc>
          <w:tcPr>
            <w:tcW w:w="2091" w:type="dxa"/>
            <w:hideMark/>
          </w:tcPr>
          <w:p w:rsidRPr="006B7451" w:rsidR="006F2C14" w:rsidP="00275FBA" w:rsidRDefault="006F2C14" w14:paraId="4B9CF40F"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Gävleborg</w:t>
            </w:r>
          </w:p>
        </w:tc>
        <w:tc>
          <w:tcPr>
            <w:tcW w:w="3210" w:type="dxa"/>
          </w:tcPr>
          <w:p w:rsidRPr="006B7451" w:rsidR="006F2C14" w:rsidP="00275FBA" w:rsidRDefault="006F2C14" w14:paraId="5F4BCBBF"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94 401</w:t>
            </w:r>
          </w:p>
        </w:tc>
        <w:tc>
          <w:tcPr>
            <w:tcW w:w="3203" w:type="dxa"/>
          </w:tcPr>
          <w:p w:rsidRPr="006B7451" w:rsidR="006F2C14" w:rsidP="00275FBA" w:rsidRDefault="00084188" w14:paraId="79D45897"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0,33</w:t>
            </w:r>
          </w:p>
        </w:tc>
      </w:tr>
      <w:tr w:rsidRPr="006B7451" w:rsidR="006F2C14" w:rsidTr="009C76CE" w14:paraId="24B422B1" w14:textId="77777777">
        <w:trPr>
          <w:cantSplit/>
        </w:trPr>
        <w:tc>
          <w:tcPr>
            <w:tcW w:w="2091" w:type="dxa"/>
            <w:hideMark/>
          </w:tcPr>
          <w:p w:rsidRPr="006B7451" w:rsidR="006F2C14" w:rsidP="00275FBA" w:rsidRDefault="006F2C14" w14:paraId="57103554"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Västra Götaland</w:t>
            </w:r>
          </w:p>
        </w:tc>
        <w:tc>
          <w:tcPr>
            <w:tcW w:w="3210" w:type="dxa"/>
          </w:tcPr>
          <w:p w:rsidRPr="006B7451" w:rsidR="006F2C14" w:rsidP="00275FBA" w:rsidRDefault="006F2C14" w14:paraId="23DABC12"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552 994</w:t>
            </w:r>
          </w:p>
        </w:tc>
        <w:tc>
          <w:tcPr>
            <w:tcW w:w="3203" w:type="dxa"/>
          </w:tcPr>
          <w:p w:rsidRPr="006B7451" w:rsidR="006F2C14" w:rsidP="00275FBA" w:rsidRDefault="00084188" w14:paraId="196DCF3D"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0,32</w:t>
            </w:r>
          </w:p>
        </w:tc>
      </w:tr>
      <w:tr w:rsidRPr="006B7451" w:rsidR="006F2C14" w:rsidTr="009C76CE" w14:paraId="4526A04B" w14:textId="77777777">
        <w:trPr>
          <w:cantSplit/>
        </w:trPr>
        <w:tc>
          <w:tcPr>
            <w:tcW w:w="2091" w:type="dxa"/>
            <w:hideMark/>
          </w:tcPr>
          <w:p w:rsidRPr="006B7451" w:rsidR="006F2C14" w:rsidP="00275FBA" w:rsidRDefault="006F2C14" w14:paraId="2DA39760"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Kalmar</w:t>
            </w:r>
          </w:p>
        </w:tc>
        <w:tc>
          <w:tcPr>
            <w:tcW w:w="3210" w:type="dxa"/>
          </w:tcPr>
          <w:p w:rsidRPr="006B7451" w:rsidR="006F2C14" w:rsidP="00275FBA" w:rsidRDefault="006F2C14" w14:paraId="77F304C1"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70 992</w:t>
            </w:r>
          </w:p>
        </w:tc>
        <w:tc>
          <w:tcPr>
            <w:tcW w:w="3203" w:type="dxa"/>
          </w:tcPr>
          <w:p w:rsidRPr="006B7451" w:rsidR="006F2C14" w:rsidP="00275FBA" w:rsidRDefault="00084188" w14:paraId="410A59DF"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0,29</w:t>
            </w:r>
          </w:p>
        </w:tc>
      </w:tr>
      <w:tr w:rsidRPr="006B7451" w:rsidR="006F2C14" w:rsidTr="009C76CE" w14:paraId="6F09D947" w14:textId="77777777">
        <w:trPr>
          <w:cantSplit/>
        </w:trPr>
        <w:tc>
          <w:tcPr>
            <w:tcW w:w="2091" w:type="dxa"/>
            <w:hideMark/>
          </w:tcPr>
          <w:p w:rsidRPr="006B7451" w:rsidR="006F2C14" w:rsidP="00275FBA" w:rsidRDefault="006F2C14" w14:paraId="75E046BE"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Värmland</w:t>
            </w:r>
          </w:p>
        </w:tc>
        <w:tc>
          <w:tcPr>
            <w:tcW w:w="3210" w:type="dxa"/>
          </w:tcPr>
          <w:p w:rsidRPr="006B7451" w:rsidR="006F2C14" w:rsidP="00275FBA" w:rsidRDefault="006F2C14" w14:paraId="3806DDA3"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80 317</w:t>
            </w:r>
          </w:p>
        </w:tc>
        <w:tc>
          <w:tcPr>
            <w:tcW w:w="3203" w:type="dxa"/>
          </w:tcPr>
          <w:p w:rsidRPr="006B7451" w:rsidR="006F2C14" w:rsidP="00275FBA" w:rsidRDefault="00084188" w14:paraId="7A717E5E"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0,28</w:t>
            </w:r>
          </w:p>
        </w:tc>
      </w:tr>
      <w:tr w:rsidRPr="006B7451" w:rsidR="00084188" w:rsidTr="009C76CE" w14:paraId="4C65F657" w14:textId="77777777">
        <w:trPr>
          <w:cantSplit/>
        </w:trPr>
        <w:tc>
          <w:tcPr>
            <w:tcW w:w="2091" w:type="dxa"/>
          </w:tcPr>
          <w:p w:rsidRPr="006B7451" w:rsidR="00084188" w:rsidP="00275FBA" w:rsidRDefault="00084188" w14:paraId="67E15FD1"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Örebro</w:t>
            </w:r>
          </w:p>
        </w:tc>
        <w:tc>
          <w:tcPr>
            <w:tcW w:w="3210" w:type="dxa"/>
          </w:tcPr>
          <w:p w:rsidRPr="006B7451" w:rsidR="00084188" w:rsidP="00275FBA" w:rsidRDefault="00084188" w14:paraId="4C25CBD6"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86 866</w:t>
            </w:r>
          </w:p>
        </w:tc>
        <w:tc>
          <w:tcPr>
            <w:tcW w:w="3203" w:type="dxa"/>
          </w:tcPr>
          <w:p w:rsidRPr="006B7451" w:rsidR="00084188" w:rsidP="00275FBA" w:rsidRDefault="00084188" w14:paraId="6109B4B2"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0,28</w:t>
            </w:r>
          </w:p>
        </w:tc>
      </w:tr>
      <w:tr w:rsidRPr="006B7451" w:rsidR="00084188" w:rsidTr="009C76CE" w14:paraId="40CA7530" w14:textId="77777777">
        <w:trPr>
          <w:cantSplit/>
        </w:trPr>
        <w:tc>
          <w:tcPr>
            <w:tcW w:w="2091" w:type="dxa"/>
            <w:hideMark/>
          </w:tcPr>
          <w:p w:rsidRPr="006B7451" w:rsidR="00084188" w:rsidP="00275FBA" w:rsidRDefault="00084188" w14:paraId="7EA85419"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Östergötland</w:t>
            </w:r>
          </w:p>
        </w:tc>
        <w:tc>
          <w:tcPr>
            <w:tcW w:w="3210" w:type="dxa"/>
          </w:tcPr>
          <w:p w:rsidRPr="006B7451" w:rsidR="00084188" w:rsidP="00275FBA" w:rsidRDefault="00084188" w14:paraId="1AAF43E3"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128 563</w:t>
            </w:r>
          </w:p>
        </w:tc>
        <w:tc>
          <w:tcPr>
            <w:tcW w:w="3203" w:type="dxa"/>
          </w:tcPr>
          <w:p w:rsidRPr="006B7451" w:rsidR="00084188" w:rsidP="00275FBA" w:rsidRDefault="00084188" w14:paraId="50CC183B"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0,27</w:t>
            </w:r>
          </w:p>
        </w:tc>
      </w:tr>
      <w:tr w:rsidRPr="006B7451" w:rsidR="00084188" w:rsidTr="009C76CE" w14:paraId="6F952E84" w14:textId="77777777">
        <w:trPr>
          <w:cantSplit/>
        </w:trPr>
        <w:tc>
          <w:tcPr>
            <w:tcW w:w="2091" w:type="dxa"/>
          </w:tcPr>
          <w:p w:rsidRPr="006B7451" w:rsidR="00084188" w:rsidP="00275FBA" w:rsidRDefault="00084188" w14:paraId="31FE7F8A"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Skåne</w:t>
            </w:r>
          </w:p>
        </w:tc>
        <w:tc>
          <w:tcPr>
            <w:tcW w:w="3210" w:type="dxa"/>
          </w:tcPr>
          <w:p w:rsidRPr="006B7451" w:rsidR="00084188" w:rsidP="00275FBA" w:rsidRDefault="00084188" w14:paraId="0B6FA774"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342 294</w:t>
            </w:r>
          </w:p>
        </w:tc>
        <w:tc>
          <w:tcPr>
            <w:tcW w:w="3203" w:type="dxa"/>
          </w:tcPr>
          <w:p w:rsidRPr="006B7451" w:rsidR="00084188" w:rsidP="00275FBA" w:rsidRDefault="00084188" w14:paraId="5577CA35"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0,25</w:t>
            </w:r>
          </w:p>
        </w:tc>
      </w:tr>
      <w:tr w:rsidRPr="006B7451" w:rsidR="00084188" w:rsidTr="009C76CE" w14:paraId="19792D32" w14:textId="77777777">
        <w:trPr>
          <w:cantSplit/>
        </w:trPr>
        <w:tc>
          <w:tcPr>
            <w:tcW w:w="2091" w:type="dxa"/>
          </w:tcPr>
          <w:p w:rsidRPr="006B7451" w:rsidR="00084188" w:rsidP="00275FBA" w:rsidRDefault="00084188" w14:paraId="492660EF"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Kronoberg</w:t>
            </w:r>
          </w:p>
        </w:tc>
        <w:tc>
          <w:tcPr>
            <w:tcW w:w="3210" w:type="dxa"/>
          </w:tcPr>
          <w:p w:rsidRPr="006B7451" w:rsidR="00084188" w:rsidP="00275FBA" w:rsidRDefault="00084188" w14:paraId="606188B7"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48 957</w:t>
            </w:r>
          </w:p>
        </w:tc>
        <w:tc>
          <w:tcPr>
            <w:tcW w:w="3203" w:type="dxa"/>
          </w:tcPr>
          <w:p w:rsidRPr="006B7451" w:rsidR="00084188" w:rsidP="00275FBA" w:rsidRDefault="00084188" w14:paraId="18C6B0CB"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0,24</w:t>
            </w:r>
          </w:p>
        </w:tc>
      </w:tr>
      <w:tr w:rsidRPr="006B7451" w:rsidR="00084188" w:rsidTr="009C76CE" w14:paraId="583A2ED5" w14:textId="77777777">
        <w:trPr>
          <w:cantSplit/>
        </w:trPr>
        <w:tc>
          <w:tcPr>
            <w:tcW w:w="2091" w:type="dxa"/>
          </w:tcPr>
          <w:p w:rsidRPr="006B7451" w:rsidR="00084188" w:rsidP="00275FBA" w:rsidRDefault="00084188" w14:paraId="58C79BA6"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Gotland</w:t>
            </w:r>
          </w:p>
        </w:tc>
        <w:tc>
          <w:tcPr>
            <w:tcW w:w="3210" w:type="dxa"/>
          </w:tcPr>
          <w:p w:rsidRPr="006B7451" w:rsidR="00084188" w:rsidP="00275FBA" w:rsidRDefault="00084188" w14:paraId="7CAB09E4"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14 141</w:t>
            </w:r>
          </w:p>
        </w:tc>
        <w:tc>
          <w:tcPr>
            <w:tcW w:w="3203" w:type="dxa"/>
          </w:tcPr>
          <w:p w:rsidRPr="006B7451" w:rsidR="00084188" w:rsidP="00275FBA" w:rsidRDefault="00084188" w14:paraId="48A760D2"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0,23</w:t>
            </w:r>
          </w:p>
        </w:tc>
      </w:tr>
      <w:tr w:rsidRPr="006B7451" w:rsidR="00084188" w:rsidTr="009C76CE" w14:paraId="5AFD7E67" w14:textId="77777777">
        <w:trPr>
          <w:cantSplit/>
        </w:trPr>
        <w:tc>
          <w:tcPr>
            <w:tcW w:w="2091" w:type="dxa"/>
          </w:tcPr>
          <w:p w:rsidRPr="006B7451" w:rsidR="00084188" w:rsidP="00275FBA" w:rsidRDefault="00084188" w14:paraId="4B23735A"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Västmanland</w:t>
            </w:r>
          </w:p>
        </w:tc>
        <w:tc>
          <w:tcPr>
            <w:tcW w:w="3210" w:type="dxa"/>
          </w:tcPr>
          <w:p w:rsidRPr="006B7451" w:rsidR="00084188" w:rsidP="00275FBA" w:rsidRDefault="00084188" w14:paraId="2A0D1299"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62 065</w:t>
            </w:r>
          </w:p>
        </w:tc>
        <w:tc>
          <w:tcPr>
            <w:tcW w:w="3203" w:type="dxa"/>
          </w:tcPr>
          <w:p w:rsidRPr="006B7451" w:rsidR="00084188" w:rsidP="00275FBA" w:rsidRDefault="00084188" w14:paraId="528F3552"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0,22</w:t>
            </w:r>
          </w:p>
        </w:tc>
      </w:tr>
      <w:tr w:rsidRPr="006B7451" w:rsidR="00084188" w:rsidTr="009C76CE" w14:paraId="4171A413" w14:textId="77777777">
        <w:trPr>
          <w:cantSplit/>
        </w:trPr>
        <w:tc>
          <w:tcPr>
            <w:tcW w:w="2091" w:type="dxa"/>
          </w:tcPr>
          <w:p w:rsidRPr="006B7451" w:rsidR="00084188" w:rsidP="00275FBA" w:rsidRDefault="00084188" w14:paraId="49E719AC"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Södermanland</w:t>
            </w:r>
          </w:p>
        </w:tc>
        <w:tc>
          <w:tcPr>
            <w:tcW w:w="3210" w:type="dxa"/>
          </w:tcPr>
          <w:p w:rsidRPr="006B7451" w:rsidR="00084188" w:rsidP="00275FBA" w:rsidRDefault="00084188" w14:paraId="41D0B6AC"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65 483</w:t>
            </w:r>
          </w:p>
        </w:tc>
        <w:tc>
          <w:tcPr>
            <w:tcW w:w="3203" w:type="dxa"/>
          </w:tcPr>
          <w:p w:rsidRPr="006B7451" w:rsidR="00084188" w:rsidP="00275FBA" w:rsidRDefault="00084188" w14:paraId="7EFCC07E"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0,22</w:t>
            </w:r>
          </w:p>
        </w:tc>
      </w:tr>
      <w:tr w:rsidRPr="006B7451" w:rsidR="00084188" w:rsidTr="009C76CE" w14:paraId="2F690056" w14:textId="77777777">
        <w:trPr>
          <w:cantSplit/>
        </w:trPr>
        <w:tc>
          <w:tcPr>
            <w:tcW w:w="2091" w:type="dxa"/>
          </w:tcPr>
          <w:p w:rsidRPr="006B7451" w:rsidR="00084188" w:rsidP="00275FBA" w:rsidRDefault="00084188" w14:paraId="3FB041F2"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Stockholm</w:t>
            </w:r>
          </w:p>
        </w:tc>
        <w:tc>
          <w:tcPr>
            <w:tcW w:w="3210" w:type="dxa"/>
          </w:tcPr>
          <w:p w:rsidRPr="006B7451" w:rsidR="00084188" w:rsidP="00275FBA" w:rsidRDefault="00084188" w14:paraId="67DEC0F8"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444 560</w:t>
            </w:r>
          </w:p>
        </w:tc>
        <w:tc>
          <w:tcPr>
            <w:tcW w:w="3203" w:type="dxa"/>
          </w:tcPr>
          <w:p w:rsidRPr="006B7451" w:rsidR="00084188" w:rsidP="00275FBA" w:rsidRDefault="00084188" w14:paraId="679DE50D"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0,19</w:t>
            </w:r>
          </w:p>
        </w:tc>
      </w:tr>
      <w:tr w:rsidRPr="006B7451" w:rsidR="00084188" w:rsidTr="009C76CE" w14:paraId="024F61EB" w14:textId="77777777">
        <w:trPr>
          <w:cantSplit/>
        </w:trPr>
        <w:tc>
          <w:tcPr>
            <w:tcW w:w="2091" w:type="dxa"/>
          </w:tcPr>
          <w:p w:rsidRPr="006B7451" w:rsidR="00084188" w:rsidP="00275FBA" w:rsidRDefault="00084188" w14:paraId="6A3EAA32" w14:textId="77777777">
            <w:pPr>
              <w:spacing w:before="80" w:line="240" w:lineRule="exact"/>
              <w:ind w:firstLine="0"/>
              <w:rPr>
                <w:rFonts w:asciiTheme="majorHAnsi" w:hAnsiTheme="majorHAnsi" w:cstheme="majorHAnsi"/>
                <w:sz w:val="20"/>
                <w:szCs w:val="20"/>
              </w:rPr>
            </w:pPr>
            <w:r w:rsidRPr="006B7451">
              <w:rPr>
                <w:rFonts w:asciiTheme="majorHAnsi" w:hAnsiTheme="majorHAnsi" w:cstheme="majorHAnsi"/>
                <w:sz w:val="20"/>
                <w:szCs w:val="20"/>
              </w:rPr>
              <w:t>Blekinge</w:t>
            </w:r>
          </w:p>
        </w:tc>
        <w:tc>
          <w:tcPr>
            <w:tcW w:w="3210" w:type="dxa"/>
          </w:tcPr>
          <w:p w:rsidRPr="006B7451" w:rsidR="00084188" w:rsidP="00275FBA" w:rsidRDefault="00084188" w14:paraId="011440E5"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25 396</w:t>
            </w:r>
          </w:p>
        </w:tc>
        <w:tc>
          <w:tcPr>
            <w:tcW w:w="3203" w:type="dxa"/>
          </w:tcPr>
          <w:p w:rsidRPr="006B7451" w:rsidR="00084188" w:rsidP="00275FBA" w:rsidRDefault="00084188" w14:paraId="010A46EB" w14:textId="77777777">
            <w:pPr>
              <w:spacing w:before="80" w:line="240" w:lineRule="exact"/>
              <w:ind w:left="340" w:firstLine="0"/>
              <w:jc w:val="right"/>
              <w:rPr>
                <w:rFonts w:asciiTheme="majorHAnsi" w:hAnsiTheme="majorHAnsi" w:cstheme="majorHAnsi"/>
                <w:sz w:val="20"/>
                <w:szCs w:val="20"/>
              </w:rPr>
            </w:pPr>
            <w:r w:rsidRPr="006B7451">
              <w:rPr>
                <w:rFonts w:asciiTheme="majorHAnsi" w:hAnsiTheme="majorHAnsi" w:cstheme="majorHAnsi"/>
                <w:sz w:val="20"/>
                <w:szCs w:val="20"/>
              </w:rPr>
              <w:t>0,16</w:t>
            </w:r>
          </w:p>
        </w:tc>
      </w:tr>
      <w:tr w:rsidRPr="006B7451" w:rsidR="00084188" w:rsidTr="009C76CE" w14:paraId="7B1A7E72" w14:textId="77777777">
        <w:trPr>
          <w:cantSplit/>
        </w:trPr>
        <w:tc>
          <w:tcPr>
            <w:tcW w:w="2091" w:type="dxa"/>
            <w:tcBorders>
              <w:bottom w:val="single" w:color="auto" w:sz="4" w:space="0"/>
            </w:tcBorders>
            <w:hideMark/>
          </w:tcPr>
          <w:p w:rsidRPr="006B7451" w:rsidR="00084188" w:rsidP="00275FBA" w:rsidRDefault="00084188" w14:paraId="3A6C2A5B" w14:textId="77777777">
            <w:pPr>
              <w:spacing w:before="80" w:line="240" w:lineRule="exact"/>
              <w:ind w:firstLine="0"/>
              <w:rPr>
                <w:b/>
                <w:sz w:val="20"/>
                <w:szCs w:val="20"/>
              </w:rPr>
            </w:pPr>
            <w:r w:rsidRPr="006B7451">
              <w:rPr>
                <w:b/>
                <w:sz w:val="20"/>
                <w:szCs w:val="20"/>
              </w:rPr>
              <w:t>Summa</w:t>
            </w:r>
          </w:p>
        </w:tc>
        <w:tc>
          <w:tcPr>
            <w:tcW w:w="3210" w:type="dxa"/>
            <w:tcBorders>
              <w:bottom w:val="single" w:color="auto" w:sz="4" w:space="0"/>
            </w:tcBorders>
          </w:tcPr>
          <w:p w:rsidRPr="006B7451" w:rsidR="00084188" w:rsidP="00275FBA" w:rsidRDefault="00084188" w14:paraId="62A1B62D" w14:textId="77777777">
            <w:pPr>
              <w:spacing w:before="80" w:line="240" w:lineRule="exact"/>
              <w:ind w:left="340" w:firstLine="0"/>
              <w:jc w:val="right"/>
              <w:rPr>
                <w:b/>
                <w:sz w:val="20"/>
                <w:szCs w:val="20"/>
              </w:rPr>
            </w:pPr>
            <w:r w:rsidRPr="006B7451">
              <w:rPr>
                <w:b/>
                <w:sz w:val="20"/>
                <w:szCs w:val="20"/>
              </w:rPr>
              <w:t>3 450 924</w:t>
            </w:r>
          </w:p>
        </w:tc>
        <w:tc>
          <w:tcPr>
            <w:tcW w:w="3203" w:type="dxa"/>
            <w:tcBorders>
              <w:bottom w:val="single" w:color="auto" w:sz="4" w:space="0"/>
            </w:tcBorders>
          </w:tcPr>
          <w:p w:rsidRPr="006B7451" w:rsidR="00084188" w:rsidP="00275FBA" w:rsidRDefault="00084188" w14:paraId="70D6CA44" w14:textId="77777777">
            <w:pPr>
              <w:spacing w:before="80" w:line="240" w:lineRule="exact"/>
              <w:ind w:left="340" w:firstLine="0"/>
              <w:jc w:val="right"/>
              <w:rPr>
                <w:sz w:val="20"/>
                <w:szCs w:val="20"/>
              </w:rPr>
            </w:pPr>
          </w:p>
        </w:tc>
      </w:tr>
    </w:tbl>
    <w:p w:rsidRPr="009C76CE" w:rsidR="009959DB" w:rsidP="009C76CE" w:rsidRDefault="009959DB" w14:paraId="4271E369" w14:textId="27D08E36">
      <w:pPr>
        <w:pStyle w:val="Klla"/>
      </w:pPr>
      <w:r w:rsidRPr="009C76CE">
        <w:t>Källa: Riksdagens utredningstjänst, Dnr 20</w:t>
      </w:r>
      <w:r w:rsidRPr="009C76CE" w:rsidR="006F2C14">
        <w:t>21</w:t>
      </w:r>
      <w:r w:rsidRPr="009C76CE">
        <w:t>:</w:t>
      </w:r>
      <w:r w:rsidRPr="009C76CE" w:rsidR="006F2C14">
        <w:t>831</w:t>
      </w:r>
      <w:r w:rsidRPr="009C76CE">
        <w:t>.</w:t>
      </w:r>
    </w:p>
    <w:p w:rsidRPr="006B7451" w:rsidR="00EC0924" w:rsidP="009C76CE" w:rsidRDefault="00EC0924" w14:paraId="52FF3A24" w14:textId="57980ED5">
      <w:pPr>
        <w:pStyle w:val="Normalutanindragellerluft"/>
        <w:spacing w:before="150"/>
      </w:pPr>
      <w:r w:rsidRPr="006B7451">
        <w:t>Förslaget beräknas minska skatteintäkterna i statens budget med 3,45 miljarder kronor 2022.</w:t>
      </w:r>
    </w:p>
    <w:p w:rsidRPr="006B7451" w:rsidR="009959DB" w:rsidP="00ED5D60" w:rsidRDefault="009959DB" w14:paraId="262E00B2" w14:textId="1EE9B236">
      <w:pPr>
        <w:pStyle w:val="Rubrik2numrerat"/>
      </w:pPr>
      <w:bookmarkStart w:name="_Toc121752539" w:id="29"/>
      <w:r w:rsidRPr="006B7451">
        <w:t>Indirekta effekter och minskade utgifter</w:t>
      </w:r>
      <w:bookmarkEnd w:id="29"/>
    </w:p>
    <w:p w:rsidRPr="006B7451" w:rsidR="009959DB" w:rsidP="00704AFA" w:rsidRDefault="009959DB" w14:paraId="4DDD866D" w14:textId="580A2ABA">
      <w:pPr>
        <w:pStyle w:val="Normalutanindragellerluft"/>
      </w:pPr>
      <w:r w:rsidRPr="006B7451">
        <w:t xml:space="preserve">Diskussionen handlar i hög utsträckning om att på olika sätt överföra medel från staten till kommuner och regioner. Detta är helt motiverat, givet att Sverige har relativt goda statsfinanser medan behoven i kommuner och regioner är betydande. Det är samtidigt minst lika viktigt att se över utgifterna. Svensk politik har en olycklig tradition som i korthet går ut på att omfattande offentliga åtaganden uppstår genom beslut på riksnivå, som sedan måste hanteras och finansieras av kommuner och regioner. Sverige behöver </w:t>
      </w:r>
      <w:r w:rsidRPr="006B7451" w:rsidR="00D3258C">
        <w:t xml:space="preserve">framöver </w:t>
      </w:r>
      <w:r w:rsidRPr="006B7451">
        <w:t xml:space="preserve">en bred och </w:t>
      </w:r>
      <w:r w:rsidRPr="006B7451" w:rsidR="00D3258C">
        <w:t xml:space="preserve">djupgående </w:t>
      </w:r>
      <w:r w:rsidRPr="006B7451">
        <w:t xml:space="preserve">diskussion </w:t>
      </w:r>
      <w:r w:rsidRPr="006B7451" w:rsidR="00D3258C">
        <w:t xml:space="preserve">om </w:t>
      </w:r>
      <w:r w:rsidRPr="006B7451">
        <w:t>vad som är och vad som inte är ett offentligt ansvar</w:t>
      </w:r>
      <w:r w:rsidRPr="006B7451" w:rsidR="00D3258C">
        <w:t xml:space="preserve"> samt rollfördelningen mellan stat, regioner och kommuner</w:t>
      </w:r>
      <w:r w:rsidRPr="006B7451">
        <w:t xml:space="preserve">. </w:t>
      </w:r>
      <w:r w:rsidR="00780C89">
        <w:t>Ett s</w:t>
      </w:r>
      <w:r w:rsidRPr="006B7451">
        <w:t>lopat krav på modersmålsundervisning (undantaget de nationella minoritetsspråken) skulle exempelvis innebära en besparing på 1,9 miljarder kronor per år. Att slopa det tredje året på praktiska gymnasier innebär, då reformen slagit igenom (vilket blir fallet först 202</w:t>
      </w:r>
      <w:r w:rsidRPr="006B7451" w:rsidR="00392318">
        <w:t>5</w:t>
      </w:r>
      <w:r w:rsidRPr="006B7451">
        <w:t xml:space="preserve"> om reformen genomförs </w:t>
      </w:r>
      <w:r w:rsidRPr="006B7451" w:rsidR="00392318">
        <w:t>år 2022</w:t>
      </w:r>
      <w:r w:rsidRPr="006B7451">
        <w:t>)</w:t>
      </w:r>
      <w:r w:rsidRPr="006B7451" w:rsidR="00D3258C">
        <w:t>,</w:t>
      </w:r>
      <w:r w:rsidRPr="006B7451">
        <w:t xml:space="preserve"> en besparing på 4,4 miljarder kronor per år.</w:t>
      </w:r>
    </w:p>
    <w:p w:rsidRPr="006B7451" w:rsidR="009959DB" w:rsidP="00ED5D60" w:rsidRDefault="009959DB" w14:paraId="467AF4AA" w14:textId="77777777">
      <w:pPr>
        <w:pStyle w:val="Rubrik2numrerat"/>
      </w:pPr>
      <w:bookmarkStart w:name="_Toc121752540" w:id="30"/>
      <w:r w:rsidRPr="006B7451">
        <w:lastRenderedPageBreak/>
        <w:t>Sammantagen varaktig förstärkning av kommunsektorn</w:t>
      </w:r>
      <w:bookmarkEnd w:id="30"/>
    </w:p>
    <w:p w:rsidRPr="006B7451" w:rsidR="009959DB" w:rsidP="00704AFA" w:rsidRDefault="009959DB" w14:paraId="7608FB44" w14:textId="31C3B412">
      <w:pPr>
        <w:pStyle w:val="Normalutanindragellerluft"/>
      </w:pPr>
      <w:r w:rsidRPr="006B7451">
        <w:t xml:space="preserve">Sammantaget innebär Sverigedemokraternas inriktning för den ekonomiska politiken att kommunsektorns finanser förstärks kraftigt, genom </w:t>
      </w:r>
      <w:r w:rsidRPr="006B7451" w:rsidR="007237C4">
        <w:t xml:space="preserve">både </w:t>
      </w:r>
      <w:r w:rsidRPr="006B7451">
        <w:t xml:space="preserve">ökade intäkter och minskade utgifter. Därutöver har Sverigedemokraterna ett antal förslag som innebär ökade riktade statsbidrag, men då dessa är öronmärkta för åtgärden förstärker de inte kommunsektorns disponibla resurser och ingår därför inte </w:t>
      </w:r>
      <w:r w:rsidR="00EF2194">
        <w:t xml:space="preserve">i </w:t>
      </w:r>
      <w:r w:rsidRPr="006B7451">
        <w:t>nedanstående sammanställning.</w:t>
      </w:r>
    </w:p>
    <w:p w:rsidRPr="00674180" w:rsidR="00807380" w:rsidP="00DB34EA" w:rsidRDefault="00807380" w14:paraId="7272E1B4" w14:textId="1D4594FD">
      <w:pPr>
        <w:pStyle w:val="Tabellrubrik"/>
        <w:keepNext/>
      </w:pPr>
      <w:r w:rsidRPr="00674180">
        <w:t xml:space="preserve">Tabell </w:t>
      </w:r>
      <w:r w:rsidR="00674180">
        <w:t>9</w:t>
      </w:r>
      <w:r w:rsidRPr="00674180">
        <w:t xml:space="preserve"> Åtgärder som förstärker kommunsektorn</w:t>
      </w:r>
      <w:r w:rsidRPr="00674180" w:rsidR="00773CFF">
        <w:t>s finanser</w:t>
      </w:r>
      <w:r w:rsidRPr="00674180">
        <w:t>, miljarder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4252"/>
        <w:gridCol w:w="4253"/>
      </w:tblGrid>
      <w:tr w:rsidRPr="006B7451" w:rsidR="006D3E7C" w:rsidTr="00275FBA" w14:paraId="2ACA6BD6" w14:textId="77777777">
        <w:trPr>
          <w:cantSplit/>
        </w:trPr>
        <w:tc>
          <w:tcPr>
            <w:tcW w:w="4252" w:type="dxa"/>
            <w:tcBorders>
              <w:top w:val="single" w:color="auto" w:sz="4" w:space="0"/>
              <w:bottom w:val="single" w:color="auto" w:sz="4" w:space="0"/>
            </w:tcBorders>
          </w:tcPr>
          <w:p w:rsidRPr="006B7451" w:rsidR="006D3E7C" w:rsidP="00275FBA" w:rsidRDefault="006D3E7C" w14:paraId="5492C652" w14:textId="77777777">
            <w:pPr>
              <w:spacing w:before="80" w:line="240" w:lineRule="exact"/>
              <w:ind w:firstLine="0"/>
              <w:rPr>
                <w:sz w:val="20"/>
                <w:szCs w:val="20"/>
              </w:rPr>
            </w:pPr>
          </w:p>
        </w:tc>
        <w:tc>
          <w:tcPr>
            <w:tcW w:w="4253" w:type="dxa"/>
            <w:tcBorders>
              <w:top w:val="single" w:color="auto" w:sz="4" w:space="0"/>
              <w:bottom w:val="single" w:color="auto" w:sz="4" w:space="0"/>
            </w:tcBorders>
          </w:tcPr>
          <w:p w:rsidRPr="006B7451" w:rsidR="006D3E7C" w:rsidP="00275FBA" w:rsidRDefault="00807380" w14:paraId="1DCF0A4A" w14:textId="0D83774E">
            <w:pPr>
              <w:spacing w:before="80" w:line="240" w:lineRule="exact"/>
              <w:ind w:firstLine="0"/>
              <w:jc w:val="right"/>
              <w:rPr>
                <w:b/>
                <w:sz w:val="20"/>
                <w:szCs w:val="20"/>
              </w:rPr>
            </w:pPr>
            <w:r w:rsidRPr="006B7451">
              <w:rPr>
                <w:b/>
                <w:sz w:val="20"/>
                <w:szCs w:val="20"/>
              </w:rPr>
              <w:t>Varaktig effekt för kommunsektorn</w:t>
            </w:r>
          </w:p>
        </w:tc>
      </w:tr>
      <w:tr w:rsidRPr="006B7451" w:rsidR="00807380" w:rsidTr="00275FBA" w14:paraId="65607713" w14:textId="77777777">
        <w:trPr>
          <w:cantSplit/>
        </w:trPr>
        <w:tc>
          <w:tcPr>
            <w:tcW w:w="4252" w:type="dxa"/>
            <w:tcBorders>
              <w:top w:val="single" w:color="auto" w:sz="4" w:space="0"/>
            </w:tcBorders>
          </w:tcPr>
          <w:p w:rsidRPr="006B7451" w:rsidR="00807380" w:rsidP="00275FBA" w:rsidRDefault="00807380" w14:paraId="42513516" w14:textId="1C4754C2">
            <w:pPr>
              <w:spacing w:before="80" w:line="240" w:lineRule="exact"/>
              <w:ind w:firstLine="0"/>
              <w:rPr>
                <w:sz w:val="20"/>
                <w:szCs w:val="20"/>
              </w:rPr>
            </w:pPr>
            <w:r w:rsidRPr="006B7451">
              <w:rPr>
                <w:sz w:val="20"/>
                <w:szCs w:val="20"/>
              </w:rPr>
              <w:t>Höjda avsättningar till pensionssystemet</w:t>
            </w:r>
          </w:p>
        </w:tc>
        <w:tc>
          <w:tcPr>
            <w:tcW w:w="4253" w:type="dxa"/>
            <w:tcBorders>
              <w:top w:val="single" w:color="auto" w:sz="4" w:space="0"/>
            </w:tcBorders>
          </w:tcPr>
          <w:p w:rsidRPr="006B7451" w:rsidR="00807380" w:rsidP="00275FBA" w:rsidRDefault="00807380" w14:paraId="406E5FDD" w14:textId="778B65E6">
            <w:pPr>
              <w:spacing w:before="80" w:line="240" w:lineRule="exact"/>
              <w:ind w:firstLine="0"/>
              <w:jc w:val="right"/>
              <w:rPr>
                <w:sz w:val="20"/>
                <w:szCs w:val="20"/>
              </w:rPr>
            </w:pPr>
            <w:r w:rsidRPr="006B7451">
              <w:rPr>
                <w:sz w:val="20"/>
                <w:szCs w:val="20"/>
              </w:rPr>
              <w:t>7,90</w:t>
            </w:r>
          </w:p>
        </w:tc>
      </w:tr>
      <w:tr w:rsidRPr="006B7451" w:rsidR="00807380" w:rsidTr="00275FBA" w14:paraId="598707FA" w14:textId="77777777">
        <w:trPr>
          <w:cantSplit/>
        </w:trPr>
        <w:tc>
          <w:tcPr>
            <w:tcW w:w="4252" w:type="dxa"/>
          </w:tcPr>
          <w:p w:rsidRPr="006B7451" w:rsidR="00807380" w:rsidP="00275FBA" w:rsidRDefault="00807380" w14:paraId="3297B800" w14:textId="412CF432">
            <w:pPr>
              <w:spacing w:before="80" w:line="240" w:lineRule="exact"/>
              <w:ind w:firstLine="0"/>
              <w:rPr>
                <w:sz w:val="20"/>
                <w:szCs w:val="20"/>
              </w:rPr>
            </w:pPr>
            <w:r w:rsidRPr="006B7451">
              <w:rPr>
                <w:sz w:val="20"/>
                <w:szCs w:val="20"/>
              </w:rPr>
              <w:t>Regionalisering av fastighetsskatt</w:t>
            </w:r>
          </w:p>
        </w:tc>
        <w:tc>
          <w:tcPr>
            <w:tcW w:w="4253" w:type="dxa"/>
          </w:tcPr>
          <w:p w:rsidRPr="006B7451" w:rsidR="00807380" w:rsidP="00275FBA" w:rsidRDefault="00807380" w14:paraId="017AA7E1" w14:textId="445DC718">
            <w:pPr>
              <w:spacing w:before="80" w:line="240" w:lineRule="exact"/>
              <w:ind w:firstLine="0"/>
              <w:jc w:val="right"/>
              <w:rPr>
                <w:sz w:val="20"/>
                <w:szCs w:val="20"/>
              </w:rPr>
            </w:pPr>
            <w:r w:rsidRPr="006B7451">
              <w:rPr>
                <w:sz w:val="20"/>
                <w:szCs w:val="20"/>
              </w:rPr>
              <w:t>3,45</w:t>
            </w:r>
          </w:p>
        </w:tc>
      </w:tr>
      <w:tr w:rsidRPr="006B7451" w:rsidR="00807380" w:rsidTr="00275FBA" w14:paraId="1194E85D" w14:textId="77777777">
        <w:trPr>
          <w:cantSplit/>
        </w:trPr>
        <w:tc>
          <w:tcPr>
            <w:tcW w:w="4252" w:type="dxa"/>
          </w:tcPr>
          <w:p w:rsidRPr="006B7451" w:rsidR="00807380" w:rsidP="00275FBA" w:rsidRDefault="00807380" w14:paraId="2C49E63A" w14:textId="3E5DB1A6">
            <w:pPr>
              <w:spacing w:before="80" w:line="240" w:lineRule="exact"/>
              <w:ind w:firstLine="0"/>
              <w:rPr>
                <w:sz w:val="20"/>
                <w:szCs w:val="20"/>
              </w:rPr>
            </w:pPr>
            <w:r w:rsidRPr="006B7451">
              <w:rPr>
                <w:sz w:val="20"/>
                <w:szCs w:val="20"/>
              </w:rPr>
              <w:t>Ökade tillskott i utjämningssystemet</w:t>
            </w:r>
          </w:p>
        </w:tc>
        <w:tc>
          <w:tcPr>
            <w:tcW w:w="4253" w:type="dxa"/>
          </w:tcPr>
          <w:p w:rsidRPr="006B7451" w:rsidR="00807380" w:rsidP="00275FBA" w:rsidRDefault="00807380" w14:paraId="2A120D4C" w14:textId="64180154">
            <w:pPr>
              <w:spacing w:before="80" w:line="240" w:lineRule="exact"/>
              <w:ind w:firstLine="0"/>
              <w:jc w:val="right"/>
              <w:rPr>
                <w:sz w:val="20"/>
                <w:szCs w:val="20"/>
              </w:rPr>
            </w:pPr>
            <w:r w:rsidRPr="006B7451">
              <w:rPr>
                <w:sz w:val="20"/>
                <w:szCs w:val="20"/>
              </w:rPr>
              <w:t>3,00</w:t>
            </w:r>
          </w:p>
        </w:tc>
      </w:tr>
      <w:tr w:rsidRPr="006B7451" w:rsidR="00807380" w:rsidTr="00275FBA" w14:paraId="361E6C70" w14:textId="77777777">
        <w:trPr>
          <w:cantSplit/>
        </w:trPr>
        <w:tc>
          <w:tcPr>
            <w:tcW w:w="4252" w:type="dxa"/>
          </w:tcPr>
          <w:p w:rsidRPr="006B7451" w:rsidR="00807380" w:rsidP="00275FBA" w:rsidRDefault="00807380" w14:paraId="5BDB9E36" w14:textId="3B37FD0E">
            <w:pPr>
              <w:spacing w:before="80" w:line="240" w:lineRule="exact"/>
              <w:ind w:firstLine="0"/>
              <w:rPr>
                <w:sz w:val="20"/>
                <w:szCs w:val="20"/>
              </w:rPr>
            </w:pPr>
            <w:r w:rsidRPr="006B7451">
              <w:rPr>
                <w:sz w:val="20"/>
                <w:szCs w:val="20"/>
              </w:rPr>
              <w:t xml:space="preserve">Höjt tak i </w:t>
            </w:r>
            <w:r w:rsidR="00A96B24">
              <w:rPr>
                <w:sz w:val="20"/>
                <w:szCs w:val="20"/>
              </w:rPr>
              <w:t>a</w:t>
            </w:r>
            <w:r w:rsidRPr="006B7451">
              <w:rPr>
                <w:sz w:val="20"/>
                <w:szCs w:val="20"/>
              </w:rPr>
              <w:t>-kassan</w:t>
            </w:r>
          </w:p>
        </w:tc>
        <w:tc>
          <w:tcPr>
            <w:tcW w:w="4253" w:type="dxa"/>
          </w:tcPr>
          <w:p w:rsidRPr="006B7451" w:rsidR="00807380" w:rsidP="00275FBA" w:rsidRDefault="00807380" w14:paraId="13516F10" w14:textId="742C9C6F">
            <w:pPr>
              <w:spacing w:before="80" w:line="240" w:lineRule="exact"/>
              <w:ind w:firstLine="0"/>
              <w:jc w:val="right"/>
              <w:rPr>
                <w:sz w:val="20"/>
                <w:szCs w:val="20"/>
              </w:rPr>
            </w:pPr>
            <w:r w:rsidRPr="006B7451">
              <w:rPr>
                <w:sz w:val="20"/>
                <w:szCs w:val="20"/>
              </w:rPr>
              <w:t>1,20</w:t>
            </w:r>
          </w:p>
        </w:tc>
      </w:tr>
      <w:tr w:rsidRPr="006B7451" w:rsidR="00807380" w:rsidTr="00275FBA" w14:paraId="6DEF51BB" w14:textId="77777777">
        <w:trPr>
          <w:cantSplit/>
        </w:trPr>
        <w:tc>
          <w:tcPr>
            <w:tcW w:w="4252" w:type="dxa"/>
          </w:tcPr>
          <w:p w:rsidRPr="006B7451" w:rsidR="00807380" w:rsidP="00275FBA" w:rsidRDefault="00807380" w14:paraId="623350C4" w14:textId="0E1D9DCE">
            <w:pPr>
              <w:spacing w:before="80" w:line="240" w:lineRule="exact"/>
              <w:ind w:firstLine="0"/>
              <w:rPr>
                <w:sz w:val="20"/>
                <w:szCs w:val="20"/>
              </w:rPr>
            </w:pPr>
            <w:r w:rsidRPr="006B7451">
              <w:rPr>
                <w:sz w:val="20"/>
                <w:szCs w:val="20"/>
              </w:rPr>
              <w:t>Höjd garantipension</w:t>
            </w:r>
          </w:p>
        </w:tc>
        <w:tc>
          <w:tcPr>
            <w:tcW w:w="4253" w:type="dxa"/>
          </w:tcPr>
          <w:p w:rsidRPr="006B7451" w:rsidR="00807380" w:rsidP="00275FBA" w:rsidRDefault="0042011C" w14:paraId="65AE61EB" w14:textId="4F4677A5">
            <w:pPr>
              <w:spacing w:before="80" w:line="240" w:lineRule="exact"/>
              <w:ind w:firstLine="0"/>
              <w:jc w:val="right"/>
              <w:rPr>
                <w:sz w:val="20"/>
                <w:szCs w:val="20"/>
              </w:rPr>
            </w:pPr>
            <w:r w:rsidRPr="006B7451">
              <w:rPr>
                <w:sz w:val="20"/>
                <w:szCs w:val="20"/>
              </w:rPr>
              <w:t>0</w:t>
            </w:r>
            <w:r w:rsidRPr="006B7451" w:rsidR="00807380">
              <w:rPr>
                <w:sz w:val="20"/>
                <w:szCs w:val="20"/>
              </w:rPr>
              <w:t>,</w:t>
            </w:r>
            <w:r w:rsidRPr="006B7451">
              <w:rPr>
                <w:sz w:val="20"/>
                <w:szCs w:val="20"/>
              </w:rPr>
              <w:t>55</w:t>
            </w:r>
          </w:p>
        </w:tc>
      </w:tr>
      <w:tr w:rsidRPr="006B7451" w:rsidR="00807380" w:rsidTr="00275FBA" w14:paraId="68F5C973" w14:textId="77777777">
        <w:trPr>
          <w:cantSplit/>
        </w:trPr>
        <w:tc>
          <w:tcPr>
            <w:tcW w:w="4252" w:type="dxa"/>
          </w:tcPr>
          <w:p w:rsidRPr="006B7451" w:rsidR="00807380" w:rsidP="00275FBA" w:rsidRDefault="00807380" w14:paraId="4832E44C" w14:textId="050D1613">
            <w:pPr>
              <w:spacing w:before="80" w:line="240" w:lineRule="exact"/>
              <w:ind w:firstLine="0"/>
              <w:rPr>
                <w:sz w:val="20"/>
                <w:szCs w:val="20"/>
              </w:rPr>
            </w:pPr>
            <w:r w:rsidRPr="006B7451">
              <w:rPr>
                <w:sz w:val="20"/>
                <w:szCs w:val="20"/>
              </w:rPr>
              <w:t>Tvååriga yrkesprogram i gymnasieskolan</w:t>
            </w:r>
          </w:p>
        </w:tc>
        <w:tc>
          <w:tcPr>
            <w:tcW w:w="4253" w:type="dxa"/>
          </w:tcPr>
          <w:p w:rsidRPr="006B7451" w:rsidR="00807380" w:rsidP="00275FBA" w:rsidRDefault="00807380" w14:paraId="636D08C1" w14:textId="6AD21DE9">
            <w:pPr>
              <w:spacing w:before="80" w:line="240" w:lineRule="exact"/>
              <w:ind w:firstLine="0"/>
              <w:jc w:val="right"/>
              <w:rPr>
                <w:sz w:val="20"/>
                <w:szCs w:val="20"/>
              </w:rPr>
            </w:pPr>
            <w:r w:rsidRPr="006B7451">
              <w:rPr>
                <w:sz w:val="20"/>
                <w:szCs w:val="20"/>
              </w:rPr>
              <w:t>4,50</w:t>
            </w:r>
          </w:p>
        </w:tc>
      </w:tr>
      <w:tr w:rsidRPr="006B7451" w:rsidR="00807380" w:rsidTr="00275FBA" w14:paraId="7ED2E76E" w14:textId="77777777">
        <w:trPr>
          <w:cantSplit/>
        </w:trPr>
        <w:tc>
          <w:tcPr>
            <w:tcW w:w="4252" w:type="dxa"/>
          </w:tcPr>
          <w:p w:rsidRPr="006B7451" w:rsidR="00807380" w:rsidP="00275FBA" w:rsidRDefault="00807380" w14:paraId="43D6EB11" w14:textId="44FF3850">
            <w:pPr>
              <w:spacing w:before="80" w:line="240" w:lineRule="exact"/>
              <w:ind w:firstLine="0"/>
              <w:rPr>
                <w:sz w:val="20"/>
                <w:szCs w:val="20"/>
              </w:rPr>
            </w:pPr>
            <w:r w:rsidRPr="006B7451">
              <w:rPr>
                <w:sz w:val="20"/>
                <w:szCs w:val="20"/>
              </w:rPr>
              <w:t>Slopat lagkrav på modersmålsundervisning</w:t>
            </w:r>
          </w:p>
        </w:tc>
        <w:tc>
          <w:tcPr>
            <w:tcW w:w="4253" w:type="dxa"/>
          </w:tcPr>
          <w:p w:rsidRPr="006B7451" w:rsidR="00807380" w:rsidP="00275FBA" w:rsidRDefault="00807380" w14:paraId="2704D101" w14:textId="0E2037E5">
            <w:pPr>
              <w:spacing w:before="80" w:line="240" w:lineRule="exact"/>
              <w:ind w:firstLine="0"/>
              <w:jc w:val="right"/>
              <w:rPr>
                <w:sz w:val="20"/>
                <w:szCs w:val="20"/>
              </w:rPr>
            </w:pPr>
            <w:r w:rsidRPr="006B7451">
              <w:rPr>
                <w:sz w:val="20"/>
                <w:szCs w:val="20"/>
              </w:rPr>
              <w:t>1,90</w:t>
            </w:r>
          </w:p>
        </w:tc>
      </w:tr>
      <w:tr w:rsidRPr="006B7451" w:rsidR="00807380" w:rsidTr="00275FBA" w14:paraId="47113D8B" w14:textId="77777777">
        <w:trPr>
          <w:cantSplit/>
        </w:trPr>
        <w:tc>
          <w:tcPr>
            <w:tcW w:w="4252" w:type="dxa"/>
          </w:tcPr>
          <w:p w:rsidRPr="006B7451" w:rsidR="00807380" w:rsidP="00275FBA" w:rsidRDefault="00807380" w14:paraId="5DA3CC4F" w14:textId="59892A52">
            <w:pPr>
              <w:spacing w:before="80" w:line="240" w:lineRule="exact"/>
              <w:ind w:firstLine="0"/>
              <w:rPr>
                <w:sz w:val="20"/>
                <w:szCs w:val="20"/>
              </w:rPr>
            </w:pPr>
            <w:r w:rsidRPr="006B7451">
              <w:rPr>
                <w:sz w:val="20"/>
                <w:szCs w:val="20"/>
              </w:rPr>
              <w:t>Övriga reformer</w:t>
            </w:r>
          </w:p>
        </w:tc>
        <w:tc>
          <w:tcPr>
            <w:tcW w:w="4253" w:type="dxa"/>
          </w:tcPr>
          <w:p w:rsidRPr="006B7451" w:rsidR="00807380" w:rsidP="00275FBA" w:rsidRDefault="00A96B24" w14:paraId="6FE1DE12" w14:textId="4ED38BA3">
            <w:pPr>
              <w:spacing w:before="80" w:line="240" w:lineRule="exact"/>
              <w:ind w:firstLine="0"/>
              <w:jc w:val="right"/>
              <w:rPr>
                <w:sz w:val="20"/>
                <w:szCs w:val="20"/>
              </w:rPr>
            </w:pPr>
            <w:r>
              <w:rPr>
                <w:sz w:val="20"/>
                <w:szCs w:val="20"/>
              </w:rPr>
              <w:t>–</w:t>
            </w:r>
            <w:r w:rsidRPr="006B7451" w:rsidR="0042011C">
              <w:rPr>
                <w:sz w:val="20"/>
                <w:szCs w:val="20"/>
              </w:rPr>
              <w:t>2,6</w:t>
            </w:r>
          </w:p>
        </w:tc>
      </w:tr>
      <w:tr w:rsidRPr="006B7451" w:rsidR="00807380" w:rsidTr="00275FBA" w14:paraId="5D633BC8" w14:textId="77777777">
        <w:trPr>
          <w:cantSplit/>
        </w:trPr>
        <w:tc>
          <w:tcPr>
            <w:tcW w:w="4252" w:type="dxa"/>
            <w:tcBorders>
              <w:bottom w:val="single" w:color="auto" w:sz="4" w:space="0"/>
            </w:tcBorders>
          </w:tcPr>
          <w:p w:rsidRPr="006B7451" w:rsidR="00807380" w:rsidP="00275FBA" w:rsidRDefault="00807380" w14:paraId="383E2BDA" w14:textId="4AB6CD9A">
            <w:pPr>
              <w:spacing w:before="80" w:line="240" w:lineRule="exact"/>
              <w:ind w:firstLine="0"/>
              <w:rPr>
                <w:b/>
                <w:sz w:val="20"/>
                <w:szCs w:val="20"/>
              </w:rPr>
            </w:pPr>
            <w:r w:rsidRPr="006B7451">
              <w:rPr>
                <w:b/>
                <w:sz w:val="20"/>
                <w:szCs w:val="20"/>
              </w:rPr>
              <w:t>Total förstärkning</w:t>
            </w:r>
          </w:p>
        </w:tc>
        <w:tc>
          <w:tcPr>
            <w:tcW w:w="4253" w:type="dxa"/>
            <w:tcBorders>
              <w:bottom w:val="single" w:color="auto" w:sz="4" w:space="0"/>
            </w:tcBorders>
          </w:tcPr>
          <w:p w:rsidRPr="006B7451" w:rsidR="00807380" w:rsidP="00275FBA" w:rsidRDefault="0042011C" w14:paraId="44251353" w14:textId="51EE4316">
            <w:pPr>
              <w:spacing w:before="80" w:line="240" w:lineRule="exact"/>
              <w:ind w:firstLine="0"/>
              <w:jc w:val="right"/>
              <w:rPr>
                <w:b/>
                <w:sz w:val="20"/>
                <w:szCs w:val="20"/>
              </w:rPr>
            </w:pPr>
            <w:r w:rsidRPr="006B7451">
              <w:rPr>
                <w:b/>
                <w:sz w:val="20"/>
                <w:szCs w:val="20"/>
              </w:rPr>
              <w:t>19</w:t>
            </w:r>
            <w:r w:rsidRPr="006B7451" w:rsidR="00807380">
              <w:rPr>
                <w:b/>
                <w:sz w:val="20"/>
                <w:szCs w:val="20"/>
              </w:rPr>
              <w:t>,</w:t>
            </w:r>
            <w:r w:rsidRPr="006B7451">
              <w:rPr>
                <w:b/>
                <w:sz w:val="20"/>
                <w:szCs w:val="20"/>
              </w:rPr>
              <w:t>9</w:t>
            </w:r>
          </w:p>
        </w:tc>
      </w:tr>
    </w:tbl>
    <w:p w:rsidRPr="006B7451" w:rsidR="0039603E" w:rsidP="00ED5D60" w:rsidRDefault="0039603E" w14:paraId="07E6FEA3" w14:textId="29ECE104">
      <w:pPr>
        <w:pStyle w:val="Rubrik1numrerat"/>
      </w:pPr>
      <w:bookmarkStart w:name="_Toc121752541" w:id="31"/>
      <w:r w:rsidRPr="006B7451">
        <w:t>Vård och omsorg</w:t>
      </w:r>
      <w:bookmarkEnd w:id="31"/>
    </w:p>
    <w:p w:rsidRPr="006B7451" w:rsidR="0039603E" w:rsidP="0039603E" w:rsidRDefault="0039603E" w14:paraId="43C3686A" w14:textId="2E82C458">
      <w:pPr>
        <w:ind w:firstLine="0"/>
      </w:pPr>
      <w:r w:rsidRPr="006B7451">
        <w:t>Svensk vård håller hög internationell standard vad gäller medicinska resultat, men det finns enorma problem vad gäller vårdens kapacitet och tillgänglighet. Sverige hamnar numera långt ner i internationella jämförelser över antal vårdplatser per invånare och har enligt aktuella siffror lägst antal vårdplatser per 1</w:t>
      </w:r>
      <w:r w:rsidR="004D33F1">
        <w:t> </w:t>
      </w:r>
      <w:r w:rsidRPr="006B7451">
        <w:t>000 invånare i hela EU. För vårdpersonalen är detta i sig ett arbetsmiljöproblem.</w:t>
      </w:r>
    </w:p>
    <w:p w:rsidRPr="00A96B24" w:rsidR="004C663C" w:rsidP="00DB34EA" w:rsidRDefault="004C663C" w14:paraId="3A898300" w14:textId="097E491A">
      <w:pPr>
        <w:pStyle w:val="Tabellrubrik"/>
        <w:keepNext/>
      </w:pPr>
      <w:r w:rsidRPr="00A96B24">
        <w:lastRenderedPageBreak/>
        <w:t xml:space="preserve">Figur </w:t>
      </w:r>
      <w:r w:rsidR="00A96B24">
        <w:t>8</w:t>
      </w:r>
      <w:r w:rsidRPr="00A96B24">
        <w:t xml:space="preserve"> – Vårdplatser per 1</w:t>
      </w:r>
      <w:r w:rsidRPr="00A96B24" w:rsidR="00A96B24">
        <w:t xml:space="preserve"> </w:t>
      </w:r>
      <w:r w:rsidRPr="00A96B24">
        <w:t>000 invånare, 2018</w:t>
      </w:r>
    </w:p>
    <w:p w:rsidRPr="006B7451" w:rsidR="004C663C" w:rsidP="004C663C" w:rsidRDefault="004C663C" w14:paraId="48735E55" w14:textId="77777777">
      <w:pPr>
        <w:ind w:firstLine="0"/>
      </w:pPr>
      <w:r w:rsidRPr="006B7451">
        <w:rPr>
          <w:noProof/>
          <w14:numSpacing w14:val="default"/>
        </w:rPr>
        <w:drawing>
          <wp:inline distT="0" distB="0" distL="0" distR="0" wp14:anchorId="12197D1A" wp14:editId="52DE0E63">
            <wp:extent cx="5400000" cy="5629275"/>
            <wp:effectExtent l="0" t="0" r="0" b="0"/>
            <wp:docPr id="7" name="Diagram 7" descr="">
              <a:extLst xmlns:a="http://schemas.openxmlformats.org/drawingml/2006/main">
                <a:ext uri="{FF2B5EF4-FFF2-40B4-BE49-F238E27FC236}">
                  <a16:creationId xmlns:a16="http://schemas.microsoft.com/office/drawing/2014/main" id="{2E31151B-B453-4DDB-AAA3-C08081988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F17DAE" w:rsidR="004C663C" w:rsidP="00F17DAE" w:rsidRDefault="004C663C" w14:paraId="0CF6B9B9" w14:textId="77777777">
      <w:pPr>
        <w:pStyle w:val="Klla"/>
      </w:pPr>
      <w:r w:rsidRPr="00F17DAE">
        <w:t xml:space="preserve">Källa: OECD Health </w:t>
      </w:r>
      <w:proofErr w:type="spellStart"/>
      <w:r w:rsidRPr="00F17DAE">
        <w:t>Statistics</w:t>
      </w:r>
      <w:proofErr w:type="spellEnd"/>
      <w:r w:rsidRPr="00F17DAE">
        <w:t xml:space="preserve"> 2020, Eurostat </w:t>
      </w:r>
      <w:proofErr w:type="spellStart"/>
      <w:r w:rsidRPr="00F17DAE">
        <w:t>Database</w:t>
      </w:r>
      <w:proofErr w:type="spellEnd"/>
      <w:r w:rsidRPr="00F17DAE">
        <w:t>.</w:t>
      </w:r>
    </w:p>
    <w:p w:rsidRPr="006B7451" w:rsidR="0039603E" w:rsidP="00F17DAE" w:rsidRDefault="0039603E" w14:paraId="703FB5B0" w14:textId="77777777">
      <w:pPr>
        <w:pStyle w:val="Normalutanindragellerluft"/>
        <w:spacing w:before="150"/>
      </w:pPr>
      <w:r w:rsidRPr="006B7451">
        <w:t>Därutöver har Sverige, delvis till följd av coronapandemin, byggt upp en kraftig vårdskuld, där hundratusentals svenskar väntar på operation. Siffran präglas av stor osäkerhet då exempelvis de som avstått från att söka vård inte finns med i statistiken. Arbetsbelastningen har därutöver varit hög och personalbehovet kommer att vara stort även framgent.</w:t>
      </w:r>
    </w:p>
    <w:p w:rsidRPr="006B7451" w:rsidR="003A70AD" w:rsidP="0039603E" w:rsidRDefault="003A70AD" w14:paraId="572A05B7" w14:textId="77777777">
      <w:r w:rsidRPr="006B7451">
        <w:t>Vårdgarantin är en lagstadgad rättighet som innebär att du ska få vård inom en viss tid. Vårdgarantin anger inom vilka tidsgränser olika vårdinsatser ska erbjudas, efter att beslut om vård har fattats:</w:t>
      </w:r>
    </w:p>
    <w:p w:rsidRPr="006B7451" w:rsidR="003A70AD" w:rsidP="00077488" w:rsidRDefault="00075AAA" w14:paraId="022A232A" w14:textId="6F353C1B">
      <w:pPr>
        <w:pStyle w:val="ListaPunkt"/>
      </w:pPr>
      <w:r>
        <w:t>k</w:t>
      </w:r>
      <w:r w:rsidRPr="006B7451" w:rsidR="003A70AD">
        <w:t>ontakt med primärvården samma dag</w:t>
      </w:r>
    </w:p>
    <w:p w:rsidRPr="006B7451" w:rsidR="003A70AD" w:rsidP="00077488" w:rsidRDefault="00075AAA" w14:paraId="2593A208" w14:textId="5A133D5A">
      <w:pPr>
        <w:pStyle w:val="ListaPunkt"/>
      </w:pPr>
      <w:r>
        <w:t>m</w:t>
      </w:r>
      <w:r w:rsidRPr="006B7451" w:rsidR="003A70AD">
        <w:t>edicinsk bedömning i primärvården inom tre dagar</w:t>
      </w:r>
    </w:p>
    <w:p w:rsidRPr="006B7451" w:rsidR="003A70AD" w:rsidP="00077488" w:rsidRDefault="00075AAA" w14:paraId="2BBBC0FC" w14:textId="500CF4BD">
      <w:pPr>
        <w:pStyle w:val="ListaPunkt"/>
      </w:pPr>
      <w:r>
        <w:t>b</w:t>
      </w:r>
      <w:r w:rsidRPr="006B7451" w:rsidR="003A70AD">
        <w:t>esök inom den planerade specialiserade vården inom 90 dagar</w:t>
      </w:r>
    </w:p>
    <w:p w:rsidRPr="006B7451" w:rsidR="003A70AD" w:rsidP="00077488" w:rsidRDefault="00075AAA" w14:paraId="5CE7573E" w14:textId="34C3D2D4">
      <w:pPr>
        <w:pStyle w:val="ListaPunkt"/>
      </w:pPr>
      <w:r>
        <w:t>b</w:t>
      </w:r>
      <w:r w:rsidRPr="006B7451" w:rsidR="003A70AD">
        <w:t>ehandling/operation påbörjad inom 90 dagar</w:t>
      </w:r>
      <w:r>
        <w:t>.</w:t>
      </w:r>
    </w:p>
    <w:p w:rsidRPr="00261543" w:rsidR="003A70AD" w:rsidP="00DB34EA" w:rsidRDefault="003A70AD" w14:paraId="60BE0B91" w14:textId="4FEF6791">
      <w:pPr>
        <w:pStyle w:val="Tabellrubrik"/>
        <w:keepNext/>
      </w:pPr>
      <w:r w:rsidRPr="00261543">
        <w:lastRenderedPageBreak/>
        <w:t xml:space="preserve">Figur </w:t>
      </w:r>
      <w:r w:rsidR="00261543">
        <w:t>9</w:t>
      </w:r>
      <w:r w:rsidRPr="00261543">
        <w:t xml:space="preserve"> Vårdgarantins måluppfyllelse, juni 2021, andel i procent</w:t>
      </w:r>
    </w:p>
    <w:p w:rsidRPr="006B7451" w:rsidR="003A70AD" w:rsidP="003A70AD" w:rsidRDefault="003A70AD" w14:paraId="75CEB5E7" w14:textId="77777777">
      <w:pPr>
        <w:ind w:firstLine="0"/>
      </w:pPr>
      <w:r w:rsidRPr="006B7451">
        <w:rPr>
          <w:noProof/>
          <w14:numSpacing w14:val="default"/>
        </w:rPr>
        <w:drawing>
          <wp:inline distT="0" distB="0" distL="0" distR="0" wp14:anchorId="33836759" wp14:editId="353A0DFC">
            <wp:extent cx="5400000" cy="2743200"/>
            <wp:effectExtent l="0" t="0" r="0" b="0"/>
            <wp:docPr id="6" name="Diagram 6" descr="">
              <a:extLst xmlns:a="http://schemas.openxmlformats.org/drawingml/2006/main">
                <a:ext uri="{FF2B5EF4-FFF2-40B4-BE49-F238E27FC236}">
                  <a16:creationId xmlns:a16="http://schemas.microsoft.com/office/drawing/2014/main" id="{24DCD272-508B-4339-AD3D-647E67854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261543" w:rsidR="003A70AD" w:rsidP="00261543" w:rsidRDefault="003A70AD" w14:paraId="16256544" w14:textId="77777777">
      <w:pPr>
        <w:pStyle w:val="Klla"/>
      </w:pPr>
      <w:r w:rsidRPr="00261543">
        <w:t>Källa: SKR.</w:t>
      </w:r>
    </w:p>
    <w:p w:rsidRPr="006B7451" w:rsidR="0039603E" w:rsidP="00261543" w:rsidRDefault="0039603E" w14:paraId="33AAAF68" w14:textId="22D71CBC">
      <w:pPr>
        <w:pStyle w:val="Normalutanindragellerluft"/>
        <w:spacing w:before="150"/>
      </w:pPr>
      <w:r w:rsidRPr="006B7451">
        <w:t xml:space="preserve">Många regioner befinner sig i en ond spiral med uppsägningar och ökande kostnader till följd av </w:t>
      </w:r>
      <w:r w:rsidRPr="006B7451" w:rsidR="008926BA">
        <w:t xml:space="preserve">en </w:t>
      </w:r>
      <w:r w:rsidRPr="006B7451">
        <w:t>ökande andel inhyrd personal. Problematiken bottnar delvis i rent demografiska orsaker och delvis i det faktum att medicinska landvinningar kan innebära större bördor för vårdkedjan. Jämförelser med exempelvis Danmark visar dock att nordiska länder har goda möjligheter att hålla jämna steg med utvecklingen och att svensk vård kan förbättras.</w:t>
      </w:r>
    </w:p>
    <w:p w:rsidRPr="006B7451" w:rsidR="0039603E" w:rsidP="0039603E" w:rsidRDefault="0039603E" w14:paraId="3617EA1F" w14:textId="121A330F">
      <w:r w:rsidRPr="006B7451">
        <w:t>Sverigedemokraternas sjukvårdspolitik genomsyras av ett bevarande av offentlig</w:t>
      </w:r>
      <w:r w:rsidR="008F5945">
        <w:softHyphen/>
      </w:r>
      <w:r w:rsidRPr="006B7451">
        <w:t>finansierad vård av högsta kvalitet, höjda ambitionsnivåer vad gäller tillgänglighet, stärkt statlig finansiering i kombination med ett större övergripande statligt ansvar samt bättre samordning mellan olika regioner. I dagens globaliserade samhälle måste också en seriös diskussion föras kring vem som ska ha tillgång till skattefinansierad vård.</w:t>
      </w:r>
    </w:p>
    <w:p w:rsidRPr="006B7451" w:rsidR="00EC0924" w:rsidP="00EC0924" w:rsidRDefault="0039603E" w14:paraId="1B0D7C7C" w14:textId="3450076A">
      <w:r w:rsidRPr="006B7451">
        <w:t>Skattefinansierad sjukvård har endast legitimitet om den kan leva upp till hälso- och sjukvårdslagens ambitioner. Det innebär att tillgängligheten måste förbättras inom många verksamheter över hela landet. Kortare väntetider skulle bidra till ett stärkt förtroende för vården och skulle öka den offentliga hälso- och sjukvårdens legitimitet.</w:t>
      </w:r>
    </w:p>
    <w:p w:rsidRPr="006B7451" w:rsidR="0039603E" w:rsidP="00ED5D60" w:rsidRDefault="0039603E" w14:paraId="3C4DBC78" w14:textId="77777777">
      <w:pPr>
        <w:pStyle w:val="Rubrik2numrerat"/>
      </w:pPr>
      <w:bookmarkStart w:name="_Toc121752542" w:id="32"/>
      <w:r w:rsidRPr="006B7451">
        <w:t>Minskad vårdskuld</w:t>
      </w:r>
      <w:bookmarkEnd w:id="32"/>
    </w:p>
    <w:p w:rsidR="0039603E" w:rsidP="0002521D" w:rsidRDefault="0039603E" w14:paraId="0D440E68" w14:textId="2F8AC20A">
      <w:pPr>
        <w:pStyle w:val="Normalutanindragellerluft"/>
      </w:pPr>
      <w:r w:rsidRPr="006B7451">
        <w:rPr>
          <w:b/>
        </w:rPr>
        <w:t>Sverigedemokraternas förslag</w:t>
      </w:r>
      <w:r w:rsidRPr="0002521D">
        <w:t>:</w:t>
      </w:r>
      <w:r w:rsidRPr="006B7451">
        <w:t xml:space="preserve"> </w:t>
      </w:r>
      <w:r w:rsidRPr="006B7451" w:rsidR="00E66DDB">
        <w:t>Socialstyrelsen ska tilldelas ett särskilt samordningsansvar för vårdköerna och en nationell väntelista ska införas</w:t>
      </w:r>
      <w:r w:rsidRPr="006B7451">
        <w:t>.</w:t>
      </w:r>
    </w:p>
    <w:p w:rsidRPr="00787D15" w:rsidR="00787D15" w:rsidP="00FA3239" w:rsidRDefault="00787D15" w14:paraId="7942BDE4" w14:textId="041FCC14">
      <w:pPr>
        <w:pStyle w:val="Normalutanindragellerluft"/>
        <w:spacing w:before="150"/>
      </w:pPr>
      <w:r w:rsidRPr="00787D15">
        <w:t>I stort sett samtliga regioner brottades med långa vårdköer och stora ekonomiska underskott redan innan covid-19-pandemin. Hundratals operationer ställs in varje vecka med anledning av den rådande pandemin och situationen med de långa vårdköerna i Sverige, som redan innan hört till de längsta i Europa, kommer att påverkas mycket negativt.</w:t>
      </w:r>
    </w:p>
    <w:p w:rsidRPr="00787D15" w:rsidR="00787D15" w:rsidP="00787D15" w:rsidRDefault="00787D15" w14:paraId="27F3E4EB" w14:textId="2DAEFD62">
      <w:pPr>
        <w:pStyle w:val="Tabellrubrik"/>
        <w:keepNext/>
      </w:pPr>
      <w:r w:rsidRPr="00787D15">
        <w:lastRenderedPageBreak/>
        <w:t>Figur 10</w:t>
      </w:r>
      <w:r>
        <w:t xml:space="preserve"> </w:t>
      </w:r>
      <w:r w:rsidRPr="00787D15">
        <w:t>Vårdskulden från inställda operationer</w:t>
      </w:r>
    </w:p>
    <w:p w:rsidR="00787D15" w:rsidP="00787D15" w:rsidRDefault="00D66B90" w14:paraId="5B9BE051" w14:textId="52E4DC14">
      <w:pPr>
        <w:pStyle w:val="Normalutanindragellerluft"/>
        <w:spacing w:before="0"/>
      </w:pPr>
      <w:r w:rsidRPr="006B7451">
        <w:rPr>
          <w:noProof/>
        </w:rPr>
        <w:drawing>
          <wp:inline distT="0" distB="0" distL="0" distR="0" wp14:anchorId="32773556" wp14:editId="5C3D8F3F">
            <wp:extent cx="4653915" cy="3422015"/>
            <wp:effectExtent l="0" t="0" r="0" b="6985"/>
            <wp:docPr id="24" name="Bildobjekt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53915" cy="3422015"/>
                    </a:xfrm>
                    <a:prstGeom prst="rect">
                      <a:avLst/>
                    </a:prstGeom>
                  </pic:spPr>
                </pic:pic>
              </a:graphicData>
            </a:graphic>
          </wp:inline>
        </w:drawing>
      </w:r>
    </w:p>
    <w:p w:rsidRPr="00787D15" w:rsidR="00AB63C6" w:rsidP="00787D15" w:rsidRDefault="00AB63C6" w14:paraId="656FEAC7" w14:textId="12FFFD08">
      <w:pPr>
        <w:pStyle w:val="Klla"/>
      </w:pPr>
      <w:r w:rsidRPr="00787D15">
        <w:t xml:space="preserve">Källa: </w:t>
      </w:r>
      <w:r w:rsidRPr="00787D15" w:rsidR="002E6FB3">
        <w:t xml:space="preserve">Svenskt </w:t>
      </w:r>
      <w:proofErr w:type="spellStart"/>
      <w:r w:rsidRPr="00787D15" w:rsidR="002E6FB3">
        <w:t>Perioperativt</w:t>
      </w:r>
      <w:proofErr w:type="spellEnd"/>
      <w:r w:rsidRPr="00787D15" w:rsidR="002E6FB3">
        <w:t xml:space="preserve"> Register och Sveriges Television.</w:t>
      </w:r>
    </w:p>
    <w:p w:rsidRPr="006B7451" w:rsidR="0039603E" w:rsidP="00787D15" w:rsidRDefault="0039603E" w14:paraId="18319399" w14:textId="75B7421E">
      <w:pPr>
        <w:pStyle w:val="Normalutanindragellerluft"/>
        <w:spacing w:before="150"/>
      </w:pPr>
      <w:r w:rsidRPr="006B7451">
        <w:t>Sverige kommer att behöva hantera en enorm vårdskuld när den pågående krisen har lagt sig och därför krävs det ett kraftfullt krisberedskapspaket för att möta hälso- och sjukvårdens behov efter pandemin.</w:t>
      </w:r>
      <w:r w:rsidRPr="006B7451" w:rsidR="00735FAC">
        <w:t xml:space="preserve"> </w:t>
      </w:r>
      <w:r w:rsidRPr="006B7451">
        <w:t>För att möta vårdskulden på ett effektivt och jämlikt sätt behöver staten gå in och ta ett tydligt ansvar. För att kunna klara vårdskulden krävs det ytterligare resurser till regionernas hälso- och sjukvård, som ska bidra till ökad kapacitet och tillgänglighet, där regionerna självständigt hanterar och fördelar resurserna utifrån varje regions särskilda behov och förutsättningar.</w:t>
      </w:r>
    </w:p>
    <w:p w:rsidRPr="006B7451" w:rsidR="00CD555B" w:rsidP="00E66DDB" w:rsidRDefault="00A71481" w14:paraId="40F80A88" w14:textId="06F6FE3A">
      <w:r w:rsidRPr="006B7451">
        <w:t>Regionerna står</w:t>
      </w:r>
      <w:r w:rsidRPr="006B7451" w:rsidR="00E66DDB">
        <w:t xml:space="preserve"> vidare</w:t>
      </w:r>
      <w:r w:rsidRPr="006B7451">
        <w:t xml:space="preserve"> inför en stor utmaning när de tiotusentals operationer som skjutits upp under pandemin ska genomföras. En del av utmaningen är att köerna för olika åtgärder inte är jämnt fördelade i regionerna</w:t>
      </w:r>
      <w:r w:rsidRPr="006B7451" w:rsidR="008926BA">
        <w:t>.</w:t>
      </w:r>
      <w:r w:rsidRPr="006B7451">
        <w:t xml:space="preserve"> </w:t>
      </w:r>
      <w:r w:rsidRPr="006B7451" w:rsidR="008926BA">
        <w:t>D</w:t>
      </w:r>
      <w:r w:rsidRPr="006B7451">
        <w:t>etta medför att vissa patienter kan vänta orimligt länge för en åtgärd som finns tillgänglig i en närliggande region.</w:t>
      </w:r>
    </w:p>
    <w:p w:rsidRPr="006B7451" w:rsidR="00A71481" w:rsidP="00CD555B" w:rsidRDefault="00A71481" w14:paraId="06B8D4DB" w14:textId="4C839F28">
      <w:r w:rsidRPr="006B7451">
        <w:t xml:space="preserve">Landets sjukvård behöver ses </w:t>
      </w:r>
      <w:r w:rsidRPr="006B7451" w:rsidR="0039603E">
        <w:t>som en helhet, med ett samlat grepp om köerna</w:t>
      </w:r>
      <w:r w:rsidRPr="006B7451" w:rsidR="00392318">
        <w:t>, d</w:t>
      </w:r>
      <w:r w:rsidRPr="006B7451">
        <w:t>är s</w:t>
      </w:r>
      <w:r w:rsidRPr="006B7451" w:rsidR="0039603E">
        <w:t xml:space="preserve">taten </w:t>
      </w:r>
      <w:r w:rsidRPr="006B7451">
        <w:t>tar</w:t>
      </w:r>
      <w:r w:rsidRPr="006B7451" w:rsidR="0039603E">
        <w:t xml:space="preserve"> ett större ansvar för att</w:t>
      </w:r>
      <w:r w:rsidRPr="006B7451">
        <w:t xml:space="preserve"> på ett effektivt sätt samordna regionernas verksamheter </w:t>
      </w:r>
      <w:r w:rsidRPr="006B7451" w:rsidR="008926BA">
        <w:t xml:space="preserve">i syfte </w:t>
      </w:r>
      <w:r w:rsidRPr="006B7451">
        <w:t>att minska köerna.</w:t>
      </w:r>
    </w:p>
    <w:p w:rsidRPr="006B7451" w:rsidR="0039603E" w:rsidP="0039603E" w:rsidRDefault="0039603E" w14:paraId="7BCA9A0A" w14:textId="4E3B6BD2">
      <w:r w:rsidRPr="006B7451">
        <w:t xml:space="preserve">Sverigedemokraterna föreslår därför att det inrättas ett vårdgarantikansli för vårdköer </w:t>
      </w:r>
      <w:r w:rsidR="00BE2080">
        <w:t>i</w:t>
      </w:r>
      <w:r w:rsidRPr="006B7451">
        <w:t xml:space="preserve"> Socialstyrelsens regi samt att en nationell väntelista införs för behandlingar och operationer med längst vårdköer</w:t>
      </w:r>
      <w:r w:rsidRPr="006B7451" w:rsidR="00830130">
        <w:t>.</w:t>
      </w:r>
      <w:r w:rsidRPr="006B7451" w:rsidR="00E66DDB">
        <w:t xml:space="preserve"> </w:t>
      </w:r>
      <w:r w:rsidRPr="006B7451">
        <w:t>Vårdgarantikansliet bör också ta fram underlag och upprätta samverkansavtal med olika vårdgivare, offentliga och privata, svenska och utländska, för att kunna öka vårdkapaciteten inom såväl behandling som operation och rehabilitering.</w:t>
      </w:r>
    </w:p>
    <w:p w:rsidR="00EC0924" w:rsidP="0039603E" w:rsidRDefault="00EC0924" w14:paraId="1A8CA655" w14:textId="6144612C">
      <w:r w:rsidRPr="006B7451">
        <w:t>Förslaget beräknas öka utgifterna i statens budget med 0,20 miljarder kronor 2022.</w:t>
      </w:r>
    </w:p>
    <w:p w:rsidR="008F5945" w:rsidRDefault="008F5945" w14:paraId="1750C3E2" w14:textId="107761F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39603E" w:rsidP="00ED5D60" w:rsidRDefault="0039603E" w14:paraId="26847296" w14:textId="77777777">
      <w:pPr>
        <w:pStyle w:val="Rubrik2numrerat"/>
      </w:pPr>
      <w:bookmarkStart w:name="_Toc121752543" w:id="33"/>
      <w:r w:rsidRPr="006B7451">
        <w:lastRenderedPageBreak/>
        <w:t>Personal inom regional sjukvård och kommunal äldreomsorg</w:t>
      </w:r>
      <w:bookmarkEnd w:id="33"/>
    </w:p>
    <w:p w:rsidRPr="006B7451" w:rsidR="0039603E" w:rsidP="00787D15" w:rsidRDefault="0039603E" w14:paraId="422CAF32" w14:textId="67EB0652">
      <w:pPr>
        <w:pStyle w:val="Normalutanindragellerluft"/>
      </w:pPr>
      <w:r w:rsidRPr="006B7451">
        <w:rPr>
          <w:b/>
        </w:rPr>
        <w:t>Sverigedemokraternas förslag</w:t>
      </w:r>
      <w:r w:rsidRPr="00787D15">
        <w:t xml:space="preserve">: </w:t>
      </w:r>
      <w:r w:rsidRPr="006B7451">
        <w:t>Karensdagen för personal inom hälso- och sjukvård samt inom kommunal äldreomsorg ska slopas permanent.</w:t>
      </w:r>
      <w:r w:rsidRPr="006B7451" w:rsidR="005A69C8">
        <w:t xml:space="preserve"> De ofrivilliga turerna inom äldreomsorgen ska avskaffas. En nationell återhämtningsstrategi för att minska sjukskrivningar för personal inom vård och omsorg ska införas</w:t>
      </w:r>
      <w:r w:rsidRPr="006B7451" w:rsidR="008926BA">
        <w:t>.</w:t>
      </w:r>
    </w:p>
    <w:p w:rsidRPr="006B7451" w:rsidR="0039603E" w:rsidP="00787D15" w:rsidRDefault="0039603E" w14:paraId="4749EEAD" w14:textId="02E795C0">
      <w:pPr>
        <w:pStyle w:val="Normalutanindragellerluft"/>
        <w:spacing w:before="150"/>
      </w:pPr>
      <w:r w:rsidRPr="006B7451">
        <w:t xml:space="preserve">Arbetsvillkoren för personal inom hälso- och sjukvård samt inom kommunal äldreomsorg behöver förbättras. Det behövs fler kollegor, högre löner </w:t>
      </w:r>
      <w:r w:rsidRPr="006B7451" w:rsidR="008926BA">
        <w:t xml:space="preserve">och </w:t>
      </w:r>
      <w:r w:rsidRPr="006B7451">
        <w:t>bättre arbetsmiljö. Därför föreslår vi kraftiga tillskott till regionerna och kommunerna för att de ska kunna genomföra nödvändiga personalförstärkningar</w:t>
      </w:r>
      <w:r w:rsidRPr="006B7451" w:rsidR="008926BA">
        <w:t xml:space="preserve"> (se tabell 8)</w:t>
      </w:r>
      <w:r w:rsidRPr="006B7451">
        <w:t>.</w:t>
      </w:r>
    </w:p>
    <w:p w:rsidRPr="006B7451" w:rsidR="0039603E" w:rsidP="0039603E" w:rsidRDefault="0039603E" w14:paraId="7A5630B2" w14:textId="6F8C2671">
      <w:r w:rsidRPr="006B7451">
        <w:t>Det är även angeläget att anställda inom sjukvård</w:t>
      </w:r>
      <w:r w:rsidRPr="006B7451" w:rsidR="008926BA">
        <w:t>en</w:t>
      </w:r>
      <w:r w:rsidRPr="006B7451">
        <w:t xml:space="preserve"> inte går till jobbet när de är sjuka. En förutsättning är då att anställda inte drabbas ekonomisk</w:t>
      </w:r>
      <w:r w:rsidR="00034E84">
        <w:t>t</w:t>
      </w:r>
      <w:r w:rsidRPr="006B7451">
        <w:t xml:space="preserve"> för att de tar det ansvaret. Av denna anledning bör karensdagen slopas permanent för dessa yrkesgrupper.</w:t>
      </w:r>
    </w:p>
    <w:p w:rsidRPr="006B7451" w:rsidR="005A69C8" w:rsidP="005A69C8" w:rsidRDefault="005A69C8" w14:paraId="5797124D" w14:textId="12257655">
      <w:r w:rsidRPr="006B7451">
        <w:t xml:space="preserve">Personal inom vård och omsorg önskar i allmänhet sammanhängande arbetstider och det är viktigt att personalen </w:t>
      </w:r>
      <w:r w:rsidRPr="006B7451" w:rsidR="008926BA">
        <w:t xml:space="preserve">får </w:t>
      </w:r>
      <w:r w:rsidRPr="006B7451">
        <w:t xml:space="preserve">större inflytande över sina arbetstider. Trots att frågan diskuterats i många år finns </w:t>
      </w:r>
      <w:r w:rsidRPr="006B7451" w:rsidR="00506B1D">
        <w:t xml:space="preserve">de </w:t>
      </w:r>
      <w:r w:rsidRPr="006B7451">
        <w:t>delade turer</w:t>
      </w:r>
      <w:r w:rsidRPr="006B7451" w:rsidR="00506B1D">
        <w:t>na</w:t>
      </w:r>
      <w:r w:rsidRPr="006B7451">
        <w:t xml:space="preserve"> fortfarande kvar. </w:t>
      </w:r>
      <w:r w:rsidRPr="006B7451" w:rsidR="00506B1D">
        <w:t>En delad tur innebär att man till exempel arbetar ett pass på morgonen, därefter har en längre obetald paus, för att sedan ha ett arbetspass på kvällen. Anledningen till att bland annat delade turer används är arbetsgivarens behov av att göra en effektiv personalplanering och kunna lägga scheman för att matcha behoven hos brukarna med personalstyrkan samt dålig ekonomi i kommunerna som lett till minskningar av personalstyrkan</w:t>
      </w:r>
      <w:r w:rsidRPr="006B7451">
        <w:t>. Inom äldre</w:t>
      </w:r>
      <w:r w:rsidR="008F5945">
        <w:softHyphen/>
      </w:r>
      <w:r w:rsidRPr="006B7451">
        <w:t xml:space="preserve">omsorgen har var tionde anställd försvunnit sedan 2002, samtidigt som de äldre har blivit fler. Det politiska ansvaret för den offentliga sektorns personal är stort och personalens fysiska och psykiska hälsa bör i högre utsträckning prioriteras. Även ur ett strategiskt </w:t>
      </w:r>
      <w:r w:rsidRPr="006B7451" w:rsidR="00506B1D">
        <w:t>kompetensförsörjnings</w:t>
      </w:r>
      <w:r w:rsidRPr="006B7451">
        <w:t>perspektiv är det viktigt att åtgärder vidtas mot de delade turerna</w:t>
      </w:r>
      <w:r w:rsidRPr="006B7451" w:rsidR="00506B1D">
        <w:t xml:space="preserve"> så att framförallt kommunerna blir en mer attraktiv arbetsgivare</w:t>
      </w:r>
      <w:r w:rsidRPr="006B7451">
        <w:t xml:space="preserve">. </w:t>
      </w:r>
    </w:p>
    <w:p w:rsidRPr="006B7451" w:rsidR="005A69C8" w:rsidP="005A69C8" w:rsidRDefault="005A69C8" w14:paraId="59A5F4B4" w14:textId="40BAF832">
      <w:r w:rsidRPr="006B7451">
        <w:t>De dåliga arbetsvillkoren är en av huvudanledningarna till bristen på vård- och omsorgspersonal och staten bör i detta sammanhang ta ett större ansvar i att bistå kommunerna med att åtgärda problemet.</w:t>
      </w:r>
    </w:p>
    <w:p w:rsidRPr="006B7451" w:rsidR="005A69C8" w:rsidP="005A69C8" w:rsidRDefault="005A69C8" w14:paraId="4EA98A56" w14:textId="423950FA">
      <w:r w:rsidRPr="006B7451">
        <w:t>Pandemin har vidare medfört en stor belastning på vård- och omsorgspersonal liksom flera andra yrkesgrupper som tilldelats nya pandemirelaterade arbetsuppgifter. Långa arbetsdagar under svåra omständigheter är välkända riskfaktorer för sjuk</w:t>
      </w:r>
      <w:r w:rsidR="008F5945">
        <w:softHyphen/>
      </w:r>
      <w:r w:rsidRPr="006B7451">
        <w:t>skrivning. All personal som arbetar nära smittade och exponeras för tragiska dödsfall och lidande löper hög risk för att drabbas av stressreaktioner.</w:t>
      </w:r>
    </w:p>
    <w:p w:rsidRPr="006B7451" w:rsidR="005A69C8" w:rsidP="005A69C8" w:rsidRDefault="005A69C8" w14:paraId="592CE320" w14:textId="5BFF39BF">
      <w:r w:rsidRPr="006B7451">
        <w:t xml:space="preserve">Under pandemin har personalen utsatts för en ovanligt hög nivå av påfrestande händelser under långa perioder. Därför </w:t>
      </w:r>
      <w:r w:rsidRPr="006B7451" w:rsidR="00506B1D">
        <w:t xml:space="preserve">behövs </w:t>
      </w:r>
      <w:r w:rsidRPr="006B7451">
        <w:t>en nationell återhämtningsstrategi</w:t>
      </w:r>
      <w:r w:rsidRPr="006B7451" w:rsidR="00EE118F">
        <w:t xml:space="preserve"> </w:t>
      </w:r>
      <w:r w:rsidRPr="006B7451" w:rsidR="00506B1D">
        <w:t xml:space="preserve">i syfte </w:t>
      </w:r>
      <w:r w:rsidRPr="006B7451">
        <w:t>att skydda vårdpersonalens psykiska hälsa och minska risken för nedsatt arbetskapacitet när de utför sitt nödvändiga arbete under pandemin och andra arbetsintensiva perioder.</w:t>
      </w:r>
    </w:p>
    <w:p w:rsidRPr="006B7451" w:rsidR="00EC0924" w:rsidP="005A69C8" w:rsidRDefault="00EC0924" w14:paraId="72509470" w14:textId="28B0E7FF">
      <w:r w:rsidRPr="006B7451">
        <w:t>Förslaget beräknas öka utgifterna i statens budget med 0,61 miljarder kronor 2022.</w:t>
      </w:r>
    </w:p>
    <w:p w:rsidRPr="006B7451" w:rsidR="0039603E" w:rsidP="00ED5D60" w:rsidRDefault="0039603E" w14:paraId="2A123352" w14:textId="77777777">
      <w:pPr>
        <w:pStyle w:val="Rubrik2numrerat"/>
      </w:pPr>
      <w:bookmarkStart w:name="_Toc121752544" w:id="34"/>
      <w:r w:rsidRPr="006B7451">
        <w:t>Assistansersättning</w:t>
      </w:r>
      <w:bookmarkEnd w:id="34"/>
    </w:p>
    <w:p w:rsidRPr="006B7451" w:rsidR="007B52C2" w:rsidP="00057B8B" w:rsidRDefault="0039603E" w14:paraId="17478B76" w14:textId="489110CC">
      <w:pPr>
        <w:pStyle w:val="Normalutanindragellerluft"/>
      </w:pPr>
      <w:r w:rsidRPr="006B7451">
        <w:rPr>
          <w:b/>
        </w:rPr>
        <w:t>Sverigedemokraternas förslag</w:t>
      </w:r>
      <w:r w:rsidRPr="00057B8B">
        <w:t>:</w:t>
      </w:r>
      <w:r w:rsidRPr="006B7451">
        <w:t xml:space="preserve"> </w:t>
      </w:r>
      <w:r w:rsidRPr="006B7451" w:rsidR="007B52C2">
        <w:t>Lagen om stöd och service till vissa funktionshindrade ska återställas. Uppräkningen av assistansersättningen ska höjas med 3,5 procent 2022.</w:t>
      </w:r>
    </w:p>
    <w:p w:rsidRPr="006B7451" w:rsidR="007B52C2" w:rsidP="00057B8B" w:rsidRDefault="007B52C2" w14:paraId="2EBDE9F6" w14:textId="77777777">
      <w:pPr>
        <w:pStyle w:val="Normalutanindragellerluft"/>
        <w:spacing w:before="150"/>
      </w:pPr>
      <w:r w:rsidRPr="006B7451">
        <w:t xml:space="preserve">Assistansersättningen betalas ut månadsvis med ett preliminärt belopp, där varje beviljad assistanstimme ersätts med ett schablonbelopp. Uppräkningen har under flera </w:t>
      </w:r>
      <w:r w:rsidRPr="006B7451">
        <w:lastRenderedPageBreak/>
        <w:t>år varit alldeles för låg jämfört med kollektivavtalade löneökningar och allmänna kostnadsökningar i samhället.</w:t>
      </w:r>
    </w:p>
    <w:p w:rsidRPr="006B7451" w:rsidR="007B52C2" w:rsidP="004746C9" w:rsidRDefault="007B52C2" w14:paraId="46C54FC5" w14:textId="4E40BAB7">
      <w:r w:rsidRPr="006B7451">
        <w:t>I</w:t>
      </w:r>
      <w:r w:rsidRPr="006B7451" w:rsidR="00EE118F">
        <w:t xml:space="preserve"> </w:t>
      </w:r>
      <w:r w:rsidRPr="006B7451">
        <w:t>dag går uppräkningen av schablonen inte i takt med övrig kostnads</w:t>
      </w:r>
      <w:r w:rsidRPr="006B7451" w:rsidR="00E8061D">
        <w:t>-</w:t>
      </w:r>
      <w:r w:rsidRPr="006B7451">
        <w:t xml:space="preserve"> och löneutveckling, vilket innebär att ersättningen inte täcker de ökade kostnaderna för assistenter. Flera års medveten underfinansiering har redan nu lett till att det är svårt att rekrytera, fortbilda och behålla personer i yrket. Arbetsvillkoren för personliga assistenter är redan ifrågasatta och om villkoren ska förbättras måste schablonbeloppet höjas.</w:t>
      </w:r>
    </w:p>
    <w:p w:rsidRPr="006B7451" w:rsidR="007B52C2" w:rsidP="004746C9" w:rsidRDefault="007B52C2" w14:paraId="1A920465" w14:textId="2447D9D2">
      <w:r w:rsidRPr="006B7451">
        <w:t>Det måste också skapas möjligheter för långsiktig planering och därför behöver systemet för uppräkningen av schablonen ses över och bli något mer förutsägbar</w:t>
      </w:r>
      <w:r w:rsidR="00BE5679">
        <w:t>t</w:t>
      </w:r>
      <w:r w:rsidRPr="006B7451">
        <w:t xml:space="preserve">. Det är av största vikt att det skyndsamt tas fram en långsiktigt hållbar finansieringsmodell för assistansersättningen. </w:t>
      </w:r>
    </w:p>
    <w:p w:rsidRPr="006B7451" w:rsidR="007B52C2" w:rsidP="007B52C2" w:rsidRDefault="007B52C2" w14:paraId="6EBF69A2" w14:textId="77777777">
      <w:pPr>
        <w:ind w:firstLine="0"/>
      </w:pPr>
      <w:r w:rsidRPr="006B7451">
        <w:t>För att assistansersättningen ska motsvara löneutvecklingen och täcka upp en del av det gap som uppstått under de senaste åren föreslår Sverigedemokraterna att uppräkningen för assistansersättning ökar till 3,5 procent för 2022 jämfört med 2021.</w:t>
      </w:r>
    </w:p>
    <w:p w:rsidRPr="006B7451" w:rsidR="007B52C2" w:rsidP="007B52C2" w:rsidRDefault="007B52C2" w14:paraId="40446EFA" w14:textId="77777777">
      <w:r w:rsidRPr="006B7451">
        <w:t>Det är dessutom viktigt att LSS i ett första steg ska återgå till lagens ursprungliga intentioner före prejudicerande domar och regleringsbrev. Lagen behöver uppenbarligen ändras för att stoppa den kraftiga inskränkning av LSS som pågått de senaste åren.</w:t>
      </w:r>
    </w:p>
    <w:p w:rsidRPr="006B7451" w:rsidR="007B52C2" w:rsidP="007B52C2" w:rsidRDefault="007B52C2" w14:paraId="1C6241DE" w14:textId="2BE46635">
      <w:pPr>
        <w:ind w:firstLine="0"/>
      </w:pPr>
      <w:r w:rsidRPr="006B7451">
        <w:t>Regeringen aviserar i sin budget att de</w:t>
      </w:r>
      <w:r w:rsidR="00105778">
        <w:t>n</w:t>
      </w:r>
      <w:r w:rsidRPr="006B7451">
        <w:t xml:space="preserve"> avser att genomföra förslagen i utredningen </w:t>
      </w:r>
      <w:r w:rsidRPr="006B7451" w:rsidR="00E8061D">
        <w:t>”</w:t>
      </w:r>
      <w:r w:rsidRPr="006B7451">
        <w:t>Stärkt rätt till personlig assistans</w:t>
      </w:r>
      <w:r w:rsidRPr="006B7451" w:rsidR="00E8061D">
        <w:t>”</w:t>
      </w:r>
      <w:r w:rsidRPr="006B7451">
        <w:t>, vilket är bra. Det förutsätter dock en assistans</w:t>
      </w:r>
      <w:r w:rsidR="008F5945">
        <w:softHyphen/>
      </w:r>
      <w:r w:rsidRPr="006B7451">
        <w:t>ersättning som räcker till att anställa assistenter</w:t>
      </w:r>
      <w:r w:rsidRPr="006B7451" w:rsidR="00E8061D">
        <w:t xml:space="preserve"> och att dessa ska kunna få skäliga löner</w:t>
      </w:r>
      <w:r w:rsidRPr="006B7451">
        <w:t>. Annars blir lagen, som är en rättighetslag</w:t>
      </w:r>
      <w:r w:rsidRPr="006B7451" w:rsidR="00E8061D">
        <w:t>,</w:t>
      </w:r>
      <w:r w:rsidRPr="006B7451">
        <w:t xml:space="preserve"> inte mycket värd.</w:t>
      </w:r>
    </w:p>
    <w:p w:rsidRPr="006B7451" w:rsidR="007B52C2" w:rsidP="004746C9" w:rsidRDefault="007B52C2" w14:paraId="00859B59" w14:textId="737C10DF">
      <w:r w:rsidRPr="006B7451">
        <w:t xml:space="preserve">Förslaget beräknas öka utgifterna i statens budget med </w:t>
      </w:r>
      <w:r w:rsidRPr="006B7451" w:rsidR="00EC0924">
        <w:t>0,99 miljarder kronor 2022.</w:t>
      </w:r>
      <w:r w:rsidRPr="006B7451">
        <w:t xml:space="preserve"> </w:t>
      </w:r>
    </w:p>
    <w:p w:rsidRPr="006B7451" w:rsidR="0039603E" w:rsidP="00ED5D60" w:rsidRDefault="0039603E" w14:paraId="20A55391" w14:textId="77777777">
      <w:pPr>
        <w:pStyle w:val="Rubrik2numrerat"/>
      </w:pPr>
      <w:bookmarkStart w:name="_Toc121752545" w:id="35"/>
      <w:r w:rsidRPr="006B7451">
        <w:t>Kvinnors hälsa</w:t>
      </w:r>
      <w:bookmarkEnd w:id="35"/>
    </w:p>
    <w:p w:rsidRPr="006B7451" w:rsidR="007A2BDD" w:rsidP="004746C9" w:rsidRDefault="007A2BDD" w14:paraId="018397EE" w14:textId="77777777">
      <w:pPr>
        <w:pStyle w:val="Normalutanindragellerluft"/>
      </w:pPr>
      <w:r w:rsidRPr="006B7451">
        <w:rPr>
          <w:b/>
        </w:rPr>
        <w:t>Sverigedemokraternas förslag</w:t>
      </w:r>
      <w:r w:rsidRPr="004746C9">
        <w:t>:</w:t>
      </w:r>
      <w:r w:rsidRPr="006B7451">
        <w:t xml:space="preserve"> </w:t>
      </w:r>
      <w:proofErr w:type="spellStart"/>
      <w:r w:rsidRPr="006B7451" w:rsidR="007B52C2">
        <w:t>Endometriosvården</w:t>
      </w:r>
      <w:proofErr w:type="spellEnd"/>
      <w:r w:rsidRPr="006B7451" w:rsidR="007B52C2">
        <w:t xml:space="preserve"> ska utvecklas och ett nationellt forskningsprogram för kvinnors hälsa ska tas fram.</w:t>
      </w:r>
    </w:p>
    <w:p w:rsidRPr="006B7451" w:rsidR="007B52C2" w:rsidP="004746C9" w:rsidRDefault="007B52C2" w14:paraId="3068318F" w14:textId="77777777">
      <w:pPr>
        <w:pStyle w:val="Normalutanindragellerluft"/>
        <w:spacing w:before="150"/>
      </w:pPr>
      <w:r w:rsidRPr="006B7451">
        <w:t>Svensk hälso- och sjukvård ska erbjuda likvärdig och kvalitativ vård oavsett om</w:t>
      </w:r>
    </w:p>
    <w:p w:rsidRPr="006B7451" w:rsidR="007B52C2" w:rsidP="007B52C2" w:rsidRDefault="007B52C2" w14:paraId="2841FD9A" w14:textId="1C5A4D42">
      <w:pPr>
        <w:ind w:firstLine="0"/>
      </w:pPr>
      <w:r w:rsidRPr="006B7451">
        <w:t>vårdmottagaren är en man eller en kvinna. Trots detta är kvinnors hälsa eftersatt på fler</w:t>
      </w:r>
      <w:r w:rsidRPr="006B7451" w:rsidR="00E8061D">
        <w:t>a</w:t>
      </w:r>
      <w:r w:rsidRPr="006B7451">
        <w:t xml:space="preserve"> områden. Det är exempelvis dubbelt så hög risk att kvinnor avlider efter en hjärtinfarkt då de medicinska åtgärderna skiljer sig</w:t>
      </w:r>
      <w:r w:rsidRPr="006B7451" w:rsidR="00E8061D">
        <w:t xml:space="preserve"> mellan kvinnor och män</w:t>
      </w:r>
      <w:r w:rsidRPr="006B7451">
        <w:t>.</w:t>
      </w:r>
    </w:p>
    <w:p w:rsidRPr="006B7451" w:rsidR="007B52C2" w:rsidP="008F5945" w:rsidRDefault="007B52C2" w14:paraId="06AABE96" w14:textId="7431BB7E">
      <w:r w:rsidRPr="006B7451">
        <w:t xml:space="preserve">Det kan vidare konstateras att allt fler kvinnliga patienter lämnar landet för att söka vård utomlands. Kvinnor med </w:t>
      </w:r>
      <w:proofErr w:type="spellStart"/>
      <w:r w:rsidRPr="006B7451">
        <w:t>endometrios</w:t>
      </w:r>
      <w:proofErr w:type="spellEnd"/>
      <w:r w:rsidRPr="006B7451">
        <w:t xml:space="preserve"> söker sig exempelvis till andra europeiska länder, eller till USA, för avancerade ultraljud samt högspecialiserad </w:t>
      </w:r>
      <w:proofErr w:type="spellStart"/>
      <w:r w:rsidRPr="006B7451">
        <w:t>endometrios</w:t>
      </w:r>
      <w:r w:rsidR="008F5945">
        <w:softHyphen/>
      </w:r>
      <w:r w:rsidRPr="006B7451">
        <w:t>kirurgi</w:t>
      </w:r>
      <w:proofErr w:type="spellEnd"/>
      <w:r w:rsidRPr="006B7451">
        <w:t xml:space="preserve">. Samtidigt vittnar många </w:t>
      </w:r>
      <w:proofErr w:type="spellStart"/>
      <w:r w:rsidRPr="006B7451">
        <w:t>endometriosdrabbade</w:t>
      </w:r>
      <w:proofErr w:type="spellEnd"/>
      <w:r w:rsidRPr="006B7451">
        <w:t xml:space="preserve"> om hur de nekas smärtlindring och ifrågasätts när de beskriver sina smärtsamma symptom </w:t>
      </w:r>
      <w:r w:rsidRPr="006B7451" w:rsidR="00E8061D">
        <w:t xml:space="preserve">samt </w:t>
      </w:r>
      <w:r w:rsidR="00D27768">
        <w:t xml:space="preserve">hur de </w:t>
      </w:r>
      <w:r w:rsidRPr="006B7451" w:rsidR="00E8061D">
        <w:t xml:space="preserve">även </w:t>
      </w:r>
      <w:r w:rsidRPr="006B7451" w:rsidR="00D27768">
        <w:t xml:space="preserve">kan </w:t>
      </w:r>
      <w:r w:rsidRPr="006B7451">
        <w:t xml:space="preserve">beskyllas för att missbruka </w:t>
      </w:r>
      <w:proofErr w:type="spellStart"/>
      <w:r w:rsidRPr="006B7451">
        <w:t>opioider</w:t>
      </w:r>
      <w:proofErr w:type="spellEnd"/>
      <w:r w:rsidRPr="006B7451">
        <w:t xml:space="preserve"> när de söker vård för sina besvär. Ett liknande mönster kan </w:t>
      </w:r>
      <w:r w:rsidRPr="006B7451" w:rsidR="00E8061D">
        <w:t xml:space="preserve">ses vad gäller </w:t>
      </w:r>
      <w:r w:rsidRPr="006B7451">
        <w:t xml:space="preserve">förlossningsskador, som för många kvinnor innebär problem med smärtor, läckage av urin och avföring samt avslitna muskler i underlivet. Trots lidande och tuffa besvär bemöts många kvinnor inte på ett fullgott sätt av vården, där </w:t>
      </w:r>
      <w:r w:rsidR="0029730A">
        <w:t xml:space="preserve">en </w:t>
      </w:r>
      <w:r w:rsidRPr="006B7451">
        <w:t>brist på information, fullgott stöd och respekt dessvärre är vanligt förekommande</w:t>
      </w:r>
      <w:r w:rsidRPr="006B7451" w:rsidR="00E8061D">
        <w:t>.</w:t>
      </w:r>
    </w:p>
    <w:p w:rsidRPr="006B7451" w:rsidR="007B52C2" w:rsidP="007B52C2" w:rsidRDefault="007B52C2" w14:paraId="5F5E3876" w14:textId="32F2D27A">
      <w:pPr>
        <w:ind w:firstLine="0"/>
      </w:pPr>
      <w:r w:rsidRPr="006B7451">
        <w:t xml:space="preserve">Sverigedemokraterna ser ett behov av att </w:t>
      </w:r>
      <w:r w:rsidRPr="006B7451" w:rsidR="00E8061D">
        <w:t xml:space="preserve">satsa mer på </w:t>
      </w:r>
      <w:r w:rsidRPr="006B7451">
        <w:t xml:space="preserve">kvinnors hälsa. </w:t>
      </w:r>
      <w:proofErr w:type="spellStart"/>
      <w:r w:rsidRPr="006B7451">
        <w:t>Endometrios</w:t>
      </w:r>
      <w:r w:rsidR="008F5945">
        <w:softHyphen/>
      </w:r>
      <w:r w:rsidRPr="006B7451">
        <w:t>vården</w:t>
      </w:r>
      <w:proofErr w:type="spellEnd"/>
      <w:r w:rsidRPr="006B7451">
        <w:t xml:space="preserve"> behöver stärkas för att skapa mer jämlika förutsättningar för kvalitativa behandlingsmetoder. Därutöver är det nödvändigt att stärka forskningen inom området kvinnorelaterade sjukdomar generellt.</w:t>
      </w:r>
    </w:p>
    <w:p w:rsidRPr="006B7451" w:rsidR="007B52C2" w:rsidP="00F74926" w:rsidRDefault="007B52C2" w14:paraId="39B24408" w14:textId="77777777">
      <w:pPr>
        <w:pStyle w:val="Rubrik3"/>
      </w:pPr>
      <w:bookmarkStart w:name="_Toc121752546" w:id="36"/>
      <w:r w:rsidRPr="006B7451">
        <w:lastRenderedPageBreak/>
        <w:t>Nationellt forskningsprogram för kvinnors hälsa</w:t>
      </w:r>
      <w:bookmarkEnd w:id="36"/>
    </w:p>
    <w:p w:rsidRPr="006B7451" w:rsidR="007B52C2" w:rsidP="004746C9" w:rsidRDefault="007B52C2" w14:paraId="06E8CB9D" w14:textId="77777777">
      <w:pPr>
        <w:pStyle w:val="Normalutanindragellerluft"/>
      </w:pPr>
      <w:r w:rsidRPr="006B7451">
        <w:t xml:space="preserve">Forskning inom området kvinnorelaterade sjukdomar är allmänt eftersatt och det är svårt för forskare att få anslag. Forskning om kvinnosjukdomar måste därför stärkas på många plan och tydliga prioriteringar måste ske för att vi ska kunna få till en märkbar förändring. </w:t>
      </w:r>
    </w:p>
    <w:p w:rsidRPr="006B7451" w:rsidR="007A2BDD" w:rsidP="00D66B90" w:rsidRDefault="007B52C2" w14:paraId="2BD7FE4F" w14:textId="06AA98E9">
      <w:r w:rsidRPr="006B7451">
        <w:t>För att uppnå jämställdhet krävs det att sjukdomar som drabbar kvinnor prioriteras lika högt och att forskningen inom området värdesätts. Vi behöver också få till en utökad förståelse för hur kvinnor drabbas genom ökad kunskapsspridning. Det är också helt avgörande att forskningen kan ge oss förståelse och kunskaper kring orsakerna till sjukdomar och hälsotillstånd som kvinnor drabbas av. Genom ökad kunskap kan hela vårdupplevelsen förbättras och effektiva behandlingsmetoder kan också implementeras inom hälso- och sjukvården.</w:t>
      </w:r>
    </w:p>
    <w:p w:rsidRPr="006B7451" w:rsidR="00EC0924" w:rsidP="00A03A10" w:rsidRDefault="00A03A10" w14:paraId="73E987FD" w14:textId="634AF567">
      <w:r w:rsidRPr="006B7451">
        <w:t>Förslaget beräknas öka utgifterna i statens budget med 0,25 miljarder konor 2022.</w:t>
      </w:r>
    </w:p>
    <w:p w:rsidRPr="006B7451" w:rsidR="0039603E" w:rsidP="00ED5D60" w:rsidRDefault="007A2BDD" w14:paraId="1843DFFD" w14:textId="77777777">
      <w:pPr>
        <w:pStyle w:val="Rubrik2numrerat"/>
      </w:pPr>
      <w:bookmarkStart w:name="_Toc121752547" w:id="37"/>
      <w:r w:rsidRPr="006B7451">
        <w:t>Psykisk ohälsa</w:t>
      </w:r>
      <w:bookmarkEnd w:id="37"/>
    </w:p>
    <w:p w:rsidRPr="006B7451" w:rsidR="007A2BDD" w:rsidP="004746C9" w:rsidRDefault="007A2BDD" w14:paraId="7EF4A4BA" w14:textId="77777777">
      <w:pPr>
        <w:pStyle w:val="Normalutanindragellerluft"/>
      </w:pPr>
      <w:r w:rsidRPr="006B7451">
        <w:rPr>
          <w:b/>
        </w:rPr>
        <w:t>Sverigedemokraternas förslag:</w:t>
      </w:r>
      <w:r w:rsidRPr="006B7451">
        <w:t xml:space="preserve"> </w:t>
      </w:r>
      <w:r w:rsidRPr="006B7451" w:rsidR="003B6FEE">
        <w:t>Det samlade a</w:t>
      </w:r>
      <w:r w:rsidRPr="006B7451">
        <w:t>rbetet för att motverka psykisk ohälsa ska stärkas.</w:t>
      </w:r>
    </w:p>
    <w:p w:rsidRPr="006B7451" w:rsidR="004F66FC" w:rsidP="004746C9" w:rsidRDefault="004F66FC" w14:paraId="33208F44" w14:textId="7F0AA639">
      <w:pPr>
        <w:pStyle w:val="Normalutanindragellerluft"/>
        <w:spacing w:before="150"/>
      </w:pPr>
      <w:r w:rsidRPr="006B7451">
        <w:t xml:space="preserve">Isoleringen som sker till följd av de införda restriktionerna – med förlust av rutiner, fysisk aktivitet samt allmän oro över arbete och ekonomi – är </w:t>
      </w:r>
      <w:r w:rsidRPr="006B7451" w:rsidR="00E8061D">
        <w:t>ett förhållande</w:t>
      </w:r>
      <w:r w:rsidRPr="006B7451">
        <w:t xml:space="preserve"> som kan medföra större risker för den psykiska hälsan än oron för att bli smittad. Detta kan bland annat skådas genom det ökade antalet kontakter och inkommande samtal till de nationella stödlinjerna.</w:t>
      </w:r>
    </w:p>
    <w:p w:rsidRPr="006B7451" w:rsidR="004F66FC" w:rsidP="00F74926" w:rsidRDefault="004F66FC" w14:paraId="0324E14C" w14:textId="77777777">
      <w:pPr>
        <w:pStyle w:val="Rubrik3"/>
      </w:pPr>
      <w:bookmarkStart w:name="_Toc121752548" w:id="38"/>
      <w:r w:rsidRPr="006B7451">
        <w:t>Långtidscovid, postcovid</w:t>
      </w:r>
      <w:bookmarkEnd w:id="38"/>
    </w:p>
    <w:p w:rsidRPr="006B7451" w:rsidR="009B7CE4" w:rsidP="004746C9" w:rsidRDefault="004F66FC" w14:paraId="38E3DFED" w14:textId="288155FB">
      <w:pPr>
        <w:pStyle w:val="Normalutanindragellerluft"/>
      </w:pPr>
      <w:r w:rsidRPr="006B7451">
        <w:t xml:space="preserve">Förutom oron kring covid-19 och ett </w:t>
      </w:r>
      <w:proofErr w:type="spellStart"/>
      <w:r w:rsidRPr="006B7451">
        <w:t>nedstängt</w:t>
      </w:r>
      <w:proofErr w:type="spellEnd"/>
      <w:r w:rsidRPr="006B7451">
        <w:t xml:space="preserve"> samhälle drabbas</w:t>
      </w:r>
      <w:r w:rsidRPr="006B7451" w:rsidR="009B7CE4">
        <w:t xml:space="preserve"> </w:t>
      </w:r>
      <w:r w:rsidRPr="006B7451">
        <w:t>även en del människor av långvariga covid-19-symtom eller postcovid, vilket</w:t>
      </w:r>
      <w:r w:rsidRPr="006B7451" w:rsidR="009B7CE4">
        <w:t xml:space="preserve"> </w:t>
      </w:r>
      <w:r w:rsidRPr="006B7451">
        <w:t xml:space="preserve">påverkar </w:t>
      </w:r>
      <w:proofErr w:type="spellStart"/>
      <w:r w:rsidRPr="006B7451">
        <w:t>välmåendet</w:t>
      </w:r>
      <w:proofErr w:type="spellEnd"/>
      <w:r w:rsidRPr="006B7451">
        <w:t xml:space="preserve"> även när infektionen är över.</w:t>
      </w:r>
      <w:r w:rsidRPr="006B7451" w:rsidR="009B7CE4">
        <w:t xml:space="preserve"> </w:t>
      </w:r>
      <w:r w:rsidRPr="006B7451">
        <w:t xml:space="preserve">Det är fortfarande mycket vi inte vet </w:t>
      </w:r>
      <w:r w:rsidRPr="006B7451" w:rsidR="0038704C">
        <w:t xml:space="preserve">om </w:t>
      </w:r>
      <w:r w:rsidRPr="006B7451">
        <w:t>de långsiktiga konse</w:t>
      </w:r>
      <w:r w:rsidR="008F5945">
        <w:softHyphen/>
      </w:r>
      <w:r w:rsidRPr="006B7451">
        <w:t>kvenserna av</w:t>
      </w:r>
      <w:r w:rsidRPr="006B7451" w:rsidR="009B7CE4">
        <w:t xml:space="preserve"> </w:t>
      </w:r>
      <w:r w:rsidRPr="006B7451">
        <w:t>covid-19-pandemin och utifrån de data vi har i dag är det svårt att dra entydiga</w:t>
      </w:r>
      <w:r w:rsidRPr="006B7451" w:rsidR="009B7CE4">
        <w:t xml:space="preserve"> </w:t>
      </w:r>
      <w:r w:rsidRPr="006B7451">
        <w:t>slutsatser. Det vi vet är att många indikatorer pekar mot en ökad psykisk ohälsa</w:t>
      </w:r>
      <w:r w:rsidRPr="006B7451" w:rsidR="009B7CE4">
        <w:t xml:space="preserve"> </w:t>
      </w:r>
      <w:r w:rsidRPr="006B7451">
        <w:t>i spåren av pandemin.</w:t>
      </w:r>
      <w:r w:rsidRPr="006B7451" w:rsidR="00FE0103">
        <w:t xml:space="preserve"> </w:t>
      </w:r>
      <w:r w:rsidRPr="006B7451">
        <w:t>Socialstyrelsen har tagit fram ett stöd till beslutsfattare och personal i hälso- och</w:t>
      </w:r>
      <w:r w:rsidRPr="006B7451" w:rsidR="009B7CE4">
        <w:t xml:space="preserve"> </w:t>
      </w:r>
      <w:r w:rsidRPr="006B7451">
        <w:t>sjukvården om postcovid.</w:t>
      </w:r>
    </w:p>
    <w:p w:rsidRPr="006B7451" w:rsidR="004F66FC" w:rsidP="00F74926" w:rsidRDefault="004F66FC" w14:paraId="6E29C1DF" w14:textId="5FF9042C">
      <w:r w:rsidRPr="006B7451">
        <w:t>Postcovid innebär att symtomen kan kvarstå, eller</w:t>
      </w:r>
      <w:r w:rsidRPr="006B7451" w:rsidR="009B7CE4">
        <w:t xml:space="preserve"> </w:t>
      </w:r>
      <w:r w:rsidRPr="006B7451">
        <w:t>att nya symptom uppstår, efter genomgången infektion med covid-19. Vanliga symtom som rapporteras i vetenskapliga studier är bland annat trötthet, feber,</w:t>
      </w:r>
      <w:r w:rsidRPr="006B7451" w:rsidR="009B7CE4">
        <w:t xml:space="preserve"> </w:t>
      </w:r>
      <w:r w:rsidRPr="006B7451">
        <w:t>sömnstörningar, andningssvårigheter, kognitiv nedsättning, psykisk ohälsa, nedstämdhet, ångest och smärta. För de allra flesta avtar symtomen efter hand men</w:t>
      </w:r>
      <w:r w:rsidRPr="006B7451" w:rsidR="009B7CE4">
        <w:t xml:space="preserve"> </w:t>
      </w:r>
      <w:r w:rsidRPr="006B7451">
        <w:t>för andra blir symtomen långvariga och allvarliga. Dessa personer behöver multiprofessionella insatser i utredning, behandling, rehabilitering och uppföljning.</w:t>
      </w:r>
      <w:r w:rsidRPr="006B7451" w:rsidR="009B7CE4">
        <w:t xml:space="preserve"> </w:t>
      </w:r>
      <w:r w:rsidRPr="006B7451">
        <w:t>Det är i</w:t>
      </w:r>
      <w:r w:rsidRPr="006B7451" w:rsidR="00CB5D58">
        <w:t xml:space="preserve"> </w:t>
      </w:r>
      <w:r w:rsidRPr="006B7451">
        <w:t xml:space="preserve">dag svårt att avgöra hur omfattande </w:t>
      </w:r>
      <w:proofErr w:type="spellStart"/>
      <w:r w:rsidRPr="006B7451">
        <w:t>postcovid</w:t>
      </w:r>
      <w:r w:rsidR="009567EC">
        <w:t>en</w:t>
      </w:r>
      <w:proofErr w:type="spellEnd"/>
      <w:r w:rsidRPr="006B7451">
        <w:t xml:space="preserve"> är och kommer att bli.</w:t>
      </w:r>
    </w:p>
    <w:p w:rsidRPr="006B7451" w:rsidR="00910A06" w:rsidP="00F74926" w:rsidRDefault="00910A06" w14:paraId="52FF885D" w14:textId="77777777">
      <w:pPr>
        <w:pStyle w:val="Rubrik3"/>
      </w:pPr>
      <w:bookmarkStart w:name="_Toc121752549" w:id="39"/>
      <w:r w:rsidRPr="006B7451">
        <w:t>B</w:t>
      </w:r>
      <w:r w:rsidRPr="006B7451" w:rsidR="007B52C2">
        <w:t>arn- och ungdomspsykiatrin</w:t>
      </w:r>
      <w:bookmarkEnd w:id="39"/>
    </w:p>
    <w:p w:rsidRPr="006B7451" w:rsidR="00910A06" w:rsidP="004746C9" w:rsidRDefault="00910A06" w14:paraId="301F3778" w14:textId="77777777">
      <w:pPr>
        <w:pStyle w:val="Normalutanindragellerluft"/>
      </w:pPr>
      <w:r w:rsidRPr="006B7451">
        <w:t>Pandemin har i hög utsträckning påverkat primärvården liksom den specialiserade</w:t>
      </w:r>
      <w:r w:rsidRPr="006B7451" w:rsidR="009B7CE4">
        <w:t xml:space="preserve"> </w:t>
      </w:r>
      <w:r w:rsidRPr="006B7451">
        <w:t>psykiatriska vården, dels genom smittspridningen men även genom de införda</w:t>
      </w:r>
      <w:r w:rsidRPr="006B7451" w:rsidR="009B7CE4">
        <w:t xml:space="preserve"> </w:t>
      </w:r>
      <w:r w:rsidRPr="006B7451">
        <w:t>restriktionerna som inställda fritidsaktiviteter och ökad distansundervisning vilka</w:t>
      </w:r>
      <w:r w:rsidRPr="006B7451" w:rsidR="009B7CE4">
        <w:t xml:space="preserve"> </w:t>
      </w:r>
      <w:r w:rsidRPr="006B7451">
        <w:t>riskerar att leda till en försämrad psykisk hälsa – särskilt bland barn och unga.</w:t>
      </w:r>
    </w:p>
    <w:p w:rsidRPr="004746C9" w:rsidR="00861F60" w:rsidP="008F5945" w:rsidRDefault="00861F60" w14:paraId="389FCEB6" w14:textId="31BCE42B">
      <w:pPr>
        <w:pStyle w:val="Tabellrubrik"/>
        <w:keepNext/>
      </w:pPr>
      <w:r w:rsidRPr="004746C9">
        <w:lastRenderedPageBreak/>
        <w:t xml:space="preserve">Figur </w:t>
      </w:r>
      <w:r w:rsidR="004746C9">
        <w:t>11</w:t>
      </w:r>
      <w:r w:rsidRPr="004746C9">
        <w:t xml:space="preserve"> Unika patienter</w:t>
      </w:r>
      <w:r w:rsidRPr="004746C9" w:rsidR="006E139F">
        <w:t xml:space="preserve"> inom BUP</w:t>
      </w:r>
      <w:r w:rsidRPr="004746C9">
        <w:t xml:space="preserve"> per 10 000 invånare, 2020, 0–17 år</w:t>
      </w:r>
    </w:p>
    <w:p w:rsidRPr="006B7451" w:rsidR="00861F60" w:rsidP="00910A06" w:rsidRDefault="00861F60" w14:paraId="65C9E6F8" w14:textId="77777777">
      <w:pPr>
        <w:ind w:firstLine="0"/>
      </w:pPr>
      <w:r w:rsidRPr="006B7451">
        <w:rPr>
          <w:noProof/>
          <w14:numSpacing w14:val="default"/>
        </w:rPr>
        <w:drawing>
          <wp:inline distT="0" distB="0" distL="0" distR="0" wp14:anchorId="3BA5A9E0" wp14:editId="478FDEA5">
            <wp:extent cx="5400000" cy="2743200"/>
            <wp:effectExtent l="0" t="0" r="0" b="0"/>
            <wp:docPr id="8" name="Diagram 8" descr="">
              <a:extLst xmlns:a="http://schemas.openxmlformats.org/drawingml/2006/main">
                <a:ext uri="{FF2B5EF4-FFF2-40B4-BE49-F238E27FC236}">
                  <a16:creationId xmlns:a16="http://schemas.microsoft.com/office/drawing/2014/main" id="{E9D269BA-8B32-49C4-A179-852486FCF1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4746C9" w:rsidR="00861F60" w:rsidP="004746C9" w:rsidRDefault="00861F60" w14:paraId="0DAEA38B" w14:textId="5B4EDC5C">
      <w:pPr>
        <w:pStyle w:val="Klla"/>
      </w:pPr>
      <w:r w:rsidRPr="004746C9">
        <w:t>Källa: S</w:t>
      </w:r>
      <w:r w:rsidRPr="004746C9" w:rsidR="00E3040E">
        <w:t>veriges Kommuner och Regioner.</w:t>
      </w:r>
    </w:p>
    <w:p w:rsidRPr="006B7451" w:rsidR="00861F60" w:rsidP="004746C9" w:rsidRDefault="00861F60" w14:paraId="7FC4D11A" w14:textId="77777777">
      <w:pPr>
        <w:pStyle w:val="Normalutanindragellerluft"/>
        <w:spacing w:before="150"/>
      </w:pPr>
      <w:r w:rsidRPr="006B7451">
        <w:t xml:space="preserve">SKR genomförde under 2020 en datainsamling tillsammans med 12 regioner för att följa utvecklingen inom psykiatrisk öppenvård och heldygnsvård under covid-19-pandemin. </w:t>
      </w:r>
    </w:p>
    <w:p w:rsidRPr="006B7451" w:rsidR="00861F60" w:rsidP="00910A06" w:rsidRDefault="00861F60" w14:paraId="3C96C8D5" w14:textId="41F39212">
      <w:pPr>
        <w:ind w:firstLine="0"/>
      </w:pPr>
      <w:r w:rsidRPr="006B7451">
        <w:t>Resultatet påvisade både ett ökat antal remisser och ett ökat antal pågående patienter inom barn- och ungdomspsykiatrin</w:t>
      </w:r>
      <w:r w:rsidRPr="006B7451" w:rsidR="0038704C">
        <w:t xml:space="preserve"> (BUP)</w:t>
      </w:r>
      <w:r w:rsidRPr="006B7451">
        <w:t>, vilket är en fortsättning på utvecklingen som setts de senaste åren, med en ökad andel av befolkningen i respektive åldersgrupp som tas om hand inom BUP.</w:t>
      </w:r>
    </w:p>
    <w:p w:rsidRPr="00035355" w:rsidR="00861F60" w:rsidP="008F5945" w:rsidRDefault="00861F60" w14:paraId="7FA36CEA" w14:textId="2CAD6111">
      <w:pPr>
        <w:pStyle w:val="Tabellrubrik"/>
        <w:keepNext/>
      </w:pPr>
      <w:r w:rsidRPr="00035355">
        <w:t xml:space="preserve">Figur </w:t>
      </w:r>
      <w:r w:rsidR="00035355">
        <w:t>12</w:t>
      </w:r>
      <w:r w:rsidRPr="00035355">
        <w:t xml:space="preserve"> Antal inkomna remisser till BUP i 12 regioner, mars–september 2019 och 2020.</w:t>
      </w:r>
    </w:p>
    <w:p w:rsidRPr="006B7451" w:rsidR="00861F60" w:rsidP="00910A06" w:rsidRDefault="00861F60" w14:paraId="3B964F89" w14:textId="77777777">
      <w:pPr>
        <w:ind w:firstLine="0"/>
      </w:pPr>
      <w:r w:rsidRPr="006B7451">
        <w:rPr>
          <w:noProof/>
          <w14:numSpacing w14:val="default"/>
        </w:rPr>
        <w:drawing>
          <wp:inline distT="0" distB="0" distL="0" distR="0" wp14:anchorId="16F5B350" wp14:editId="780C3A47">
            <wp:extent cx="5400000" cy="2743200"/>
            <wp:effectExtent l="0" t="0" r="0" b="0"/>
            <wp:docPr id="9" name="Diagram 9" descr="">
              <a:extLst xmlns:a="http://schemas.openxmlformats.org/drawingml/2006/main">
                <a:ext uri="{FF2B5EF4-FFF2-40B4-BE49-F238E27FC236}">
                  <a16:creationId xmlns:a16="http://schemas.microsoft.com/office/drawing/2014/main" id="{8FEC023C-0666-43A2-9DF6-F50F31940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035355" w:rsidR="004F66FC" w:rsidP="00035355" w:rsidRDefault="003B6FEE" w14:paraId="1075FE6F" w14:textId="433C2C71">
      <w:pPr>
        <w:pStyle w:val="Klla"/>
      </w:pPr>
      <w:r w:rsidRPr="00035355">
        <w:t>Källa: S</w:t>
      </w:r>
      <w:r w:rsidRPr="00035355" w:rsidR="00B71288">
        <w:t>veriges Kommuner och Regioner</w:t>
      </w:r>
      <w:r w:rsidRPr="00035355" w:rsidR="003931CE">
        <w:t>.</w:t>
      </w:r>
    </w:p>
    <w:p w:rsidRPr="006B7451" w:rsidR="004F66FC" w:rsidP="00F74926" w:rsidRDefault="00CB5D58" w14:paraId="19AE9CA0" w14:textId="77777777">
      <w:pPr>
        <w:pStyle w:val="Rubrik3"/>
      </w:pPr>
      <w:bookmarkStart w:name="_Toc121752550" w:id="40"/>
      <w:r w:rsidRPr="006B7451">
        <w:t>Suicid</w:t>
      </w:r>
      <w:bookmarkEnd w:id="40"/>
    </w:p>
    <w:p w:rsidRPr="006B7451" w:rsidR="00CD555B" w:rsidP="00D6021A" w:rsidRDefault="00CB5D58" w14:paraId="6D279DC2" w14:textId="13F50B35">
      <w:pPr>
        <w:pStyle w:val="Normalutanindragellerluft"/>
      </w:pPr>
      <w:r w:rsidRPr="006B7451">
        <w:t>Det har också funnits farhågor att pandemin kan ha påverkat antal</w:t>
      </w:r>
      <w:r w:rsidR="00937931">
        <w:t>et</w:t>
      </w:r>
      <w:r w:rsidRPr="006B7451">
        <w:t xml:space="preserve"> suicid eller</w:t>
      </w:r>
      <w:r w:rsidR="00937931">
        <w:t xml:space="preserve"> </w:t>
      </w:r>
      <w:r w:rsidRPr="006B7451" w:rsidR="0038704C">
        <w:t>s</w:t>
      </w:r>
      <w:r w:rsidRPr="006B7451">
        <w:t>uicidförsök. För perioden februari till juni 2020 varken ök</w:t>
      </w:r>
      <w:r w:rsidR="0014115F">
        <w:t xml:space="preserve">ade </w:t>
      </w:r>
      <w:r w:rsidRPr="006B7451">
        <w:t>eller</w:t>
      </w:r>
      <w:r w:rsidRPr="006B7451" w:rsidR="0038704C">
        <w:t xml:space="preserve"> </w:t>
      </w:r>
      <w:r w:rsidRPr="006B7451">
        <w:t>minsk</w:t>
      </w:r>
      <w:r w:rsidR="0014115F">
        <w:t>ade</w:t>
      </w:r>
      <w:r w:rsidRPr="006B7451">
        <w:t xml:space="preserve"> </w:t>
      </w:r>
      <w:r w:rsidR="0014115F">
        <w:t xml:space="preserve">antalet </w:t>
      </w:r>
      <w:r w:rsidRPr="006B7451">
        <w:t>suicidförsök jämfört med tidigare år. När det</w:t>
      </w:r>
      <w:r w:rsidRPr="006B7451" w:rsidR="00E3040E">
        <w:t xml:space="preserve"> </w:t>
      </w:r>
      <w:r w:rsidRPr="006B7451">
        <w:t>gäller suicid har</w:t>
      </w:r>
      <w:r w:rsidRPr="006B7451" w:rsidR="00E3040E">
        <w:t xml:space="preserve"> </w:t>
      </w:r>
      <w:r w:rsidRPr="006B7451" w:rsidR="0038704C">
        <w:t>Folkhälso</w:t>
      </w:r>
      <w:r w:rsidRPr="006B7451">
        <w:t xml:space="preserve">myndigheten </w:t>
      </w:r>
      <w:r w:rsidRPr="006B7451" w:rsidR="0038704C">
        <w:t xml:space="preserve">ännu inga </w:t>
      </w:r>
      <w:r w:rsidRPr="006B7451">
        <w:t>data</w:t>
      </w:r>
      <w:r w:rsidRPr="006B7451" w:rsidR="0038704C">
        <w:t xml:space="preserve"> för 2021</w:t>
      </w:r>
      <w:r w:rsidRPr="006B7451">
        <w:t>.</w:t>
      </w:r>
    </w:p>
    <w:p w:rsidRPr="006B7451" w:rsidR="0068552B" w:rsidP="00F74926" w:rsidRDefault="0068552B" w14:paraId="23DC10F7" w14:textId="77777777">
      <w:pPr>
        <w:pStyle w:val="Rubrik3"/>
      </w:pPr>
      <w:bookmarkStart w:name="_Toc121752551" w:id="41"/>
      <w:r w:rsidRPr="006B7451">
        <w:lastRenderedPageBreak/>
        <w:t>Behov av breda åtgärder</w:t>
      </w:r>
      <w:bookmarkEnd w:id="41"/>
    </w:p>
    <w:p w:rsidRPr="006B7451" w:rsidR="00E66DDB" w:rsidP="00D6021A" w:rsidRDefault="00E66DDB" w14:paraId="4C83A660" w14:textId="77777777">
      <w:pPr>
        <w:pStyle w:val="Normalutanindragellerluft"/>
      </w:pPr>
      <w:r w:rsidRPr="006B7451">
        <w:t>Sverigedemokraterna väljer att göra tydliga satsningar för att hantera den ökade psykiska ohälsan och för att motverka förekomsten av suicid. Därför föreslås bland annat en satsning på en rikstäckande nationell stödtelefonsfunktion för personer med psykiska besvär och suicidala tankar, en haverikommission vid suicid och utökat stöd till ideella organisationer som arbetar med psykisk ohälsa och suicidprevention.</w:t>
      </w:r>
    </w:p>
    <w:p w:rsidRPr="006B7451" w:rsidR="00E66DDB" w:rsidP="003E62F8" w:rsidRDefault="00E66DDB" w14:paraId="71929820" w14:textId="0F0D74D2">
      <w:r w:rsidRPr="006B7451">
        <w:t xml:space="preserve">Sverige behöver en samlad och långsiktig plan för att hantera den ökade psykiska ohälsan. Enskilda och kortsiktiga satsningar kommer aldrig att kunna möta den problematik som vi står inför, </w:t>
      </w:r>
      <w:r w:rsidR="00751C5E">
        <w:t xml:space="preserve">och </w:t>
      </w:r>
      <w:r w:rsidRPr="006B7451">
        <w:t xml:space="preserve">därför krävs det tydliga prioriteringar och en seriös plan för det fortsatta arbetet. Den förda kvartalspolitiken måste ifrågasättas och ersättas med en tioårig strategi, i enlighet med vad som föreslås i slutbetänkandet SOU 2018:90. I slutbetänkandet föreslås likaså ett nationellt mål för strategin och en målstruktur som ska verka sektorsövergripande, vilket vi menar är ytterst angeläget att konkretisera. </w:t>
      </w:r>
    </w:p>
    <w:p w:rsidRPr="006B7451" w:rsidR="00E66DDB" w:rsidP="003E62F8" w:rsidRDefault="00E66DDB" w14:paraId="1FE2E901" w14:textId="0F3361BE">
      <w:r w:rsidRPr="006B7451">
        <w:t>Den växande psykiska ohälsan kräver att vi ser över det statliga styret och skapar nya strukturer för ökad förståelse och ett förbättrat samarbete mellan departement, myndigheter och involverade aktörer. Med tydliga resultatmål och ett seriöst analytiskt åtagande ska utförda insatser därefter grundligt följas upp. Med anledning av detta vill vi se en tydlig nationell pådrivande styrning och verka för att Folkhälsomyndighetens roll förstärks och förtydligas.</w:t>
      </w:r>
    </w:p>
    <w:p w:rsidR="00A03A10" w:rsidP="00A03A10" w:rsidRDefault="00A03A10" w14:paraId="41419CE1" w14:textId="4FC2EBBE">
      <w:r w:rsidRPr="006B7451">
        <w:t>Förslaget beräknas öka utgifterna i statens budget med 0,40 miljarder kronor 2022.</w:t>
      </w:r>
    </w:p>
    <w:p w:rsidR="008F5945" w:rsidRDefault="008F5945" w14:paraId="03DAAA86" w14:textId="7657A91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27185" w:rsidP="00ED5D60" w:rsidRDefault="00D27185" w14:paraId="5F119C0F" w14:textId="4387E758">
      <w:pPr>
        <w:pStyle w:val="Rubrik1numrerat"/>
      </w:pPr>
      <w:bookmarkStart w:name="_Toc121752552" w:id="42"/>
      <w:r w:rsidRPr="006B7451">
        <w:lastRenderedPageBreak/>
        <w:t>Trygghet</w:t>
      </w:r>
      <w:bookmarkEnd w:id="42"/>
    </w:p>
    <w:p w:rsidRPr="006B7451" w:rsidR="007A2BDD" w:rsidP="003E62F8" w:rsidRDefault="007A2BDD" w14:paraId="419CDD57" w14:textId="77777777">
      <w:pPr>
        <w:pStyle w:val="Normalutanindragellerluft"/>
      </w:pPr>
      <w:r w:rsidRPr="006B7451">
        <w:t>Att upprätthålla lag och ordning tillhör statens kärnuppgifter och måste prioriteras mycket högt. Dit rättsstaten inte når tar andra, informella strukturer över och den enskildes rätt till skydd och säkerhet blir en angelägenhet för olika självutnämnda aktörer, vilket uppenbart är en grogrund för organiserad brottslighet.</w:t>
      </w:r>
    </w:p>
    <w:p w:rsidRPr="006B7451" w:rsidR="007A2BDD" w:rsidP="007A2BDD" w:rsidRDefault="007A2BDD" w14:paraId="39E4300B" w14:textId="74B42E54">
      <w:r w:rsidRPr="006B7451">
        <w:t>I Sverige har en tilltagande gängbrottslighet skördat allt fler liv, vilket har seglat upp som ett av samhällets allvarligaste problem. Medan coronapandemin har resulterat i att vissa verksamheter avstannat har de kriminella gängen fortsatt sin verksamhet. Skott</w:t>
      </w:r>
      <w:r w:rsidR="00FC17A0">
        <w:softHyphen/>
      </w:r>
      <w:r w:rsidRPr="006B7451">
        <w:t>lossningar har ökat, brott mot person har ökat och andelen kvinnor som utsätts för sexualbrott har skjutit i höjden. Därutöver växer kriminaliteten fram på nya områden, bland annat rån mot barn och unga. Detta i en situation där tekniska framsteg, exempel</w:t>
      </w:r>
      <w:r w:rsidR="00FC17A0">
        <w:softHyphen/>
      </w:r>
      <w:r w:rsidRPr="006B7451">
        <w:t>vis kamerabevakning, de facto har potentialen att stävja grov brottslighet.</w:t>
      </w:r>
    </w:p>
    <w:p w:rsidRPr="006B7451" w:rsidR="007A2BDD" w:rsidP="007A2BDD" w:rsidRDefault="007A2BDD" w14:paraId="0213DCE2" w14:textId="1BE70C07">
      <w:r w:rsidRPr="006B7451">
        <w:t>Förutom att brottsligheten orsakar mänskligt lidande och otrygghet är samhälls</w:t>
      </w:r>
      <w:r w:rsidR="00FC17A0">
        <w:softHyphen/>
      </w:r>
      <w:r w:rsidRPr="006B7451">
        <w:t>kostnaden enorm. Bortsett från rättsväsendets kostnader tvingas företag stå för kost</w:t>
      </w:r>
      <w:r w:rsidR="00FC17A0">
        <w:softHyphen/>
      </w:r>
      <w:r w:rsidRPr="006B7451">
        <w:t>nader på tiotals miljarder varje år för att hantera rena säkerhetsproblem – kostnader som måste bäras av ägare, försäkringsbolag, kunder och arbetstagare. Den negativa utveck</w:t>
      </w:r>
      <w:r w:rsidR="00FC17A0">
        <w:softHyphen/>
      </w:r>
      <w:r w:rsidRPr="006B7451">
        <w:t>lingen är intimt förknippad med Sveriges misslyckade migrations</w:t>
      </w:r>
      <w:r w:rsidR="00F30E1D">
        <w:t>-</w:t>
      </w:r>
      <w:r w:rsidRPr="006B7451">
        <w:t xml:space="preserve"> och integrations</w:t>
      </w:r>
      <w:r w:rsidR="00FC17A0">
        <w:softHyphen/>
      </w:r>
      <w:r w:rsidRPr="006B7451">
        <w:t xml:space="preserve">politik och bristande gränskontroll – i kombination med att rättsväsendets resurser och befogenheter inte håller jämna steg med behoven. Den långsiktiga lösningen ligger i en kombination av utbildning, socialpolitik, nationell sammanhållning och inte minst en verklighetsförankrad </w:t>
      </w:r>
      <w:proofErr w:type="spellStart"/>
      <w:r w:rsidRPr="006B7451">
        <w:t>migrationspolitik</w:t>
      </w:r>
      <w:proofErr w:type="spellEnd"/>
      <w:r w:rsidRPr="006B7451">
        <w:t>. Den kortsiktiga men mycket angelägna lösningen är dock att tillföra de brottsbekämpande myndigheterna erforderliga resurser. Det är en ren prioriteringsfråga som dessutom ligger direkt på staten och statliga myndigheter.</w:t>
      </w:r>
    </w:p>
    <w:p w:rsidRPr="006B7451" w:rsidR="00D27185" w:rsidP="00ED5D60" w:rsidRDefault="00DF5583" w14:paraId="4F0D7722" w14:textId="77777777">
      <w:pPr>
        <w:pStyle w:val="Rubrik2numrerat"/>
      </w:pPr>
      <w:bookmarkStart w:name="_Toc121752553" w:id="43"/>
      <w:r w:rsidRPr="006B7451">
        <w:t>Förstärkning av Polismyndigheten</w:t>
      </w:r>
      <w:bookmarkEnd w:id="43"/>
    </w:p>
    <w:p w:rsidRPr="006B7451" w:rsidR="007A2BDD" w:rsidP="003E62F8" w:rsidRDefault="007A2BDD" w14:paraId="52A03390" w14:textId="2EE912C2">
      <w:pPr>
        <w:pStyle w:val="Normalutanindragellerluft"/>
      </w:pPr>
      <w:r w:rsidRPr="006B7451">
        <w:rPr>
          <w:b/>
        </w:rPr>
        <w:t>Sverigedemokraternas förslag</w:t>
      </w:r>
      <w:r w:rsidRPr="003E62F8">
        <w:t>:</w:t>
      </w:r>
      <w:r w:rsidRPr="006B7451">
        <w:t xml:space="preserve"> </w:t>
      </w:r>
      <w:r w:rsidRPr="006B7451" w:rsidR="00BA5011">
        <w:t>En särskild lönesatsning och en betald polisutbildning ska införas. Polismyndigheten ska förstärkas med fler anställda och högre anslag för investeringar i den tekniska miljön</w:t>
      </w:r>
      <w:r w:rsidR="00A17B51">
        <w:t>.</w:t>
      </w:r>
    </w:p>
    <w:p w:rsidRPr="006B7451" w:rsidR="00DF5583" w:rsidP="003E62F8" w:rsidRDefault="007A2BDD" w14:paraId="66E6EE7B" w14:textId="1AB33E06">
      <w:pPr>
        <w:pStyle w:val="Normalutanindragellerluft"/>
        <w:spacing w:before="150"/>
      </w:pPr>
      <w:r w:rsidRPr="006B7451">
        <w:t xml:space="preserve">Sverige har en polistäthet på </w:t>
      </w:r>
      <w:r w:rsidRPr="006B7451" w:rsidR="00DF5583">
        <w:t>cirka</w:t>
      </w:r>
      <w:r w:rsidRPr="006B7451">
        <w:t xml:space="preserve"> 200 poliser per 100</w:t>
      </w:r>
      <w:r w:rsidR="00A17B51">
        <w:t> </w:t>
      </w:r>
      <w:r w:rsidRPr="006B7451">
        <w:t>000 invånare, att jämföra med EU-snittet på 350 poliser per 100</w:t>
      </w:r>
      <w:r w:rsidR="00A17B51">
        <w:t> </w:t>
      </w:r>
      <w:r w:rsidRPr="006B7451">
        <w:t>000 invånare. Just nu föreligger ett behov av betydligt fler poliser ute i verkligheten, vilket i realiteten endast kan uppnås genom att mer resurser tillförs Polismyndigheten.</w:t>
      </w:r>
    </w:p>
    <w:p w:rsidRPr="006B7451" w:rsidR="00DF5583" w:rsidP="00F74926" w:rsidRDefault="00DF5583" w14:paraId="78C70339" w14:textId="09C53593">
      <w:pPr>
        <w:pStyle w:val="Rubrik3"/>
      </w:pPr>
      <w:bookmarkStart w:name="_Toc121752554" w:id="44"/>
      <w:r w:rsidRPr="006B7451">
        <w:t>Särskild lönesatsning</w:t>
      </w:r>
      <w:bookmarkEnd w:id="44"/>
    </w:p>
    <w:p w:rsidRPr="006B7451" w:rsidR="00DF5583" w:rsidP="003E62F8" w:rsidRDefault="00DF5583" w14:paraId="745C5D50" w14:textId="6DA4F163">
      <w:pPr>
        <w:pStyle w:val="Normalutanindragellerluft"/>
      </w:pPr>
      <w:r w:rsidRPr="006B7451">
        <w:t>Arbetet med att stärka Polismyndigheten med personal fortgår. Det finns dock en</w:t>
      </w:r>
      <w:r w:rsidR="008B6336">
        <w:t xml:space="preserve"> </w:t>
      </w:r>
      <w:r w:rsidRPr="006B7451">
        <w:t>begränsning i hur många som kan utbildas och många upplever alltjämt villkoren som</w:t>
      </w:r>
      <w:r w:rsidR="008B6336">
        <w:t xml:space="preserve"> </w:t>
      </w:r>
      <w:r w:rsidRPr="006B7451">
        <w:t>så undermåliga att de underlåter att arbeta kvar. En särskild lönesatsning främjar</w:t>
      </w:r>
      <w:r w:rsidR="008B6336">
        <w:t xml:space="preserve"> </w:t>
      </w:r>
      <w:r w:rsidRPr="006B7451">
        <w:t>kvarstannandet av medarbetare vid myndigheten samt skapar incitament för</w:t>
      </w:r>
      <w:r w:rsidR="008B6336">
        <w:t xml:space="preserve"> </w:t>
      </w:r>
      <w:r w:rsidRPr="006B7451">
        <w:t>åter</w:t>
      </w:r>
      <w:r w:rsidR="00FC17A0">
        <w:softHyphen/>
      </w:r>
      <w:r w:rsidRPr="006B7451">
        <w:t>rekrytering av poliser som för närvarande arbetar med annat. Sverigedemokraterna</w:t>
      </w:r>
      <w:r w:rsidR="008B6336">
        <w:t xml:space="preserve"> </w:t>
      </w:r>
      <w:r w:rsidRPr="006B7451">
        <w:t xml:space="preserve">tillför för detta </w:t>
      </w:r>
      <w:r w:rsidRPr="006B7451" w:rsidR="00BA5011">
        <w:t>1 480 miljoner</w:t>
      </w:r>
      <w:r w:rsidRPr="006B7451">
        <w:t xml:space="preserve"> kronor för år 2022.</w:t>
      </w:r>
    </w:p>
    <w:p w:rsidRPr="006B7451" w:rsidR="00DF5583" w:rsidP="00F74926" w:rsidRDefault="00DF5583" w14:paraId="1674AB71" w14:textId="1B63379A">
      <w:pPr>
        <w:pStyle w:val="Rubrik3"/>
      </w:pPr>
      <w:bookmarkStart w:name="_Toc121752555" w:id="45"/>
      <w:r w:rsidRPr="006B7451">
        <w:t>10</w:t>
      </w:r>
      <w:r w:rsidR="0028768C">
        <w:t> </w:t>
      </w:r>
      <w:r w:rsidRPr="006B7451">
        <w:t>000 fler poliser till 2024</w:t>
      </w:r>
      <w:bookmarkEnd w:id="45"/>
    </w:p>
    <w:p w:rsidRPr="006B7451" w:rsidR="00DF5583" w:rsidP="003E62F8" w:rsidRDefault="00DF5583" w14:paraId="190CF051" w14:textId="02972BC3">
      <w:pPr>
        <w:pStyle w:val="Normalutanindragellerluft"/>
      </w:pPr>
      <w:r w:rsidRPr="006B7451">
        <w:t>Målet med 10</w:t>
      </w:r>
      <w:r w:rsidR="008B54F2">
        <w:t> </w:t>
      </w:r>
      <w:r w:rsidRPr="006B7451">
        <w:t>000 fler anställda poliser till 2024 kräver en långsiktig planering av</w:t>
      </w:r>
      <w:r w:rsidR="008B6336">
        <w:t xml:space="preserve"> </w:t>
      </w:r>
      <w:r w:rsidRPr="006B7451">
        <w:t xml:space="preserve">Polismyndighetens resurser i syfte att möjliggöra den utbyggnad av myndigheten </w:t>
      </w:r>
      <w:r w:rsidR="008B6336">
        <w:t xml:space="preserve">som </w:t>
      </w:r>
      <w:r w:rsidRPr="006B7451">
        <w:lastRenderedPageBreak/>
        <w:t>detta</w:t>
      </w:r>
      <w:r w:rsidR="008B6336">
        <w:t xml:space="preserve"> </w:t>
      </w:r>
      <w:r w:rsidRPr="006B7451">
        <w:t>innebär. Regeringen har i budgetpropositionen inte aviserat de medel som krävs för att</w:t>
      </w:r>
      <w:r w:rsidR="008B6336">
        <w:t xml:space="preserve"> </w:t>
      </w:r>
      <w:r w:rsidRPr="006B7451">
        <w:t>uppnå denna satsning under budgetperioden, varför Sverigedemokraterna anslår äskade</w:t>
      </w:r>
      <w:r w:rsidR="008B6336">
        <w:t xml:space="preserve"> </w:t>
      </w:r>
      <w:r w:rsidRPr="006B7451">
        <w:t xml:space="preserve">medel även för 2024 om </w:t>
      </w:r>
      <w:r w:rsidRPr="006B7451" w:rsidR="00BA5011">
        <w:t>2 100 miljoner kronor</w:t>
      </w:r>
      <w:r w:rsidRPr="006B7451">
        <w:t>.</w:t>
      </w:r>
    </w:p>
    <w:p w:rsidRPr="006B7451" w:rsidR="00DF5583" w:rsidP="00F74926" w:rsidRDefault="00DF5583" w14:paraId="206C0E52" w14:textId="77777777">
      <w:pPr>
        <w:pStyle w:val="Rubrik3"/>
      </w:pPr>
      <w:bookmarkStart w:name="_Toc121752556" w:id="46"/>
      <w:r w:rsidRPr="006B7451">
        <w:t>Betald polisutbildning</w:t>
      </w:r>
      <w:bookmarkEnd w:id="46"/>
    </w:p>
    <w:p w:rsidRPr="006B7451" w:rsidR="00DF5583" w:rsidP="003E62F8" w:rsidRDefault="00DF5583" w14:paraId="4309E1B0" w14:textId="6BCD4A83">
      <w:pPr>
        <w:pStyle w:val="Normalutanindragellerluft"/>
      </w:pPr>
      <w:r w:rsidRPr="006B7451">
        <w:t xml:space="preserve">För att uppnå den personalstyrka </w:t>
      </w:r>
      <w:r w:rsidR="00BC5B05">
        <w:t xml:space="preserve">som </w:t>
      </w:r>
      <w:r w:rsidRPr="006B7451">
        <w:t>Polismyndigheten behöver i sitt arbete krävs mer än att</w:t>
      </w:r>
      <w:r w:rsidR="00BC5B05">
        <w:t xml:space="preserve"> </w:t>
      </w:r>
      <w:r w:rsidRPr="006B7451">
        <w:t>enkom öka antalet utbildningsplatser, i synnerhet då utbildningsplatser kontinuer</w:t>
      </w:r>
      <w:r w:rsidR="00FC17A0">
        <w:softHyphen/>
      </w:r>
      <w:r w:rsidRPr="006B7451">
        <w:t>ligt</w:t>
      </w:r>
      <w:r w:rsidR="00BC5B05">
        <w:t xml:space="preserve"> </w:t>
      </w:r>
      <w:r w:rsidRPr="006B7451">
        <w:t>gapar tomma och avhopp ofta förekommer. I syfte att öka genomströmningen på</w:t>
      </w:r>
      <w:r w:rsidR="00BC5B05">
        <w:t xml:space="preserve"> </w:t>
      </w:r>
      <w:r w:rsidRPr="006B7451">
        <w:t>utbildningen föreslås, förutom åtgärder för att öka polisyrkets attraktivitet, att studenter</w:t>
      </w:r>
      <w:r w:rsidR="00BC5B05">
        <w:t xml:space="preserve"> </w:t>
      </w:r>
      <w:r w:rsidRPr="006B7451">
        <w:t>på utbildningen erhåller lön under studietiden. Detta möjliggör att även de som är mitt i</w:t>
      </w:r>
      <w:r w:rsidR="00BC5B05">
        <w:t xml:space="preserve"> </w:t>
      </w:r>
      <w:r w:rsidRPr="006B7451">
        <w:t xml:space="preserve">livet och önskar bli poliser får en reell möjlighet att </w:t>
      </w:r>
      <w:r w:rsidR="00B45230">
        <w:t>bli</w:t>
      </w:r>
      <w:r w:rsidRPr="006B7451">
        <w:t xml:space="preserve"> det. För detta syfte anslås</w:t>
      </w:r>
      <w:r w:rsidR="00BC5B05">
        <w:t xml:space="preserve"> </w:t>
      </w:r>
      <w:r w:rsidRPr="006B7451">
        <w:t>870 mi</w:t>
      </w:r>
      <w:r w:rsidRPr="006B7451" w:rsidR="00BA5011">
        <w:t>ljoner</w:t>
      </w:r>
      <w:r w:rsidRPr="006B7451">
        <w:t xml:space="preserve"> kronor för år 2022.</w:t>
      </w:r>
    </w:p>
    <w:p w:rsidRPr="006B7451" w:rsidR="00DF5583" w:rsidP="00F74926" w:rsidRDefault="00DF5583" w14:paraId="6D23EE88" w14:textId="77777777">
      <w:pPr>
        <w:pStyle w:val="Rubrik3"/>
      </w:pPr>
      <w:bookmarkStart w:name="_Toc121752557" w:id="47"/>
      <w:r w:rsidRPr="006B7451">
        <w:t>Investeringar i den tekniska miljön och kameraövervakning</w:t>
      </w:r>
      <w:bookmarkEnd w:id="47"/>
    </w:p>
    <w:p w:rsidRPr="006B7451" w:rsidR="00DF5583" w:rsidP="003E62F8" w:rsidRDefault="00DF5583" w14:paraId="3379BA26" w14:textId="3DB084FE">
      <w:pPr>
        <w:pStyle w:val="Normalutanindragellerluft"/>
      </w:pPr>
      <w:r w:rsidRPr="006B7451">
        <w:t>Den tekniska utvecklingen och de utökade möjligheterna till kameraövervakning kräver utökade resurser för att tillvarata möjligheterna till bättre brottsbekämpning. Det bör förutom de medel som Polismyndigheten omedelbart äskat finnas rum för en ambitions</w:t>
      </w:r>
      <w:r w:rsidR="00FC17A0">
        <w:softHyphen/>
      </w:r>
      <w:r w:rsidRPr="006B7451">
        <w:t>höjning, med fler kameror och tekniska lösningar som leder till förhindradande och beivrande av brott. För detta syfte anslås ytterligare 200 miljoner kronor för år 2022.</w:t>
      </w:r>
    </w:p>
    <w:p w:rsidRPr="006B7451" w:rsidR="00DF5583" w:rsidP="00F74926" w:rsidRDefault="00DF5583" w14:paraId="5FE70F2E" w14:textId="77777777">
      <w:pPr>
        <w:pStyle w:val="Rubrik3"/>
      </w:pPr>
      <w:bookmarkStart w:name="_Toc121752558" w:id="48"/>
      <w:r w:rsidRPr="006B7451">
        <w:t>Renodling av polisens arbetsuppgifter</w:t>
      </w:r>
      <w:bookmarkEnd w:id="48"/>
    </w:p>
    <w:p w:rsidRPr="006B7451" w:rsidR="00DF5583" w:rsidP="003E62F8" w:rsidRDefault="00DF5583" w14:paraId="562801C3" w14:textId="7B232C36">
      <w:pPr>
        <w:pStyle w:val="Normalutanindragellerluft"/>
      </w:pPr>
      <w:r w:rsidRPr="006B7451">
        <w:t>I syfte att frigöra polisiär kompetens bör administrativ personal anställas i större</w:t>
      </w:r>
      <w:r w:rsidR="00FB672D">
        <w:t xml:space="preserve"> </w:t>
      </w:r>
      <w:r w:rsidRPr="006B7451">
        <w:t>utsträckning. Genom att fördela administrativa uppgifter eller andra icke-polisiära</w:t>
      </w:r>
      <w:r w:rsidR="00FB672D">
        <w:t xml:space="preserve"> </w:t>
      </w:r>
      <w:r w:rsidRPr="006B7451">
        <w:t>uppgifter till sådan personal kan de med polisutbildning arbeta med kärnverksamheten,</w:t>
      </w:r>
      <w:r w:rsidR="00FB672D">
        <w:t xml:space="preserve"> </w:t>
      </w:r>
      <w:r w:rsidRPr="006B7451">
        <w:t>vilket bör leda till större effektivitet. För detta anslås 200 miljoner kronor för år 2022.</w:t>
      </w:r>
    </w:p>
    <w:p w:rsidRPr="006B7451" w:rsidR="00DF5583" w:rsidP="00F74926" w:rsidRDefault="00DF5583" w14:paraId="57D8694F" w14:textId="77777777">
      <w:pPr>
        <w:pStyle w:val="Rubrik3"/>
      </w:pPr>
      <w:bookmarkStart w:name="_Toc121752559" w:id="49"/>
      <w:r w:rsidRPr="006B7451">
        <w:t>Förstärkningar av NFC</w:t>
      </w:r>
      <w:bookmarkEnd w:id="49"/>
    </w:p>
    <w:p w:rsidRPr="006B7451" w:rsidR="00DF5583" w:rsidP="003E62F8" w:rsidRDefault="00DF5583" w14:paraId="34A889C9" w14:textId="4292FAB2">
      <w:pPr>
        <w:pStyle w:val="Normalutanindragellerluft"/>
      </w:pPr>
      <w:r w:rsidRPr="006B7451">
        <w:t xml:space="preserve">Nationellt forensiskt centrum utgör ett ovärderligt verktyg i utredandet av brott. Deras verksamhet har dock länge varit underdimensionerad och underfinansierad. I syfte att förbättra deras verksamhet, och i förlängningen förkorta utredningstider och förbättra utredningar, anslås 200 miljoner kronor för år 2022. </w:t>
      </w:r>
    </w:p>
    <w:p w:rsidRPr="006B7451" w:rsidR="00DF5583" w:rsidP="00F74926" w:rsidRDefault="00DF5583" w14:paraId="40BAB8C4" w14:textId="77777777">
      <w:pPr>
        <w:pStyle w:val="Rubrik3"/>
      </w:pPr>
      <w:bookmarkStart w:name="_Toc121752560" w:id="50"/>
      <w:r w:rsidRPr="006B7451">
        <w:t>Stärkt gränspolis</w:t>
      </w:r>
      <w:bookmarkEnd w:id="50"/>
    </w:p>
    <w:p w:rsidRPr="006B7451" w:rsidR="00DF5583" w:rsidP="003E62F8" w:rsidRDefault="00DF5583" w14:paraId="564EFB63" w14:textId="77777777">
      <w:pPr>
        <w:pStyle w:val="Normalutanindragellerluft"/>
      </w:pPr>
      <w:r w:rsidRPr="006B7451">
        <w:t>Organiserad tillgreppsbrottslighet bedrivs till stor del av internationella brottsnätverk.</w:t>
      </w:r>
    </w:p>
    <w:p w:rsidRPr="006B7451" w:rsidR="00DF5583" w:rsidP="00DF5583" w:rsidRDefault="00DF5583" w14:paraId="2F0EEA0B" w14:textId="0CE9FFAF">
      <w:pPr>
        <w:ind w:firstLine="0"/>
      </w:pPr>
      <w:r w:rsidRPr="006B7451">
        <w:t xml:space="preserve">Polismyndigheten har ett ansvar att handha de kontroller som sker vid </w:t>
      </w:r>
      <w:r w:rsidRPr="006B7451" w:rsidR="00D15093">
        <w:t xml:space="preserve">både </w:t>
      </w:r>
      <w:r w:rsidRPr="006B7451">
        <w:t>yttre och</w:t>
      </w:r>
    </w:p>
    <w:p w:rsidRPr="006B7451" w:rsidR="00DF5583" w:rsidP="00DF5583" w:rsidRDefault="00DF5583" w14:paraId="6A35831B" w14:textId="77777777">
      <w:pPr>
        <w:ind w:firstLine="0"/>
      </w:pPr>
      <w:r w:rsidRPr="006B7451">
        <w:t>inre gräns samt inre gränskontroller. Dessa olika kontroller är ett effektivt medel för att</w:t>
      </w:r>
    </w:p>
    <w:p w:rsidRPr="006B7451" w:rsidR="00DF5583" w:rsidP="00DF5583" w:rsidRDefault="00DF5583" w14:paraId="21F39E38" w14:textId="77777777">
      <w:pPr>
        <w:ind w:firstLine="0"/>
      </w:pPr>
      <w:r w:rsidRPr="006B7451">
        <w:t>beivra och förhindra den gränsöverskridande kriminaliteten. I syfte att understödja</w:t>
      </w:r>
    </w:p>
    <w:p w:rsidRPr="006B7451" w:rsidR="00BA5011" w:rsidP="007A2BDD" w:rsidRDefault="00DF5583" w14:paraId="460BB165" w14:textId="1BA86385">
      <w:pPr>
        <w:ind w:firstLine="0"/>
      </w:pPr>
      <w:r w:rsidRPr="006B7451">
        <w:t>motverkandet av denna kriminalitet bör myndigheten tillföras 100 miljoner kronor för år 2022.</w:t>
      </w:r>
    </w:p>
    <w:p w:rsidRPr="006B7451" w:rsidR="00BA5011" w:rsidP="00F74926" w:rsidRDefault="00BA5011" w14:paraId="4D018765" w14:textId="6D6DB15D">
      <w:pPr>
        <w:pStyle w:val="Rubrik3"/>
      </w:pPr>
      <w:bookmarkStart w:name="_Toc121752561" w:id="51"/>
      <w:r w:rsidRPr="006B7451">
        <w:t>En bred förstärkning</w:t>
      </w:r>
      <w:bookmarkEnd w:id="51"/>
    </w:p>
    <w:p w:rsidRPr="006B7451" w:rsidR="00BA5011" w:rsidP="003E62F8" w:rsidRDefault="00BA5011" w14:paraId="243A392B" w14:textId="36D1AB6E">
      <w:pPr>
        <w:pStyle w:val="Normalutanindragellerluft"/>
      </w:pPr>
      <w:r w:rsidRPr="006B7451">
        <w:t>Sammantaget föreslås att Polismyndigheten tillförs 3,15 miljarder kronor utöver regeringens anslag 2022.</w:t>
      </w:r>
    </w:p>
    <w:p w:rsidRPr="006B7451" w:rsidR="007A2BDD" w:rsidP="00ED5D60" w:rsidRDefault="007A2BDD" w14:paraId="406F59A7" w14:textId="77777777">
      <w:pPr>
        <w:pStyle w:val="Rubrik2numrerat"/>
      </w:pPr>
      <w:bookmarkStart w:name="_Toc121752562" w:id="52"/>
      <w:r w:rsidRPr="006B7451">
        <w:lastRenderedPageBreak/>
        <w:t>Flaskhalsarna ska byggas bort</w:t>
      </w:r>
      <w:bookmarkEnd w:id="52"/>
    </w:p>
    <w:p w:rsidRPr="006B7451" w:rsidR="007A2BDD" w:rsidP="003E62F8" w:rsidRDefault="007A2BDD" w14:paraId="0ACF3E94" w14:textId="04DD41F4">
      <w:pPr>
        <w:pStyle w:val="Normalutanindragellerluft"/>
      </w:pPr>
      <w:r w:rsidRPr="006B7451">
        <w:rPr>
          <w:b/>
        </w:rPr>
        <w:t>Sverigedemokraternas förslag</w:t>
      </w:r>
      <w:r w:rsidRPr="003E62F8">
        <w:t>:</w:t>
      </w:r>
      <w:r w:rsidRPr="006B7451">
        <w:t xml:space="preserve"> Anslagen till</w:t>
      </w:r>
      <w:r w:rsidRPr="006B7451" w:rsidR="00DF5583">
        <w:t xml:space="preserve"> Åklagarmyndigheten,</w:t>
      </w:r>
      <w:r w:rsidRPr="006B7451">
        <w:t xml:space="preserve"> Sveriges </w:t>
      </w:r>
      <w:r w:rsidR="00554169">
        <w:t>D</w:t>
      </w:r>
      <w:r w:rsidRPr="006B7451">
        <w:t>omstolar och Kriminalvården ska höjas.</w:t>
      </w:r>
    </w:p>
    <w:p w:rsidRPr="006B7451" w:rsidR="003250AC" w:rsidP="003E62F8" w:rsidRDefault="003250AC" w14:paraId="32062E82" w14:textId="7598EF82">
      <w:pPr>
        <w:pStyle w:val="Normalutanindragellerluft"/>
        <w:spacing w:before="150"/>
      </w:pPr>
      <w:r w:rsidRPr="006B7451">
        <w:t>F</w:t>
      </w:r>
      <w:r w:rsidRPr="006B7451" w:rsidR="007A2BDD">
        <w:t>ör att undvika flaskhalsar till följd av satsningar på fler poliser</w:t>
      </w:r>
      <w:r w:rsidRPr="006B7451">
        <w:t xml:space="preserve"> </w:t>
      </w:r>
      <w:r w:rsidRPr="006B7451" w:rsidR="007A2BDD">
        <w:t>samt utökade möjligheter och verktyg för dessa att lagföra brottslingar krävs tillskott till</w:t>
      </w:r>
      <w:r w:rsidRPr="006B7451">
        <w:t xml:space="preserve"> Åklagarmyndigheten,</w:t>
      </w:r>
      <w:r w:rsidRPr="006B7451" w:rsidR="007A2BDD">
        <w:t xml:space="preserve"> Sveriges </w:t>
      </w:r>
      <w:r w:rsidR="00554169">
        <w:t>D</w:t>
      </w:r>
      <w:r w:rsidRPr="006B7451" w:rsidR="007A2BDD">
        <w:t>omstolar och Kriminalvården.</w:t>
      </w:r>
    </w:p>
    <w:p w:rsidRPr="006B7451" w:rsidR="007A2BDD" w:rsidP="003250AC" w:rsidRDefault="007A2BDD" w14:paraId="624C96B6" w14:textId="54655E4B">
      <w:r w:rsidRPr="006B7451">
        <w:t xml:space="preserve">Måltillströmningen i Sveriges </w:t>
      </w:r>
      <w:r w:rsidR="00554169">
        <w:t>D</w:t>
      </w:r>
      <w:r w:rsidRPr="006B7451">
        <w:t>omstolar har ökat under de senaste åren med längre väntetider som följd. Får inte myndigheten tillskott är risken att väntetiderna ökar ytterligare samt att utbildningsplatserna för nya domare minskar.</w:t>
      </w:r>
    </w:p>
    <w:p w:rsidRPr="006B7451" w:rsidR="007A2BDD" w:rsidP="003250AC" w:rsidRDefault="007A2BDD" w14:paraId="154C177B" w14:textId="1A772E63">
      <w:r w:rsidRPr="006B7451">
        <w:t>Anstalts- och häktesplatser har periodvis varit överbelagda och aktuella straff</w:t>
      </w:r>
      <w:r w:rsidR="008D534D">
        <w:softHyphen/>
      </w:r>
      <w:r w:rsidRPr="006B7451">
        <w:t xml:space="preserve">skärpningar kommer att förvärra situationen. </w:t>
      </w:r>
      <w:r w:rsidR="00554169">
        <w:t>Av</w:t>
      </w:r>
      <w:r w:rsidRPr="006B7451">
        <w:t xml:space="preserve"> Kriminalvårdens beräkningar framgår att det under kommande budgetperiod saknas över 100 platser i häkten och 7</w:t>
      </w:r>
      <w:r w:rsidRPr="006B7451" w:rsidR="00D86C1F">
        <w:t>83</w:t>
      </w:r>
      <w:r w:rsidRPr="006B7451">
        <w:t xml:space="preserve"> till 1</w:t>
      </w:r>
      <w:r w:rsidR="00554169">
        <w:t> </w:t>
      </w:r>
      <w:r w:rsidRPr="006B7451" w:rsidR="00D86C1F">
        <w:t>048</w:t>
      </w:r>
      <w:r w:rsidRPr="006B7451">
        <w:t xml:space="preserve"> platser i anstalt</w:t>
      </w:r>
      <w:r w:rsidR="00554169">
        <w:t>er</w:t>
      </w:r>
      <w:r w:rsidRPr="006B7451">
        <w:t>. Platsbristen i anstalter förutses inte åtgärdas på ett fullgott vis under den tid som myndigheten prognosticerar, fram till åtminstone 20</w:t>
      </w:r>
      <w:r w:rsidRPr="006B7451" w:rsidR="00D86C1F">
        <w:t>30</w:t>
      </w:r>
      <w:r w:rsidRPr="006B7451">
        <w:t>. Då byggnation av nya anstalter och häkten är en långsam process – det tar 5–10 år från beslut till färdig</w:t>
      </w:r>
      <w:r w:rsidR="008D534D">
        <w:softHyphen/>
      </w:r>
      <w:r w:rsidRPr="006B7451">
        <w:t xml:space="preserve">ställd anstalt – krävs åtgärder både på kort sikt i form av temporära lösningar och </w:t>
      </w:r>
      <w:r w:rsidR="00554169">
        <w:t xml:space="preserve">på </w:t>
      </w:r>
      <w:r w:rsidRPr="006B7451">
        <w:t>lång sikt.</w:t>
      </w:r>
      <w:r w:rsidRPr="006B7451" w:rsidR="003250AC">
        <w:t xml:space="preserve"> I</w:t>
      </w:r>
      <w:r w:rsidRPr="006B7451">
        <w:t xml:space="preserve"> syfte att tillgodose behovet av kapacitet i ett kort perspektiv föreslås ökade resurser för att Kriminalvården ska kunna hyra anstaltsplatser utomlands samt för att öka utbyggnaden av temporära anstaltsplatser.</w:t>
      </w:r>
    </w:p>
    <w:p w:rsidRPr="006B7451" w:rsidR="003250AC" w:rsidP="003250AC" w:rsidRDefault="003250AC" w14:paraId="4823831C" w14:textId="255611AD">
      <w:r w:rsidRPr="006B7451">
        <w:t>Åklagarmyndigheten är redan hårt belastad av nuvarande ärendehantering. En satsning på fler poliser kan under en övergångsperiod medföra att antalet ärenden ökar ytterligare, vilket i sin tur ställer krav på hela rättsapparaten. Sverigedemokraternas målsättning är dessutom att handläggningstider i möjlig mån ska kortas ned och sammantaget måste rättsväsendets ekonomiska förutsättningar anpassas till denna höjda ambitionsnivå.</w:t>
      </w:r>
    </w:p>
    <w:p w:rsidRPr="006B7451" w:rsidR="00BA5011" w:rsidP="003250AC" w:rsidRDefault="00BA5011" w14:paraId="3AB948DA" w14:textId="41790811">
      <w:r w:rsidRPr="006B7451">
        <w:t>Förslaget beräknas öka utgifterna i statens budget med 0,84 miljarder kronor 2022.</w:t>
      </w:r>
    </w:p>
    <w:p w:rsidRPr="006B7451" w:rsidR="007A2BDD" w:rsidP="00ED5D60" w:rsidRDefault="007A2BDD" w14:paraId="3BDB6AC4" w14:textId="77777777">
      <w:pPr>
        <w:pStyle w:val="Rubrik2numrerat"/>
      </w:pPr>
      <w:bookmarkStart w:name="_Toc121752563" w:id="53"/>
      <w:r w:rsidRPr="006B7451">
        <w:t>Ett riktigt brottsofferperspektiv</w:t>
      </w:r>
      <w:bookmarkEnd w:id="53"/>
    </w:p>
    <w:p w:rsidRPr="006B7451" w:rsidR="007A2BDD" w:rsidP="003E62F8" w:rsidRDefault="007A2BDD" w14:paraId="6B9BB8B8" w14:textId="77777777">
      <w:pPr>
        <w:pStyle w:val="Normalutanindragellerluft"/>
      </w:pPr>
      <w:r w:rsidRPr="006B7451">
        <w:rPr>
          <w:b/>
        </w:rPr>
        <w:t>Sverigedemokraternas förslag</w:t>
      </w:r>
      <w:r w:rsidRPr="003E62F8">
        <w:t xml:space="preserve">: </w:t>
      </w:r>
      <w:r w:rsidRPr="006B7451">
        <w:t>En statlig skadeståndsgaranti ska införas.</w:t>
      </w:r>
    </w:p>
    <w:p w:rsidRPr="006B7451" w:rsidR="007A2BDD" w:rsidP="003E62F8" w:rsidRDefault="007A2BDD" w14:paraId="500A4AAD" w14:textId="71F0DD48">
      <w:pPr>
        <w:pStyle w:val="Normalutanindragellerluft"/>
        <w:spacing w:before="150"/>
      </w:pPr>
      <w:r w:rsidRPr="006B7451">
        <w:t xml:space="preserve">Att brottsoffer först måste försöka driva in utdömda skadestånd av gärningsmän via </w:t>
      </w:r>
      <w:r w:rsidRPr="006B7451" w:rsidR="00D86C1F">
        <w:t>Kronofogdemyndigheten</w:t>
      </w:r>
      <w:r w:rsidRPr="006B7451">
        <w:t xml:space="preserve"> och sedan vända sig till försäkringsbolag innan de kan vända sig till Brottsoffermyndigheten och ansöka om brottsskadeersättning är inte en tillfreds</w:t>
      </w:r>
      <w:r w:rsidR="008D534D">
        <w:softHyphen/>
      </w:r>
      <w:r w:rsidRPr="006B7451">
        <w:t>ställande ordning. Det riskerar att skapa obehag hos offret, kanske till den grad att skadeståndet inte drivs in.</w:t>
      </w:r>
    </w:p>
    <w:p w:rsidRPr="006B7451" w:rsidR="00521A34" w:rsidP="00521A34" w:rsidRDefault="007A2BDD" w14:paraId="35DFB4FA" w14:textId="660E31FE">
      <w:r w:rsidRPr="006B7451">
        <w:t>För skadestånd på grund av brottmål bör brottsoffret därför aldrig själv tvingas</w:t>
      </w:r>
      <w:r w:rsidR="00B56D11">
        <w:t xml:space="preserve"> att</w:t>
      </w:r>
      <w:r w:rsidRPr="006B7451">
        <w:t xml:space="preserve"> kräva in detta av gärningspersonen. I stället bör en statlig skadeståndsgaranti införas, där staten betalar ut skadestånd till brottsoffer och därefter kräver hela summan, motsvarande det utbetalda skadeståndsbeloppet, av gärningsmannen.</w:t>
      </w:r>
    </w:p>
    <w:p w:rsidR="008D534D" w:rsidP="00521A34" w:rsidRDefault="007518A5" w14:paraId="3FFFB3A6" w14:textId="0E34B149">
      <w:r w:rsidRPr="006B7451">
        <w:t>Förslaget beräknas öka utgifterna i statens budget med 0,18 miljarder kronor 2022.</w:t>
      </w:r>
    </w:p>
    <w:p w:rsidR="008D534D" w:rsidRDefault="008D534D" w14:paraId="1681EFF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CB5D58" w:rsidP="00ED5D60" w:rsidRDefault="00CB5D58" w14:paraId="622EA466" w14:textId="77777777">
      <w:pPr>
        <w:pStyle w:val="Rubrik2numrerat"/>
      </w:pPr>
      <w:bookmarkStart w:name="_Toc121752564" w:id="54"/>
      <w:r w:rsidRPr="006B7451">
        <w:lastRenderedPageBreak/>
        <w:t>Våld i nära relationer</w:t>
      </w:r>
      <w:bookmarkEnd w:id="54"/>
    </w:p>
    <w:p w:rsidRPr="006B7451" w:rsidR="00521A34" w:rsidP="003E62F8" w:rsidRDefault="00521A34" w14:paraId="3265C522" w14:textId="57A2EDDE">
      <w:pPr>
        <w:pStyle w:val="Normalutanindragellerluft"/>
      </w:pPr>
      <w:r w:rsidRPr="006B7451">
        <w:rPr>
          <w:b/>
        </w:rPr>
        <w:t>Sverigedemokraternas förslag</w:t>
      </w:r>
      <w:r w:rsidRPr="003E62F8">
        <w:t>:</w:t>
      </w:r>
      <w:r w:rsidRPr="006B7451">
        <w:t xml:space="preserve"> Stödet till Sveriges kvinnojourer ska utökas</w:t>
      </w:r>
      <w:r w:rsidRPr="006B7451" w:rsidR="007518A5">
        <w:t xml:space="preserve"> med 75 miljoner kronor 2022.</w:t>
      </w:r>
    </w:p>
    <w:p w:rsidRPr="006B7451" w:rsidR="00E434EA" w:rsidP="003E62F8" w:rsidRDefault="00DF5583" w14:paraId="0548684C" w14:textId="538079A8">
      <w:pPr>
        <w:pStyle w:val="Normalutanindragellerluft"/>
        <w:spacing w:before="150"/>
      </w:pPr>
      <w:r w:rsidRPr="006B7451">
        <w:t xml:space="preserve">Isolering, hemarbete, stress och ekonomisk oro är samtliga riskfaktorer för våld i nära relationer. </w:t>
      </w:r>
      <w:r w:rsidRPr="006B7451" w:rsidR="00CB5D58">
        <w:t>Tidigare erfarenheter från Sveriges socialtjänster, kvinnojourer och polis visar också att mäns våld mot kvinnor ökar under semestrar och</w:t>
      </w:r>
      <w:r w:rsidRPr="006B7451" w:rsidR="00FA4524">
        <w:t xml:space="preserve"> </w:t>
      </w:r>
      <w:r w:rsidRPr="006B7451" w:rsidR="00CB5D58">
        <w:t>långledigheter.</w:t>
      </w:r>
      <w:r w:rsidRPr="006B7451">
        <w:t xml:space="preserve"> </w:t>
      </w:r>
      <w:r w:rsidRPr="006B7451" w:rsidR="00E434EA">
        <w:t xml:space="preserve">Antalet anmälda misshandelsbrott mot kvinnor ökade under 2020 jämfört med året innan, </w:t>
      </w:r>
      <w:r w:rsidR="00B56D11">
        <w:t xml:space="preserve">och </w:t>
      </w:r>
      <w:r w:rsidRPr="006B7451" w:rsidR="00E434EA">
        <w:t>detsamma gäller orosanmälningar till socialtjänsten rörande barn och unga. Medan en del av ökningen kan förklaras av större anmälningsbenägenhet kan v</w:t>
      </w:r>
      <w:r w:rsidRPr="006B7451" w:rsidR="00CB5D58">
        <w:t>issa anmälningar kopplas direkt till pandemin.</w:t>
      </w:r>
    </w:p>
    <w:p w:rsidRPr="006B7451" w:rsidR="00D63DC5" w:rsidP="00E434EA" w:rsidRDefault="00D63DC5" w14:paraId="45D5CEE7" w14:textId="11DEFA1F">
      <w:r w:rsidRPr="006B7451">
        <w:t>Det finns få samhällsekonomiska analyser av kostnaden för våld i nära relationer. Den mest genomgripande samhällsekonomiska analysen genomfördes av Social</w:t>
      </w:r>
      <w:r w:rsidR="008D534D">
        <w:softHyphen/>
      </w:r>
      <w:r w:rsidRPr="006B7451">
        <w:t>styrelsen 2006. Analysen uppskattade att samhällskostnaderna för våld mot kvinnor i nära relationer ungefärligen uppgår till 2,7–3,3 miljarder kronor per år i 2006 års penningvärde.</w:t>
      </w:r>
      <w:r w:rsidRPr="006B7451" w:rsidR="00E434EA">
        <w:rPr>
          <w:rStyle w:val="Fotnotsreferens"/>
        </w:rPr>
        <w:footnoteReference w:id="5"/>
      </w:r>
    </w:p>
    <w:p w:rsidRPr="006B7451" w:rsidR="00E415DC" w:rsidP="00E415DC" w:rsidRDefault="00E415DC" w14:paraId="366F3C99" w14:textId="586F3080">
      <w:r w:rsidRPr="006B7451">
        <w:t xml:space="preserve">En kartläggning av brott i nära relationer presenterades av Brottsförebyggande rådet 2014 inom ramen för den nationella trygghetsundersökningen. I den framkom att 6,8 procent av befolkningen uppgav att de utsattes för brott i en nära relation under 2012 och att utsattheten </w:t>
      </w:r>
      <w:r w:rsidR="0012208D">
        <w:t>va</w:t>
      </w:r>
      <w:r w:rsidRPr="006B7451">
        <w:t xml:space="preserve">r jämn mellan könen (7,0 procent av kvinnorna och 6,7 procent av männen). Det </w:t>
      </w:r>
      <w:r w:rsidR="0012208D">
        <w:t>va</w:t>
      </w:r>
      <w:r w:rsidRPr="006B7451">
        <w:t>r dock vanligare att kvinnor uts</w:t>
      </w:r>
      <w:r w:rsidR="0012208D">
        <w:t>a</w:t>
      </w:r>
      <w:r w:rsidRPr="006B7451">
        <w:t>tt</w:t>
      </w:r>
      <w:r w:rsidR="0012208D">
        <w:t>e</w:t>
      </w:r>
      <w:r w:rsidRPr="006B7451">
        <w:t>s för grövre våld och ha</w:t>
      </w:r>
      <w:r w:rsidR="0012208D">
        <w:t>de</w:t>
      </w:r>
      <w:r w:rsidRPr="006B7451">
        <w:t xml:space="preserve"> betydligt större behov av hjälp och stödinsatser, och då framför allt</w:t>
      </w:r>
      <w:r w:rsidR="0012208D">
        <w:t xml:space="preserve"> i fråga om</w:t>
      </w:r>
      <w:r w:rsidRPr="006B7451">
        <w:t xml:space="preserve"> sjukvård.</w:t>
      </w:r>
      <w:r w:rsidRPr="006B7451">
        <w:rPr>
          <w:rStyle w:val="Fotnotsreferens"/>
        </w:rPr>
        <w:footnoteReference w:id="6"/>
      </w:r>
    </w:p>
    <w:p w:rsidRPr="006B7451" w:rsidR="00E415DC" w:rsidP="00E415DC" w:rsidRDefault="00E415DC" w14:paraId="64749AC3" w14:textId="452E7BFC">
      <w:r w:rsidRPr="006B7451">
        <w:t>Utsattheten har även studerats i ett livstidsperspektiv genom en enkätundersökning av Nationellt centrum för kvinnofrid (NCK) som skickades ut till 20</w:t>
      </w:r>
      <w:r w:rsidR="00F6192D">
        <w:t> </w:t>
      </w:r>
      <w:r w:rsidRPr="006B7451">
        <w:t>000 slumpmässigt utvalda personer i åldrarna 18–74 år. Resultaten visar att 20 procent av kvinnorna och 8</w:t>
      </w:r>
      <w:r w:rsidR="00F6192D">
        <w:t> </w:t>
      </w:r>
      <w:r w:rsidRPr="006B7451">
        <w:t>procent av männen under någon period i vuxenlivet varit utsatta för upprepat psykiskt våld av en nuvarande eller tidigare partner. Studiens resultat visar även att 14 procent av kvinnorna och 5 procent av männen blivit utsatta för fysiskt våld eller hot om fysiskt våld av en nuvarande eller tidigare partner någon gång efter 18 års ålder.</w:t>
      </w:r>
      <w:r w:rsidRPr="006B7451">
        <w:rPr>
          <w:rStyle w:val="Fotnotsreferens"/>
        </w:rPr>
        <w:footnoteReference w:id="7"/>
      </w:r>
    </w:p>
    <w:p w:rsidR="008D534D" w:rsidP="00447B47" w:rsidRDefault="00447B47" w14:paraId="68621B3B" w14:textId="72F4E0B6">
      <w:r w:rsidRPr="006B7451">
        <w:t xml:space="preserve">År 2020 konstaterades totalt 124 fall av dödligt våld i Sverige. I 17 av de konstaterade fallen var offer och förövare i en närstående parrelation, motsvarande en andel på 14 procent av samtliga fall av dödligt våld för 2020. </w:t>
      </w:r>
    </w:p>
    <w:p w:rsidR="008D534D" w:rsidRDefault="008D534D" w14:paraId="375DAC6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E62F8" w:rsidR="00447B47" w:rsidP="00E76E6E" w:rsidRDefault="00447B47" w14:paraId="16BB91F5" w14:textId="772126DD">
      <w:pPr>
        <w:pStyle w:val="Tabellrubrik"/>
        <w:keepNext/>
      </w:pPr>
      <w:r w:rsidRPr="003E62F8">
        <w:lastRenderedPageBreak/>
        <w:t xml:space="preserve">Tabell </w:t>
      </w:r>
      <w:r w:rsidR="003E62F8">
        <w:t>10</w:t>
      </w:r>
      <w:r w:rsidRPr="003E62F8">
        <w:t xml:space="preserve"> Antal konstaterade fall av dödligt våld, efter kön, totalt och i närstående parrelation 2017–2020</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1210"/>
        <w:gridCol w:w="1211"/>
        <w:gridCol w:w="1238"/>
        <w:gridCol w:w="1210"/>
        <w:gridCol w:w="1211"/>
        <w:gridCol w:w="1213"/>
        <w:gridCol w:w="1211"/>
      </w:tblGrid>
      <w:tr w:rsidRPr="006B7451" w:rsidR="00447B47" w:rsidTr="00E76E6E" w14:paraId="52B82C84" w14:textId="77777777">
        <w:trPr>
          <w:cantSplit/>
        </w:trPr>
        <w:tc>
          <w:tcPr>
            <w:tcW w:w="1210" w:type="dxa"/>
            <w:tcBorders>
              <w:top w:val="single" w:color="auto" w:sz="4" w:space="0"/>
            </w:tcBorders>
          </w:tcPr>
          <w:p w:rsidRPr="006B7451" w:rsidR="00447B47" w:rsidP="00D43A45" w:rsidRDefault="00447B47" w14:paraId="34DB3095" w14:textId="77777777">
            <w:pPr>
              <w:spacing w:before="80" w:line="240" w:lineRule="exact"/>
              <w:ind w:firstLine="0"/>
              <w:rPr>
                <w:sz w:val="20"/>
                <w:szCs w:val="20"/>
              </w:rPr>
            </w:pPr>
          </w:p>
        </w:tc>
        <w:tc>
          <w:tcPr>
            <w:tcW w:w="1211" w:type="dxa"/>
            <w:tcBorders>
              <w:top w:val="single" w:color="auto" w:sz="4" w:space="0"/>
            </w:tcBorders>
          </w:tcPr>
          <w:p w:rsidRPr="006B7451" w:rsidR="00447B47" w:rsidP="00D43A45" w:rsidRDefault="00447B47" w14:paraId="57E39008" w14:textId="77777777">
            <w:pPr>
              <w:spacing w:before="80" w:line="240" w:lineRule="exact"/>
              <w:ind w:firstLine="0"/>
              <w:rPr>
                <w:b/>
                <w:sz w:val="20"/>
                <w:szCs w:val="20"/>
              </w:rPr>
            </w:pPr>
            <w:r w:rsidRPr="006B7451">
              <w:rPr>
                <w:b/>
                <w:sz w:val="20"/>
                <w:szCs w:val="20"/>
              </w:rPr>
              <w:t>Kvinnor</w:t>
            </w:r>
          </w:p>
        </w:tc>
        <w:tc>
          <w:tcPr>
            <w:tcW w:w="1238" w:type="dxa"/>
            <w:tcBorders>
              <w:top w:val="single" w:color="auto" w:sz="4" w:space="0"/>
            </w:tcBorders>
          </w:tcPr>
          <w:p w:rsidRPr="006B7451" w:rsidR="00447B47" w:rsidP="00D43A45" w:rsidRDefault="00447B47" w14:paraId="50195CD2" w14:textId="77777777">
            <w:pPr>
              <w:spacing w:before="80" w:line="240" w:lineRule="exact"/>
              <w:ind w:firstLine="0"/>
              <w:rPr>
                <w:sz w:val="20"/>
                <w:szCs w:val="20"/>
              </w:rPr>
            </w:pPr>
          </w:p>
        </w:tc>
        <w:tc>
          <w:tcPr>
            <w:tcW w:w="1210" w:type="dxa"/>
            <w:tcBorders>
              <w:top w:val="single" w:color="auto" w:sz="4" w:space="0"/>
            </w:tcBorders>
          </w:tcPr>
          <w:p w:rsidRPr="006B7451" w:rsidR="00447B47" w:rsidP="00D43A45" w:rsidRDefault="00447B47" w14:paraId="780ABCED" w14:textId="77777777">
            <w:pPr>
              <w:spacing w:before="80" w:line="240" w:lineRule="exact"/>
              <w:ind w:firstLine="0"/>
              <w:rPr>
                <w:sz w:val="20"/>
                <w:szCs w:val="20"/>
              </w:rPr>
            </w:pPr>
          </w:p>
        </w:tc>
        <w:tc>
          <w:tcPr>
            <w:tcW w:w="1211" w:type="dxa"/>
            <w:tcBorders>
              <w:top w:val="single" w:color="auto" w:sz="4" w:space="0"/>
            </w:tcBorders>
          </w:tcPr>
          <w:p w:rsidRPr="006B7451" w:rsidR="00447B47" w:rsidP="00D43A45" w:rsidRDefault="00447B47" w14:paraId="4EFECBBB" w14:textId="77777777">
            <w:pPr>
              <w:spacing w:before="80" w:line="240" w:lineRule="exact"/>
              <w:ind w:firstLine="0"/>
              <w:rPr>
                <w:b/>
                <w:sz w:val="20"/>
                <w:szCs w:val="20"/>
              </w:rPr>
            </w:pPr>
            <w:r w:rsidRPr="006B7451">
              <w:rPr>
                <w:b/>
                <w:sz w:val="20"/>
                <w:szCs w:val="20"/>
              </w:rPr>
              <w:t>Män</w:t>
            </w:r>
          </w:p>
        </w:tc>
        <w:tc>
          <w:tcPr>
            <w:tcW w:w="1213" w:type="dxa"/>
            <w:tcBorders>
              <w:top w:val="single" w:color="auto" w:sz="4" w:space="0"/>
            </w:tcBorders>
          </w:tcPr>
          <w:p w:rsidRPr="006B7451" w:rsidR="00447B47" w:rsidP="00D43A45" w:rsidRDefault="00447B47" w14:paraId="1FDA93AF" w14:textId="77777777">
            <w:pPr>
              <w:spacing w:before="80" w:line="240" w:lineRule="exact"/>
              <w:ind w:firstLine="0"/>
              <w:rPr>
                <w:sz w:val="20"/>
                <w:szCs w:val="20"/>
              </w:rPr>
            </w:pPr>
          </w:p>
        </w:tc>
        <w:tc>
          <w:tcPr>
            <w:tcW w:w="1211" w:type="dxa"/>
            <w:tcBorders>
              <w:top w:val="single" w:color="auto" w:sz="4" w:space="0"/>
            </w:tcBorders>
          </w:tcPr>
          <w:p w:rsidRPr="006B7451" w:rsidR="00447B47" w:rsidP="00D43A45" w:rsidRDefault="00447B47" w14:paraId="1F6076BE" w14:textId="77777777">
            <w:pPr>
              <w:spacing w:before="80" w:line="240" w:lineRule="exact"/>
              <w:ind w:firstLine="0"/>
              <w:rPr>
                <w:sz w:val="20"/>
                <w:szCs w:val="20"/>
              </w:rPr>
            </w:pPr>
          </w:p>
        </w:tc>
      </w:tr>
      <w:tr w:rsidRPr="00D43A45" w:rsidR="00447B47" w:rsidTr="00E76E6E" w14:paraId="604B2A0B" w14:textId="77777777">
        <w:trPr>
          <w:cantSplit/>
        </w:trPr>
        <w:tc>
          <w:tcPr>
            <w:tcW w:w="1210" w:type="dxa"/>
            <w:tcBorders>
              <w:bottom w:val="single" w:color="auto" w:sz="4" w:space="0"/>
            </w:tcBorders>
          </w:tcPr>
          <w:p w:rsidRPr="00D43A45" w:rsidR="00447B47" w:rsidP="00D43A45" w:rsidRDefault="00447B47" w14:paraId="7E90A774" w14:textId="77777777">
            <w:pPr>
              <w:spacing w:before="80" w:line="240" w:lineRule="exact"/>
              <w:ind w:firstLine="0"/>
              <w:rPr>
                <w:b/>
                <w:bCs/>
                <w:sz w:val="20"/>
                <w:szCs w:val="20"/>
              </w:rPr>
            </w:pPr>
          </w:p>
        </w:tc>
        <w:tc>
          <w:tcPr>
            <w:tcW w:w="1211" w:type="dxa"/>
            <w:tcBorders>
              <w:bottom w:val="single" w:color="auto" w:sz="4" w:space="0"/>
            </w:tcBorders>
          </w:tcPr>
          <w:p w:rsidRPr="00D43A45" w:rsidR="00447B47" w:rsidP="00D43A45" w:rsidRDefault="00447B47" w14:paraId="0E7515BD" w14:textId="77777777">
            <w:pPr>
              <w:spacing w:before="80" w:line="240" w:lineRule="exact"/>
              <w:ind w:firstLine="0"/>
              <w:rPr>
                <w:b/>
                <w:bCs/>
                <w:sz w:val="20"/>
                <w:szCs w:val="20"/>
              </w:rPr>
            </w:pPr>
            <w:r w:rsidRPr="00D43A45">
              <w:rPr>
                <w:b/>
                <w:bCs/>
                <w:sz w:val="20"/>
                <w:szCs w:val="20"/>
              </w:rPr>
              <w:t>Totalt</w:t>
            </w:r>
          </w:p>
        </w:tc>
        <w:tc>
          <w:tcPr>
            <w:tcW w:w="1238" w:type="dxa"/>
            <w:tcBorders>
              <w:bottom w:val="single" w:color="auto" w:sz="4" w:space="0"/>
            </w:tcBorders>
          </w:tcPr>
          <w:p w:rsidRPr="00D43A45" w:rsidR="00447B47" w:rsidP="00D43A45" w:rsidRDefault="00447B47" w14:paraId="3CCFAC3B" w14:textId="77777777">
            <w:pPr>
              <w:spacing w:before="80" w:line="240" w:lineRule="exact"/>
              <w:ind w:firstLine="0"/>
              <w:rPr>
                <w:b/>
                <w:bCs/>
                <w:sz w:val="20"/>
                <w:szCs w:val="20"/>
              </w:rPr>
            </w:pPr>
            <w:r w:rsidRPr="00D43A45">
              <w:rPr>
                <w:b/>
                <w:bCs/>
                <w:sz w:val="20"/>
                <w:szCs w:val="20"/>
              </w:rPr>
              <w:t>Närstående parrelationer</w:t>
            </w:r>
          </w:p>
        </w:tc>
        <w:tc>
          <w:tcPr>
            <w:tcW w:w="1210" w:type="dxa"/>
            <w:tcBorders>
              <w:bottom w:val="single" w:color="auto" w:sz="4" w:space="0"/>
            </w:tcBorders>
          </w:tcPr>
          <w:p w:rsidRPr="00D43A45" w:rsidR="00447B47" w:rsidP="00D43A45" w:rsidRDefault="00447B47" w14:paraId="060F3299" w14:textId="77777777">
            <w:pPr>
              <w:spacing w:before="80" w:line="240" w:lineRule="exact"/>
              <w:ind w:firstLine="0"/>
              <w:rPr>
                <w:b/>
                <w:bCs/>
                <w:sz w:val="20"/>
                <w:szCs w:val="20"/>
              </w:rPr>
            </w:pPr>
            <w:r w:rsidRPr="00D43A45">
              <w:rPr>
                <w:b/>
                <w:bCs/>
                <w:sz w:val="20"/>
                <w:szCs w:val="20"/>
              </w:rPr>
              <w:t>Andel (%)</w:t>
            </w:r>
          </w:p>
        </w:tc>
        <w:tc>
          <w:tcPr>
            <w:tcW w:w="1211" w:type="dxa"/>
            <w:tcBorders>
              <w:bottom w:val="single" w:color="auto" w:sz="4" w:space="0"/>
            </w:tcBorders>
          </w:tcPr>
          <w:p w:rsidRPr="00D43A45" w:rsidR="00447B47" w:rsidP="00D43A45" w:rsidRDefault="00447B47" w14:paraId="1014BEEC" w14:textId="77777777">
            <w:pPr>
              <w:spacing w:before="80" w:line="240" w:lineRule="exact"/>
              <w:ind w:firstLine="0"/>
              <w:rPr>
                <w:b/>
                <w:bCs/>
                <w:sz w:val="20"/>
                <w:szCs w:val="20"/>
              </w:rPr>
            </w:pPr>
            <w:r w:rsidRPr="00D43A45">
              <w:rPr>
                <w:b/>
                <w:bCs/>
                <w:sz w:val="20"/>
                <w:szCs w:val="20"/>
              </w:rPr>
              <w:t>Totalt</w:t>
            </w:r>
          </w:p>
        </w:tc>
        <w:tc>
          <w:tcPr>
            <w:tcW w:w="1213" w:type="dxa"/>
            <w:tcBorders>
              <w:bottom w:val="single" w:color="auto" w:sz="4" w:space="0"/>
            </w:tcBorders>
          </w:tcPr>
          <w:p w:rsidRPr="00D43A45" w:rsidR="00447B47" w:rsidP="00D43A45" w:rsidRDefault="00447B47" w14:paraId="06ED2513" w14:textId="77777777">
            <w:pPr>
              <w:spacing w:before="80" w:line="240" w:lineRule="exact"/>
              <w:ind w:firstLine="0"/>
              <w:rPr>
                <w:b/>
                <w:bCs/>
                <w:sz w:val="20"/>
                <w:szCs w:val="20"/>
              </w:rPr>
            </w:pPr>
            <w:r w:rsidRPr="00D43A45">
              <w:rPr>
                <w:b/>
                <w:bCs/>
                <w:sz w:val="20"/>
                <w:szCs w:val="20"/>
              </w:rPr>
              <w:t>Närstående parrelation</w:t>
            </w:r>
          </w:p>
        </w:tc>
        <w:tc>
          <w:tcPr>
            <w:tcW w:w="1211" w:type="dxa"/>
            <w:tcBorders>
              <w:bottom w:val="single" w:color="auto" w:sz="4" w:space="0"/>
            </w:tcBorders>
          </w:tcPr>
          <w:p w:rsidRPr="00D43A45" w:rsidR="00447B47" w:rsidP="00D43A45" w:rsidRDefault="00447B47" w14:paraId="52B40C5D" w14:textId="77777777">
            <w:pPr>
              <w:spacing w:before="80" w:line="240" w:lineRule="exact"/>
              <w:ind w:firstLine="0"/>
              <w:rPr>
                <w:b/>
                <w:bCs/>
                <w:sz w:val="20"/>
                <w:szCs w:val="20"/>
              </w:rPr>
            </w:pPr>
            <w:r w:rsidRPr="00D43A45">
              <w:rPr>
                <w:b/>
                <w:bCs/>
                <w:sz w:val="20"/>
                <w:szCs w:val="20"/>
              </w:rPr>
              <w:t>Andel (%)</w:t>
            </w:r>
          </w:p>
        </w:tc>
      </w:tr>
      <w:tr w:rsidRPr="006B7451" w:rsidR="00447B47" w:rsidTr="00E76E6E" w14:paraId="7715641E" w14:textId="77777777">
        <w:trPr>
          <w:cantSplit/>
        </w:trPr>
        <w:tc>
          <w:tcPr>
            <w:tcW w:w="1210" w:type="dxa"/>
            <w:tcBorders>
              <w:top w:val="single" w:color="auto" w:sz="4" w:space="0"/>
            </w:tcBorders>
          </w:tcPr>
          <w:p w:rsidRPr="006B7451" w:rsidR="00447B47" w:rsidP="00D43A45" w:rsidRDefault="00447B47" w14:paraId="3E98D52B" w14:textId="77777777">
            <w:pPr>
              <w:spacing w:before="80" w:line="240" w:lineRule="exact"/>
              <w:ind w:firstLine="0"/>
              <w:rPr>
                <w:sz w:val="20"/>
                <w:szCs w:val="20"/>
              </w:rPr>
            </w:pPr>
            <w:r w:rsidRPr="006B7451">
              <w:rPr>
                <w:sz w:val="20"/>
                <w:szCs w:val="20"/>
              </w:rPr>
              <w:t>2017</w:t>
            </w:r>
          </w:p>
        </w:tc>
        <w:tc>
          <w:tcPr>
            <w:tcW w:w="1211" w:type="dxa"/>
            <w:tcBorders>
              <w:top w:val="single" w:color="auto" w:sz="4" w:space="0"/>
            </w:tcBorders>
          </w:tcPr>
          <w:p w:rsidRPr="006B7451" w:rsidR="00447B47" w:rsidP="00D43A45" w:rsidRDefault="00447B47" w14:paraId="08369F0D" w14:textId="77777777">
            <w:pPr>
              <w:spacing w:before="80" w:line="240" w:lineRule="exact"/>
              <w:ind w:firstLine="0"/>
              <w:jc w:val="right"/>
              <w:rPr>
                <w:sz w:val="20"/>
                <w:szCs w:val="20"/>
              </w:rPr>
            </w:pPr>
            <w:r w:rsidRPr="006B7451">
              <w:rPr>
                <w:sz w:val="20"/>
                <w:szCs w:val="20"/>
              </w:rPr>
              <w:t>27</w:t>
            </w:r>
          </w:p>
        </w:tc>
        <w:tc>
          <w:tcPr>
            <w:tcW w:w="1238" w:type="dxa"/>
            <w:tcBorders>
              <w:top w:val="single" w:color="auto" w:sz="4" w:space="0"/>
            </w:tcBorders>
          </w:tcPr>
          <w:p w:rsidRPr="006B7451" w:rsidR="00447B47" w:rsidP="00D43A45" w:rsidRDefault="00447B47" w14:paraId="328073B1" w14:textId="77777777">
            <w:pPr>
              <w:spacing w:before="80" w:line="240" w:lineRule="exact"/>
              <w:ind w:firstLine="0"/>
              <w:jc w:val="right"/>
              <w:rPr>
                <w:sz w:val="20"/>
                <w:szCs w:val="20"/>
              </w:rPr>
            </w:pPr>
            <w:r w:rsidRPr="006B7451">
              <w:rPr>
                <w:sz w:val="20"/>
                <w:szCs w:val="20"/>
              </w:rPr>
              <w:t>10</w:t>
            </w:r>
          </w:p>
        </w:tc>
        <w:tc>
          <w:tcPr>
            <w:tcW w:w="1210" w:type="dxa"/>
            <w:tcBorders>
              <w:top w:val="single" w:color="auto" w:sz="4" w:space="0"/>
            </w:tcBorders>
          </w:tcPr>
          <w:p w:rsidRPr="006B7451" w:rsidR="00447B47" w:rsidP="00D43A45" w:rsidRDefault="00447B47" w14:paraId="04E30919" w14:textId="77777777">
            <w:pPr>
              <w:spacing w:before="80" w:line="240" w:lineRule="exact"/>
              <w:ind w:firstLine="0"/>
              <w:jc w:val="right"/>
              <w:rPr>
                <w:sz w:val="20"/>
                <w:szCs w:val="20"/>
              </w:rPr>
            </w:pPr>
            <w:r w:rsidRPr="006B7451">
              <w:rPr>
                <w:sz w:val="20"/>
                <w:szCs w:val="20"/>
              </w:rPr>
              <w:t>37</w:t>
            </w:r>
          </w:p>
        </w:tc>
        <w:tc>
          <w:tcPr>
            <w:tcW w:w="1211" w:type="dxa"/>
            <w:tcBorders>
              <w:top w:val="single" w:color="auto" w:sz="4" w:space="0"/>
            </w:tcBorders>
          </w:tcPr>
          <w:p w:rsidRPr="006B7451" w:rsidR="00447B47" w:rsidP="00D43A45" w:rsidRDefault="00447B47" w14:paraId="14E0B59D" w14:textId="77777777">
            <w:pPr>
              <w:spacing w:before="80" w:line="240" w:lineRule="exact"/>
              <w:ind w:firstLine="0"/>
              <w:jc w:val="right"/>
              <w:rPr>
                <w:sz w:val="20"/>
                <w:szCs w:val="20"/>
              </w:rPr>
            </w:pPr>
            <w:r w:rsidRPr="006B7451">
              <w:rPr>
                <w:sz w:val="20"/>
                <w:szCs w:val="20"/>
              </w:rPr>
              <w:t>86</w:t>
            </w:r>
          </w:p>
        </w:tc>
        <w:tc>
          <w:tcPr>
            <w:tcW w:w="1213" w:type="dxa"/>
            <w:tcBorders>
              <w:top w:val="single" w:color="auto" w:sz="4" w:space="0"/>
            </w:tcBorders>
          </w:tcPr>
          <w:p w:rsidRPr="006B7451" w:rsidR="00447B47" w:rsidP="00D43A45" w:rsidRDefault="00447B47" w14:paraId="0BA3FDFD" w14:textId="77777777">
            <w:pPr>
              <w:spacing w:before="80" w:line="240" w:lineRule="exact"/>
              <w:ind w:firstLine="0"/>
              <w:jc w:val="right"/>
              <w:rPr>
                <w:sz w:val="20"/>
                <w:szCs w:val="20"/>
              </w:rPr>
            </w:pPr>
            <w:r w:rsidRPr="006B7451">
              <w:rPr>
                <w:sz w:val="20"/>
                <w:szCs w:val="20"/>
              </w:rPr>
              <w:t>1</w:t>
            </w:r>
          </w:p>
        </w:tc>
        <w:tc>
          <w:tcPr>
            <w:tcW w:w="1211" w:type="dxa"/>
            <w:tcBorders>
              <w:top w:val="single" w:color="auto" w:sz="4" w:space="0"/>
            </w:tcBorders>
          </w:tcPr>
          <w:p w:rsidRPr="006B7451" w:rsidR="00447B47" w:rsidP="00D43A45" w:rsidRDefault="00447B47" w14:paraId="2D537DFF" w14:textId="77777777">
            <w:pPr>
              <w:spacing w:before="80" w:line="240" w:lineRule="exact"/>
              <w:ind w:firstLine="0"/>
              <w:jc w:val="right"/>
              <w:rPr>
                <w:sz w:val="20"/>
                <w:szCs w:val="20"/>
              </w:rPr>
            </w:pPr>
            <w:r w:rsidRPr="006B7451">
              <w:rPr>
                <w:sz w:val="20"/>
                <w:szCs w:val="20"/>
              </w:rPr>
              <w:t>1</w:t>
            </w:r>
          </w:p>
        </w:tc>
      </w:tr>
      <w:tr w:rsidRPr="006B7451" w:rsidR="00447B47" w:rsidTr="00E76E6E" w14:paraId="4E1E05EC" w14:textId="77777777">
        <w:trPr>
          <w:cantSplit/>
        </w:trPr>
        <w:tc>
          <w:tcPr>
            <w:tcW w:w="1210" w:type="dxa"/>
          </w:tcPr>
          <w:p w:rsidRPr="006B7451" w:rsidR="00447B47" w:rsidP="00D43A45" w:rsidRDefault="00447B47" w14:paraId="0AAED3DB" w14:textId="77777777">
            <w:pPr>
              <w:spacing w:before="80" w:line="240" w:lineRule="exact"/>
              <w:ind w:firstLine="0"/>
              <w:rPr>
                <w:sz w:val="20"/>
                <w:szCs w:val="20"/>
              </w:rPr>
            </w:pPr>
            <w:r w:rsidRPr="006B7451">
              <w:rPr>
                <w:sz w:val="20"/>
                <w:szCs w:val="20"/>
              </w:rPr>
              <w:t>2018</w:t>
            </w:r>
          </w:p>
        </w:tc>
        <w:tc>
          <w:tcPr>
            <w:tcW w:w="1211" w:type="dxa"/>
          </w:tcPr>
          <w:p w:rsidRPr="006B7451" w:rsidR="00447B47" w:rsidP="00D43A45" w:rsidRDefault="00447B47" w14:paraId="70021CE5" w14:textId="77777777">
            <w:pPr>
              <w:spacing w:before="80" w:line="240" w:lineRule="exact"/>
              <w:ind w:firstLine="0"/>
              <w:jc w:val="right"/>
              <w:rPr>
                <w:sz w:val="20"/>
                <w:szCs w:val="20"/>
              </w:rPr>
            </w:pPr>
            <w:r w:rsidRPr="006B7451">
              <w:rPr>
                <w:sz w:val="20"/>
                <w:szCs w:val="20"/>
              </w:rPr>
              <w:t>33</w:t>
            </w:r>
          </w:p>
        </w:tc>
        <w:tc>
          <w:tcPr>
            <w:tcW w:w="1238" w:type="dxa"/>
          </w:tcPr>
          <w:p w:rsidRPr="006B7451" w:rsidR="00447B47" w:rsidP="00D43A45" w:rsidRDefault="00447B47" w14:paraId="1C1B8111" w14:textId="77777777">
            <w:pPr>
              <w:spacing w:before="80" w:line="240" w:lineRule="exact"/>
              <w:ind w:firstLine="0"/>
              <w:jc w:val="right"/>
              <w:rPr>
                <w:sz w:val="20"/>
                <w:szCs w:val="20"/>
              </w:rPr>
            </w:pPr>
            <w:r w:rsidRPr="006B7451">
              <w:rPr>
                <w:sz w:val="20"/>
                <w:szCs w:val="20"/>
              </w:rPr>
              <w:t>22</w:t>
            </w:r>
          </w:p>
        </w:tc>
        <w:tc>
          <w:tcPr>
            <w:tcW w:w="1210" w:type="dxa"/>
          </w:tcPr>
          <w:p w:rsidRPr="006B7451" w:rsidR="00447B47" w:rsidP="00D43A45" w:rsidRDefault="00447B47" w14:paraId="66333706" w14:textId="77777777">
            <w:pPr>
              <w:spacing w:before="80" w:line="240" w:lineRule="exact"/>
              <w:ind w:firstLine="0"/>
              <w:jc w:val="right"/>
              <w:rPr>
                <w:sz w:val="20"/>
                <w:szCs w:val="20"/>
              </w:rPr>
            </w:pPr>
            <w:r w:rsidRPr="006B7451">
              <w:rPr>
                <w:sz w:val="20"/>
                <w:szCs w:val="20"/>
              </w:rPr>
              <w:t>67</w:t>
            </w:r>
          </w:p>
        </w:tc>
        <w:tc>
          <w:tcPr>
            <w:tcW w:w="1211" w:type="dxa"/>
          </w:tcPr>
          <w:p w:rsidRPr="006B7451" w:rsidR="00447B47" w:rsidP="00D43A45" w:rsidRDefault="00447B47" w14:paraId="55D2D6D1" w14:textId="77777777">
            <w:pPr>
              <w:spacing w:before="80" w:line="240" w:lineRule="exact"/>
              <w:ind w:firstLine="0"/>
              <w:jc w:val="right"/>
              <w:rPr>
                <w:sz w:val="20"/>
                <w:szCs w:val="20"/>
              </w:rPr>
            </w:pPr>
            <w:r w:rsidRPr="006B7451">
              <w:rPr>
                <w:sz w:val="20"/>
                <w:szCs w:val="20"/>
              </w:rPr>
              <w:t>75</w:t>
            </w:r>
          </w:p>
        </w:tc>
        <w:tc>
          <w:tcPr>
            <w:tcW w:w="1213" w:type="dxa"/>
          </w:tcPr>
          <w:p w:rsidRPr="006B7451" w:rsidR="00447B47" w:rsidP="00D43A45" w:rsidRDefault="00447B47" w14:paraId="1487F083" w14:textId="77777777">
            <w:pPr>
              <w:spacing w:before="80" w:line="240" w:lineRule="exact"/>
              <w:ind w:firstLine="0"/>
              <w:jc w:val="right"/>
              <w:rPr>
                <w:sz w:val="20"/>
                <w:szCs w:val="20"/>
              </w:rPr>
            </w:pPr>
            <w:r w:rsidRPr="006B7451">
              <w:rPr>
                <w:sz w:val="20"/>
                <w:szCs w:val="20"/>
              </w:rPr>
              <w:t>4</w:t>
            </w:r>
          </w:p>
        </w:tc>
        <w:tc>
          <w:tcPr>
            <w:tcW w:w="1211" w:type="dxa"/>
          </w:tcPr>
          <w:p w:rsidRPr="006B7451" w:rsidR="00447B47" w:rsidP="00D43A45" w:rsidRDefault="00447B47" w14:paraId="3E228A3C" w14:textId="77777777">
            <w:pPr>
              <w:spacing w:before="80" w:line="240" w:lineRule="exact"/>
              <w:ind w:firstLine="0"/>
              <w:jc w:val="right"/>
              <w:rPr>
                <w:sz w:val="20"/>
                <w:szCs w:val="20"/>
              </w:rPr>
            </w:pPr>
            <w:r w:rsidRPr="006B7451">
              <w:rPr>
                <w:sz w:val="20"/>
                <w:szCs w:val="20"/>
              </w:rPr>
              <w:t>5</w:t>
            </w:r>
          </w:p>
        </w:tc>
      </w:tr>
      <w:tr w:rsidRPr="006B7451" w:rsidR="00447B47" w:rsidTr="00E76E6E" w14:paraId="478D3DFC" w14:textId="77777777">
        <w:trPr>
          <w:cantSplit/>
        </w:trPr>
        <w:tc>
          <w:tcPr>
            <w:tcW w:w="1210" w:type="dxa"/>
          </w:tcPr>
          <w:p w:rsidRPr="006B7451" w:rsidR="00447B47" w:rsidP="00D43A45" w:rsidRDefault="00447B47" w14:paraId="70D61EAD" w14:textId="77777777">
            <w:pPr>
              <w:spacing w:before="80" w:line="240" w:lineRule="exact"/>
              <w:ind w:firstLine="0"/>
              <w:rPr>
                <w:sz w:val="20"/>
                <w:szCs w:val="20"/>
              </w:rPr>
            </w:pPr>
            <w:r w:rsidRPr="006B7451">
              <w:rPr>
                <w:sz w:val="20"/>
                <w:szCs w:val="20"/>
              </w:rPr>
              <w:t>2019</w:t>
            </w:r>
          </w:p>
        </w:tc>
        <w:tc>
          <w:tcPr>
            <w:tcW w:w="1211" w:type="dxa"/>
          </w:tcPr>
          <w:p w:rsidRPr="006B7451" w:rsidR="00447B47" w:rsidP="00D43A45" w:rsidRDefault="00447B47" w14:paraId="6163BAEC" w14:textId="77777777">
            <w:pPr>
              <w:spacing w:before="80" w:line="240" w:lineRule="exact"/>
              <w:ind w:firstLine="0"/>
              <w:jc w:val="right"/>
              <w:rPr>
                <w:sz w:val="20"/>
                <w:szCs w:val="20"/>
              </w:rPr>
            </w:pPr>
            <w:r w:rsidRPr="006B7451">
              <w:rPr>
                <w:sz w:val="20"/>
                <w:szCs w:val="20"/>
              </w:rPr>
              <w:t>25</w:t>
            </w:r>
          </w:p>
        </w:tc>
        <w:tc>
          <w:tcPr>
            <w:tcW w:w="1238" w:type="dxa"/>
          </w:tcPr>
          <w:p w:rsidRPr="006B7451" w:rsidR="00447B47" w:rsidP="00D43A45" w:rsidRDefault="00447B47" w14:paraId="4A06D51D" w14:textId="77777777">
            <w:pPr>
              <w:spacing w:before="80" w:line="240" w:lineRule="exact"/>
              <w:ind w:firstLine="0"/>
              <w:jc w:val="right"/>
              <w:rPr>
                <w:sz w:val="20"/>
                <w:szCs w:val="20"/>
              </w:rPr>
            </w:pPr>
            <w:r w:rsidRPr="006B7451">
              <w:rPr>
                <w:sz w:val="20"/>
                <w:szCs w:val="20"/>
              </w:rPr>
              <w:t>16</w:t>
            </w:r>
          </w:p>
        </w:tc>
        <w:tc>
          <w:tcPr>
            <w:tcW w:w="1210" w:type="dxa"/>
          </w:tcPr>
          <w:p w:rsidRPr="006B7451" w:rsidR="00447B47" w:rsidP="00D43A45" w:rsidRDefault="00447B47" w14:paraId="032A8A29" w14:textId="77777777">
            <w:pPr>
              <w:spacing w:before="80" w:line="240" w:lineRule="exact"/>
              <w:ind w:firstLine="0"/>
              <w:jc w:val="right"/>
              <w:rPr>
                <w:sz w:val="20"/>
                <w:szCs w:val="20"/>
              </w:rPr>
            </w:pPr>
            <w:r w:rsidRPr="006B7451">
              <w:rPr>
                <w:sz w:val="20"/>
                <w:szCs w:val="20"/>
              </w:rPr>
              <w:t>64</w:t>
            </w:r>
          </w:p>
        </w:tc>
        <w:tc>
          <w:tcPr>
            <w:tcW w:w="1211" w:type="dxa"/>
          </w:tcPr>
          <w:p w:rsidRPr="006B7451" w:rsidR="00447B47" w:rsidP="00D43A45" w:rsidRDefault="00447B47" w14:paraId="12030B75" w14:textId="77777777">
            <w:pPr>
              <w:spacing w:before="80" w:line="240" w:lineRule="exact"/>
              <w:ind w:firstLine="0"/>
              <w:jc w:val="right"/>
              <w:rPr>
                <w:sz w:val="20"/>
                <w:szCs w:val="20"/>
              </w:rPr>
            </w:pPr>
            <w:r w:rsidRPr="006B7451">
              <w:rPr>
                <w:sz w:val="20"/>
                <w:szCs w:val="20"/>
              </w:rPr>
              <w:t>86</w:t>
            </w:r>
          </w:p>
        </w:tc>
        <w:tc>
          <w:tcPr>
            <w:tcW w:w="1213" w:type="dxa"/>
          </w:tcPr>
          <w:p w:rsidRPr="006B7451" w:rsidR="00447B47" w:rsidP="00D43A45" w:rsidRDefault="00447B47" w14:paraId="19DB42B4" w14:textId="77777777">
            <w:pPr>
              <w:spacing w:before="80" w:line="240" w:lineRule="exact"/>
              <w:ind w:firstLine="0"/>
              <w:jc w:val="right"/>
              <w:rPr>
                <w:sz w:val="20"/>
                <w:szCs w:val="20"/>
              </w:rPr>
            </w:pPr>
            <w:r w:rsidRPr="006B7451">
              <w:rPr>
                <w:sz w:val="20"/>
                <w:szCs w:val="20"/>
              </w:rPr>
              <w:t>2</w:t>
            </w:r>
          </w:p>
        </w:tc>
        <w:tc>
          <w:tcPr>
            <w:tcW w:w="1211" w:type="dxa"/>
          </w:tcPr>
          <w:p w:rsidRPr="006B7451" w:rsidR="00447B47" w:rsidP="00D43A45" w:rsidRDefault="00447B47" w14:paraId="0B9AAA8B" w14:textId="77777777">
            <w:pPr>
              <w:spacing w:before="80" w:line="240" w:lineRule="exact"/>
              <w:ind w:firstLine="0"/>
              <w:jc w:val="right"/>
              <w:rPr>
                <w:sz w:val="20"/>
                <w:szCs w:val="20"/>
              </w:rPr>
            </w:pPr>
            <w:r w:rsidRPr="006B7451">
              <w:rPr>
                <w:sz w:val="20"/>
                <w:szCs w:val="20"/>
              </w:rPr>
              <w:t>2</w:t>
            </w:r>
          </w:p>
        </w:tc>
      </w:tr>
      <w:tr w:rsidRPr="006B7451" w:rsidR="00447B47" w:rsidTr="00E76E6E" w14:paraId="48D1C25F" w14:textId="77777777">
        <w:trPr>
          <w:cantSplit/>
        </w:trPr>
        <w:tc>
          <w:tcPr>
            <w:tcW w:w="1210" w:type="dxa"/>
          </w:tcPr>
          <w:p w:rsidRPr="006B7451" w:rsidR="00447B47" w:rsidP="00D43A45" w:rsidRDefault="00447B47" w14:paraId="108FBBD3" w14:textId="77777777">
            <w:pPr>
              <w:spacing w:before="80" w:line="240" w:lineRule="exact"/>
              <w:ind w:firstLine="0"/>
              <w:rPr>
                <w:sz w:val="20"/>
                <w:szCs w:val="20"/>
              </w:rPr>
            </w:pPr>
            <w:r w:rsidRPr="006B7451">
              <w:rPr>
                <w:sz w:val="20"/>
                <w:szCs w:val="20"/>
              </w:rPr>
              <w:t>2020</w:t>
            </w:r>
          </w:p>
        </w:tc>
        <w:tc>
          <w:tcPr>
            <w:tcW w:w="1211" w:type="dxa"/>
          </w:tcPr>
          <w:p w:rsidRPr="006B7451" w:rsidR="00447B47" w:rsidP="00D43A45" w:rsidRDefault="00447B47" w14:paraId="752547DE" w14:textId="77777777">
            <w:pPr>
              <w:spacing w:before="80" w:line="240" w:lineRule="exact"/>
              <w:ind w:firstLine="0"/>
              <w:jc w:val="right"/>
              <w:rPr>
                <w:sz w:val="20"/>
                <w:szCs w:val="20"/>
              </w:rPr>
            </w:pPr>
            <w:r w:rsidRPr="006B7451">
              <w:rPr>
                <w:sz w:val="20"/>
                <w:szCs w:val="20"/>
              </w:rPr>
              <w:t>25</w:t>
            </w:r>
          </w:p>
        </w:tc>
        <w:tc>
          <w:tcPr>
            <w:tcW w:w="1238" w:type="dxa"/>
          </w:tcPr>
          <w:p w:rsidRPr="006B7451" w:rsidR="00447B47" w:rsidP="00D43A45" w:rsidRDefault="00447B47" w14:paraId="32431506" w14:textId="77777777">
            <w:pPr>
              <w:spacing w:before="80" w:line="240" w:lineRule="exact"/>
              <w:ind w:firstLine="0"/>
              <w:jc w:val="right"/>
              <w:rPr>
                <w:sz w:val="20"/>
                <w:szCs w:val="20"/>
              </w:rPr>
            </w:pPr>
            <w:r w:rsidRPr="006B7451">
              <w:rPr>
                <w:sz w:val="20"/>
                <w:szCs w:val="20"/>
              </w:rPr>
              <w:t>13</w:t>
            </w:r>
          </w:p>
        </w:tc>
        <w:tc>
          <w:tcPr>
            <w:tcW w:w="1210" w:type="dxa"/>
          </w:tcPr>
          <w:p w:rsidRPr="006B7451" w:rsidR="00447B47" w:rsidP="00D43A45" w:rsidRDefault="00447B47" w14:paraId="528A46F1" w14:textId="77777777">
            <w:pPr>
              <w:spacing w:before="80" w:line="240" w:lineRule="exact"/>
              <w:ind w:firstLine="0"/>
              <w:jc w:val="right"/>
              <w:rPr>
                <w:sz w:val="20"/>
                <w:szCs w:val="20"/>
              </w:rPr>
            </w:pPr>
            <w:r w:rsidRPr="006B7451">
              <w:rPr>
                <w:sz w:val="20"/>
                <w:szCs w:val="20"/>
              </w:rPr>
              <w:t>52</w:t>
            </w:r>
          </w:p>
        </w:tc>
        <w:tc>
          <w:tcPr>
            <w:tcW w:w="1211" w:type="dxa"/>
          </w:tcPr>
          <w:p w:rsidRPr="006B7451" w:rsidR="00447B47" w:rsidP="00D43A45" w:rsidRDefault="00447B47" w14:paraId="1DD07B7F" w14:textId="77777777">
            <w:pPr>
              <w:spacing w:before="80" w:line="240" w:lineRule="exact"/>
              <w:ind w:firstLine="0"/>
              <w:jc w:val="right"/>
              <w:rPr>
                <w:sz w:val="20"/>
                <w:szCs w:val="20"/>
              </w:rPr>
            </w:pPr>
            <w:r w:rsidRPr="006B7451">
              <w:rPr>
                <w:sz w:val="20"/>
                <w:szCs w:val="20"/>
              </w:rPr>
              <w:t>99</w:t>
            </w:r>
          </w:p>
        </w:tc>
        <w:tc>
          <w:tcPr>
            <w:tcW w:w="1213" w:type="dxa"/>
          </w:tcPr>
          <w:p w:rsidRPr="006B7451" w:rsidR="00447B47" w:rsidP="00D43A45" w:rsidRDefault="00447B47" w14:paraId="621E78D9" w14:textId="77777777">
            <w:pPr>
              <w:spacing w:before="80" w:line="240" w:lineRule="exact"/>
              <w:ind w:firstLine="0"/>
              <w:jc w:val="right"/>
              <w:rPr>
                <w:sz w:val="20"/>
                <w:szCs w:val="20"/>
              </w:rPr>
            </w:pPr>
            <w:r w:rsidRPr="006B7451">
              <w:rPr>
                <w:sz w:val="20"/>
                <w:szCs w:val="20"/>
              </w:rPr>
              <w:t>4</w:t>
            </w:r>
          </w:p>
        </w:tc>
        <w:tc>
          <w:tcPr>
            <w:tcW w:w="1211" w:type="dxa"/>
          </w:tcPr>
          <w:p w:rsidRPr="006B7451" w:rsidR="00447B47" w:rsidP="00D43A45" w:rsidRDefault="00447B47" w14:paraId="460F0223" w14:textId="77777777">
            <w:pPr>
              <w:spacing w:before="80" w:line="240" w:lineRule="exact"/>
              <w:ind w:firstLine="0"/>
              <w:jc w:val="right"/>
              <w:rPr>
                <w:sz w:val="20"/>
                <w:szCs w:val="20"/>
              </w:rPr>
            </w:pPr>
            <w:r w:rsidRPr="006B7451">
              <w:rPr>
                <w:sz w:val="20"/>
                <w:szCs w:val="20"/>
              </w:rPr>
              <w:t>4</w:t>
            </w:r>
          </w:p>
        </w:tc>
      </w:tr>
      <w:tr w:rsidRPr="006B7451" w:rsidR="00447B47" w:rsidTr="00E76E6E" w14:paraId="1AA6FB59" w14:textId="77777777">
        <w:trPr>
          <w:cantSplit/>
        </w:trPr>
        <w:tc>
          <w:tcPr>
            <w:tcW w:w="1210" w:type="dxa"/>
            <w:tcBorders>
              <w:bottom w:val="single" w:color="auto" w:sz="4" w:space="0"/>
            </w:tcBorders>
          </w:tcPr>
          <w:p w:rsidRPr="006B7451" w:rsidR="00447B47" w:rsidP="00D43A45" w:rsidRDefault="00447B47" w14:paraId="321A7F31" w14:textId="77777777">
            <w:pPr>
              <w:spacing w:before="80" w:line="240" w:lineRule="exact"/>
              <w:ind w:firstLine="0"/>
              <w:rPr>
                <w:b/>
                <w:sz w:val="20"/>
                <w:szCs w:val="20"/>
              </w:rPr>
            </w:pPr>
            <w:r w:rsidRPr="006B7451">
              <w:rPr>
                <w:b/>
                <w:sz w:val="20"/>
                <w:szCs w:val="20"/>
              </w:rPr>
              <w:t>Totalt</w:t>
            </w:r>
          </w:p>
        </w:tc>
        <w:tc>
          <w:tcPr>
            <w:tcW w:w="1211" w:type="dxa"/>
            <w:tcBorders>
              <w:bottom w:val="single" w:color="auto" w:sz="4" w:space="0"/>
            </w:tcBorders>
          </w:tcPr>
          <w:p w:rsidRPr="006B7451" w:rsidR="00447B47" w:rsidP="00D43A45" w:rsidRDefault="00447B47" w14:paraId="3D8E5BFC" w14:textId="77777777">
            <w:pPr>
              <w:spacing w:before="80" w:line="240" w:lineRule="exact"/>
              <w:ind w:firstLine="0"/>
              <w:jc w:val="right"/>
              <w:rPr>
                <w:b/>
                <w:sz w:val="20"/>
                <w:szCs w:val="20"/>
              </w:rPr>
            </w:pPr>
            <w:r w:rsidRPr="006B7451">
              <w:rPr>
                <w:b/>
                <w:sz w:val="20"/>
                <w:szCs w:val="20"/>
              </w:rPr>
              <w:t>110</w:t>
            </w:r>
          </w:p>
        </w:tc>
        <w:tc>
          <w:tcPr>
            <w:tcW w:w="1238" w:type="dxa"/>
            <w:tcBorders>
              <w:bottom w:val="single" w:color="auto" w:sz="4" w:space="0"/>
            </w:tcBorders>
          </w:tcPr>
          <w:p w:rsidRPr="006B7451" w:rsidR="00447B47" w:rsidP="00D43A45" w:rsidRDefault="00447B47" w14:paraId="196B9C94" w14:textId="77777777">
            <w:pPr>
              <w:spacing w:before="80" w:line="240" w:lineRule="exact"/>
              <w:ind w:firstLine="0"/>
              <w:jc w:val="right"/>
              <w:rPr>
                <w:b/>
                <w:sz w:val="20"/>
                <w:szCs w:val="20"/>
              </w:rPr>
            </w:pPr>
            <w:r w:rsidRPr="006B7451">
              <w:rPr>
                <w:b/>
                <w:sz w:val="20"/>
                <w:szCs w:val="20"/>
              </w:rPr>
              <w:t>61</w:t>
            </w:r>
          </w:p>
        </w:tc>
        <w:tc>
          <w:tcPr>
            <w:tcW w:w="1210" w:type="dxa"/>
            <w:tcBorders>
              <w:bottom w:val="single" w:color="auto" w:sz="4" w:space="0"/>
            </w:tcBorders>
          </w:tcPr>
          <w:p w:rsidRPr="006B7451" w:rsidR="00447B47" w:rsidP="00D43A45" w:rsidRDefault="00447B47" w14:paraId="50629EEC" w14:textId="77777777">
            <w:pPr>
              <w:spacing w:before="80" w:line="240" w:lineRule="exact"/>
              <w:ind w:firstLine="0"/>
              <w:jc w:val="right"/>
              <w:rPr>
                <w:b/>
                <w:sz w:val="20"/>
                <w:szCs w:val="20"/>
              </w:rPr>
            </w:pPr>
            <w:r w:rsidRPr="006B7451">
              <w:rPr>
                <w:b/>
                <w:sz w:val="20"/>
                <w:szCs w:val="20"/>
              </w:rPr>
              <w:t>55</w:t>
            </w:r>
          </w:p>
        </w:tc>
        <w:tc>
          <w:tcPr>
            <w:tcW w:w="1211" w:type="dxa"/>
            <w:tcBorders>
              <w:bottom w:val="single" w:color="auto" w:sz="4" w:space="0"/>
            </w:tcBorders>
          </w:tcPr>
          <w:p w:rsidRPr="006B7451" w:rsidR="00447B47" w:rsidP="00D43A45" w:rsidRDefault="00447B47" w14:paraId="7277B6AC" w14:textId="77777777">
            <w:pPr>
              <w:spacing w:before="80" w:line="240" w:lineRule="exact"/>
              <w:ind w:firstLine="0"/>
              <w:jc w:val="right"/>
              <w:rPr>
                <w:b/>
                <w:sz w:val="20"/>
                <w:szCs w:val="20"/>
              </w:rPr>
            </w:pPr>
            <w:r w:rsidRPr="006B7451">
              <w:rPr>
                <w:b/>
                <w:sz w:val="20"/>
                <w:szCs w:val="20"/>
              </w:rPr>
              <w:t>346</w:t>
            </w:r>
          </w:p>
        </w:tc>
        <w:tc>
          <w:tcPr>
            <w:tcW w:w="1213" w:type="dxa"/>
            <w:tcBorders>
              <w:bottom w:val="single" w:color="auto" w:sz="4" w:space="0"/>
            </w:tcBorders>
          </w:tcPr>
          <w:p w:rsidRPr="006B7451" w:rsidR="00447B47" w:rsidP="00D43A45" w:rsidRDefault="00447B47" w14:paraId="75A7D6BF" w14:textId="77777777">
            <w:pPr>
              <w:spacing w:before="80" w:line="240" w:lineRule="exact"/>
              <w:ind w:firstLine="0"/>
              <w:jc w:val="right"/>
              <w:rPr>
                <w:b/>
                <w:sz w:val="20"/>
                <w:szCs w:val="20"/>
              </w:rPr>
            </w:pPr>
            <w:r w:rsidRPr="006B7451">
              <w:rPr>
                <w:b/>
                <w:sz w:val="20"/>
                <w:szCs w:val="20"/>
              </w:rPr>
              <w:t>11</w:t>
            </w:r>
          </w:p>
        </w:tc>
        <w:tc>
          <w:tcPr>
            <w:tcW w:w="1211" w:type="dxa"/>
            <w:tcBorders>
              <w:bottom w:val="single" w:color="auto" w:sz="4" w:space="0"/>
            </w:tcBorders>
          </w:tcPr>
          <w:p w:rsidRPr="006B7451" w:rsidR="00447B47" w:rsidP="00D43A45" w:rsidRDefault="00447B47" w14:paraId="42E65DBD" w14:textId="77777777">
            <w:pPr>
              <w:spacing w:before="80" w:line="240" w:lineRule="exact"/>
              <w:ind w:firstLine="0"/>
              <w:jc w:val="right"/>
              <w:rPr>
                <w:b/>
                <w:sz w:val="20"/>
                <w:szCs w:val="20"/>
              </w:rPr>
            </w:pPr>
            <w:r w:rsidRPr="006B7451">
              <w:rPr>
                <w:b/>
                <w:sz w:val="20"/>
                <w:szCs w:val="20"/>
              </w:rPr>
              <w:t>3</w:t>
            </w:r>
          </w:p>
        </w:tc>
      </w:tr>
    </w:tbl>
    <w:p w:rsidRPr="003E62F8" w:rsidR="00211D44" w:rsidP="003E62F8" w:rsidRDefault="00447B47" w14:paraId="13053716" w14:textId="2CF3DC7C">
      <w:pPr>
        <w:pStyle w:val="Klla"/>
      </w:pPr>
      <w:r w:rsidRPr="003E62F8">
        <w:t>Anm</w:t>
      </w:r>
      <w:r w:rsidRPr="003E62F8" w:rsidR="003E62F8">
        <w:t>.</w:t>
      </w:r>
      <w:r w:rsidRPr="003E62F8">
        <w:t>: Dödligt våld inkluderar fullbordade mord, dråp samt vållande till annans död genom misshandel. Fall som av rättsväsendet bedömts vara nödvärn ingår inte.</w:t>
      </w:r>
    </w:p>
    <w:p w:rsidRPr="003E62F8" w:rsidR="00447B47" w:rsidP="003E62F8" w:rsidRDefault="00447B47" w14:paraId="4A1F11D8" w14:textId="77777777">
      <w:pPr>
        <w:pStyle w:val="Klla"/>
      </w:pPr>
      <w:r w:rsidRPr="003E62F8">
        <w:t>Källa: Brå.</w:t>
      </w:r>
    </w:p>
    <w:p w:rsidRPr="006B7451" w:rsidR="00E434EA" w:rsidP="003E62F8" w:rsidRDefault="00E434EA" w14:paraId="046ADAFC" w14:textId="2B4A5258">
      <w:pPr>
        <w:pStyle w:val="Normalutanindragellerluft"/>
        <w:spacing w:before="150"/>
      </w:pPr>
      <w:r w:rsidRPr="006B7451">
        <w:t>Det krävs utökade resurser för att stärka arbetet för kvinnofrid och för att därtill förstärka och utvidga jourverksamheter. Flertalet rapporter har vittnat om att relations</w:t>
      </w:r>
      <w:r w:rsidR="008D534D">
        <w:softHyphen/>
      </w:r>
      <w:r w:rsidRPr="006B7451">
        <w:t xml:space="preserve">våldet ökat i samband med </w:t>
      </w:r>
      <w:r w:rsidR="00BE58DE">
        <w:t>c</w:t>
      </w:r>
      <w:r w:rsidRPr="006B7451">
        <w:t>oronapandemin, när många har tvingats</w:t>
      </w:r>
      <w:r w:rsidR="00BE58DE">
        <w:t xml:space="preserve"> att</w:t>
      </w:r>
      <w:r w:rsidRPr="006B7451">
        <w:t xml:space="preserve"> spendera mer tid i hemmen. Det finns därför anledning att öka anslaget till kvinnojourerna och till andra verksamheter som arbetar för kvinnofrid. Inom anslaget omfördelas också en del befintliga resurser från så kallad jämställdhetsbudgetering och integrering till just brottsoffer- och jourverksamhet.</w:t>
      </w:r>
    </w:p>
    <w:p w:rsidRPr="006B7451" w:rsidR="00E434EA" w:rsidP="00F74926" w:rsidRDefault="00E434EA" w14:paraId="125F9F36" w14:textId="77777777">
      <w:pPr>
        <w:pStyle w:val="Rubrik3"/>
      </w:pPr>
      <w:bookmarkStart w:name="_Toc121752565" w:id="55"/>
      <w:r w:rsidRPr="006B7451">
        <w:t>Kvinnojourer</w:t>
      </w:r>
      <w:bookmarkEnd w:id="55"/>
    </w:p>
    <w:p w:rsidRPr="006B7451" w:rsidR="00E434EA" w:rsidP="00DD0FDB" w:rsidRDefault="00E434EA" w14:paraId="2E2B80E9" w14:textId="36071516">
      <w:pPr>
        <w:pStyle w:val="Normalutanindragellerluft"/>
      </w:pPr>
      <w:r w:rsidRPr="006B7451">
        <w:t>I dag finns endast ett fåtal kvinnojourer som innehar rätt kunskap för att på bästa sätt hjälpa och bemöta tjejer och kvinnor som utsatts för hedersrelaterat våld och förtryck. Att hedersrelaterad brottslighet sker i Sverige i</w:t>
      </w:r>
      <w:r w:rsidRPr="006B7451" w:rsidR="003101B3">
        <w:t xml:space="preserve"> </w:t>
      </w:r>
      <w:r w:rsidRPr="006B7451">
        <w:t>dag är något vi tyvärr måste förhålla oss till efter en fullständigt oansvarig invandringspolitik. Hedersproblematiken breder ut sig över vårt land och samhället måste rusta sig för att hjälpa de som utsätts där de finns. Alla kvinnojourer ska därför ha rätt kunskap för att bemöta och hjälpa hedersutsatta över hela landet.</w:t>
      </w:r>
    </w:p>
    <w:p w:rsidRPr="006B7451" w:rsidR="00E434EA" w:rsidP="00F74926" w:rsidRDefault="00E434EA" w14:paraId="55FD2E4E" w14:textId="77777777">
      <w:pPr>
        <w:pStyle w:val="Rubrik3"/>
      </w:pPr>
      <w:bookmarkStart w:name="_Toc121752566" w:id="56"/>
      <w:r w:rsidRPr="006B7451">
        <w:t>Kunskapslyft</w:t>
      </w:r>
      <w:bookmarkEnd w:id="56"/>
    </w:p>
    <w:p w:rsidRPr="006B7451" w:rsidR="00E434EA" w:rsidP="00DD0FDB" w:rsidRDefault="00E434EA" w14:paraId="6CE640FF" w14:textId="20246613">
      <w:pPr>
        <w:pStyle w:val="Normalutanindragellerluft"/>
      </w:pPr>
      <w:r w:rsidRPr="006B7451">
        <w:t>Vi måste motverka all form av hedersrelaterat våld och förtryck genom att politiken tar hedersutsattas situation på största allvar. Anslaget ökas för ytterligare satsningar på information till personer som befinner sig i riskzonen för att utsättas för dessa brott. Det krävs även utökat stöd till de delar av civilsamhället som i</w:t>
      </w:r>
      <w:r w:rsidRPr="006B7451" w:rsidR="003101B3">
        <w:t xml:space="preserve"> </w:t>
      </w:r>
      <w:r w:rsidRPr="006B7451">
        <w:t>dag föredömligt stödjer personer som utsätts för denna typ av brottslighet.</w:t>
      </w:r>
    </w:p>
    <w:p w:rsidR="008D534D" w:rsidRDefault="008D534D" w14:paraId="58586E99" w14:textId="55E7D6E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72C5F" w:rsidP="00ED5D60" w:rsidRDefault="00072C5F" w14:paraId="5397B614" w14:textId="5D45B2C3">
      <w:pPr>
        <w:pStyle w:val="Rubrik1numrerat"/>
      </w:pPr>
      <w:bookmarkStart w:name="_Toc121752567" w:id="57"/>
      <w:r w:rsidRPr="006B7451">
        <w:lastRenderedPageBreak/>
        <w:t>Skola och utbildning</w:t>
      </w:r>
      <w:bookmarkEnd w:id="57"/>
    </w:p>
    <w:p w:rsidRPr="006B7451" w:rsidR="00B50545" w:rsidP="00D43A45" w:rsidRDefault="00DF00C4" w14:paraId="7E30F694" w14:textId="77777777">
      <w:pPr>
        <w:pStyle w:val="Normalutanindragellerluft"/>
      </w:pPr>
      <w:r w:rsidRPr="006B7451">
        <w:t>Ett fungerande utbildningssystem är en direkt förutsättning för demokrati, kultur och hela det svenska kunskapssamhället.</w:t>
      </w:r>
    </w:p>
    <w:p w:rsidRPr="006B7451" w:rsidR="006A663B" w:rsidP="00B50545" w:rsidRDefault="00533A98" w14:paraId="37707963" w14:textId="77777777">
      <w:r w:rsidRPr="006B7451">
        <w:t>Medan grundskola, gymnasieverksamhet och annan pedagogisk verksamhet i hög utsträckning bedrivs och finansieras av kommuner har staten ett flertal verktyg för att styra verksamheten</w:t>
      </w:r>
      <w:r w:rsidRPr="006B7451" w:rsidR="001A58AD">
        <w:t>. Det sker</w:t>
      </w:r>
      <w:r w:rsidRPr="006B7451">
        <w:t xml:space="preserve"> exempelvis genom skollagen</w:t>
      </w:r>
      <w:r w:rsidRPr="006B7451" w:rsidR="001A58AD">
        <w:t>s</w:t>
      </w:r>
      <w:r w:rsidRPr="006B7451">
        <w:t xml:space="preserve"> förordningar och andra författningar</w:t>
      </w:r>
      <w:r w:rsidRPr="006B7451" w:rsidR="001A58AD">
        <w:t>,</w:t>
      </w:r>
      <w:r w:rsidRPr="006B7451">
        <w:t xml:space="preserve"> genom utvärdering och granskning av verksamheten genom Statens skolverk, Specialpedagogiska skolmyndigheten, Institutet för arbetsmarknads- och utbildningspolitisk utvärdering (IFAU) och Statens skolinspektion samt genom riktad statlig finansiering.</w:t>
      </w:r>
    </w:p>
    <w:p w:rsidRPr="006B7451" w:rsidR="00B71288" w:rsidP="00B71288" w:rsidRDefault="00672B90" w14:paraId="4B60E24A" w14:textId="5ED62060">
      <w:r w:rsidRPr="006B7451">
        <w:t xml:space="preserve">Sverigedemokraterna förespråkar ett statligt huvudmannaskap för skolan och en, i vissa avseenden, starkare statlig styrning. </w:t>
      </w:r>
      <w:r w:rsidRPr="006B7451" w:rsidR="00533A98">
        <w:t xml:space="preserve">Detta innebär inte att samtliga </w:t>
      </w:r>
      <w:r w:rsidRPr="006B7451" w:rsidR="00CA62F5">
        <w:t xml:space="preserve">statliga </w:t>
      </w:r>
      <w:r w:rsidRPr="006B7451" w:rsidR="00533A98">
        <w:t xml:space="preserve">verktyg som </w:t>
      </w:r>
      <w:r w:rsidRPr="006B7451" w:rsidR="00CA62F5">
        <w:t>styr verksamheten är positiva</w:t>
      </w:r>
      <w:r w:rsidRPr="006B7451" w:rsidR="001A58AD">
        <w:t>.</w:t>
      </w:r>
      <w:r w:rsidRPr="006B7451" w:rsidR="00CA62F5">
        <w:t xml:space="preserve"> </w:t>
      </w:r>
      <w:r w:rsidRPr="006B7451" w:rsidR="001A58AD">
        <w:t>E</w:t>
      </w:r>
      <w:r w:rsidRPr="006B7451" w:rsidR="00CA62F5">
        <w:t>n viss del av de riktade statliga bidragen är ineffektiva</w:t>
      </w:r>
      <w:r w:rsidRPr="006B7451" w:rsidR="001A58AD">
        <w:t xml:space="preserve"> och</w:t>
      </w:r>
      <w:r w:rsidRPr="006B7451" w:rsidR="00CA62F5">
        <w:t xml:space="preserve"> bör ersättas av generella stöd till kommunerna.</w:t>
      </w:r>
    </w:p>
    <w:p w:rsidRPr="006B7451" w:rsidR="00CA62F5" w:rsidP="00F74926" w:rsidRDefault="006A663B" w14:paraId="665CD594" w14:textId="77777777">
      <w:pPr>
        <w:pStyle w:val="Rubrik3"/>
      </w:pPr>
      <w:bookmarkStart w:name="_Toc121752568" w:id="58"/>
      <w:r w:rsidRPr="006B7451">
        <w:t>Utbildningsväsendets kostnadsutveckling</w:t>
      </w:r>
      <w:bookmarkEnd w:id="58"/>
    </w:p>
    <w:p w:rsidRPr="006B7451" w:rsidR="006A663B" w:rsidP="00D43A45" w:rsidRDefault="006A663B" w14:paraId="127A6F34" w14:textId="4C15CDE7">
      <w:pPr>
        <w:pStyle w:val="Normalutanindragellerluft"/>
      </w:pPr>
      <w:r w:rsidRPr="006B7451">
        <w:t>Den sammantagna kostnaden för utbildningsväsendet har ökat med cirka 4–6 procent per år</w:t>
      </w:r>
      <w:r w:rsidRPr="006B7451" w:rsidR="001A58AD">
        <w:t>. Ä</w:t>
      </w:r>
      <w:r w:rsidRPr="006B7451">
        <w:t xml:space="preserve">ven som andel av BNP har kostnaden stigit från att utgöra 7,9 procent av BNP 2015 till </w:t>
      </w:r>
      <w:r w:rsidRPr="006B7451" w:rsidR="001A58AD">
        <w:t>8,4</w:t>
      </w:r>
      <w:r w:rsidRPr="006B7451">
        <w:t xml:space="preserve"> procent 2020</w:t>
      </w:r>
      <w:r w:rsidRPr="006B7451" w:rsidR="001A58AD">
        <w:t xml:space="preserve">. </w:t>
      </w:r>
      <w:r w:rsidRPr="006B7451">
        <w:t>Kostnadsökningarna har varit störst för förskolan, grund</w:t>
      </w:r>
      <w:r w:rsidR="008D534D">
        <w:softHyphen/>
      </w:r>
      <w:r w:rsidRPr="006B7451">
        <w:t>skolan och gymnasieskolan sett till absoluta belopp och störst för den kommunala vuxenutbildningen, för grundsärskolan och för yrkeshögskolan</w:t>
      </w:r>
      <w:r w:rsidRPr="006B7451" w:rsidR="00392318">
        <w:t xml:space="preserve"> i relativ ökning</w:t>
      </w:r>
      <w:r w:rsidRPr="006B7451">
        <w:t>.</w:t>
      </w:r>
    </w:p>
    <w:p w:rsidRPr="006B7451" w:rsidR="006A663B" w:rsidP="00F74926" w:rsidRDefault="006A663B" w14:paraId="7E08C899" w14:textId="41239595">
      <w:pPr>
        <w:pStyle w:val="Rubrik3"/>
      </w:pPr>
      <w:bookmarkStart w:name="_Toc121752569" w:id="59"/>
      <w:r w:rsidRPr="006B7451">
        <w:t>Skolresultatens utveckling</w:t>
      </w:r>
      <w:bookmarkEnd w:id="59"/>
    </w:p>
    <w:p w:rsidRPr="006B7451" w:rsidR="00765A6A" w:rsidP="00D43A45" w:rsidRDefault="00BD7B02" w14:paraId="320483F4" w14:textId="5F60F0E4">
      <w:pPr>
        <w:pStyle w:val="Normalutanindragellerluft"/>
      </w:pPr>
      <w:r w:rsidRPr="006B7451">
        <w:t>Genom OECD:s kunskapsutvärdering P</w:t>
      </w:r>
      <w:r w:rsidR="006B4E93">
        <w:t>isa</w:t>
      </w:r>
      <w:r w:rsidRPr="006B7451">
        <w:t xml:space="preserve"> jämförs hur femtonåriga elever presterar inom matematik, naturvetenskap och läsförståelse. </w:t>
      </w:r>
      <w:r w:rsidRPr="006B7451" w:rsidR="00CA62F5">
        <w:t>Sveriges resultat var som högst</w:t>
      </w:r>
      <w:r w:rsidRPr="006B7451">
        <w:t xml:space="preserve"> i början av mätningarna</w:t>
      </w:r>
      <w:r w:rsidRPr="006B7451" w:rsidR="00CA62F5">
        <w:t xml:space="preserve"> </w:t>
      </w:r>
      <w:r w:rsidRPr="006B7451">
        <w:t>och minskade därefter fram till 2012. År 2015 och 2018 har resultaten därefter stigit</w:t>
      </w:r>
      <w:r w:rsidRPr="006B7451" w:rsidR="00765A6A">
        <w:t>, vilket innebär att Sverige ligger på plats 11 av 36 OECD-länder med fullständiga resultat</w:t>
      </w:r>
      <w:r w:rsidRPr="006B7451">
        <w:t>. Den senaste mätningen som genomfördes 2018 har dock kritiserats av bland annat Riksrevisionen då</w:t>
      </w:r>
      <w:r w:rsidRPr="006B7451" w:rsidR="00765A6A">
        <w:t xml:space="preserve"> mer än 7 procent undantogs från att delta på felaktiga grunder. Mycket talar för att elevresultaten hade varit lägre än vid mätningen 2015/2016 om Skolverket följt undersökningens regelverk.</w:t>
      </w:r>
    </w:p>
    <w:p w:rsidRPr="00D43A45" w:rsidR="00CA62F5" w:rsidP="008D534D" w:rsidRDefault="00CA62F5" w14:paraId="7246F08B" w14:textId="6E8F40B5">
      <w:pPr>
        <w:pStyle w:val="Tabellrubrik"/>
        <w:keepNext/>
      </w:pPr>
      <w:r w:rsidRPr="00D43A45">
        <w:lastRenderedPageBreak/>
        <w:t xml:space="preserve">Figur </w:t>
      </w:r>
      <w:r w:rsidR="00D43A45">
        <w:t>13</w:t>
      </w:r>
      <w:r w:rsidRPr="00D43A45">
        <w:t xml:space="preserve"> Resultatutveckling, P</w:t>
      </w:r>
      <w:r w:rsidRPr="00D43A45" w:rsidR="005718C4">
        <w:t>ISA</w:t>
      </w:r>
      <w:r w:rsidRPr="00D43A45">
        <w:t>, 2000–2018</w:t>
      </w:r>
      <w:r w:rsidRPr="00D43A45" w:rsidR="003931CE">
        <w:t>.</w:t>
      </w:r>
    </w:p>
    <w:p w:rsidRPr="006B7451" w:rsidR="00CA62F5" w:rsidP="00CA62F5" w:rsidRDefault="00CA62F5" w14:paraId="2686FA96" w14:textId="77777777">
      <w:pPr>
        <w:ind w:firstLine="0"/>
        <w:rPr>
          <w:b/>
        </w:rPr>
      </w:pPr>
      <w:r w:rsidRPr="006B7451">
        <w:rPr>
          <w:noProof/>
          <w14:numSpacing w14:val="default"/>
        </w:rPr>
        <w:drawing>
          <wp:inline distT="0" distB="0" distL="0" distR="0" wp14:anchorId="181BA5DB" wp14:editId="3F4EDA09">
            <wp:extent cx="5400000" cy="2743200"/>
            <wp:effectExtent l="0" t="0" r="0" b="0"/>
            <wp:docPr id="14" name="Diagram 14" descr="">
              <a:extLst xmlns:a="http://schemas.openxmlformats.org/drawingml/2006/main">
                <a:ext uri="{FF2B5EF4-FFF2-40B4-BE49-F238E27FC236}">
                  <a16:creationId xmlns:a16="http://schemas.microsoft.com/office/drawing/2014/main" id="{5D59AEC3-C226-4AEC-84A0-FE8FC909DE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D43A45" w:rsidR="00CA62F5" w:rsidP="00D43A45" w:rsidRDefault="00CA62F5" w14:paraId="23480A29" w14:textId="6A3D5E14">
      <w:pPr>
        <w:pStyle w:val="Klla"/>
      </w:pPr>
      <w:r w:rsidRPr="00D43A45">
        <w:t>Källa: OECD</w:t>
      </w:r>
      <w:r w:rsidRPr="00D43A45" w:rsidR="003931CE">
        <w:t>.</w:t>
      </w:r>
    </w:p>
    <w:p w:rsidRPr="006B7451" w:rsidR="0009327C" w:rsidP="00D43A45" w:rsidRDefault="0009327C" w14:paraId="1DBA8D2E" w14:textId="249DEA91">
      <w:pPr>
        <w:pStyle w:val="Normalutanindragellerluft"/>
        <w:spacing w:before="150"/>
      </w:pPr>
      <w:r w:rsidRPr="006B7451">
        <w:t xml:space="preserve">Resultaten är dock bättre i studierna </w:t>
      </w:r>
      <w:proofErr w:type="spellStart"/>
      <w:r w:rsidRPr="006B7451">
        <w:t>P</w:t>
      </w:r>
      <w:r w:rsidR="0011505A">
        <w:t>irls</w:t>
      </w:r>
      <w:proofErr w:type="spellEnd"/>
      <w:r w:rsidRPr="006B7451">
        <w:t xml:space="preserve"> och </w:t>
      </w:r>
      <w:proofErr w:type="spellStart"/>
      <w:r w:rsidRPr="006B7451">
        <w:t>T</w:t>
      </w:r>
      <w:r w:rsidR="0011505A">
        <w:t>imss</w:t>
      </w:r>
      <w:proofErr w:type="spellEnd"/>
      <w:r w:rsidRPr="006B7451">
        <w:t xml:space="preserve">, där </w:t>
      </w:r>
      <w:proofErr w:type="spellStart"/>
      <w:r w:rsidRPr="006B7451">
        <w:t>P</w:t>
      </w:r>
      <w:r w:rsidR="0011505A">
        <w:t>irls</w:t>
      </w:r>
      <w:proofErr w:type="spellEnd"/>
      <w:r w:rsidRPr="006B7451">
        <w:t xml:space="preserve"> testar läsförståelse inom faktatexter och skönlitteratur hos elever i årskurs 4 och </w:t>
      </w:r>
      <w:proofErr w:type="spellStart"/>
      <w:r w:rsidRPr="006B7451">
        <w:t>T</w:t>
      </w:r>
      <w:r w:rsidR="0011505A">
        <w:t>imss</w:t>
      </w:r>
      <w:proofErr w:type="spellEnd"/>
      <w:r w:rsidRPr="006B7451">
        <w:t xml:space="preserve"> undersöker kunskaper i och attityder till matematik och naturvetenskap hos elever i årskurs 4 och 8. </w:t>
      </w:r>
    </w:p>
    <w:p w:rsidRPr="006B7451" w:rsidR="0009327C" w:rsidP="0009327C" w:rsidRDefault="0009327C" w14:paraId="18C6DFBA" w14:textId="090EBDED">
      <w:r w:rsidRPr="006B7451">
        <w:t>Svenska fjärdeklassares läsförmåga har förbättrats under åren och ligger nu på samma nivå som när testen genomfördes 2001, vilket är bättre än genomsnittet i EU</w:t>
      </w:r>
      <w:r w:rsidR="0011505A">
        <w:noBreakHyphen/>
      </w:r>
      <w:r w:rsidRPr="006B7451">
        <w:t xml:space="preserve"> och OECD-länderna. Även inom naturvetenskap och matematik presterar fjärde</w:t>
      </w:r>
      <w:r w:rsidR="008D534D">
        <w:softHyphen/>
      </w:r>
      <w:r w:rsidRPr="006B7451">
        <w:t>klassarna bättre än vid tidigare mätningar.</w:t>
      </w:r>
    </w:p>
    <w:p w:rsidRPr="006B7451" w:rsidR="0009327C" w:rsidP="00B50545" w:rsidRDefault="0009327C" w14:paraId="20819706" w14:textId="13A34800">
      <w:r w:rsidRPr="006B7451">
        <w:t>Elever i årskurs 8 har haft sjunkande resultat i matematik och naturvetenskap fram till 2015</w:t>
      </w:r>
      <w:r w:rsidRPr="006B7451" w:rsidR="00387970">
        <w:t>, även om det skett en viss</w:t>
      </w:r>
      <w:r w:rsidRPr="006B7451">
        <w:t xml:space="preserve"> ökning</w:t>
      </w:r>
      <w:r w:rsidRPr="006B7451" w:rsidR="00387970">
        <w:t xml:space="preserve"> därefter</w:t>
      </w:r>
      <w:r w:rsidRPr="006B7451" w:rsidR="001A58AD">
        <w:t>.</w:t>
      </w:r>
      <w:r w:rsidRPr="006B7451" w:rsidR="00B50545">
        <w:t xml:space="preserve"> </w:t>
      </w:r>
      <w:r w:rsidRPr="006B7451" w:rsidR="001A58AD">
        <w:t>I</w:t>
      </w:r>
      <w:r w:rsidRPr="006B7451" w:rsidR="00B50545">
        <w:t xml:space="preserve"> mätningen från 2019 var</w:t>
      </w:r>
      <w:r w:rsidRPr="006B7451" w:rsidR="001A58AD">
        <w:t xml:space="preserve"> dock</w:t>
      </w:r>
      <w:r w:rsidRPr="006B7451" w:rsidR="00B50545">
        <w:t xml:space="preserve"> resultaten under genomsnittet i EU och OECD inom matematik och över genomsnittet i naturvetenskap.</w:t>
      </w:r>
    </w:p>
    <w:p w:rsidRPr="006B7451" w:rsidR="0009327C" w:rsidP="00B50545" w:rsidRDefault="00B50545" w14:paraId="268B7A5A" w14:textId="6A615418">
      <w:r w:rsidRPr="006B7451">
        <w:t xml:space="preserve">Senast </w:t>
      </w:r>
      <w:proofErr w:type="spellStart"/>
      <w:r w:rsidRPr="006B7451">
        <w:t>P</w:t>
      </w:r>
      <w:r w:rsidR="0011505A">
        <w:t>irls</w:t>
      </w:r>
      <w:proofErr w:type="spellEnd"/>
      <w:r w:rsidRPr="006B7451">
        <w:t xml:space="preserve"> genomfördes var 2016 och nästa mätning väntas publiceras i december 2022. Senast </w:t>
      </w:r>
      <w:proofErr w:type="spellStart"/>
      <w:r w:rsidRPr="006B7451">
        <w:t>T</w:t>
      </w:r>
      <w:r w:rsidR="0011505A">
        <w:t>imss</w:t>
      </w:r>
      <w:proofErr w:type="spellEnd"/>
      <w:r w:rsidRPr="006B7451">
        <w:t xml:space="preserve"> genomfördes var 2019 och nästa mätning väntas publiceras i december 2024. </w:t>
      </w:r>
    </w:p>
    <w:p w:rsidRPr="006B7451" w:rsidR="00735FAC" w:rsidP="00F74926" w:rsidRDefault="00735FAC" w14:paraId="4FE198E0" w14:textId="57A4E781">
      <w:pPr>
        <w:pStyle w:val="Rubrik3"/>
      </w:pPr>
      <w:bookmarkStart w:name="_Toc121752570" w:id="60"/>
      <w:r w:rsidRPr="006B7451">
        <w:t>Ordning och reda/trygghet</w:t>
      </w:r>
      <w:bookmarkEnd w:id="60"/>
    </w:p>
    <w:p w:rsidRPr="006B7451" w:rsidR="005E08B6" w:rsidP="00DD0FDB" w:rsidRDefault="005E08B6" w14:paraId="1CB29C79" w14:textId="77777777">
      <w:pPr>
        <w:pStyle w:val="Normalutanindragellerluft"/>
      </w:pPr>
      <w:r w:rsidRPr="006B7451">
        <w:t>Antalet inkomna anmälningar till Arbetsmiljöverket om hot och våld i grund- och gymnasieskolan har ökat kraftigt under det senaste årtiondet. På vissa skolor är risken för hot och våld så hög att anställda är tvungna att bära överfallslarm.</w:t>
      </w:r>
      <w:r w:rsidRPr="006B7451" w:rsidR="00510A71">
        <w:t xml:space="preserve"> Problemet är inte begränsat till enskilda skolor eller kommuner</w:t>
      </w:r>
      <w:r w:rsidRPr="006B7451" w:rsidR="001A58AD">
        <w:t>. U</w:t>
      </w:r>
      <w:r w:rsidRPr="006B7451" w:rsidR="00510A71">
        <w:t xml:space="preserve">nder perioden 2015–2019 har antalet anmälningar om hot och våld ökat i 15 av 21 län. </w:t>
      </w:r>
      <w:r w:rsidRPr="006B7451">
        <w:t>Mörkertalet anses vidare vara stort då få incidenter resulterar i en anmälan till Arbetsmiljöverket utan i stället hanteras internt inom kommunen.</w:t>
      </w:r>
      <w:r w:rsidRPr="006B7451" w:rsidR="00510A71">
        <w:t xml:space="preserve"> </w:t>
      </w:r>
    </w:p>
    <w:p w:rsidRPr="00DD0FDB" w:rsidR="005E08B6" w:rsidP="008D534D" w:rsidRDefault="005E08B6" w14:paraId="0B29924C" w14:textId="0F8CD21B">
      <w:pPr>
        <w:pStyle w:val="Tabellrubrik"/>
        <w:keepNext/>
      </w:pPr>
      <w:r w:rsidRPr="00DD0FDB">
        <w:lastRenderedPageBreak/>
        <w:t xml:space="preserve">Figur </w:t>
      </w:r>
      <w:r w:rsidR="00DD0FDB">
        <w:t>14</w:t>
      </w:r>
      <w:r w:rsidRPr="00DD0FDB">
        <w:t xml:space="preserve"> Inkomna anmälningar till Arbetsmiljöverket om hot och våld i grund- och gymnasieskolan, 2012–2019</w:t>
      </w:r>
    </w:p>
    <w:p w:rsidRPr="006B7451" w:rsidR="005E08B6" w:rsidP="005E08B6" w:rsidRDefault="005E08B6" w14:paraId="54DE13E6" w14:textId="77777777">
      <w:pPr>
        <w:ind w:firstLine="0"/>
      </w:pPr>
      <w:r w:rsidRPr="006B7451">
        <w:rPr>
          <w:noProof/>
          <w14:numSpacing w14:val="default"/>
        </w:rPr>
        <w:drawing>
          <wp:inline distT="0" distB="0" distL="0" distR="0" wp14:anchorId="31396225" wp14:editId="3A340F88">
            <wp:extent cx="5400000" cy="2743200"/>
            <wp:effectExtent l="0" t="0" r="0" b="0"/>
            <wp:docPr id="15" name="Diagram 15" descr="">
              <a:extLst xmlns:a="http://schemas.openxmlformats.org/drawingml/2006/main">
                <a:ext uri="{FF2B5EF4-FFF2-40B4-BE49-F238E27FC236}">
                  <a16:creationId xmlns:a16="http://schemas.microsoft.com/office/drawing/2014/main" id="{4FC8E6D2-DCBD-4258-BA36-B9DAB40A9B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CC051E" w:rsidR="005E08B6" w:rsidP="00CC051E" w:rsidRDefault="005E08B6" w14:paraId="66AE316C" w14:textId="77777777">
      <w:pPr>
        <w:pStyle w:val="Klla"/>
      </w:pPr>
      <w:r w:rsidRPr="00CC051E">
        <w:t>Källa: Arbetsmiljöverket.</w:t>
      </w:r>
    </w:p>
    <w:p w:rsidRPr="006B7451" w:rsidR="00510A71" w:rsidP="00CC051E" w:rsidRDefault="00510A71" w14:paraId="43AAF864" w14:textId="45BB2F3E">
      <w:pPr>
        <w:pStyle w:val="Normalutanindragellerluft"/>
        <w:spacing w:before="150"/>
      </w:pPr>
      <w:r w:rsidRPr="006B7451">
        <w:t>Den självupplevda otryggheten har också ökat. Skolverket genomför vart tredje år urvalsundersökningen ”Attityder till skolan”.</w:t>
      </w:r>
      <w:r w:rsidRPr="006B7451" w:rsidR="00C7661A">
        <w:t xml:space="preserve"> </w:t>
      </w:r>
      <w:r w:rsidRPr="006B7451">
        <w:t>I den senaste undersökningen, från 2018, framkommer att</w:t>
      </w:r>
      <w:r w:rsidRPr="006B7451" w:rsidR="00C7661A">
        <w:t xml:space="preserve"> nästan var fjärde lärare uppger att de har utsatts för våld eller hot på sin arbetsplats det senaste året. Denna utveckling återfinns även på elevsidan där </w:t>
      </w:r>
      <w:r w:rsidRPr="006B7451">
        <w:t xml:space="preserve">nästan var femte ung elev </w:t>
      </w:r>
      <w:r w:rsidR="00104A2F">
        <w:t xml:space="preserve">i </w:t>
      </w:r>
      <w:r w:rsidRPr="006B7451">
        <w:t>årskurs 4–6 uppger att de ibland eller ofta känner sig rädda i skolan, och där 7 procent uppger att de känner sig rädda minst en gång per vecka eller oftare, vilket är mer än en fördubbling jämfört med 2015</w:t>
      </w:r>
      <w:r w:rsidR="00D5322D">
        <w:t>.</w:t>
      </w:r>
      <w:r w:rsidRPr="006B7451" w:rsidR="00C7661A">
        <w:rPr>
          <w:rStyle w:val="Fotnotsreferens"/>
        </w:rPr>
        <w:footnoteReference w:id="8"/>
      </w:r>
    </w:p>
    <w:p w:rsidRPr="006B7451" w:rsidR="00C7661A" w:rsidP="00C7661A" w:rsidRDefault="00C7661A" w14:paraId="1107ED59" w14:textId="77777777">
      <w:r w:rsidRPr="006B7451">
        <w:t>Vidare uppger fler elever att de känner sig mobbade av andra elever jämfört med 2015. Totalt 12 procent av de yngre eleverna känner sig mobbade minst en gång i månaden. Motsvarande andel för de äldre eleverna är 6 procent, vilket är en ökning jämfört med 2015 då andelen var 3 procent.</w:t>
      </w:r>
    </w:p>
    <w:p w:rsidRPr="00CC051E" w:rsidR="00510A71" w:rsidP="00CC051E" w:rsidRDefault="00510A71" w14:paraId="78291AB6" w14:textId="6306CB37">
      <w:pPr>
        <w:pStyle w:val="Tabellrubrik"/>
        <w:keepNext/>
      </w:pPr>
      <w:r w:rsidRPr="00CC051E">
        <w:t xml:space="preserve">Figur </w:t>
      </w:r>
      <w:r w:rsidR="00CC051E">
        <w:t>15</w:t>
      </w:r>
      <w:r w:rsidRPr="00CC051E">
        <w:t xml:space="preserve"> Elever som svarar att andra elever utsä</w:t>
      </w:r>
      <w:r w:rsidRPr="00CC051E" w:rsidR="00C7661A">
        <w:t>tt</w:t>
      </w:r>
      <w:r w:rsidRPr="00CC051E">
        <w:t>er dem för följande minst en gång i månaden, andel i procent</w:t>
      </w:r>
      <w:r w:rsidRPr="00CC051E" w:rsidR="00084478">
        <w:t>, år 2018</w:t>
      </w:r>
    </w:p>
    <w:p w:rsidRPr="006B7451" w:rsidR="00510A71" w:rsidP="005E08B6" w:rsidRDefault="00510A71" w14:paraId="5BF2BED6" w14:textId="77777777">
      <w:pPr>
        <w:ind w:firstLine="0"/>
      </w:pPr>
      <w:r w:rsidRPr="006B7451">
        <w:rPr>
          <w:noProof/>
          <w14:numSpacing w14:val="default"/>
        </w:rPr>
        <w:drawing>
          <wp:inline distT="0" distB="0" distL="0" distR="0" wp14:anchorId="4BD34E59" wp14:editId="1EAD2AF1">
            <wp:extent cx="5400040" cy="2681605"/>
            <wp:effectExtent l="0" t="0" r="0" b="4445"/>
            <wp:docPr id="16" name="Diagram 16" descr="">
              <a:extLst xmlns:a="http://schemas.openxmlformats.org/drawingml/2006/main">
                <a:ext uri="{FF2B5EF4-FFF2-40B4-BE49-F238E27FC236}">
                  <a16:creationId xmlns:a16="http://schemas.microsoft.com/office/drawing/2014/main" id="{248DE24C-A4A6-4615-B14C-6D91A2C78B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3457F0" w:rsidR="005E08B6" w:rsidP="003457F0" w:rsidRDefault="00C7661A" w14:paraId="0A90085D" w14:textId="77777777">
      <w:pPr>
        <w:pStyle w:val="Klla"/>
      </w:pPr>
      <w:r w:rsidRPr="003457F0">
        <w:t xml:space="preserve">Källa: </w:t>
      </w:r>
      <w:r w:rsidRPr="003457F0" w:rsidR="00084478">
        <w:t>Skolverket</w:t>
      </w:r>
      <w:r w:rsidRPr="003457F0" w:rsidR="00822D36">
        <w:t>.</w:t>
      </w:r>
    </w:p>
    <w:p w:rsidRPr="006B7451" w:rsidR="00672B90" w:rsidP="00ED5D60" w:rsidRDefault="00672B90" w14:paraId="00FCFAA1" w14:textId="77777777">
      <w:pPr>
        <w:pStyle w:val="Rubrik2numrerat"/>
      </w:pPr>
      <w:bookmarkStart w:name="_Toc121752571" w:id="61"/>
      <w:r w:rsidRPr="006B7451">
        <w:lastRenderedPageBreak/>
        <w:t>Höjd status för läraryrket</w:t>
      </w:r>
      <w:bookmarkEnd w:id="61"/>
    </w:p>
    <w:p w:rsidRPr="006B7451" w:rsidR="00672B90" w:rsidP="0075624B" w:rsidRDefault="00672B90" w14:paraId="04279928" w14:textId="77777777">
      <w:pPr>
        <w:pStyle w:val="Normalutanindragellerluft"/>
      </w:pPr>
      <w:r w:rsidRPr="006B7451">
        <w:rPr>
          <w:b/>
        </w:rPr>
        <w:t>Sverigedemokraternas förslag</w:t>
      </w:r>
      <w:r w:rsidRPr="0075624B">
        <w:t>:</w:t>
      </w:r>
      <w:r w:rsidRPr="006B7451">
        <w:t xml:space="preserve"> En karriärtrappa med stärkt löneutveckling för lärare ska införas.</w:t>
      </w:r>
    </w:p>
    <w:p w:rsidRPr="006B7451" w:rsidR="00E54E0E" w:rsidP="0075624B" w:rsidRDefault="004845E5" w14:paraId="7E2B3C84" w14:textId="7C3427B8">
      <w:pPr>
        <w:pStyle w:val="Normalutanindragellerluft"/>
        <w:spacing w:before="150"/>
      </w:pPr>
      <w:r w:rsidRPr="006B7451">
        <w:t>2013 infördes ett system med förstelärare vars syfte är att öka yrkets attraktionskraft, där staten finansierar 5 000 kronor i månaden i lönepåslag för för</w:t>
      </w:r>
      <w:r w:rsidRPr="006B7451" w:rsidR="00392318">
        <w:t>ste</w:t>
      </w:r>
      <w:r w:rsidRPr="006B7451">
        <w:t>lärarna.</w:t>
      </w:r>
      <w:r w:rsidRPr="006B7451" w:rsidR="00E54E0E">
        <w:t xml:space="preserve"> 2019 förstärktes systemet ytterligare där förstelärare i socioekonomiskt utsatta </w:t>
      </w:r>
      <w:r w:rsidR="00AF7810">
        <w:t xml:space="preserve">områden </w:t>
      </w:r>
      <w:r w:rsidRPr="006B7451" w:rsidR="00E54E0E">
        <w:t>får ett dubbelt påslag.</w:t>
      </w:r>
    </w:p>
    <w:p w:rsidRPr="006B7451" w:rsidR="002B2C6C" w:rsidP="002B2C6C" w:rsidRDefault="004845E5" w14:paraId="5BBD8700" w14:textId="77777777">
      <w:r w:rsidRPr="006B7451">
        <w:t xml:space="preserve">Medan reformen har visat på vissa positiva effekter för minskad lärarrörlighet och högre skolresultat har reformen även </w:t>
      </w:r>
      <w:r w:rsidRPr="006B7451" w:rsidR="00E54E0E">
        <w:t>inneburit ökade konflikter på vissa skolor och en otydlighet kring vad uppdraget innebär</w:t>
      </w:r>
      <w:r w:rsidRPr="006B7451" w:rsidR="002B2C6C">
        <w:t xml:space="preserve"> eller på vilka grunder det tilldelas en person.</w:t>
      </w:r>
    </w:p>
    <w:p w:rsidRPr="006B7451" w:rsidR="00B71288" w:rsidP="002B2C6C" w:rsidRDefault="002B2C6C" w14:paraId="10F0ECEF" w14:textId="12402CA3">
      <w:r w:rsidRPr="006B7451">
        <w:t>För att stärka läraryrket bör d</w:t>
      </w:r>
      <w:r w:rsidRPr="006B7451" w:rsidR="00E54E0E">
        <w:t xml:space="preserve">et nuvarande systemet ersättas med </w:t>
      </w:r>
      <w:r w:rsidRPr="006B7451">
        <w:t>en karriärtrappa</w:t>
      </w:r>
      <w:r w:rsidRPr="006B7451" w:rsidR="00E54E0E">
        <w:t xml:space="preserve"> som omfattar fler lärare, där lärarens vidareutveckling sker stegvis med krav </w:t>
      </w:r>
      <w:r w:rsidRPr="006B7451" w:rsidR="00672B90">
        <w:t>på presta</w:t>
      </w:r>
      <w:r w:rsidR="008D534D">
        <w:softHyphen/>
      </w:r>
      <w:r w:rsidRPr="006B7451" w:rsidR="00672B90">
        <w:t>tion, vidareutbildning, ansvarstagande och mentorskap för yngre kollegor.</w:t>
      </w:r>
      <w:r w:rsidRPr="006B7451">
        <w:t xml:space="preserve"> Den ökade möjligheten för lärare att vidareutvecklas på skolan bidrar även till en ökad kontinuitet för eleverna, </w:t>
      </w:r>
      <w:r w:rsidRPr="006B7451" w:rsidR="001A58AD">
        <w:t>eftersom</w:t>
      </w:r>
      <w:r w:rsidRPr="006B7451">
        <w:t xml:space="preserve"> det minskar incitamenten för lärare att söka sig till konkurrerande skolor i syfte att få en skälig lön.</w:t>
      </w:r>
    </w:p>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efault="001232A0" w14:paraId="05BE4FD0" w14:textId="77777777">
      <w:pPr>
        <w:pStyle w:val="Rubrik2numrerat"/>
      </w:pPr>
      <w:bookmarkStart w:name="_Toc121752572" w:id="62"/>
      <w:proofErr w:type="spellStart"/>
      <w:r w:rsidRPr="006B7451">
        <w:t>F</w:t>
      </w:r>
      <w:r w:rsidRPr="006B7451" w:rsidR="00DF00C4">
        <w:t>örskolemiljard</w:t>
      </w:r>
      <w:proofErr w:type="spellEnd"/>
      <w:r w:rsidRPr="006B7451">
        <w:t xml:space="preserve"> och slopat karensavdrag</w:t>
      </w:r>
      <w:bookmarkEnd w:id="62"/>
      <w:r w:rsidRPr="006B7451">
        <w:t xml:space="preserve"> </w:t>
      </w:r>
    </w:p>
    <w:p w:rsidRPr="006B7451" w:rsidR="00DF00C4" w:rsidP="0075624B" w:rsidRDefault="00DF00C4" w14:paraId="7108A0DF" w14:textId="77777777">
      <w:pPr>
        <w:pStyle w:val="Normalutanindragellerluft"/>
      </w:pPr>
      <w:r w:rsidRPr="006B7451">
        <w:rPr>
          <w:b/>
        </w:rPr>
        <w:t>Sverigedemokraternas förslag:</w:t>
      </w:r>
      <w:r w:rsidRPr="006B7451">
        <w:t xml:space="preserve"> Karensavdraget för skol- och förskolepersonal ska avskaffas. Arbetsmiljön och arbetsvillkoren för anställda inom förskolan ska förbättras.</w:t>
      </w:r>
    </w:p>
    <w:p w:rsidRPr="006B7451" w:rsidR="00DF00C4" w:rsidP="0075624B" w:rsidRDefault="00DF00C4" w14:paraId="731081B2" w14:textId="2AEE81F6">
      <w:pPr>
        <w:pStyle w:val="Normalutanindragellerluft"/>
        <w:spacing w:before="150"/>
      </w:pPr>
      <w:r w:rsidRPr="006B7451">
        <w:t>Barn behöver ges goda förutsättningar och få uppmärksamhet och omsorg i förskolan. I många fall drabbas förskolepersonal av hög arbetsbelastning, underbemanning och för många bisysslor. Detta leder till</w:t>
      </w:r>
      <w:r w:rsidR="00F9220B">
        <w:t xml:space="preserve"> ett</w:t>
      </w:r>
      <w:r w:rsidRPr="006B7451">
        <w:t xml:space="preserve"> ökat antal sjukskrivningar, utbränd personal, hög personalomsättning samt försämrad trygghet och kontinuitet för barnen.</w:t>
      </w:r>
      <w:r w:rsidRPr="006B7451" w:rsidR="001232A0">
        <w:t xml:space="preserve"> Skolverket anger i sina allmänna råd riktmärken för antalet barn i förskolans barngrupper. För barn i åldern 1–3 år är riktmärket för barngruppens storlek 6 till 12 barn. För barn i åldern 4–5 år är riktmärket 9 till 15 barn. Riktmärkena är inte tvingande utan ska användas som något att förhålla sig till och vara ett stöd för att skapa lagom stora barngrupper. Skolverket ger ing</w:t>
      </w:r>
      <w:r w:rsidRPr="006B7451" w:rsidR="001D71AC">
        <w:t>en</w:t>
      </w:r>
      <w:r w:rsidRPr="006B7451" w:rsidR="001232A0">
        <w:t xml:space="preserve"> rekommendation angående personaltätheten. </w:t>
      </w:r>
    </w:p>
    <w:p w:rsidRPr="006B7451" w:rsidR="009446E6" w:rsidP="001232A0" w:rsidRDefault="001232A0" w14:paraId="5B4C7F13" w14:textId="7A05C46B">
      <w:r w:rsidRPr="006B7451">
        <w:t>Sverigedemokraterna förordar i stället en riktlinje om max fem barn per förskole</w:t>
      </w:r>
      <w:r w:rsidR="00CB43F3">
        <w:softHyphen/>
      </w:r>
      <w:r w:rsidRPr="006B7451">
        <w:t>personal eller motsvarande 3 100 fler heltidstjänster inom förskolan. Det skulle innebära en kostnadsökning inom kommunerna på 1,3–1,7 miljarder kronor</w:t>
      </w:r>
      <w:r w:rsidRPr="006B7451" w:rsidR="009446E6">
        <w:t xml:space="preserve"> vid fullt genomslag</w:t>
      </w:r>
      <w:r w:rsidR="008E554E">
        <w:t>,</w:t>
      </w:r>
      <w:r w:rsidRPr="006B7451" w:rsidR="009446E6">
        <w:t xml:space="preserve"> vilket delvis finansieras av ett ökat generellt stöd till kommunerna samt en riktad finansiering på 1,0 miljarder kronor för</w:t>
      </w:r>
      <w:r w:rsidRPr="006B7451" w:rsidR="00387970">
        <w:t xml:space="preserve"> bland annat</w:t>
      </w:r>
      <w:r w:rsidRPr="006B7451" w:rsidR="009446E6">
        <w:t xml:space="preserve"> minskade barngrupper</w:t>
      </w:r>
      <w:r w:rsidRPr="006B7451" w:rsidR="001A58AD">
        <w:t>.</w:t>
      </w:r>
      <w:r w:rsidRPr="006B7451" w:rsidR="009446E6">
        <w:t xml:space="preserve"> </w:t>
      </w:r>
    </w:p>
    <w:p w:rsidRPr="006B7451" w:rsidR="009446E6" w:rsidP="009446E6" w:rsidRDefault="009446E6" w14:paraId="20B3EE05" w14:textId="1599FDE6">
      <w:r w:rsidRPr="006B7451">
        <w:t>Förskolepersonal är särskilt utsatta för hög smittorisk, samtidigt som de riskerar att bidra till ökad smitta på arbetsplatsen om de kommer till skolan med symtom. Av denna anledning bör karensavdraget för förskolepersonal avskaffas.</w:t>
      </w:r>
    </w:p>
    <w:p w:rsidR="00CB43F3" w:rsidP="009446E6" w:rsidRDefault="006F0CF5" w14:paraId="4FAE1D79" w14:textId="59D12E2F">
      <w:r w:rsidRPr="006B7451">
        <w:t>Förslaget beräknas öka utgifterna i statens budget med 1,20 miljarder kronor 2022.</w:t>
      </w:r>
    </w:p>
    <w:p w:rsidR="00CB43F3" w:rsidRDefault="00CB43F3" w14:paraId="48E59BA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F00C4" w:rsidP="00ED5D60" w:rsidRDefault="007518A5" w14:paraId="31BF01CB" w14:textId="76C13582">
      <w:pPr>
        <w:pStyle w:val="Rubrik2numrerat"/>
      </w:pPr>
      <w:bookmarkStart w:name="_Toc121752573" w:id="63"/>
      <w:bookmarkStart w:name="_Hlk83886666" w:id="64"/>
      <w:r w:rsidRPr="006B7451">
        <w:lastRenderedPageBreak/>
        <w:t>Ordning och reda</w:t>
      </w:r>
      <w:bookmarkEnd w:id="63"/>
    </w:p>
    <w:p w:rsidRPr="006B7451" w:rsidR="00DF00C4" w:rsidP="00132514" w:rsidRDefault="00DF00C4" w14:paraId="07B4A9A2" w14:textId="77777777">
      <w:pPr>
        <w:pStyle w:val="Normalutanindragellerluft"/>
      </w:pPr>
      <w:r w:rsidRPr="006B7451">
        <w:rPr>
          <w:b/>
        </w:rPr>
        <w:t>Sverigedemokraternas förslag</w:t>
      </w:r>
      <w:r w:rsidRPr="00132514">
        <w:t>:</w:t>
      </w:r>
      <w:r w:rsidRPr="006B7451">
        <w:t xml:space="preserve"> Jourklasser ska införas. Skolinspektionen ska tillföras medel för att genomföra fler kontroller och oanmälda besök.</w:t>
      </w:r>
    </w:p>
    <w:p w:rsidRPr="006B7451" w:rsidR="00DF00C4" w:rsidP="00132514" w:rsidRDefault="00DF00C4" w14:paraId="38DC5A02" w14:textId="432358EB">
      <w:pPr>
        <w:pStyle w:val="Normalutanindragellerluft"/>
        <w:spacing w:before="150"/>
      </w:pPr>
      <w:r w:rsidRPr="006B7451">
        <w:t xml:space="preserve">Problemen med otrygghet, dålig </w:t>
      </w:r>
      <w:proofErr w:type="spellStart"/>
      <w:r w:rsidRPr="006B7451">
        <w:t>studiero</w:t>
      </w:r>
      <w:proofErr w:type="spellEnd"/>
      <w:r w:rsidRPr="006B7451">
        <w:t xml:space="preserve">, hot och våld i skolan har ökat och måste åtgärdas. Elever som inte klarar av en normal undervisningssituation och inte är mottagliga för vuxenvärldens markeringar är ett arbetsmiljöproblem och förstör </w:t>
      </w:r>
      <w:proofErr w:type="spellStart"/>
      <w:r w:rsidRPr="006B7451">
        <w:t>studieron</w:t>
      </w:r>
      <w:proofErr w:type="spellEnd"/>
      <w:r w:rsidRPr="006B7451">
        <w:t xml:space="preserve"> för andra elever. De behöver extra stöd av särskilt kompetent personal och ska därför placeras i jourklass.</w:t>
      </w:r>
    </w:p>
    <w:p w:rsidRPr="006B7451" w:rsidR="00DF00C4" w:rsidP="00DF00C4" w:rsidRDefault="00DF00C4" w14:paraId="5B610B97" w14:textId="24FA8F36">
      <w:r w:rsidRPr="006B7451">
        <w:t>Eftersom missförhållanden</w:t>
      </w:r>
      <w:r w:rsidR="005256CB">
        <w:t>a</w:t>
      </w:r>
      <w:r w:rsidRPr="006B7451">
        <w:t xml:space="preserve"> i många skolor vuxit i omfattning behövs en rejäl satsning på Skolinspektionen. Fler kontroller, oanmälda besök samt </w:t>
      </w:r>
      <w:r w:rsidR="005256CB">
        <w:t xml:space="preserve">en </w:t>
      </w:r>
      <w:r w:rsidRPr="006B7451">
        <w:t>utökning av rutiner för kravställning och uppföljning behövs. Om Skolinspektionen noterar att en skola, trots upprepade varningar, inte fungerar och utgör ett arbetsmiljöproblem för lärare och elever ska staten ta över dess drift. Staten tillsätter då en rektor som får de befogenheter och resurser som krävs för att verksamheten ska kunna drivas i enlighet med läroplanens intentioner.</w:t>
      </w:r>
    </w:p>
    <w:bookmarkEnd w:id="64"/>
    <w:p w:rsidRPr="006B7451" w:rsidR="006F0CF5" w:rsidP="00DF00C4" w:rsidRDefault="006F0CF5" w14:paraId="4131E6BF" w14:textId="02CA85FB">
      <w:r w:rsidRPr="006B7451">
        <w:t>Förslaget beräknas öka utgifterna i statens budget med 1,00 miljarder kronor.</w:t>
      </w:r>
    </w:p>
    <w:p w:rsidRPr="006B7451" w:rsidR="00DF00C4" w:rsidP="00ED5D60" w:rsidRDefault="00DF00C4" w14:paraId="350679FF" w14:textId="77777777">
      <w:pPr>
        <w:pStyle w:val="Rubrik2numrerat"/>
      </w:pPr>
      <w:bookmarkStart w:name="_Toc121752574" w:id="65"/>
      <w:r w:rsidRPr="006B7451">
        <w:t xml:space="preserve">Tvååriga </w:t>
      </w:r>
      <w:r w:rsidRPr="006B7451" w:rsidR="001A58AD">
        <w:t>yrkesprogram i gymnasieskolan</w:t>
      </w:r>
      <w:bookmarkEnd w:id="65"/>
    </w:p>
    <w:p w:rsidRPr="006B7451" w:rsidR="00DF00C4" w:rsidP="00132514" w:rsidRDefault="00DF00C4" w14:paraId="5482F2D1" w14:textId="77777777">
      <w:pPr>
        <w:pStyle w:val="Normalutanindragellerluft"/>
      </w:pPr>
      <w:r w:rsidRPr="006B7451">
        <w:rPr>
          <w:b/>
        </w:rPr>
        <w:t>Sverigedemokraternas förslag</w:t>
      </w:r>
      <w:r w:rsidRPr="00132514">
        <w:t>:</w:t>
      </w:r>
      <w:r w:rsidRPr="006B7451">
        <w:t xml:space="preserve"> </w:t>
      </w:r>
      <w:r w:rsidRPr="006B7451" w:rsidR="001A58AD">
        <w:t xml:space="preserve">Gymnasieskolans samtliga yrkesprogram </w:t>
      </w:r>
      <w:r w:rsidRPr="006B7451">
        <w:t xml:space="preserve">ska minska från 3 års studietid till 2 års studietid. </w:t>
      </w:r>
    </w:p>
    <w:p w:rsidRPr="006B7451" w:rsidR="00DF00C4" w:rsidP="00132514" w:rsidRDefault="00DF00C4" w14:paraId="3EAA2B32" w14:textId="18669B4B">
      <w:pPr>
        <w:pStyle w:val="Normalutanindragellerluft"/>
        <w:spacing w:before="150"/>
      </w:pPr>
      <w:r w:rsidRPr="006B7451">
        <w:t xml:space="preserve">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 3-åriga program bidrar det nuvarande systemet till att fler ungdomar hoppar av gymnasiet. De tvååriga </w:t>
      </w:r>
      <w:r w:rsidRPr="006B7451" w:rsidR="00E55AF1">
        <w:t>yrkesprogrammen</w:t>
      </w:r>
      <w:r w:rsidRPr="006B7451">
        <w:t xml:space="preserve"> med minskat teoretiskt innehåll ska därför återinföras. Den som så vill kan sedan bygga på sin 2-åriga utbildning med ett tredje år och därigenom stärka sin teoretiska profil.</w:t>
      </w:r>
    </w:p>
    <w:p w:rsidRPr="006B7451" w:rsidR="00DF00C4" w:rsidP="00ED5D60" w:rsidRDefault="00DF00C4" w14:paraId="2147ECE4" w14:textId="3950AE92">
      <w:pPr>
        <w:pStyle w:val="Rubrik2numrerat"/>
      </w:pPr>
      <w:bookmarkStart w:name="_Toc121752575" w:id="66"/>
      <w:r w:rsidRPr="006B7451">
        <w:t>Kvalitetssatsning på högskolor och universitet</w:t>
      </w:r>
      <w:bookmarkEnd w:id="66"/>
    </w:p>
    <w:p w:rsidRPr="006B7451" w:rsidR="00DF00C4" w:rsidP="00132514" w:rsidRDefault="00DF00C4" w14:paraId="5F57A47E" w14:textId="77777777">
      <w:pPr>
        <w:pStyle w:val="Normalutanindragellerluft"/>
      </w:pPr>
      <w:r w:rsidRPr="006B7451">
        <w:rPr>
          <w:b/>
        </w:rPr>
        <w:t>Sverigedemokraternas förslag</w:t>
      </w:r>
      <w:r w:rsidRPr="00132514">
        <w:t>:</w:t>
      </w:r>
      <w:r w:rsidRPr="006B7451">
        <w:t xml:space="preserve"> Produktivitetsavdrag</w:t>
      </w:r>
      <w:r w:rsidRPr="006B7451" w:rsidR="001D71AC">
        <w:t>et</w:t>
      </w:r>
      <w:r w:rsidRPr="006B7451">
        <w:t xml:space="preserve"> ska avskaffas och medel ska tillföras för att öka lärartätheten på högskolor och universitet.</w:t>
      </w:r>
    </w:p>
    <w:p w:rsidRPr="006B7451" w:rsidR="00DF00C4" w:rsidP="00132514" w:rsidRDefault="00DF00C4" w14:paraId="404E626B" w14:textId="6745DB39">
      <w:pPr>
        <w:pStyle w:val="Normalutanindragellerluft"/>
        <w:spacing w:before="150"/>
      </w:pPr>
      <w:r w:rsidRPr="006B7451">
        <w:t>Det finns, över tid, en trend att anslagen per student på högskolor och universitet urholkas. Urholkningen av resurserna per student fortsätter år efter år till stor del på grund av ett så kallat produktivitetsavdrag. Det innebär i korthet att de flesta utbild</w:t>
      </w:r>
      <w:r w:rsidR="00B3656C">
        <w:softHyphen/>
      </w:r>
      <w:r w:rsidRPr="006B7451">
        <w:t>ningar ska bli effektivare varje år och en procentsats dras av när anslagen räknas upp i den årliga pris- och löneomräkningen. I slutändan innebär detta en orimlig situation, där interaktionen mellan lärare och studenter minskas till ett minimum och utbildningarnas kvalitet förfaller.</w:t>
      </w:r>
    </w:p>
    <w:p w:rsidRPr="006B7451" w:rsidR="00DF00C4" w:rsidP="00E55AF1" w:rsidRDefault="00DF00C4" w14:paraId="1A228B40" w14:textId="31E50625">
      <w:r w:rsidRPr="006B7451">
        <w:lastRenderedPageBreak/>
        <w:t>Sverigedemokraterna budgeterar för ett avskaffande av produktivitetsavdraget under 202</w:t>
      </w:r>
      <w:r w:rsidRPr="006B7451" w:rsidR="00D32A41">
        <w:t>2</w:t>
      </w:r>
      <w:r w:rsidRPr="006B7451">
        <w:t xml:space="preserve"> och skjuter därutöver till medel för att öka lärartätheten och öka antalet undervisningstimmar.</w:t>
      </w:r>
    </w:p>
    <w:p w:rsidRPr="006B7451" w:rsidR="00C264FD" w:rsidP="00E55AF1" w:rsidRDefault="00C264FD" w14:paraId="3A29850B" w14:textId="05149D06">
      <w:r w:rsidRPr="006B7451">
        <w:t xml:space="preserve">Förslaget beräknas öka statens utgifter med </w:t>
      </w:r>
      <w:r w:rsidRPr="006B7451" w:rsidR="006F0CF5">
        <w:t>0,71 miljarder kronor 2022.</w:t>
      </w:r>
    </w:p>
    <w:p w:rsidRPr="006B7451" w:rsidR="00DF5B7B" w:rsidP="00ED5D60" w:rsidRDefault="00DF5B7B" w14:paraId="3A44CAB3" w14:textId="77777777">
      <w:pPr>
        <w:pStyle w:val="Rubrik2numrerat"/>
      </w:pPr>
      <w:bookmarkStart w:name="_Toc121752576" w:id="67"/>
      <w:r w:rsidRPr="006B7451">
        <w:t>Ökad generell skolpeng</w:t>
      </w:r>
      <w:bookmarkEnd w:id="67"/>
    </w:p>
    <w:p w:rsidRPr="006B7451" w:rsidR="00DF5B7B" w:rsidP="00132514" w:rsidRDefault="00DF5B7B" w14:paraId="7C21148F" w14:textId="6E7FC256">
      <w:pPr>
        <w:pStyle w:val="Normalutanindragellerluft"/>
      </w:pPr>
      <w:r w:rsidRPr="006B7451">
        <w:rPr>
          <w:b/>
        </w:rPr>
        <w:t>Sverigedemokraternas förslag</w:t>
      </w:r>
      <w:r w:rsidRPr="00132514">
        <w:t>:</w:t>
      </w:r>
      <w:r w:rsidRPr="006B7451">
        <w:t xml:space="preserve"> </w:t>
      </w:r>
      <w:r w:rsidRPr="006B7451" w:rsidR="00387970">
        <w:t>Skolpengen ska förstärkas med 2,0 miljarder per år.</w:t>
      </w:r>
    </w:p>
    <w:p w:rsidRPr="006B7451" w:rsidR="00DF00C4" w:rsidP="00132514" w:rsidRDefault="00405B8C" w14:paraId="1C1EA27E" w14:textId="3C3B7A4C">
      <w:pPr>
        <w:pStyle w:val="Normalutanindragellerluft"/>
        <w:spacing w:before="150"/>
      </w:pPr>
      <w:r w:rsidRPr="006B7451">
        <w:t>Skolan behöver en likvärdig och generell satsning genom en ökad skolpeng. Staten ska skjuta till mer pengar så att grundbeloppet för varje elev ökar. Det står sedan respektive skola fritt att använda dessa extra resurser till de förbättrade åtgärder som behövs. Det kan till exempel ske genom inköp av mer läromedel eller en satsning på högre personaltäthet.</w:t>
      </w:r>
    </w:p>
    <w:p w:rsidR="00C264FD" w:rsidP="00C264FD" w:rsidRDefault="00C264FD" w14:paraId="50CF8110" w14:textId="747DA957">
      <w:r w:rsidRPr="006B7451">
        <w:t>Förslaget beräknas öka statens utgifter med 2,00 miljarder kronor 2022.</w:t>
      </w:r>
    </w:p>
    <w:p w:rsidR="00B3656C" w:rsidRDefault="00B3656C" w14:paraId="13D67195" w14:textId="4293B52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5E4C8F04" w14:textId="7DF7FEC8">
      <w:pPr>
        <w:pStyle w:val="Rubrik1numrerat"/>
      </w:pPr>
      <w:bookmarkStart w:name="_Toc121752577" w:id="68"/>
      <w:r w:rsidRPr="006B7451">
        <w:lastRenderedPageBreak/>
        <w:t>Pensioner</w:t>
      </w:r>
      <w:bookmarkEnd w:id="68"/>
    </w:p>
    <w:p w:rsidRPr="006B7451" w:rsidR="00E434EA" w:rsidP="00132514" w:rsidRDefault="00E434EA" w14:paraId="3A178517" w14:textId="2DF64022">
      <w:pPr>
        <w:pStyle w:val="Normalutanindragellerluft"/>
      </w:pPr>
      <w:r w:rsidRPr="006B7451">
        <w:t>Det svenska pensionssystemet syftar till att ge alla svenska medborgare en trygg och värdig ålderdom. I åratal har pensionssystemet dock varit både eftersatt och under</w:t>
      </w:r>
      <w:r w:rsidR="00B3656C">
        <w:softHyphen/>
      </w:r>
      <w:r w:rsidRPr="006B7451">
        <w:t>finansierat. Många av dagens pensionärer är missnöjda, blivande pensionärer är oroliga</w:t>
      </w:r>
      <w:r w:rsidR="00B40583">
        <w:t xml:space="preserve"> och</w:t>
      </w:r>
      <w:r w:rsidRPr="006B7451">
        <w:t xml:space="preserve"> oron har till med spridit sig till de yngre generationerna som inte vet vad de kan förvänta sig den dagen de har blivit för gamla för att arbeta.</w:t>
      </w:r>
    </w:p>
    <w:p w:rsidRPr="006B7451" w:rsidR="00E434EA" w:rsidP="00E434EA" w:rsidRDefault="00E434EA" w14:paraId="335987C4" w14:textId="5B072D65">
      <w:r w:rsidRPr="006B7451">
        <w:t>Sverige har flest fattigpensionärer i Norden, där många som arbetat och betalat skatt under sina liv nu behöver jobba extra</w:t>
      </w:r>
      <w:r w:rsidR="00F53F6D">
        <w:t xml:space="preserve"> eller</w:t>
      </w:r>
      <w:r w:rsidRPr="006B7451">
        <w:t xml:space="preserve"> panta burkar eller tvingas leva på låg ekonomisk standard. Trots detta är det få partier som vill stärka pensionerna</w:t>
      </w:r>
      <w:r w:rsidR="00F147A5">
        <w:t>;</w:t>
      </w:r>
      <w:r w:rsidRPr="006B7451">
        <w:t xml:space="preserve"> i stället har de övriga partierna plockat bort frågan från dagordningen och dolt den i en dysfunk</w:t>
      </w:r>
      <w:r w:rsidR="00B3656C">
        <w:softHyphen/>
      </w:r>
      <w:r w:rsidRPr="006B7451">
        <w:t>tionell grupp som endast har lyckats med att försämra saker, att tvinga folk att jobba längre snarare än att höja pensionerna.</w:t>
      </w:r>
    </w:p>
    <w:p w:rsidRPr="006B7451" w:rsidR="00E434EA" w:rsidP="00E434EA" w:rsidRDefault="00E434EA" w14:paraId="0CBA3DD4" w14:textId="77777777">
      <w:r w:rsidRPr="006B7451">
        <w:t>Parallellt ökar kostnaden för att finansiera pensionen för personer som invandrat till Sverige och som i liten eller ingen utsträckning har arbetat och betalat skatt, vilket på sikt riskerar att leda till kraftiga skattehöjningar och ett urholkat förtroende för pensionssystemet.</w:t>
      </w:r>
    </w:p>
    <w:p w:rsidRPr="006B7451" w:rsidR="00E434EA" w:rsidP="00E434EA" w:rsidRDefault="00E434EA" w14:paraId="5FE29666" w14:textId="6F8EB7DE">
      <w:r w:rsidRPr="006B7451">
        <w:t>Hela pensionssystemet behöver stärkas. Det ska synas på pensionen att man har arbetat ett helt liv, samtidigt som det behövs ett ökat stöd till de mest utsatta som på grund av sjukdom eller funktionsnedsättning inte har kunnat arbeta i full utsträckning. Det måste även bli lättare att spara privat, för att människor i så låg utsträckning som möjligt ska vara beroende av dysfunktionella pensionsgruppers beslut.</w:t>
      </w:r>
    </w:p>
    <w:p w:rsidRPr="006B7451" w:rsidR="00F064A6" w:rsidP="00E434EA" w:rsidRDefault="00E434EA" w14:paraId="12B0C397" w14:textId="3D655BC0">
      <w:r w:rsidRPr="006B7451">
        <w:t>Det behövs vidare en tydlighet mot dem som har kommit till Sverige att de inte kan förvänta sig att bli försörjda av andras arbete. Vill man ta del av det svenska pensions</w:t>
      </w:r>
      <w:r w:rsidR="00B3656C">
        <w:softHyphen/>
      </w:r>
      <w:r w:rsidRPr="006B7451">
        <w:t>systemet är en förutsättning att man själv är med och bidrar. Att göra sin plikt, innan man kräver sin rätt.</w:t>
      </w:r>
    </w:p>
    <w:p w:rsidRPr="006B7451" w:rsidR="00F064A6" w:rsidP="00B3656C" w:rsidRDefault="00F064A6" w14:paraId="224C26FD" w14:textId="0E7D238B">
      <w:pPr>
        <w:pStyle w:val="Rubrik2numrerat"/>
        <w:ind w:left="482" w:hanging="482"/>
      </w:pPr>
      <w:bookmarkStart w:name="_Toc121752578" w:id="69"/>
      <w:r w:rsidRPr="006B7451">
        <w:t>Med nuvarande inriktning riskerar kostnaden för grundskyddet att rusa</w:t>
      </w:r>
      <w:bookmarkEnd w:id="69"/>
    </w:p>
    <w:p w:rsidRPr="006B7451" w:rsidR="00450C2E" w:rsidP="00132514" w:rsidRDefault="00450C2E" w14:paraId="5E80750D" w14:textId="20E3126B">
      <w:pPr>
        <w:pStyle w:val="Normalutanindragellerluft"/>
      </w:pPr>
      <w:r w:rsidRPr="006B7451">
        <w:t xml:space="preserve">Pensionsmyndighetens utgifter för ersättningar inom socialförsäkringen har under en längre tid varit avtagande till följd av att en allt större del av befolkningen har ett yrkesliv med pensionsgrundande inkomst bakom sig vid pensionering. Detta leder till att en lägre andel av de nya pensionärerna får bostadstillägg eller garantipension. </w:t>
      </w:r>
    </w:p>
    <w:p w:rsidRPr="006B7451" w:rsidR="00F064A6" w:rsidP="00450C2E" w:rsidRDefault="00F064A6" w14:paraId="011755F5" w14:textId="77777777">
      <w:r w:rsidRPr="006B7451">
        <w:t xml:space="preserve">Migrationen har </w:t>
      </w:r>
      <w:r w:rsidRPr="006B7451" w:rsidR="00450C2E">
        <w:t xml:space="preserve">dock </w:t>
      </w:r>
      <w:r w:rsidRPr="006B7451">
        <w:t>en omfattande påverkan på samhällsekonomin, dels i direkta kostnader för mottagande (vilket på kort sikt kan medföra positiva effekter på tillväxten) men även i indirekta kostnader för ett högre nyttjande av välfärdstjänster och en belastning på pensionssystemet och socialförsäkringarna.</w:t>
      </w:r>
    </w:p>
    <w:p w:rsidRPr="006B7451" w:rsidR="00F064A6" w:rsidP="00F064A6" w:rsidRDefault="00F064A6" w14:paraId="7749507F" w14:textId="42335435">
      <w:r w:rsidRPr="006B7451">
        <w:t xml:space="preserve">Invandringen, och särskilt den som skett under det senaste årtiondet, har bestått av personer vars livsinkomster förväntas vara betydligt lägre än </w:t>
      </w:r>
      <w:r w:rsidR="002C7C89">
        <w:t xml:space="preserve">för </w:t>
      </w:r>
      <w:r w:rsidRPr="006B7451">
        <w:t>övriga befolkningen. På det omedelbara planet leder det till ökade kostnader för biståndet,</w:t>
      </w:r>
      <w:r w:rsidR="00E920B3">
        <w:t xml:space="preserve"> och</w:t>
      </w:r>
      <w:r w:rsidRPr="006B7451">
        <w:t xml:space="preserve"> på längre sikt – då många är asylsökande unga – kommer deras inkomstgrundade pensioner att behöva fyllas ut med grundtrygghetsförmåner.</w:t>
      </w:r>
    </w:p>
    <w:p w:rsidRPr="006B7451" w:rsidR="00E434EA" w:rsidP="00E03B33" w:rsidRDefault="00F064A6" w14:paraId="2F4D61BD" w14:textId="78425D87">
      <w:r w:rsidRPr="006B7451">
        <w:t>Med ett fortsatt högt mottagande finns det en överhängande risk att både pensions</w:t>
      </w:r>
      <w:r w:rsidR="00B3656C">
        <w:softHyphen/>
      </w:r>
      <w:r w:rsidRPr="006B7451">
        <w:t xml:space="preserve">systemet och delarna av pensionen som hanteras inom statens utgiftsramar drabbas hårt. Fyra av fem pensionärer som är utrikesfödda från utomeuropeiska länder lever antingen på garantipension eller bostadstillägg och äldreförsörjningsstöd. Pensionsmyndigheten har tidigare uppskattat att kostnaden för utrikesfödda pensionärer kommer att öka till 32 </w:t>
      </w:r>
      <w:r w:rsidRPr="006B7451">
        <w:lastRenderedPageBreak/>
        <w:t>miljarder kronor kring år 2060</w:t>
      </w:r>
      <w:r w:rsidR="002022D5">
        <w:t xml:space="preserve">, </w:t>
      </w:r>
      <w:r w:rsidRPr="006B7451" w:rsidR="002022D5">
        <w:t>om det historiska livsinkomstmönstret inte ändras</w:t>
      </w:r>
      <w:r w:rsidR="002022D5">
        <w:t>, v</w:t>
      </w:r>
      <w:r w:rsidRPr="006B7451">
        <w:t>ilket kan jämföras med dagens kostnad för ekonomisk trygghet vid ålderdom för samtliga på cirka 35 miljarder kronor.</w:t>
      </w:r>
    </w:p>
    <w:p w:rsidRPr="006B7451" w:rsidR="00E434EA" w:rsidP="00ED5D60" w:rsidRDefault="00E5571F" w14:paraId="46AB568B" w14:textId="250AFAE2">
      <w:pPr>
        <w:pStyle w:val="Rubrik2numrerat"/>
      </w:pPr>
      <w:bookmarkStart w:name="_Toc121752579" w:id="70"/>
      <w:r w:rsidRPr="006B7451">
        <w:t>Pensionen i siffror</w:t>
      </w:r>
      <w:bookmarkEnd w:id="70"/>
    </w:p>
    <w:p w:rsidRPr="003B344F" w:rsidR="00E434EA" w:rsidP="00B3656C" w:rsidRDefault="003B344F" w14:paraId="3623E5E4" w14:textId="051DE307">
      <w:pPr>
        <w:pStyle w:val="Tabellrubrik"/>
        <w:keepNext/>
      </w:pPr>
      <w:r w:rsidRPr="003B344F">
        <w:t>Genomsnittlig allmän pension före skatt</w:t>
      </w:r>
    </w:p>
    <w:tbl>
      <w:tblPr>
        <w:tblStyle w:val="Tabellrutnt"/>
        <w:tblW w:w="57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694"/>
        <w:gridCol w:w="3033"/>
      </w:tblGrid>
      <w:tr w:rsidRPr="006B7451" w:rsidR="00E434EA" w:rsidTr="003B344F" w14:paraId="04466EAC" w14:textId="77777777">
        <w:tc>
          <w:tcPr>
            <w:tcW w:w="2352" w:type="pct"/>
            <w:tcBorders>
              <w:top w:val="single" w:color="auto" w:sz="4" w:space="0"/>
            </w:tcBorders>
          </w:tcPr>
          <w:p w:rsidRPr="006B7451" w:rsidR="00E434EA" w:rsidP="003B344F" w:rsidRDefault="00E434EA" w14:paraId="2CC317D8" w14:textId="77777777">
            <w:pPr>
              <w:spacing w:before="80" w:line="240" w:lineRule="exact"/>
              <w:ind w:firstLine="0"/>
              <w:rPr>
                <w:b/>
                <w:sz w:val="20"/>
                <w:szCs w:val="20"/>
              </w:rPr>
            </w:pPr>
            <w:r w:rsidRPr="006B7451">
              <w:rPr>
                <w:sz w:val="20"/>
                <w:szCs w:val="20"/>
              </w:rPr>
              <w:t xml:space="preserve">Alla: </w:t>
            </w:r>
          </w:p>
        </w:tc>
        <w:tc>
          <w:tcPr>
            <w:tcW w:w="2648" w:type="pct"/>
            <w:tcBorders>
              <w:top w:val="single" w:color="auto" w:sz="4" w:space="0"/>
            </w:tcBorders>
          </w:tcPr>
          <w:p w:rsidRPr="006B7451" w:rsidR="00E434EA" w:rsidP="003B344F" w:rsidRDefault="00E434EA" w14:paraId="5376812D" w14:textId="77777777">
            <w:pPr>
              <w:spacing w:before="80" w:line="240" w:lineRule="exact"/>
              <w:ind w:firstLine="0"/>
              <w:jc w:val="right"/>
              <w:rPr>
                <w:b/>
                <w:sz w:val="20"/>
                <w:szCs w:val="20"/>
              </w:rPr>
            </w:pPr>
            <w:r w:rsidRPr="006B7451">
              <w:rPr>
                <w:sz w:val="20"/>
                <w:szCs w:val="20"/>
              </w:rPr>
              <w:t>13 300 kronor per månad (juli 2021)</w:t>
            </w:r>
          </w:p>
        </w:tc>
      </w:tr>
      <w:tr w:rsidRPr="006B7451" w:rsidR="00E434EA" w:rsidTr="003B344F" w14:paraId="2EBBC3E6" w14:textId="77777777">
        <w:tc>
          <w:tcPr>
            <w:tcW w:w="2352" w:type="pct"/>
          </w:tcPr>
          <w:p w:rsidRPr="006B7451" w:rsidR="00E434EA" w:rsidP="003B344F" w:rsidRDefault="00E434EA" w14:paraId="1D106F5D" w14:textId="77777777">
            <w:pPr>
              <w:spacing w:before="80" w:line="240" w:lineRule="exact"/>
              <w:ind w:firstLine="0"/>
              <w:rPr>
                <w:b/>
                <w:sz w:val="20"/>
                <w:szCs w:val="20"/>
              </w:rPr>
            </w:pPr>
            <w:r w:rsidRPr="006B7451">
              <w:rPr>
                <w:sz w:val="20"/>
                <w:szCs w:val="20"/>
              </w:rPr>
              <w:t xml:space="preserve">Kvinnor: </w:t>
            </w:r>
          </w:p>
        </w:tc>
        <w:tc>
          <w:tcPr>
            <w:tcW w:w="2648" w:type="pct"/>
          </w:tcPr>
          <w:p w:rsidRPr="006B7451" w:rsidR="00E434EA" w:rsidP="003B344F" w:rsidRDefault="00E434EA" w14:paraId="1A8D0314" w14:textId="77777777">
            <w:pPr>
              <w:spacing w:before="80" w:line="240" w:lineRule="exact"/>
              <w:ind w:firstLine="0"/>
              <w:jc w:val="right"/>
              <w:rPr>
                <w:b/>
                <w:sz w:val="20"/>
                <w:szCs w:val="20"/>
              </w:rPr>
            </w:pPr>
            <w:r w:rsidRPr="006B7451">
              <w:rPr>
                <w:sz w:val="20"/>
                <w:szCs w:val="20"/>
              </w:rPr>
              <w:t>11 900 kronor per månad (juli 2021)</w:t>
            </w:r>
          </w:p>
        </w:tc>
      </w:tr>
      <w:tr w:rsidRPr="006B7451" w:rsidR="00E434EA" w:rsidTr="003B344F" w14:paraId="23CE2C93" w14:textId="77777777">
        <w:tc>
          <w:tcPr>
            <w:tcW w:w="2352" w:type="pct"/>
            <w:tcBorders>
              <w:bottom w:val="single" w:color="auto" w:sz="4" w:space="0"/>
            </w:tcBorders>
          </w:tcPr>
          <w:p w:rsidRPr="006B7451" w:rsidR="00E434EA" w:rsidP="003B344F" w:rsidRDefault="00E434EA" w14:paraId="745719C8" w14:textId="77777777">
            <w:pPr>
              <w:spacing w:before="80" w:line="240" w:lineRule="exact"/>
              <w:ind w:firstLine="0"/>
              <w:rPr>
                <w:b/>
                <w:sz w:val="20"/>
                <w:szCs w:val="20"/>
              </w:rPr>
            </w:pPr>
            <w:r w:rsidRPr="006B7451">
              <w:rPr>
                <w:sz w:val="20"/>
                <w:szCs w:val="20"/>
              </w:rPr>
              <w:t xml:space="preserve">Män: </w:t>
            </w:r>
          </w:p>
        </w:tc>
        <w:tc>
          <w:tcPr>
            <w:tcW w:w="2648" w:type="pct"/>
            <w:tcBorders>
              <w:bottom w:val="single" w:color="auto" w:sz="4" w:space="0"/>
            </w:tcBorders>
          </w:tcPr>
          <w:p w:rsidRPr="006B7451" w:rsidR="00E434EA" w:rsidP="003B344F" w:rsidRDefault="00E434EA" w14:paraId="4C84F595" w14:textId="77777777">
            <w:pPr>
              <w:spacing w:before="80" w:line="240" w:lineRule="exact"/>
              <w:ind w:firstLine="0"/>
              <w:jc w:val="right"/>
              <w:rPr>
                <w:b/>
                <w:sz w:val="20"/>
                <w:szCs w:val="20"/>
              </w:rPr>
            </w:pPr>
            <w:r w:rsidRPr="006B7451">
              <w:rPr>
                <w:sz w:val="20"/>
                <w:szCs w:val="20"/>
              </w:rPr>
              <w:t>14 800 kronor per månad (juli 2021)</w:t>
            </w:r>
          </w:p>
        </w:tc>
      </w:tr>
    </w:tbl>
    <w:p w:rsidRPr="00DA3F4A" w:rsidR="00DA3F4A" w:rsidP="00B3656C" w:rsidRDefault="00DA3F4A" w14:paraId="7418FB7A" w14:textId="7D745E58">
      <w:pPr>
        <w:pStyle w:val="Tabellrubrik"/>
        <w:keepNext/>
        <w:spacing w:before="240"/>
      </w:pPr>
      <w:r w:rsidRPr="00DA3F4A">
        <w:t>Genomsnittlig total pension före skatt för boende i Sverige</w:t>
      </w:r>
    </w:p>
    <w:tbl>
      <w:tblPr>
        <w:tblStyle w:val="Tabellrutnt"/>
        <w:tblW w:w="57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007"/>
        <w:gridCol w:w="2720"/>
      </w:tblGrid>
      <w:tr w:rsidRPr="006B7451" w:rsidR="00E434EA" w:rsidTr="003B344F" w14:paraId="555F1985" w14:textId="77777777">
        <w:trPr>
          <w:cantSplit/>
        </w:trPr>
        <w:tc>
          <w:tcPr>
            <w:tcW w:w="2977" w:type="dxa"/>
            <w:tcBorders>
              <w:top w:val="single" w:color="auto" w:sz="4" w:space="0"/>
            </w:tcBorders>
          </w:tcPr>
          <w:p w:rsidRPr="006B7451" w:rsidR="00E434EA" w:rsidP="003B344F" w:rsidRDefault="00E434EA" w14:paraId="1773835D" w14:textId="77777777">
            <w:pPr>
              <w:spacing w:before="80" w:line="240" w:lineRule="exact"/>
              <w:ind w:firstLine="0"/>
              <w:rPr>
                <w:b/>
                <w:sz w:val="20"/>
                <w:szCs w:val="20"/>
              </w:rPr>
            </w:pPr>
            <w:r w:rsidRPr="006B7451">
              <w:rPr>
                <w:sz w:val="20"/>
                <w:szCs w:val="20"/>
              </w:rPr>
              <w:t xml:space="preserve">Alla: </w:t>
            </w:r>
          </w:p>
        </w:tc>
        <w:tc>
          <w:tcPr>
            <w:tcW w:w="2693" w:type="dxa"/>
            <w:tcBorders>
              <w:top w:val="single" w:color="auto" w:sz="4" w:space="0"/>
            </w:tcBorders>
          </w:tcPr>
          <w:p w:rsidRPr="006B7451" w:rsidR="00E434EA" w:rsidP="003B344F" w:rsidRDefault="00E434EA" w14:paraId="45833398" w14:textId="77777777">
            <w:pPr>
              <w:spacing w:before="80" w:line="240" w:lineRule="exact"/>
              <w:ind w:firstLine="0"/>
              <w:jc w:val="right"/>
              <w:rPr>
                <w:b/>
                <w:sz w:val="20"/>
                <w:szCs w:val="20"/>
              </w:rPr>
            </w:pPr>
            <w:r w:rsidRPr="006B7451">
              <w:rPr>
                <w:sz w:val="20"/>
                <w:szCs w:val="20"/>
              </w:rPr>
              <w:t>19 100 kronor per månad (2019)</w:t>
            </w:r>
          </w:p>
        </w:tc>
      </w:tr>
      <w:tr w:rsidRPr="006B7451" w:rsidR="00E434EA" w:rsidTr="003B344F" w14:paraId="10DCF48F" w14:textId="77777777">
        <w:trPr>
          <w:cantSplit/>
        </w:trPr>
        <w:tc>
          <w:tcPr>
            <w:tcW w:w="2977" w:type="dxa"/>
          </w:tcPr>
          <w:p w:rsidRPr="006B7451" w:rsidR="00E434EA" w:rsidP="003B344F" w:rsidRDefault="00E434EA" w14:paraId="3C62F236" w14:textId="77777777">
            <w:pPr>
              <w:spacing w:before="80" w:line="240" w:lineRule="exact"/>
              <w:ind w:firstLine="0"/>
              <w:rPr>
                <w:b/>
                <w:sz w:val="20"/>
                <w:szCs w:val="20"/>
              </w:rPr>
            </w:pPr>
            <w:r w:rsidRPr="006B7451">
              <w:rPr>
                <w:sz w:val="20"/>
                <w:szCs w:val="20"/>
              </w:rPr>
              <w:t xml:space="preserve">Kvinnor: </w:t>
            </w:r>
          </w:p>
        </w:tc>
        <w:tc>
          <w:tcPr>
            <w:tcW w:w="2693" w:type="dxa"/>
          </w:tcPr>
          <w:p w:rsidRPr="006B7451" w:rsidR="00E434EA" w:rsidP="003B344F" w:rsidRDefault="00E434EA" w14:paraId="3AF2D4DD" w14:textId="77777777">
            <w:pPr>
              <w:spacing w:before="80" w:line="240" w:lineRule="exact"/>
              <w:ind w:firstLine="0"/>
              <w:jc w:val="right"/>
              <w:rPr>
                <w:b/>
                <w:sz w:val="20"/>
                <w:szCs w:val="20"/>
              </w:rPr>
            </w:pPr>
            <w:r w:rsidRPr="006B7451">
              <w:rPr>
                <w:sz w:val="20"/>
                <w:szCs w:val="20"/>
              </w:rPr>
              <w:t>15 800 kronor per månad (2019)</w:t>
            </w:r>
          </w:p>
        </w:tc>
      </w:tr>
      <w:tr w:rsidRPr="006B7451" w:rsidR="00E434EA" w:rsidTr="003B344F" w14:paraId="50BB83BF" w14:textId="77777777">
        <w:trPr>
          <w:cantSplit/>
        </w:trPr>
        <w:tc>
          <w:tcPr>
            <w:tcW w:w="2977" w:type="dxa"/>
            <w:tcBorders>
              <w:bottom w:val="single" w:color="auto" w:sz="4" w:space="0"/>
            </w:tcBorders>
          </w:tcPr>
          <w:p w:rsidRPr="006B7451" w:rsidR="00E434EA" w:rsidP="003B344F" w:rsidRDefault="00E434EA" w14:paraId="079ED65D" w14:textId="77777777">
            <w:pPr>
              <w:spacing w:before="80" w:line="240" w:lineRule="exact"/>
              <w:ind w:firstLine="0"/>
              <w:rPr>
                <w:b/>
                <w:sz w:val="20"/>
                <w:szCs w:val="20"/>
              </w:rPr>
            </w:pPr>
            <w:r w:rsidRPr="006B7451">
              <w:rPr>
                <w:sz w:val="20"/>
                <w:szCs w:val="20"/>
              </w:rPr>
              <w:t xml:space="preserve">Män: </w:t>
            </w:r>
          </w:p>
        </w:tc>
        <w:tc>
          <w:tcPr>
            <w:tcW w:w="2693" w:type="dxa"/>
            <w:tcBorders>
              <w:bottom w:val="single" w:color="auto" w:sz="4" w:space="0"/>
            </w:tcBorders>
          </w:tcPr>
          <w:p w:rsidRPr="006B7451" w:rsidR="00E434EA" w:rsidP="003B344F" w:rsidRDefault="00E434EA" w14:paraId="73925B0A" w14:textId="77777777">
            <w:pPr>
              <w:spacing w:before="80" w:line="240" w:lineRule="exact"/>
              <w:ind w:firstLine="0"/>
              <w:jc w:val="right"/>
              <w:rPr>
                <w:b/>
                <w:sz w:val="20"/>
                <w:szCs w:val="20"/>
              </w:rPr>
            </w:pPr>
            <w:r w:rsidRPr="006B7451">
              <w:rPr>
                <w:sz w:val="20"/>
                <w:szCs w:val="20"/>
              </w:rPr>
              <w:t>22 900 kronor per månad (2019)</w:t>
            </w:r>
          </w:p>
        </w:tc>
      </w:tr>
    </w:tbl>
    <w:p w:rsidRPr="006B7451" w:rsidR="00E434EA" w:rsidP="00D8346B" w:rsidRDefault="00E434EA" w14:paraId="308358F3" w14:textId="77777777">
      <w:pPr>
        <w:pStyle w:val="Normalutanindragellerluft"/>
        <w:spacing w:before="150"/>
      </w:pPr>
      <w:r w:rsidRPr="006B7451">
        <w:t>Sverige har den högsta andelen äldre med en disponibel inkomst under den relativa fattigdomsgränsen, 60 procent av medianvärdet för samtliga i befolkningen, bland de nordiska länderna, motsvarande cirka 320 000 personer eller var sjunde pensionär.</w:t>
      </w:r>
    </w:p>
    <w:p w:rsidRPr="00D8346B" w:rsidR="00E434EA" w:rsidP="007910B7" w:rsidRDefault="00E434EA" w14:paraId="39F841A9" w14:textId="68679996">
      <w:pPr>
        <w:pStyle w:val="Tabellrubrik"/>
        <w:keepNext/>
      </w:pPr>
      <w:r w:rsidRPr="00D8346B">
        <w:t xml:space="preserve">Figur </w:t>
      </w:r>
      <w:r w:rsidR="00D8346B">
        <w:t>16</w:t>
      </w:r>
      <w:r w:rsidRPr="00D8346B">
        <w:t xml:space="preserve"> Äldre, 65+, som har lägre än 60 procent av landets medianinkomst, 2020, andel i procent</w:t>
      </w:r>
    </w:p>
    <w:p w:rsidRPr="006B7451" w:rsidR="00E434EA" w:rsidP="00E434EA" w:rsidRDefault="00E434EA" w14:paraId="03FBD301" w14:textId="77777777">
      <w:pPr>
        <w:ind w:firstLine="0"/>
      </w:pPr>
      <w:r w:rsidRPr="006B7451">
        <w:rPr>
          <w:noProof/>
        </w:rPr>
        <w:drawing>
          <wp:inline distT="0" distB="0" distL="0" distR="0" wp14:anchorId="1182EB24" wp14:editId="07322F47">
            <wp:extent cx="5400000" cy="2486025"/>
            <wp:effectExtent l="0" t="0" r="0" b="0"/>
            <wp:docPr id="3" name="Diagram 3" descr="">
              <a:extLst xmlns:a="http://schemas.openxmlformats.org/drawingml/2006/main">
                <a:ext uri="{FF2B5EF4-FFF2-40B4-BE49-F238E27FC236}">
                  <a16:creationId xmlns:a16="http://schemas.microsoft.com/office/drawing/2014/main" id="{71F53F5F-3C6B-4738-942A-7B094A740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D8346B" w:rsidR="00E434EA" w:rsidP="00D8346B" w:rsidRDefault="00E434EA" w14:paraId="6EDA8256" w14:textId="4F4F0972">
      <w:pPr>
        <w:pStyle w:val="Klla"/>
      </w:pPr>
      <w:r w:rsidRPr="00D8346B">
        <w:t>Källa: Eurostat</w:t>
      </w:r>
      <w:r w:rsidRPr="00D8346B" w:rsidR="003931CE">
        <w:t>.</w:t>
      </w:r>
    </w:p>
    <w:p w:rsidRPr="006B7451" w:rsidR="00E434EA" w:rsidP="00D8346B" w:rsidRDefault="00E434EA" w14:paraId="4FC70731" w14:textId="2AB3B321">
      <w:pPr>
        <w:pStyle w:val="Normalutanindragellerluft"/>
        <w:spacing w:before="150"/>
      </w:pPr>
      <w:r w:rsidRPr="006B7451">
        <w:t xml:space="preserve">Risken för att ha en disponibel inkomst som kan medföra risk för fattigdom stiger med åldern. Störst risk har kvinnor som är äldre än 75 år där närmare var tredje har en låg disponibel inkomst, ofta till följd av att </w:t>
      </w:r>
      <w:r w:rsidR="00687C7D">
        <w:t xml:space="preserve">de </w:t>
      </w:r>
      <w:r w:rsidRPr="006B7451">
        <w:t>ha</w:t>
      </w:r>
      <w:r w:rsidR="00687C7D">
        <w:t>r</w:t>
      </w:r>
      <w:r w:rsidRPr="006B7451">
        <w:t xml:space="preserve"> varit hemma med barn eller arbetat deltid i låglöneyrken. En ytterligare faktor är att nästan varannan kvinna i åldern 65 år och äldre lever ensam, jämfört med män i samma åldersgrupp där drygt var fjärde lever ensam.</w:t>
      </w:r>
    </w:p>
    <w:p w:rsidR="00B3656C" w:rsidRDefault="00B3656C" w14:paraId="11BE77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7910B7" w:rsidR="002E6FB3" w:rsidP="007910B7" w:rsidRDefault="002E6FB3" w14:paraId="73E85407" w14:textId="51A71431">
      <w:pPr>
        <w:pStyle w:val="Tabellrubrik"/>
        <w:keepNext/>
      </w:pPr>
      <w:r w:rsidRPr="007910B7">
        <w:lastRenderedPageBreak/>
        <w:t xml:space="preserve">Tabell </w:t>
      </w:r>
      <w:r w:rsidR="007910B7">
        <w:t>11</w:t>
      </w:r>
      <w:r w:rsidRPr="007910B7">
        <w:t xml:space="preserve"> Faktisk kompensationsgrad, 2019</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560"/>
        <w:gridCol w:w="2250"/>
        <w:gridCol w:w="2117"/>
        <w:gridCol w:w="1577"/>
      </w:tblGrid>
      <w:tr w:rsidRPr="006B7451" w:rsidR="00E434EA" w:rsidTr="00744370" w14:paraId="28252052" w14:textId="77777777">
        <w:trPr>
          <w:cantSplit/>
        </w:trPr>
        <w:tc>
          <w:tcPr>
            <w:tcW w:w="1505" w:type="pct"/>
            <w:tcBorders>
              <w:top w:val="single" w:color="auto" w:sz="4" w:space="0"/>
              <w:bottom w:val="single" w:color="auto" w:sz="4" w:space="0"/>
            </w:tcBorders>
          </w:tcPr>
          <w:p w:rsidRPr="006B7451" w:rsidR="00E434EA" w:rsidP="00744370" w:rsidRDefault="00E434EA" w14:paraId="3C4ABB99" w14:textId="77777777">
            <w:pPr>
              <w:tabs>
                <w:tab w:val="clear" w:pos="284"/>
              </w:tabs>
              <w:spacing w:before="80" w:line="240" w:lineRule="exact"/>
              <w:ind w:firstLine="0"/>
              <w:rPr>
                <w:b/>
                <w:sz w:val="20"/>
                <w:szCs w:val="20"/>
              </w:rPr>
            </w:pPr>
            <w:r w:rsidRPr="006B7451">
              <w:rPr>
                <w:b/>
                <w:sz w:val="20"/>
                <w:szCs w:val="20"/>
              </w:rPr>
              <w:t>Inkomstgrupp</w:t>
            </w:r>
          </w:p>
        </w:tc>
        <w:tc>
          <w:tcPr>
            <w:tcW w:w="1323" w:type="pct"/>
            <w:tcBorders>
              <w:top w:val="single" w:color="auto" w:sz="4" w:space="0"/>
              <w:bottom w:val="single" w:color="auto" w:sz="4" w:space="0"/>
            </w:tcBorders>
          </w:tcPr>
          <w:p w:rsidRPr="006B7451" w:rsidR="00E434EA" w:rsidP="00744370" w:rsidRDefault="00E434EA" w14:paraId="1A0BA664" w14:textId="77777777">
            <w:pPr>
              <w:tabs>
                <w:tab w:val="clear" w:pos="284"/>
              </w:tabs>
              <w:spacing w:before="80" w:line="240" w:lineRule="exact"/>
              <w:ind w:firstLine="0"/>
              <w:jc w:val="right"/>
              <w:rPr>
                <w:b/>
                <w:sz w:val="20"/>
                <w:szCs w:val="20"/>
              </w:rPr>
            </w:pPr>
            <w:r w:rsidRPr="006B7451">
              <w:rPr>
                <w:b/>
                <w:sz w:val="20"/>
                <w:szCs w:val="20"/>
              </w:rPr>
              <w:t>Allmän pension</w:t>
            </w:r>
          </w:p>
        </w:tc>
        <w:tc>
          <w:tcPr>
            <w:tcW w:w="1245" w:type="pct"/>
            <w:tcBorders>
              <w:top w:val="single" w:color="auto" w:sz="4" w:space="0"/>
              <w:bottom w:val="single" w:color="auto" w:sz="4" w:space="0"/>
            </w:tcBorders>
          </w:tcPr>
          <w:p w:rsidRPr="006B7451" w:rsidR="00E434EA" w:rsidP="00744370" w:rsidRDefault="00E434EA" w14:paraId="4BFAFA95" w14:textId="77777777">
            <w:pPr>
              <w:tabs>
                <w:tab w:val="clear" w:pos="284"/>
              </w:tabs>
              <w:spacing w:before="80" w:line="240" w:lineRule="exact"/>
              <w:ind w:firstLine="0"/>
              <w:jc w:val="right"/>
              <w:rPr>
                <w:b/>
                <w:sz w:val="20"/>
                <w:szCs w:val="20"/>
              </w:rPr>
            </w:pPr>
            <w:r w:rsidRPr="006B7451">
              <w:rPr>
                <w:b/>
                <w:sz w:val="20"/>
                <w:szCs w:val="20"/>
              </w:rPr>
              <w:t>Tjänstepension</w:t>
            </w:r>
          </w:p>
        </w:tc>
        <w:tc>
          <w:tcPr>
            <w:tcW w:w="927" w:type="pct"/>
            <w:tcBorders>
              <w:top w:val="single" w:color="auto" w:sz="4" w:space="0"/>
              <w:bottom w:val="single" w:color="auto" w:sz="4" w:space="0"/>
            </w:tcBorders>
          </w:tcPr>
          <w:p w:rsidRPr="006B7451" w:rsidR="00E434EA" w:rsidP="00744370" w:rsidRDefault="00E434EA" w14:paraId="766BFF11" w14:textId="77777777">
            <w:pPr>
              <w:tabs>
                <w:tab w:val="clear" w:pos="284"/>
              </w:tabs>
              <w:spacing w:before="80" w:line="240" w:lineRule="exact"/>
              <w:ind w:firstLine="0"/>
              <w:jc w:val="right"/>
              <w:rPr>
                <w:b/>
                <w:sz w:val="20"/>
                <w:szCs w:val="20"/>
              </w:rPr>
            </w:pPr>
            <w:r w:rsidRPr="006B7451">
              <w:rPr>
                <w:b/>
                <w:sz w:val="20"/>
                <w:szCs w:val="20"/>
              </w:rPr>
              <w:t>Totalt</w:t>
            </w:r>
          </w:p>
        </w:tc>
      </w:tr>
      <w:tr w:rsidRPr="006B7451" w:rsidR="00E434EA" w:rsidTr="00744370" w14:paraId="607C1438" w14:textId="77777777">
        <w:trPr>
          <w:cantSplit/>
        </w:trPr>
        <w:tc>
          <w:tcPr>
            <w:tcW w:w="1505" w:type="pct"/>
            <w:tcBorders>
              <w:top w:val="single" w:color="auto" w:sz="4" w:space="0"/>
            </w:tcBorders>
          </w:tcPr>
          <w:p w:rsidRPr="006B7451" w:rsidR="00E434EA" w:rsidP="00744370" w:rsidRDefault="00E434EA" w14:paraId="3355A80E" w14:textId="77777777">
            <w:pPr>
              <w:tabs>
                <w:tab w:val="clear" w:pos="284"/>
              </w:tabs>
              <w:spacing w:before="80" w:line="240" w:lineRule="exact"/>
              <w:ind w:firstLine="0"/>
              <w:rPr>
                <w:sz w:val="20"/>
                <w:szCs w:val="20"/>
              </w:rPr>
            </w:pPr>
            <w:r w:rsidRPr="006B7451">
              <w:rPr>
                <w:sz w:val="20"/>
                <w:szCs w:val="20"/>
              </w:rPr>
              <w:t>Låg inkomst, kvinnor</w:t>
            </w:r>
          </w:p>
        </w:tc>
        <w:tc>
          <w:tcPr>
            <w:tcW w:w="1323" w:type="pct"/>
            <w:tcBorders>
              <w:top w:val="single" w:color="auto" w:sz="4" w:space="0"/>
            </w:tcBorders>
          </w:tcPr>
          <w:p w:rsidRPr="006B7451" w:rsidR="00E434EA" w:rsidP="00744370" w:rsidRDefault="00E434EA" w14:paraId="781CF8C0" w14:textId="77777777">
            <w:pPr>
              <w:tabs>
                <w:tab w:val="clear" w:pos="284"/>
              </w:tabs>
              <w:spacing w:before="80" w:line="240" w:lineRule="exact"/>
              <w:ind w:firstLine="0"/>
              <w:jc w:val="right"/>
              <w:rPr>
                <w:sz w:val="20"/>
                <w:szCs w:val="20"/>
              </w:rPr>
            </w:pPr>
            <w:r w:rsidRPr="006B7451">
              <w:rPr>
                <w:sz w:val="20"/>
                <w:szCs w:val="20"/>
              </w:rPr>
              <w:t>69 %</w:t>
            </w:r>
          </w:p>
        </w:tc>
        <w:tc>
          <w:tcPr>
            <w:tcW w:w="1245" w:type="pct"/>
            <w:tcBorders>
              <w:top w:val="single" w:color="auto" w:sz="4" w:space="0"/>
            </w:tcBorders>
          </w:tcPr>
          <w:p w:rsidRPr="006B7451" w:rsidR="00E434EA" w:rsidP="00744370" w:rsidRDefault="00E434EA" w14:paraId="0A7FCB86" w14:textId="77777777">
            <w:pPr>
              <w:tabs>
                <w:tab w:val="clear" w:pos="284"/>
              </w:tabs>
              <w:spacing w:before="80" w:line="240" w:lineRule="exact"/>
              <w:ind w:firstLine="0"/>
              <w:jc w:val="right"/>
              <w:rPr>
                <w:sz w:val="20"/>
                <w:szCs w:val="20"/>
              </w:rPr>
            </w:pPr>
            <w:r w:rsidRPr="006B7451">
              <w:rPr>
                <w:sz w:val="20"/>
                <w:szCs w:val="20"/>
              </w:rPr>
              <w:t>18 %</w:t>
            </w:r>
          </w:p>
        </w:tc>
        <w:tc>
          <w:tcPr>
            <w:tcW w:w="927" w:type="pct"/>
            <w:tcBorders>
              <w:top w:val="single" w:color="auto" w:sz="4" w:space="0"/>
            </w:tcBorders>
          </w:tcPr>
          <w:p w:rsidRPr="006B7451" w:rsidR="00E434EA" w:rsidP="00744370" w:rsidRDefault="00E434EA" w14:paraId="63AF8B33" w14:textId="77777777">
            <w:pPr>
              <w:tabs>
                <w:tab w:val="clear" w:pos="284"/>
              </w:tabs>
              <w:spacing w:before="80" w:line="240" w:lineRule="exact"/>
              <w:ind w:firstLine="0"/>
              <w:jc w:val="right"/>
              <w:rPr>
                <w:sz w:val="20"/>
                <w:szCs w:val="20"/>
              </w:rPr>
            </w:pPr>
            <w:r w:rsidRPr="006B7451">
              <w:rPr>
                <w:sz w:val="20"/>
                <w:szCs w:val="20"/>
              </w:rPr>
              <w:t>87 %</w:t>
            </w:r>
          </w:p>
        </w:tc>
      </w:tr>
      <w:tr w:rsidRPr="006B7451" w:rsidR="00E434EA" w:rsidTr="00744370" w14:paraId="13F0437F" w14:textId="77777777">
        <w:trPr>
          <w:cantSplit/>
        </w:trPr>
        <w:tc>
          <w:tcPr>
            <w:tcW w:w="1505" w:type="pct"/>
          </w:tcPr>
          <w:p w:rsidRPr="006B7451" w:rsidR="00E434EA" w:rsidP="00744370" w:rsidRDefault="00E434EA" w14:paraId="13208961" w14:textId="77777777">
            <w:pPr>
              <w:tabs>
                <w:tab w:val="clear" w:pos="284"/>
              </w:tabs>
              <w:spacing w:before="80" w:line="240" w:lineRule="exact"/>
              <w:ind w:firstLine="0"/>
              <w:rPr>
                <w:sz w:val="20"/>
                <w:szCs w:val="20"/>
              </w:rPr>
            </w:pPr>
            <w:r w:rsidRPr="006B7451">
              <w:rPr>
                <w:sz w:val="20"/>
                <w:szCs w:val="20"/>
              </w:rPr>
              <w:t>Låg inkomst, män</w:t>
            </w:r>
          </w:p>
        </w:tc>
        <w:tc>
          <w:tcPr>
            <w:tcW w:w="1323" w:type="pct"/>
          </w:tcPr>
          <w:p w:rsidRPr="006B7451" w:rsidR="00E434EA" w:rsidP="00744370" w:rsidRDefault="00E434EA" w14:paraId="62430A54" w14:textId="77777777">
            <w:pPr>
              <w:tabs>
                <w:tab w:val="clear" w:pos="284"/>
              </w:tabs>
              <w:spacing w:before="80" w:line="240" w:lineRule="exact"/>
              <w:ind w:firstLine="0"/>
              <w:jc w:val="right"/>
              <w:rPr>
                <w:sz w:val="20"/>
                <w:szCs w:val="20"/>
              </w:rPr>
            </w:pPr>
            <w:r w:rsidRPr="006B7451">
              <w:rPr>
                <w:sz w:val="20"/>
                <w:szCs w:val="20"/>
              </w:rPr>
              <w:t>71 %</w:t>
            </w:r>
          </w:p>
        </w:tc>
        <w:tc>
          <w:tcPr>
            <w:tcW w:w="1245" w:type="pct"/>
          </w:tcPr>
          <w:p w:rsidRPr="006B7451" w:rsidR="00E434EA" w:rsidP="00744370" w:rsidRDefault="00E434EA" w14:paraId="40F02C48" w14:textId="77777777">
            <w:pPr>
              <w:tabs>
                <w:tab w:val="clear" w:pos="284"/>
              </w:tabs>
              <w:spacing w:before="80" w:line="240" w:lineRule="exact"/>
              <w:ind w:firstLine="0"/>
              <w:jc w:val="right"/>
              <w:rPr>
                <w:sz w:val="20"/>
                <w:szCs w:val="20"/>
              </w:rPr>
            </w:pPr>
            <w:r w:rsidRPr="006B7451">
              <w:rPr>
                <w:sz w:val="20"/>
                <w:szCs w:val="20"/>
              </w:rPr>
              <w:t>12 %</w:t>
            </w:r>
          </w:p>
        </w:tc>
        <w:tc>
          <w:tcPr>
            <w:tcW w:w="927" w:type="pct"/>
          </w:tcPr>
          <w:p w:rsidRPr="006B7451" w:rsidR="00E434EA" w:rsidP="00744370" w:rsidRDefault="00E434EA" w14:paraId="58DF91FC" w14:textId="77777777">
            <w:pPr>
              <w:tabs>
                <w:tab w:val="clear" w:pos="284"/>
              </w:tabs>
              <w:spacing w:before="80" w:line="240" w:lineRule="exact"/>
              <w:ind w:firstLine="0"/>
              <w:jc w:val="right"/>
              <w:rPr>
                <w:sz w:val="20"/>
                <w:szCs w:val="20"/>
              </w:rPr>
            </w:pPr>
            <w:r w:rsidRPr="006B7451">
              <w:rPr>
                <w:sz w:val="20"/>
                <w:szCs w:val="20"/>
              </w:rPr>
              <w:t>83 %</w:t>
            </w:r>
          </w:p>
        </w:tc>
      </w:tr>
      <w:tr w:rsidRPr="006B7451" w:rsidR="00E434EA" w:rsidTr="00744370" w14:paraId="76FB7B43" w14:textId="77777777">
        <w:trPr>
          <w:cantSplit/>
        </w:trPr>
        <w:tc>
          <w:tcPr>
            <w:tcW w:w="1505" w:type="pct"/>
          </w:tcPr>
          <w:p w:rsidRPr="006B7451" w:rsidR="00E434EA" w:rsidP="00744370" w:rsidRDefault="00E434EA" w14:paraId="035A158A" w14:textId="77777777">
            <w:pPr>
              <w:tabs>
                <w:tab w:val="clear" w:pos="284"/>
              </w:tabs>
              <w:spacing w:before="80" w:line="240" w:lineRule="exact"/>
              <w:ind w:firstLine="0"/>
              <w:rPr>
                <w:sz w:val="20"/>
                <w:szCs w:val="20"/>
              </w:rPr>
            </w:pPr>
            <w:r w:rsidRPr="006B7451">
              <w:rPr>
                <w:sz w:val="20"/>
                <w:szCs w:val="20"/>
              </w:rPr>
              <w:t>Medelinkomst, kvinnor</w:t>
            </w:r>
          </w:p>
        </w:tc>
        <w:tc>
          <w:tcPr>
            <w:tcW w:w="1323" w:type="pct"/>
          </w:tcPr>
          <w:p w:rsidRPr="006B7451" w:rsidR="00E434EA" w:rsidP="00744370" w:rsidRDefault="00E434EA" w14:paraId="31F8FDAA" w14:textId="77777777">
            <w:pPr>
              <w:tabs>
                <w:tab w:val="clear" w:pos="284"/>
              </w:tabs>
              <w:spacing w:before="80" w:line="240" w:lineRule="exact"/>
              <w:ind w:firstLine="0"/>
              <w:jc w:val="right"/>
              <w:rPr>
                <w:sz w:val="20"/>
                <w:szCs w:val="20"/>
              </w:rPr>
            </w:pPr>
            <w:r w:rsidRPr="006B7451">
              <w:rPr>
                <w:sz w:val="20"/>
                <w:szCs w:val="20"/>
              </w:rPr>
              <w:t>55 %</w:t>
            </w:r>
          </w:p>
        </w:tc>
        <w:tc>
          <w:tcPr>
            <w:tcW w:w="1245" w:type="pct"/>
          </w:tcPr>
          <w:p w:rsidRPr="006B7451" w:rsidR="00E434EA" w:rsidP="00744370" w:rsidRDefault="00E434EA" w14:paraId="382834E1" w14:textId="77777777">
            <w:pPr>
              <w:tabs>
                <w:tab w:val="clear" w:pos="284"/>
              </w:tabs>
              <w:spacing w:before="80" w:line="240" w:lineRule="exact"/>
              <w:ind w:firstLine="0"/>
              <w:jc w:val="right"/>
              <w:rPr>
                <w:sz w:val="20"/>
                <w:szCs w:val="20"/>
              </w:rPr>
            </w:pPr>
            <w:r w:rsidRPr="006B7451">
              <w:rPr>
                <w:sz w:val="20"/>
                <w:szCs w:val="20"/>
              </w:rPr>
              <w:t>26 %</w:t>
            </w:r>
          </w:p>
        </w:tc>
        <w:tc>
          <w:tcPr>
            <w:tcW w:w="927" w:type="pct"/>
          </w:tcPr>
          <w:p w:rsidRPr="006B7451" w:rsidR="00E434EA" w:rsidP="00744370" w:rsidRDefault="00E434EA" w14:paraId="79817892" w14:textId="77777777">
            <w:pPr>
              <w:tabs>
                <w:tab w:val="clear" w:pos="284"/>
              </w:tabs>
              <w:spacing w:before="80" w:line="240" w:lineRule="exact"/>
              <w:ind w:firstLine="0"/>
              <w:jc w:val="right"/>
              <w:rPr>
                <w:sz w:val="20"/>
                <w:szCs w:val="20"/>
              </w:rPr>
            </w:pPr>
            <w:r w:rsidRPr="006B7451">
              <w:rPr>
                <w:sz w:val="20"/>
                <w:szCs w:val="20"/>
              </w:rPr>
              <w:t>81 %</w:t>
            </w:r>
          </w:p>
        </w:tc>
      </w:tr>
      <w:tr w:rsidRPr="006B7451" w:rsidR="00E434EA" w:rsidTr="00744370" w14:paraId="0AAFC8D2" w14:textId="77777777">
        <w:trPr>
          <w:cantSplit/>
        </w:trPr>
        <w:tc>
          <w:tcPr>
            <w:tcW w:w="1505" w:type="pct"/>
          </w:tcPr>
          <w:p w:rsidRPr="006B7451" w:rsidR="00E434EA" w:rsidP="00744370" w:rsidRDefault="00E434EA" w14:paraId="28B4ADDB" w14:textId="77777777">
            <w:pPr>
              <w:tabs>
                <w:tab w:val="clear" w:pos="284"/>
              </w:tabs>
              <w:spacing w:before="80" w:line="240" w:lineRule="exact"/>
              <w:ind w:firstLine="0"/>
              <w:rPr>
                <w:sz w:val="20"/>
                <w:szCs w:val="20"/>
              </w:rPr>
            </w:pPr>
            <w:r w:rsidRPr="006B7451">
              <w:rPr>
                <w:sz w:val="20"/>
                <w:szCs w:val="20"/>
              </w:rPr>
              <w:t>Medelinkomst, män</w:t>
            </w:r>
          </w:p>
        </w:tc>
        <w:tc>
          <w:tcPr>
            <w:tcW w:w="1323" w:type="pct"/>
          </w:tcPr>
          <w:p w:rsidRPr="006B7451" w:rsidR="00E434EA" w:rsidP="00744370" w:rsidRDefault="00E434EA" w14:paraId="367E6F6B" w14:textId="77777777">
            <w:pPr>
              <w:tabs>
                <w:tab w:val="clear" w:pos="284"/>
              </w:tabs>
              <w:spacing w:before="80" w:line="240" w:lineRule="exact"/>
              <w:ind w:firstLine="0"/>
              <w:jc w:val="right"/>
              <w:rPr>
                <w:sz w:val="20"/>
                <w:szCs w:val="20"/>
              </w:rPr>
            </w:pPr>
            <w:r w:rsidRPr="006B7451">
              <w:rPr>
                <w:sz w:val="20"/>
                <w:szCs w:val="20"/>
              </w:rPr>
              <w:t>59 %</w:t>
            </w:r>
          </w:p>
        </w:tc>
        <w:tc>
          <w:tcPr>
            <w:tcW w:w="1245" w:type="pct"/>
          </w:tcPr>
          <w:p w:rsidRPr="006B7451" w:rsidR="00E434EA" w:rsidP="00744370" w:rsidRDefault="00E434EA" w14:paraId="2B8532F0" w14:textId="77777777">
            <w:pPr>
              <w:tabs>
                <w:tab w:val="clear" w:pos="284"/>
              </w:tabs>
              <w:spacing w:before="80" w:line="240" w:lineRule="exact"/>
              <w:ind w:firstLine="0"/>
              <w:jc w:val="right"/>
              <w:rPr>
                <w:sz w:val="20"/>
                <w:szCs w:val="20"/>
              </w:rPr>
            </w:pPr>
            <w:r w:rsidRPr="006B7451">
              <w:rPr>
                <w:sz w:val="20"/>
                <w:szCs w:val="20"/>
              </w:rPr>
              <w:t>27 %</w:t>
            </w:r>
          </w:p>
        </w:tc>
        <w:tc>
          <w:tcPr>
            <w:tcW w:w="927" w:type="pct"/>
          </w:tcPr>
          <w:p w:rsidRPr="006B7451" w:rsidR="00E434EA" w:rsidP="00744370" w:rsidRDefault="00E434EA" w14:paraId="2FFFFD93" w14:textId="77777777">
            <w:pPr>
              <w:tabs>
                <w:tab w:val="clear" w:pos="284"/>
              </w:tabs>
              <w:spacing w:before="80" w:line="240" w:lineRule="exact"/>
              <w:ind w:firstLine="0"/>
              <w:jc w:val="right"/>
              <w:rPr>
                <w:sz w:val="20"/>
                <w:szCs w:val="20"/>
              </w:rPr>
            </w:pPr>
            <w:r w:rsidRPr="006B7451">
              <w:rPr>
                <w:sz w:val="20"/>
                <w:szCs w:val="20"/>
              </w:rPr>
              <w:t>86 %</w:t>
            </w:r>
          </w:p>
        </w:tc>
      </w:tr>
      <w:tr w:rsidRPr="006B7451" w:rsidR="00E434EA" w:rsidTr="00744370" w14:paraId="2F2FA10D" w14:textId="77777777">
        <w:trPr>
          <w:cantSplit/>
        </w:trPr>
        <w:tc>
          <w:tcPr>
            <w:tcW w:w="1505" w:type="pct"/>
          </w:tcPr>
          <w:p w:rsidRPr="006B7451" w:rsidR="00E434EA" w:rsidP="00744370" w:rsidRDefault="00E434EA" w14:paraId="14B7E0A8" w14:textId="77777777">
            <w:pPr>
              <w:tabs>
                <w:tab w:val="clear" w:pos="284"/>
              </w:tabs>
              <w:spacing w:before="80" w:line="240" w:lineRule="exact"/>
              <w:ind w:firstLine="0"/>
              <w:rPr>
                <w:sz w:val="20"/>
                <w:szCs w:val="20"/>
              </w:rPr>
            </w:pPr>
            <w:r w:rsidRPr="006B7451">
              <w:rPr>
                <w:sz w:val="20"/>
                <w:szCs w:val="20"/>
              </w:rPr>
              <w:t>Hög inkomst, kvinnor</w:t>
            </w:r>
          </w:p>
        </w:tc>
        <w:tc>
          <w:tcPr>
            <w:tcW w:w="1323" w:type="pct"/>
          </w:tcPr>
          <w:p w:rsidRPr="006B7451" w:rsidR="00E434EA" w:rsidP="00744370" w:rsidRDefault="00E434EA" w14:paraId="6D3241A1" w14:textId="77777777">
            <w:pPr>
              <w:tabs>
                <w:tab w:val="clear" w:pos="284"/>
              </w:tabs>
              <w:spacing w:before="80" w:line="240" w:lineRule="exact"/>
              <w:ind w:firstLine="0"/>
              <w:jc w:val="right"/>
              <w:rPr>
                <w:sz w:val="20"/>
                <w:szCs w:val="20"/>
              </w:rPr>
            </w:pPr>
            <w:r w:rsidRPr="006B7451">
              <w:rPr>
                <w:sz w:val="20"/>
                <w:szCs w:val="20"/>
              </w:rPr>
              <w:t>41 %</w:t>
            </w:r>
          </w:p>
        </w:tc>
        <w:tc>
          <w:tcPr>
            <w:tcW w:w="1245" w:type="pct"/>
          </w:tcPr>
          <w:p w:rsidRPr="006B7451" w:rsidR="00E434EA" w:rsidP="00744370" w:rsidRDefault="00E434EA" w14:paraId="3C0CAAF6" w14:textId="77777777">
            <w:pPr>
              <w:tabs>
                <w:tab w:val="clear" w:pos="284"/>
              </w:tabs>
              <w:spacing w:before="80" w:line="240" w:lineRule="exact"/>
              <w:ind w:firstLine="0"/>
              <w:jc w:val="right"/>
              <w:rPr>
                <w:sz w:val="20"/>
                <w:szCs w:val="20"/>
              </w:rPr>
            </w:pPr>
            <w:r w:rsidRPr="006B7451">
              <w:rPr>
                <w:sz w:val="20"/>
                <w:szCs w:val="20"/>
              </w:rPr>
              <w:t>38 %</w:t>
            </w:r>
          </w:p>
        </w:tc>
        <w:tc>
          <w:tcPr>
            <w:tcW w:w="927" w:type="pct"/>
          </w:tcPr>
          <w:p w:rsidRPr="006B7451" w:rsidR="00E434EA" w:rsidP="00744370" w:rsidRDefault="00E434EA" w14:paraId="4D076161" w14:textId="77777777">
            <w:pPr>
              <w:tabs>
                <w:tab w:val="clear" w:pos="284"/>
              </w:tabs>
              <w:spacing w:before="80" w:line="240" w:lineRule="exact"/>
              <w:ind w:firstLine="0"/>
              <w:jc w:val="right"/>
              <w:rPr>
                <w:sz w:val="20"/>
                <w:szCs w:val="20"/>
              </w:rPr>
            </w:pPr>
            <w:r w:rsidRPr="006B7451">
              <w:rPr>
                <w:sz w:val="20"/>
                <w:szCs w:val="20"/>
              </w:rPr>
              <w:t>79 %</w:t>
            </w:r>
          </w:p>
        </w:tc>
      </w:tr>
      <w:tr w:rsidRPr="006B7451" w:rsidR="00E434EA" w:rsidTr="00744370" w14:paraId="14CE1D2E" w14:textId="77777777">
        <w:trPr>
          <w:cantSplit/>
        </w:trPr>
        <w:tc>
          <w:tcPr>
            <w:tcW w:w="1505" w:type="pct"/>
            <w:tcBorders>
              <w:bottom w:val="single" w:color="auto" w:sz="4" w:space="0"/>
            </w:tcBorders>
          </w:tcPr>
          <w:p w:rsidRPr="006B7451" w:rsidR="00E434EA" w:rsidP="00744370" w:rsidRDefault="00E434EA" w14:paraId="51424F41" w14:textId="77777777">
            <w:pPr>
              <w:tabs>
                <w:tab w:val="clear" w:pos="284"/>
              </w:tabs>
              <w:spacing w:before="80" w:line="240" w:lineRule="exact"/>
              <w:ind w:firstLine="0"/>
              <w:rPr>
                <w:sz w:val="20"/>
                <w:szCs w:val="20"/>
              </w:rPr>
            </w:pPr>
            <w:r w:rsidRPr="006B7451">
              <w:rPr>
                <w:sz w:val="20"/>
                <w:szCs w:val="20"/>
              </w:rPr>
              <w:t>Hög inkomst, män</w:t>
            </w:r>
          </w:p>
        </w:tc>
        <w:tc>
          <w:tcPr>
            <w:tcW w:w="1323" w:type="pct"/>
            <w:tcBorders>
              <w:bottom w:val="single" w:color="auto" w:sz="4" w:space="0"/>
            </w:tcBorders>
          </w:tcPr>
          <w:p w:rsidRPr="006B7451" w:rsidR="00E434EA" w:rsidP="00744370" w:rsidRDefault="00E434EA" w14:paraId="77E76127" w14:textId="77777777">
            <w:pPr>
              <w:tabs>
                <w:tab w:val="clear" w:pos="284"/>
              </w:tabs>
              <w:spacing w:before="80" w:line="240" w:lineRule="exact"/>
              <w:ind w:firstLine="0"/>
              <w:jc w:val="right"/>
              <w:rPr>
                <w:sz w:val="20"/>
                <w:szCs w:val="20"/>
              </w:rPr>
            </w:pPr>
            <w:r w:rsidRPr="006B7451">
              <w:rPr>
                <w:sz w:val="20"/>
                <w:szCs w:val="20"/>
              </w:rPr>
              <w:t>41 %</w:t>
            </w:r>
          </w:p>
        </w:tc>
        <w:tc>
          <w:tcPr>
            <w:tcW w:w="1245" w:type="pct"/>
            <w:tcBorders>
              <w:bottom w:val="single" w:color="auto" w:sz="4" w:space="0"/>
            </w:tcBorders>
          </w:tcPr>
          <w:p w:rsidRPr="006B7451" w:rsidR="00E434EA" w:rsidP="00744370" w:rsidRDefault="00E434EA" w14:paraId="02870EA1" w14:textId="77777777">
            <w:pPr>
              <w:tabs>
                <w:tab w:val="clear" w:pos="284"/>
              </w:tabs>
              <w:spacing w:before="80" w:line="240" w:lineRule="exact"/>
              <w:ind w:firstLine="0"/>
              <w:jc w:val="right"/>
              <w:rPr>
                <w:sz w:val="20"/>
                <w:szCs w:val="20"/>
              </w:rPr>
            </w:pPr>
            <w:r w:rsidRPr="006B7451">
              <w:rPr>
                <w:sz w:val="20"/>
                <w:szCs w:val="20"/>
              </w:rPr>
              <w:t>42 %</w:t>
            </w:r>
          </w:p>
        </w:tc>
        <w:tc>
          <w:tcPr>
            <w:tcW w:w="927" w:type="pct"/>
            <w:tcBorders>
              <w:bottom w:val="single" w:color="auto" w:sz="4" w:space="0"/>
            </w:tcBorders>
          </w:tcPr>
          <w:p w:rsidRPr="006B7451" w:rsidR="00E434EA" w:rsidP="00744370" w:rsidRDefault="00E434EA" w14:paraId="1248FAE7" w14:textId="77777777">
            <w:pPr>
              <w:tabs>
                <w:tab w:val="clear" w:pos="284"/>
              </w:tabs>
              <w:spacing w:before="80" w:line="240" w:lineRule="exact"/>
              <w:ind w:firstLine="0"/>
              <w:jc w:val="right"/>
              <w:rPr>
                <w:sz w:val="20"/>
                <w:szCs w:val="20"/>
              </w:rPr>
            </w:pPr>
            <w:r w:rsidRPr="006B7451">
              <w:rPr>
                <w:sz w:val="20"/>
                <w:szCs w:val="20"/>
              </w:rPr>
              <w:t>83 %</w:t>
            </w:r>
          </w:p>
        </w:tc>
      </w:tr>
    </w:tbl>
    <w:p w:rsidRPr="00744370" w:rsidR="00E434EA" w:rsidP="00744370" w:rsidRDefault="00E434EA" w14:paraId="42422D1A" w14:textId="77777777">
      <w:pPr>
        <w:pStyle w:val="Klla"/>
      </w:pPr>
      <w:r w:rsidRPr="00744370">
        <w:t>Källa: Pensionsmyndigheten.</w:t>
      </w:r>
    </w:p>
    <w:p w:rsidRPr="006B7451" w:rsidR="00E434EA" w:rsidP="00744370" w:rsidRDefault="00E434EA" w14:paraId="7FC90B8B" w14:textId="77777777">
      <w:pPr>
        <w:pStyle w:val="Normalutanindragellerluft"/>
        <w:spacing w:before="150"/>
      </w:pPr>
      <w:r w:rsidRPr="006B7451">
        <w:t>Utan höjda pensionsavsättningar eller höjd pensionsålder kan kommande generationer förvänta sig en lägre kompensationsgrad, det vill säga hur stor andel pensionen är jämfört med slutlönen. Detta till följd av en förväntad längre livslängd.</w:t>
      </w:r>
    </w:p>
    <w:p w:rsidRPr="006B7451" w:rsidR="00E434EA" w:rsidP="00E434EA" w:rsidRDefault="00E434EA" w14:paraId="5ECCD02D" w14:textId="77777777">
      <w:r w:rsidRPr="006B7451">
        <w:t>Skillnaden i pension mellan kvinnor och män förväntas bestå i närtid men minskar i generationerna födda på 1970- och 80-talen samt framåt. Utrikes födda har en väsentligt lägre kompensationsgrad än inrikes födda, både bland män och kvinnor.</w:t>
      </w:r>
    </w:p>
    <w:p w:rsidRPr="006B7451" w:rsidR="00E434EA" w:rsidP="00E434EA" w:rsidRDefault="00E434EA" w14:paraId="725B31C6" w14:textId="19F2DB7F">
      <w:r w:rsidRPr="006B7451">
        <w:t>Skillnaderna i pensionsnivåer mellan stad och land är stora, till och med större än skillnaden mellan män och kvinnor i respektive region. Storstäderna har en högre förväntad pension i absoluta tal. Det beror dock inte på skillnader i kompensationsgrad mellan regionerna utan</w:t>
      </w:r>
      <w:r w:rsidR="0045554C">
        <w:t xml:space="preserve"> på</w:t>
      </w:r>
      <w:r w:rsidRPr="006B7451">
        <w:t xml:space="preserve"> skillnaden i totalt intjänande till pensionen.</w:t>
      </w:r>
    </w:p>
    <w:p w:rsidRPr="006B7451" w:rsidR="00E434EA" w:rsidP="00E434EA" w:rsidRDefault="00E434EA" w14:paraId="2F917A8F" w14:textId="77777777">
      <w:r w:rsidRPr="006B7451">
        <w:t>Givet en pensionsålder på 65 år förväntas personer födda 1959 få cirka 60 procent av sin slutlön i pension. För personer födda 1989 är motsvarande kompensationsgrad 53 procent.</w:t>
      </w:r>
    </w:p>
    <w:p w:rsidRPr="006B7451" w:rsidR="00E434EA" w:rsidP="00ED5D60" w:rsidRDefault="00E434EA" w14:paraId="7B177CB6" w14:textId="52F04389">
      <w:pPr>
        <w:pStyle w:val="Rubrik2numrerat"/>
      </w:pPr>
      <w:bookmarkStart w:name="_Toc121752580" w:id="71"/>
      <w:r w:rsidRPr="006B7451">
        <w:t>Principer för en pensionsreform</w:t>
      </w:r>
      <w:bookmarkEnd w:id="71"/>
    </w:p>
    <w:p w:rsidRPr="006B7451" w:rsidR="00E434EA" w:rsidP="00061FD5" w:rsidRDefault="00E434EA" w14:paraId="74E3F10C" w14:textId="77777777">
      <w:pPr>
        <w:pStyle w:val="Rubrik3"/>
        <w:spacing w:before="125"/>
      </w:pPr>
      <w:bookmarkStart w:name="_Toc121752581" w:id="72"/>
      <w:r w:rsidRPr="006B7451">
        <w:t>Både nuvarande och kommande pensionärer ska omfattas</w:t>
      </w:r>
      <w:bookmarkEnd w:id="72"/>
    </w:p>
    <w:p w:rsidRPr="006B7451" w:rsidR="00E434EA" w:rsidP="007379E9" w:rsidRDefault="00E434EA" w14:paraId="7C7F8B5F" w14:textId="275C2242">
      <w:pPr>
        <w:pStyle w:val="Normalutanindragellerluft"/>
      </w:pPr>
      <w:r w:rsidRPr="006B7451">
        <w:t>Hela pensionssystemet behöver stärkas, och det behöver både få genomslag för nuvarande pensionärer och för kommande pensionärer. Det bör vidare ske med en kombination av åtgärder som snabbt ger effekt och åtgärder som stärker pensionerna på längre sikt.</w:t>
      </w:r>
    </w:p>
    <w:p w:rsidRPr="006B7451" w:rsidR="00E434EA" w:rsidP="00F74926" w:rsidRDefault="00E434EA" w14:paraId="4412A576" w14:textId="77777777">
      <w:pPr>
        <w:pStyle w:val="Rubrik3"/>
      </w:pPr>
      <w:bookmarkStart w:name="_Toc121752582" w:id="73"/>
      <w:r w:rsidRPr="006B7451">
        <w:t>Det ska löna sig att arbeta</w:t>
      </w:r>
      <w:bookmarkEnd w:id="73"/>
      <w:r w:rsidRPr="006B7451">
        <w:t xml:space="preserve"> </w:t>
      </w:r>
    </w:p>
    <w:p w:rsidRPr="006B7451" w:rsidR="00E434EA" w:rsidP="007379E9" w:rsidRDefault="00E434EA" w14:paraId="4DFDF0C5" w14:textId="149B0BAE">
      <w:pPr>
        <w:pStyle w:val="Normalutanindragellerluft"/>
      </w:pPr>
      <w:r w:rsidRPr="006B7451">
        <w:t>Det behöver finnas en rättviseaspekt i reformen. I dag är det många gånger liten, eller ingen, skillnad på pensionen mellan de som arbetat ett helt yrkesliv jämfört med individer som arbetat lite eller inget alls. Det finns även stora grupper som kommit till Sverige på senare år och inte har betalat in till pensionssystemet. Reformen ska inte leda till att skillnaden mellan pensionsutbetalningen till dem som har arbetat och till dem som inte har arbetat minskar.</w:t>
      </w:r>
    </w:p>
    <w:p w:rsidRPr="006B7451" w:rsidR="00E434EA" w:rsidP="00F74926" w:rsidRDefault="00E434EA" w14:paraId="220AA5BC" w14:textId="77777777">
      <w:pPr>
        <w:pStyle w:val="Rubrik3"/>
      </w:pPr>
      <w:bookmarkStart w:name="_Toc121752583" w:id="74"/>
      <w:r w:rsidRPr="006B7451">
        <w:t>Kostnaden ska bäras av staten</w:t>
      </w:r>
      <w:bookmarkEnd w:id="74"/>
    </w:p>
    <w:p w:rsidRPr="006B7451" w:rsidR="00E434EA" w:rsidP="007379E9" w:rsidRDefault="00E434EA" w14:paraId="408E30F3" w14:textId="56E00608">
      <w:pPr>
        <w:pStyle w:val="Normalutanindragellerluft"/>
      </w:pPr>
      <w:r w:rsidRPr="006B7451">
        <w:t>Ökade pensionsavsättningar kommer att leda till att en kostnad uppstår. För att inte sysselsättningen ska påverkas negativt är det angeläget att kostnaden i sin helhet finansieras av staten. Tidigare förslag har antytt att arbetsgivaravgifterna ska höjas för att finansiera ökade pensionsavsättningar</w:t>
      </w:r>
      <w:r w:rsidR="00A711E5">
        <w:t>;</w:t>
      </w:r>
      <w:r w:rsidRPr="006B7451">
        <w:t xml:space="preserve"> detta är inte önskvärt.</w:t>
      </w:r>
    </w:p>
    <w:p w:rsidRPr="006B7451" w:rsidR="00E434EA" w:rsidP="00F74926" w:rsidRDefault="00E434EA" w14:paraId="29F8A50F" w14:textId="77777777">
      <w:pPr>
        <w:pStyle w:val="Rubrik3"/>
      </w:pPr>
      <w:bookmarkStart w:name="_Toc121752584" w:id="75"/>
      <w:r w:rsidRPr="006B7451">
        <w:lastRenderedPageBreak/>
        <w:t>En höjning av pensioner behöver undvika kannibaleffekter</w:t>
      </w:r>
      <w:bookmarkEnd w:id="75"/>
    </w:p>
    <w:p w:rsidRPr="006B7451" w:rsidR="00E434EA" w:rsidP="007379E9" w:rsidRDefault="00E434EA" w14:paraId="4A2CFA68" w14:textId="5C3E8612">
      <w:pPr>
        <w:pStyle w:val="Normalutanindragellerluft"/>
      </w:pPr>
      <w:r w:rsidRPr="006B7451">
        <w:t>Det nuvarande premiebaserade systemet kombinerat med ett statligt grundskydd innebär att en förstärkning på ena sidan ofta leder till en försvagning på andra sidan. Stärks den allmänna pensionen minskar utbetalning</w:t>
      </w:r>
      <w:r w:rsidR="00750CE4">
        <w:t>en</w:t>
      </w:r>
      <w:r w:rsidRPr="006B7451">
        <w:t xml:space="preserve"> av garantipension och bostadstillägg till pensionärer, där nettoeffekten i vissa fall blir noll. För att undvika detta bör nivåerna på grundskyddet justeras så att utbetalningarna av garantipension och bostadstillägg till pensionärer är i samma storlek som innan reformen.</w:t>
      </w:r>
    </w:p>
    <w:p w:rsidRPr="006B7451" w:rsidR="00E434EA" w:rsidP="00F74926" w:rsidRDefault="00E434EA" w14:paraId="3A8F376E" w14:textId="77777777">
      <w:pPr>
        <w:pStyle w:val="Rubrik3"/>
      </w:pPr>
      <w:bookmarkStart w:name="_Toc121752585" w:id="76"/>
      <w:r w:rsidRPr="006B7451">
        <w:t>Pensionssystemet ska bli tydligare och mer överblickbart</w:t>
      </w:r>
      <w:bookmarkEnd w:id="76"/>
    </w:p>
    <w:p w:rsidRPr="006B7451" w:rsidR="00E434EA" w:rsidP="007379E9" w:rsidRDefault="00E434EA" w14:paraId="234E5406" w14:textId="77777777">
      <w:pPr>
        <w:pStyle w:val="Normalutanindragellerluft"/>
      </w:pPr>
      <w:r w:rsidRPr="006B7451">
        <w:t>Dagens system är krångligt och svårt att överblicka till följd av den allmänna pensionsavgiften som kombineras med en motsvarande skattereduktion. Vid en reform av pensionsavsättningen bör denna del förenklas för att göra systemet mer transparent.</w:t>
      </w:r>
    </w:p>
    <w:p w:rsidRPr="006B7451" w:rsidR="007606E1" w:rsidP="00ED5D60" w:rsidRDefault="007606E1" w14:paraId="0EFA3496" w14:textId="77777777">
      <w:pPr>
        <w:pStyle w:val="Rubrik2numrerat"/>
      </w:pPr>
      <w:bookmarkStart w:name="_Toc121752586" w:id="77"/>
      <w:r w:rsidRPr="006B7451">
        <w:t>Höjda pensionsavsättningar</w:t>
      </w:r>
      <w:bookmarkEnd w:id="77"/>
    </w:p>
    <w:p w:rsidRPr="006B7451" w:rsidR="007606E1" w:rsidP="004230C3" w:rsidRDefault="007606E1" w14:paraId="2FC02021" w14:textId="77777777">
      <w:pPr>
        <w:pStyle w:val="Normalutanindragellerluft"/>
        <w:rPr>
          <w:b/>
        </w:rPr>
      </w:pPr>
      <w:r w:rsidRPr="006B7451">
        <w:rPr>
          <w:b/>
        </w:rPr>
        <w:t>Sverigedemokraternas förslag</w:t>
      </w:r>
      <w:r w:rsidRPr="004230C3">
        <w:t xml:space="preserve">: </w:t>
      </w:r>
      <w:r w:rsidRPr="006B7451">
        <w:t>Pensionsavsättningarna inom arbetsgivaravgiften ska höjas samtidigt som den allmänna löneavgiften sänks i motsvarande mån för att bibehålla kostnadsneutralitet för företagarna.</w:t>
      </w:r>
    </w:p>
    <w:p w:rsidRPr="006B7451" w:rsidR="007606E1" w:rsidP="004230C3" w:rsidRDefault="007606E1" w14:paraId="789D7052" w14:textId="2046A4D3">
      <w:pPr>
        <w:pStyle w:val="Normalutanindragellerluft"/>
        <w:spacing w:before="150"/>
      </w:pPr>
      <w:r w:rsidRPr="006B7451">
        <w:t xml:space="preserve">Pensionsavgifterna föreslås öka från 17,21 till 18,5 procent av bruttoinkomsten genom att den allmänna pensionsavgiften och motsvarande skattereduktion ersätts av höjda pensionsavsättningar på arbetsgivaravgiftssidan. Detta medför att hela pensionsavgiften ges en motsvarande pensionsrätt, till skillnad från i dag där 93 procent av avgiften medför en pensionsrätt, </w:t>
      </w:r>
      <w:r w:rsidR="007A7EDB">
        <w:t xml:space="preserve">vilket ger </w:t>
      </w:r>
      <w:r w:rsidRPr="006B7451">
        <w:t>en förstärkning av pensionssystemet med cirka 22</w:t>
      </w:r>
      <w:r w:rsidR="007A7EDB">
        <w:t> </w:t>
      </w:r>
      <w:r w:rsidRPr="006B7451">
        <w:t>miljarder kronor per år.</w:t>
      </w:r>
    </w:p>
    <w:p w:rsidRPr="006B7451" w:rsidR="007606E1" w:rsidP="007606E1" w:rsidRDefault="007606E1" w14:paraId="4AEAEDED" w14:textId="3E0DD8C3">
      <w:r w:rsidRPr="006B7451">
        <w:t>Finansieringslösning</w:t>
      </w:r>
      <w:r w:rsidR="007B6941">
        <w:t>en</w:t>
      </w:r>
      <w:r w:rsidRPr="006B7451">
        <w:t xml:space="preserve"> innebär att den allmänna löneavgiften minskar i motsvarande utsträckning som pensionsavgifterna ökar</w:t>
      </w:r>
      <w:r w:rsidR="00AE4AA7">
        <w:t>,</w:t>
      </w:r>
      <w:r w:rsidRPr="006B7451">
        <w:t xml:space="preserve"> vilket innebär att det totala uttaget av arbets</w:t>
      </w:r>
      <w:r w:rsidR="00B3656C">
        <w:softHyphen/>
      </w:r>
      <w:r w:rsidRPr="006B7451">
        <w:t>givaravgift är oförändrat och därmed kostnadsneutralt för företag och individer i denna del. Med detta är det rimligt att även värdet på redan intjänade pensionsrätter omfattas – då det inte innebär att individer eller företag får en ökad finansieringsbörda – genom att låta inkomstindex påverkas av att den allmänna pensionsavgiften slopas.</w:t>
      </w:r>
    </w:p>
    <w:p w:rsidRPr="006B7451" w:rsidR="007606E1" w:rsidP="00F74926" w:rsidRDefault="007606E1" w14:paraId="432282A6" w14:textId="5269C094">
      <w:r w:rsidRPr="006B7451">
        <w:t>Slopandet leder till en engångshöjning av de pensionsgrundande inkomsterna, varpå inkomstindex ökar för det efterföljande året, vilket i sin tur ökar inkomst- och tilläggs</w:t>
      </w:r>
      <w:r w:rsidR="00B3656C">
        <w:softHyphen/>
      </w:r>
      <w:r w:rsidRPr="006B7451">
        <w:t>pension</w:t>
      </w:r>
      <w:r w:rsidR="008558A4">
        <w:t>en</w:t>
      </w:r>
      <w:r w:rsidRPr="006B7451">
        <w:t xml:space="preserve"> med cirka 6,6 procent utöver den omräkning som normalt sker varje år. Den slopade allmänna pensionsavgiften innebär att bruttoinkomsten och den pensions</w:t>
      </w:r>
      <w:r w:rsidR="00B3656C">
        <w:softHyphen/>
      </w:r>
      <w:r w:rsidRPr="006B7451">
        <w:t xml:space="preserve">grundande inkomsten sammanfaller under avgiftstaket och att avgiftstaket sänks från 8,07 till 7,5 inkomstbasbelopp. </w:t>
      </w:r>
    </w:p>
    <w:p w:rsidRPr="006B7451" w:rsidR="007606E1" w:rsidP="00F74926" w:rsidRDefault="007606E1" w14:paraId="1DFAF0B3" w14:textId="77777777">
      <w:pPr>
        <w:pStyle w:val="Rubrik3"/>
      </w:pPr>
      <w:bookmarkStart w:name="_Toc121752587" w:id="78"/>
      <w:r w:rsidRPr="006B7451">
        <w:t>Konsekvenser för företagen</w:t>
      </w:r>
      <w:bookmarkEnd w:id="78"/>
    </w:p>
    <w:p w:rsidRPr="006B7451" w:rsidR="007606E1" w:rsidP="004230C3" w:rsidRDefault="007606E1" w14:paraId="3EF0C710" w14:textId="0C7CB5A9">
      <w:pPr>
        <w:pStyle w:val="Normalutanindragellerluft"/>
      </w:pPr>
      <w:r w:rsidRPr="006B7451">
        <w:t>Även om företagen inte överlag får ökade kostnader till följd av växlingen påverkas vissa företag indirekt ur två aspekter. Den ena är de tillfällen då arbetsgivare inte betalar allmän löneavgift, exempelvis för</w:t>
      </w:r>
    </w:p>
    <w:p w:rsidRPr="006B7451" w:rsidR="007606E1" w:rsidP="00E03B33" w:rsidRDefault="007606E1" w14:paraId="361187F4" w14:textId="77777777">
      <w:pPr>
        <w:pStyle w:val="ListaPunkt"/>
      </w:pPr>
      <w:r w:rsidRPr="006B7451">
        <w:t>anställda personer över 66 år</w:t>
      </w:r>
    </w:p>
    <w:p w:rsidRPr="006B7451" w:rsidR="007606E1" w:rsidP="00E03B33" w:rsidRDefault="007606E1" w14:paraId="59997EFF" w14:textId="06D26BAA">
      <w:pPr>
        <w:pStyle w:val="ListaPunkt"/>
      </w:pPr>
      <w:r w:rsidRPr="006B7451">
        <w:t xml:space="preserve">enmansföretag som anställer </w:t>
      </w:r>
      <w:r w:rsidR="00466F63">
        <w:t>sina</w:t>
      </w:r>
      <w:r w:rsidR="00292188">
        <w:t xml:space="preserve"> </w:t>
      </w:r>
      <w:r w:rsidRPr="006B7451">
        <w:t>två först</w:t>
      </w:r>
      <w:r w:rsidR="00466F63">
        <w:t>a</w:t>
      </w:r>
      <w:r w:rsidRPr="006B7451">
        <w:t xml:space="preserve"> anställda</w:t>
      </w:r>
    </w:p>
    <w:p w:rsidRPr="006B7451" w:rsidR="007606E1" w:rsidP="00E03B33" w:rsidRDefault="007606E1" w14:paraId="70A9D0EE" w14:textId="77777777">
      <w:pPr>
        <w:pStyle w:val="ListaPunkt"/>
      </w:pPr>
      <w:r w:rsidRPr="006B7451">
        <w:t>ungdomar mellan 15 och 17 år</w:t>
      </w:r>
    </w:p>
    <w:p w:rsidRPr="006B7451" w:rsidR="007606E1" w:rsidP="00E03B33" w:rsidRDefault="007606E1" w14:paraId="3DC12190" w14:textId="2ED1F8FD">
      <w:pPr>
        <w:pStyle w:val="ListaPunkt"/>
      </w:pPr>
      <w:r w:rsidRPr="006B7451">
        <w:t>enskilda näringsidkare över 66 år</w:t>
      </w:r>
      <w:r w:rsidR="00292188">
        <w:t>.</w:t>
      </w:r>
    </w:p>
    <w:p w:rsidRPr="006B7451" w:rsidR="007606E1" w:rsidP="004230C3" w:rsidRDefault="007606E1" w14:paraId="353168C1" w14:textId="4B305FBD">
      <w:pPr>
        <w:pStyle w:val="Normalutanindragellerluft"/>
      </w:pPr>
      <w:r w:rsidRPr="006B7451">
        <w:lastRenderedPageBreak/>
        <w:t xml:space="preserve">I dessa fall kan arbetsgivarna inte kompenseras genom </w:t>
      </w:r>
      <w:r w:rsidR="007E0617">
        <w:t xml:space="preserve">en </w:t>
      </w:r>
      <w:r w:rsidRPr="006B7451">
        <w:t>sänkt allmän löneavgift</w:t>
      </w:r>
      <w:r w:rsidR="007E0617">
        <w:t>,</w:t>
      </w:r>
      <w:r w:rsidRPr="006B7451">
        <w:t xml:space="preserve"> vilket innebär att arbetsgivaravgiften ökar med 8,29 procentenheter</w:t>
      </w:r>
      <w:r w:rsidR="00E653FD">
        <w:t xml:space="preserve">, vilket i sin tur </w:t>
      </w:r>
      <w:r w:rsidRPr="006B7451">
        <w:t>innebär en ökad kostnad för företagssektorn om cirka 3 miljarder kronor. Även denna kostnad bör staten kompensera företagen för.</w:t>
      </w:r>
    </w:p>
    <w:p w:rsidRPr="006B7451" w:rsidR="007606E1" w:rsidP="00F74926" w:rsidRDefault="007606E1" w14:paraId="02093CFF" w14:textId="339B93A7">
      <w:r w:rsidRPr="006B7451">
        <w:t>Den andra är att en höjning av inkomstindex skulle höja inkomstbasbeloppet och därmed inkomsttaket. Premierna till tjänstepensionen är lägre under taket än över och det högre inkomstbasbeloppet resulterar i att en större andel inkomster ligger under taket. Detta leder till att premierna till tjänstepensionen blir lägre och att företagens utgifter för tjänstepension blir cirka 10 miljarder kronor lägre. Detta är dock förutsatt att arbetsmarknadens parter inte omförhandlar kollektivavtalen eller att annan justering av ersättningsvillkoren görs, vilket bör vara en förutsättning när staten bär alla kostnader som uppstår för företagen.</w:t>
      </w:r>
    </w:p>
    <w:p w:rsidRPr="006B7451" w:rsidR="007606E1" w:rsidP="00F74926" w:rsidRDefault="007606E1" w14:paraId="3775C4E0" w14:textId="77777777">
      <w:pPr>
        <w:pStyle w:val="Rubrik3"/>
      </w:pPr>
      <w:bookmarkStart w:name="_Toc121752588" w:id="79"/>
      <w:r w:rsidRPr="006B7451">
        <w:t>Konsekvenser för personer med låg pension</w:t>
      </w:r>
      <w:bookmarkEnd w:id="79"/>
    </w:p>
    <w:p w:rsidRPr="006B7451" w:rsidR="007606E1" w:rsidP="004230C3" w:rsidRDefault="007606E1" w14:paraId="3C0E8EBC" w14:textId="3441995E">
      <w:pPr>
        <w:pStyle w:val="Normalutanindragellerluft"/>
      </w:pPr>
      <w:r w:rsidRPr="006B7451">
        <w:t>Pensionärer med låg allmän inkomstgrundad pension har rätt till garantipension och pensionärer i hushåll med låga inkomster och förmögenheter kan få bostadstillägg. Eftersom grundskyddet trappas av om inkomsterna ökar skulle pensionärer med grundskydd inte ta del av ökningen av inkomstpensionen i samma utsträckning som pensionärer utan grundskydd. Detta får i sin tur en stor effekt för genomsnitts</w:t>
      </w:r>
      <w:r w:rsidR="00B3656C">
        <w:softHyphen/>
      </w:r>
      <w:r w:rsidRPr="006B7451">
        <w:t>pensionären. Det skulle även innebära att statens kostnader för grundskydd minskar med 2,1 miljarder kronor per år.</w:t>
      </w:r>
    </w:p>
    <w:p w:rsidRPr="004230C3" w:rsidR="007606E1" w:rsidP="004230C3" w:rsidRDefault="007606E1" w14:paraId="64D3A268" w14:textId="36DD932F">
      <w:pPr>
        <w:pStyle w:val="Tabellrubrik"/>
      </w:pPr>
      <w:r w:rsidRPr="004230C3">
        <w:t xml:space="preserve">Tabell </w:t>
      </w:r>
      <w:r w:rsidR="004230C3">
        <w:t>12</w:t>
      </w:r>
      <w:r w:rsidRPr="004230C3">
        <w:t xml:space="preserve"> Förändring av pension för personer födda 1946, kronor per månad, utan justering av grundskydd</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762"/>
        <w:gridCol w:w="2456"/>
        <w:gridCol w:w="2286"/>
      </w:tblGrid>
      <w:tr w:rsidRPr="006B7451" w:rsidR="007606E1" w:rsidTr="004230C3" w14:paraId="02FD5EFE" w14:textId="77777777">
        <w:tc>
          <w:tcPr>
            <w:tcW w:w="2212" w:type="pct"/>
            <w:tcBorders>
              <w:top w:val="single" w:color="auto" w:sz="4" w:space="0"/>
              <w:bottom w:val="single" w:color="auto" w:sz="4" w:space="0"/>
            </w:tcBorders>
          </w:tcPr>
          <w:p w:rsidRPr="006B7451" w:rsidR="007606E1" w:rsidP="004230C3" w:rsidRDefault="007606E1" w14:paraId="260A5F80" w14:textId="77777777">
            <w:pPr>
              <w:spacing w:before="80" w:line="240" w:lineRule="exact"/>
              <w:rPr>
                <w:b/>
                <w:sz w:val="20"/>
                <w:szCs w:val="20"/>
              </w:rPr>
            </w:pPr>
          </w:p>
        </w:tc>
        <w:tc>
          <w:tcPr>
            <w:tcW w:w="1444" w:type="pct"/>
            <w:tcBorders>
              <w:top w:val="single" w:color="auto" w:sz="4" w:space="0"/>
              <w:bottom w:val="single" w:color="auto" w:sz="4" w:space="0"/>
            </w:tcBorders>
          </w:tcPr>
          <w:p w:rsidRPr="006B7451" w:rsidR="007606E1" w:rsidP="004230C3" w:rsidRDefault="007606E1" w14:paraId="76FE84AB" w14:textId="77777777">
            <w:pPr>
              <w:spacing w:before="80" w:line="240" w:lineRule="exact"/>
              <w:jc w:val="right"/>
              <w:rPr>
                <w:b/>
                <w:sz w:val="20"/>
                <w:szCs w:val="20"/>
              </w:rPr>
            </w:pPr>
            <w:r w:rsidRPr="006B7451">
              <w:rPr>
                <w:b/>
                <w:sz w:val="20"/>
                <w:szCs w:val="20"/>
              </w:rPr>
              <w:t>Genomsnitt, kvinna</w:t>
            </w:r>
          </w:p>
        </w:tc>
        <w:tc>
          <w:tcPr>
            <w:tcW w:w="1344" w:type="pct"/>
            <w:tcBorders>
              <w:top w:val="single" w:color="auto" w:sz="4" w:space="0"/>
              <w:bottom w:val="single" w:color="auto" w:sz="4" w:space="0"/>
            </w:tcBorders>
          </w:tcPr>
          <w:p w:rsidRPr="006B7451" w:rsidR="007606E1" w:rsidP="004230C3" w:rsidRDefault="007606E1" w14:paraId="1D3485CA" w14:textId="77777777">
            <w:pPr>
              <w:spacing w:before="80" w:line="240" w:lineRule="exact"/>
              <w:jc w:val="right"/>
              <w:rPr>
                <w:b/>
                <w:sz w:val="20"/>
                <w:szCs w:val="20"/>
              </w:rPr>
            </w:pPr>
            <w:r w:rsidRPr="006B7451">
              <w:rPr>
                <w:b/>
                <w:sz w:val="20"/>
                <w:szCs w:val="20"/>
              </w:rPr>
              <w:t>Genomsnitt, man</w:t>
            </w:r>
          </w:p>
        </w:tc>
      </w:tr>
      <w:tr w:rsidRPr="006B7451" w:rsidR="007606E1" w:rsidTr="004230C3" w14:paraId="13F4D5AA" w14:textId="77777777">
        <w:tc>
          <w:tcPr>
            <w:tcW w:w="2212" w:type="pct"/>
            <w:tcBorders>
              <w:top w:val="single" w:color="auto" w:sz="4" w:space="0"/>
            </w:tcBorders>
          </w:tcPr>
          <w:p w:rsidRPr="006B7451" w:rsidR="007606E1" w:rsidP="004230C3" w:rsidRDefault="007606E1" w14:paraId="4D31EA20" w14:textId="77777777">
            <w:pPr>
              <w:spacing w:before="80" w:line="240" w:lineRule="exact"/>
              <w:ind w:firstLine="0"/>
              <w:rPr>
                <w:sz w:val="20"/>
                <w:szCs w:val="20"/>
              </w:rPr>
            </w:pPr>
            <w:r w:rsidRPr="006B7451">
              <w:rPr>
                <w:sz w:val="20"/>
                <w:szCs w:val="20"/>
              </w:rPr>
              <w:t>Inkomst- och tilläggspension</w:t>
            </w:r>
          </w:p>
        </w:tc>
        <w:tc>
          <w:tcPr>
            <w:tcW w:w="1444" w:type="pct"/>
            <w:tcBorders>
              <w:top w:val="single" w:color="auto" w:sz="4" w:space="0"/>
            </w:tcBorders>
          </w:tcPr>
          <w:p w:rsidRPr="006B7451" w:rsidR="007606E1" w:rsidP="004230C3" w:rsidRDefault="007606E1" w14:paraId="0EEF9BC8" w14:textId="77777777">
            <w:pPr>
              <w:spacing w:before="80" w:line="240" w:lineRule="exact"/>
              <w:jc w:val="right"/>
              <w:rPr>
                <w:sz w:val="20"/>
                <w:szCs w:val="20"/>
              </w:rPr>
            </w:pPr>
            <w:r w:rsidRPr="006B7451">
              <w:rPr>
                <w:sz w:val="20"/>
                <w:szCs w:val="20"/>
              </w:rPr>
              <w:t>+810</w:t>
            </w:r>
          </w:p>
        </w:tc>
        <w:tc>
          <w:tcPr>
            <w:tcW w:w="1344" w:type="pct"/>
            <w:tcBorders>
              <w:top w:val="single" w:color="auto" w:sz="4" w:space="0"/>
            </w:tcBorders>
          </w:tcPr>
          <w:p w:rsidRPr="006B7451" w:rsidR="007606E1" w:rsidP="004230C3" w:rsidRDefault="007606E1" w14:paraId="1937FD15" w14:textId="3E2EC650">
            <w:pPr>
              <w:spacing w:before="80" w:line="240" w:lineRule="exact"/>
              <w:jc w:val="right"/>
              <w:rPr>
                <w:sz w:val="20"/>
                <w:szCs w:val="20"/>
              </w:rPr>
            </w:pPr>
            <w:r w:rsidRPr="006B7451">
              <w:rPr>
                <w:sz w:val="20"/>
                <w:szCs w:val="20"/>
              </w:rPr>
              <w:t>+1</w:t>
            </w:r>
            <w:r w:rsidR="004230C3">
              <w:rPr>
                <w:sz w:val="20"/>
                <w:szCs w:val="20"/>
              </w:rPr>
              <w:t xml:space="preserve"> </w:t>
            </w:r>
            <w:r w:rsidRPr="006B7451">
              <w:rPr>
                <w:sz w:val="20"/>
                <w:szCs w:val="20"/>
              </w:rPr>
              <w:t>070</w:t>
            </w:r>
          </w:p>
        </w:tc>
      </w:tr>
      <w:tr w:rsidRPr="006B7451" w:rsidR="007606E1" w:rsidTr="004230C3" w14:paraId="001B3721" w14:textId="77777777">
        <w:tc>
          <w:tcPr>
            <w:tcW w:w="2212" w:type="pct"/>
          </w:tcPr>
          <w:p w:rsidRPr="006B7451" w:rsidR="007606E1" w:rsidP="004230C3" w:rsidRDefault="007606E1" w14:paraId="32B595BA" w14:textId="77777777">
            <w:pPr>
              <w:spacing w:before="80" w:line="240" w:lineRule="exact"/>
              <w:ind w:firstLine="0"/>
              <w:rPr>
                <w:sz w:val="20"/>
                <w:szCs w:val="20"/>
              </w:rPr>
            </w:pPr>
            <w:r w:rsidRPr="006B7451">
              <w:rPr>
                <w:sz w:val="20"/>
                <w:szCs w:val="20"/>
              </w:rPr>
              <w:t>Garantipension</w:t>
            </w:r>
          </w:p>
        </w:tc>
        <w:tc>
          <w:tcPr>
            <w:tcW w:w="1444" w:type="pct"/>
          </w:tcPr>
          <w:p w:rsidRPr="006B7451" w:rsidR="007606E1" w:rsidP="004230C3" w:rsidRDefault="004230C3" w14:paraId="7B3DD888" w14:textId="6EEC7BD8">
            <w:pPr>
              <w:spacing w:before="80" w:line="240" w:lineRule="exact"/>
              <w:jc w:val="right"/>
              <w:rPr>
                <w:sz w:val="20"/>
                <w:szCs w:val="20"/>
              </w:rPr>
            </w:pPr>
            <w:r>
              <w:rPr>
                <w:sz w:val="20"/>
                <w:szCs w:val="20"/>
              </w:rPr>
              <w:t>–</w:t>
            </w:r>
            <w:r w:rsidRPr="006B7451" w:rsidR="007606E1">
              <w:rPr>
                <w:sz w:val="20"/>
                <w:szCs w:val="20"/>
              </w:rPr>
              <w:t>40</w:t>
            </w:r>
          </w:p>
        </w:tc>
        <w:tc>
          <w:tcPr>
            <w:tcW w:w="1344" w:type="pct"/>
          </w:tcPr>
          <w:p w:rsidRPr="006B7451" w:rsidR="007606E1" w:rsidP="004230C3" w:rsidRDefault="007606E1" w14:paraId="0EA8E30E" w14:textId="77777777">
            <w:pPr>
              <w:spacing w:before="80" w:line="240" w:lineRule="exact"/>
              <w:jc w:val="right"/>
              <w:rPr>
                <w:sz w:val="20"/>
                <w:szCs w:val="20"/>
              </w:rPr>
            </w:pPr>
            <w:r w:rsidRPr="006B7451">
              <w:rPr>
                <w:sz w:val="20"/>
                <w:szCs w:val="20"/>
              </w:rPr>
              <w:t>0</w:t>
            </w:r>
          </w:p>
        </w:tc>
      </w:tr>
      <w:tr w:rsidRPr="006B7451" w:rsidR="007606E1" w:rsidTr="004230C3" w14:paraId="1EA1A72E" w14:textId="77777777">
        <w:tc>
          <w:tcPr>
            <w:tcW w:w="2212" w:type="pct"/>
          </w:tcPr>
          <w:p w:rsidRPr="006B7451" w:rsidR="007606E1" w:rsidP="004230C3" w:rsidRDefault="007606E1" w14:paraId="2F1E9274" w14:textId="77777777">
            <w:pPr>
              <w:spacing w:before="80" w:line="240" w:lineRule="exact"/>
              <w:ind w:firstLine="0"/>
              <w:rPr>
                <w:sz w:val="20"/>
                <w:szCs w:val="20"/>
              </w:rPr>
            </w:pPr>
            <w:r w:rsidRPr="006B7451">
              <w:rPr>
                <w:sz w:val="20"/>
                <w:szCs w:val="20"/>
              </w:rPr>
              <w:t>Bostadstillägg</w:t>
            </w:r>
          </w:p>
        </w:tc>
        <w:tc>
          <w:tcPr>
            <w:tcW w:w="1444" w:type="pct"/>
          </w:tcPr>
          <w:p w:rsidRPr="006B7451" w:rsidR="007606E1" w:rsidP="004230C3" w:rsidRDefault="004230C3" w14:paraId="42E53F16" w14:textId="39BA612D">
            <w:pPr>
              <w:spacing w:before="80" w:line="240" w:lineRule="exact"/>
              <w:jc w:val="right"/>
              <w:rPr>
                <w:sz w:val="20"/>
                <w:szCs w:val="20"/>
              </w:rPr>
            </w:pPr>
            <w:r>
              <w:rPr>
                <w:sz w:val="20"/>
                <w:szCs w:val="20"/>
              </w:rPr>
              <w:t>–</w:t>
            </w:r>
            <w:r w:rsidRPr="006B7451" w:rsidR="007606E1">
              <w:rPr>
                <w:sz w:val="20"/>
                <w:szCs w:val="20"/>
              </w:rPr>
              <w:t>430</w:t>
            </w:r>
          </w:p>
        </w:tc>
        <w:tc>
          <w:tcPr>
            <w:tcW w:w="1344" w:type="pct"/>
          </w:tcPr>
          <w:p w:rsidRPr="006B7451" w:rsidR="007606E1" w:rsidP="004230C3" w:rsidRDefault="007606E1" w14:paraId="6FB21A23" w14:textId="77777777">
            <w:pPr>
              <w:spacing w:before="80" w:line="240" w:lineRule="exact"/>
              <w:jc w:val="right"/>
              <w:rPr>
                <w:sz w:val="20"/>
                <w:szCs w:val="20"/>
              </w:rPr>
            </w:pPr>
            <w:r w:rsidRPr="006B7451">
              <w:rPr>
                <w:sz w:val="20"/>
                <w:szCs w:val="20"/>
              </w:rPr>
              <w:t>0</w:t>
            </w:r>
          </w:p>
        </w:tc>
      </w:tr>
      <w:tr w:rsidRPr="004230C3" w:rsidR="007606E1" w:rsidTr="004230C3" w14:paraId="71033DC9" w14:textId="77777777">
        <w:tc>
          <w:tcPr>
            <w:tcW w:w="2212" w:type="pct"/>
            <w:tcBorders>
              <w:bottom w:val="single" w:color="auto" w:sz="4" w:space="0"/>
            </w:tcBorders>
          </w:tcPr>
          <w:p w:rsidRPr="004230C3" w:rsidR="007606E1" w:rsidP="004230C3" w:rsidRDefault="007606E1" w14:paraId="3A9749EE" w14:textId="77777777">
            <w:pPr>
              <w:spacing w:before="80" w:line="240" w:lineRule="exact"/>
              <w:ind w:firstLine="0"/>
              <w:rPr>
                <w:b/>
                <w:bCs/>
                <w:sz w:val="20"/>
                <w:szCs w:val="20"/>
              </w:rPr>
            </w:pPr>
            <w:r w:rsidRPr="004230C3">
              <w:rPr>
                <w:b/>
                <w:bCs/>
                <w:sz w:val="20"/>
                <w:szCs w:val="20"/>
              </w:rPr>
              <w:t>Summa</w:t>
            </w:r>
          </w:p>
        </w:tc>
        <w:tc>
          <w:tcPr>
            <w:tcW w:w="1444" w:type="pct"/>
            <w:tcBorders>
              <w:bottom w:val="single" w:color="auto" w:sz="4" w:space="0"/>
            </w:tcBorders>
          </w:tcPr>
          <w:p w:rsidRPr="004230C3" w:rsidR="007606E1" w:rsidP="004230C3" w:rsidRDefault="007606E1" w14:paraId="58FC0E78" w14:textId="77777777">
            <w:pPr>
              <w:spacing w:before="80" w:line="240" w:lineRule="exact"/>
              <w:jc w:val="right"/>
              <w:rPr>
                <w:b/>
                <w:bCs/>
                <w:sz w:val="20"/>
                <w:szCs w:val="20"/>
              </w:rPr>
            </w:pPr>
            <w:r w:rsidRPr="004230C3">
              <w:rPr>
                <w:b/>
                <w:bCs/>
                <w:sz w:val="20"/>
                <w:szCs w:val="20"/>
              </w:rPr>
              <w:t>+340</w:t>
            </w:r>
          </w:p>
        </w:tc>
        <w:tc>
          <w:tcPr>
            <w:tcW w:w="1344" w:type="pct"/>
            <w:tcBorders>
              <w:bottom w:val="single" w:color="auto" w:sz="4" w:space="0"/>
            </w:tcBorders>
          </w:tcPr>
          <w:p w:rsidRPr="004230C3" w:rsidR="007606E1" w:rsidP="004230C3" w:rsidRDefault="007606E1" w14:paraId="58C3F7B8" w14:textId="237ACDD2">
            <w:pPr>
              <w:spacing w:before="80" w:line="240" w:lineRule="exact"/>
              <w:jc w:val="right"/>
              <w:rPr>
                <w:b/>
                <w:bCs/>
                <w:sz w:val="20"/>
                <w:szCs w:val="20"/>
              </w:rPr>
            </w:pPr>
            <w:r w:rsidRPr="004230C3">
              <w:rPr>
                <w:b/>
                <w:bCs/>
                <w:sz w:val="20"/>
                <w:szCs w:val="20"/>
              </w:rPr>
              <w:t>+1</w:t>
            </w:r>
            <w:r w:rsidRPr="004230C3" w:rsidR="004230C3">
              <w:rPr>
                <w:b/>
                <w:bCs/>
                <w:sz w:val="20"/>
                <w:szCs w:val="20"/>
              </w:rPr>
              <w:t xml:space="preserve"> </w:t>
            </w:r>
            <w:r w:rsidRPr="004230C3">
              <w:rPr>
                <w:b/>
                <w:bCs/>
                <w:sz w:val="20"/>
                <w:szCs w:val="20"/>
              </w:rPr>
              <w:t>070</w:t>
            </w:r>
          </w:p>
        </w:tc>
      </w:tr>
    </w:tbl>
    <w:p w:rsidRPr="006B7451" w:rsidR="003931CE" w:rsidP="00A60FB2" w:rsidRDefault="007606E1" w14:paraId="7F4FEE18" w14:textId="77ED1FB6">
      <w:pPr>
        <w:pStyle w:val="Normalutanindragellerluft"/>
        <w:spacing w:before="150"/>
      </w:pPr>
      <w:r w:rsidRPr="006B7451">
        <w:t xml:space="preserve">För att kompensera för detta bör grundskyddet uppjusteras med motsvarande höjningen av inkomstpension. Det kan exempelvis ske genom att inkomstpensionen </w:t>
      </w:r>
      <w:r w:rsidRPr="006B7451" w:rsidR="00DF378E">
        <w:t>multiplicera</w:t>
      </w:r>
      <w:r w:rsidR="00DF378E">
        <w:t>s</w:t>
      </w:r>
      <w:r w:rsidRPr="006B7451" w:rsidR="00DF378E">
        <w:t xml:space="preserve"> </w:t>
      </w:r>
      <w:r w:rsidRPr="006B7451">
        <w:t>med lämplig faktor vid beräkningen av inkomstunderlaget. Resultatet blir att kostnaden för grundskydd efter reformen är densamma som innan reformen, men reformen får ett större genomslag för dem med låg pension.</w:t>
      </w:r>
    </w:p>
    <w:p w:rsidRPr="00093E5C" w:rsidR="007606E1" w:rsidP="00B3656C" w:rsidRDefault="007606E1" w14:paraId="6FDDB550" w14:textId="53A56D89">
      <w:pPr>
        <w:pStyle w:val="Tabellrubrik"/>
        <w:keepNext/>
      </w:pPr>
      <w:r w:rsidRPr="00093E5C">
        <w:t xml:space="preserve">Tabell </w:t>
      </w:r>
      <w:r w:rsidR="00093E5C">
        <w:t>13</w:t>
      </w:r>
      <w:r w:rsidRPr="00093E5C">
        <w:t xml:space="preserve"> Förändring av pension för personer födda 1946, kronor per månad, med justering av grundskydd</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762"/>
        <w:gridCol w:w="2456"/>
        <w:gridCol w:w="2286"/>
      </w:tblGrid>
      <w:tr w:rsidRPr="006B7451" w:rsidR="007606E1" w:rsidTr="00093E5C" w14:paraId="1207C3C8" w14:textId="77777777">
        <w:tc>
          <w:tcPr>
            <w:tcW w:w="2212" w:type="pct"/>
            <w:tcBorders>
              <w:top w:val="single" w:color="auto" w:sz="4" w:space="0"/>
              <w:bottom w:val="single" w:color="auto" w:sz="4" w:space="0"/>
            </w:tcBorders>
          </w:tcPr>
          <w:p w:rsidRPr="006B7451" w:rsidR="007606E1" w:rsidP="00093E5C" w:rsidRDefault="007606E1" w14:paraId="27819F9F" w14:textId="77777777">
            <w:pPr>
              <w:spacing w:before="80" w:line="240" w:lineRule="exact"/>
              <w:rPr>
                <w:b/>
                <w:sz w:val="20"/>
                <w:szCs w:val="20"/>
              </w:rPr>
            </w:pPr>
          </w:p>
        </w:tc>
        <w:tc>
          <w:tcPr>
            <w:tcW w:w="1444" w:type="pct"/>
            <w:tcBorders>
              <w:top w:val="single" w:color="auto" w:sz="4" w:space="0"/>
              <w:bottom w:val="single" w:color="auto" w:sz="4" w:space="0"/>
            </w:tcBorders>
          </w:tcPr>
          <w:p w:rsidRPr="006B7451" w:rsidR="007606E1" w:rsidP="00093E5C" w:rsidRDefault="007606E1" w14:paraId="32D55D6C" w14:textId="77777777">
            <w:pPr>
              <w:spacing w:before="80" w:line="240" w:lineRule="exact"/>
              <w:ind w:firstLine="0"/>
              <w:jc w:val="right"/>
              <w:rPr>
                <w:b/>
                <w:sz w:val="20"/>
                <w:szCs w:val="20"/>
              </w:rPr>
            </w:pPr>
            <w:r w:rsidRPr="006B7451">
              <w:rPr>
                <w:b/>
                <w:sz w:val="20"/>
                <w:szCs w:val="20"/>
              </w:rPr>
              <w:t>Genomsnitt, kvinna</w:t>
            </w:r>
          </w:p>
        </w:tc>
        <w:tc>
          <w:tcPr>
            <w:tcW w:w="1344" w:type="pct"/>
            <w:tcBorders>
              <w:top w:val="single" w:color="auto" w:sz="4" w:space="0"/>
              <w:bottom w:val="single" w:color="auto" w:sz="4" w:space="0"/>
            </w:tcBorders>
          </w:tcPr>
          <w:p w:rsidRPr="006B7451" w:rsidR="007606E1" w:rsidP="00093E5C" w:rsidRDefault="007606E1" w14:paraId="3E6DB6BA" w14:textId="77777777">
            <w:pPr>
              <w:spacing w:before="80" w:line="240" w:lineRule="exact"/>
              <w:ind w:firstLine="0"/>
              <w:jc w:val="right"/>
              <w:rPr>
                <w:b/>
                <w:sz w:val="20"/>
                <w:szCs w:val="20"/>
              </w:rPr>
            </w:pPr>
            <w:r w:rsidRPr="006B7451">
              <w:rPr>
                <w:b/>
                <w:sz w:val="20"/>
                <w:szCs w:val="20"/>
              </w:rPr>
              <w:t>Genomsnitt, man</w:t>
            </w:r>
          </w:p>
        </w:tc>
      </w:tr>
      <w:tr w:rsidRPr="006B7451" w:rsidR="007606E1" w:rsidTr="00093E5C" w14:paraId="3169FFBF" w14:textId="77777777">
        <w:tc>
          <w:tcPr>
            <w:tcW w:w="2212" w:type="pct"/>
            <w:tcBorders>
              <w:top w:val="single" w:color="auto" w:sz="4" w:space="0"/>
            </w:tcBorders>
          </w:tcPr>
          <w:p w:rsidRPr="006B7451" w:rsidR="007606E1" w:rsidP="00093E5C" w:rsidRDefault="007606E1" w14:paraId="4EEE8AB3" w14:textId="77777777">
            <w:pPr>
              <w:spacing w:before="80" w:line="240" w:lineRule="exact"/>
              <w:ind w:firstLine="0"/>
              <w:rPr>
                <w:sz w:val="20"/>
                <w:szCs w:val="20"/>
              </w:rPr>
            </w:pPr>
            <w:r w:rsidRPr="006B7451">
              <w:rPr>
                <w:sz w:val="20"/>
                <w:szCs w:val="20"/>
              </w:rPr>
              <w:t>Inkomst- och tilläggspension</w:t>
            </w:r>
          </w:p>
        </w:tc>
        <w:tc>
          <w:tcPr>
            <w:tcW w:w="1444" w:type="pct"/>
            <w:tcBorders>
              <w:top w:val="single" w:color="auto" w:sz="4" w:space="0"/>
            </w:tcBorders>
          </w:tcPr>
          <w:p w:rsidRPr="006B7451" w:rsidR="007606E1" w:rsidP="00093E5C" w:rsidRDefault="007606E1" w14:paraId="304BD3F6" w14:textId="77777777">
            <w:pPr>
              <w:spacing w:before="80" w:line="240" w:lineRule="exact"/>
              <w:jc w:val="right"/>
              <w:rPr>
                <w:sz w:val="20"/>
                <w:szCs w:val="20"/>
              </w:rPr>
            </w:pPr>
            <w:r w:rsidRPr="006B7451">
              <w:rPr>
                <w:sz w:val="20"/>
                <w:szCs w:val="20"/>
              </w:rPr>
              <w:t>+810</w:t>
            </w:r>
          </w:p>
        </w:tc>
        <w:tc>
          <w:tcPr>
            <w:tcW w:w="1344" w:type="pct"/>
            <w:tcBorders>
              <w:top w:val="single" w:color="auto" w:sz="4" w:space="0"/>
            </w:tcBorders>
          </w:tcPr>
          <w:p w:rsidRPr="006B7451" w:rsidR="007606E1" w:rsidP="00093E5C" w:rsidRDefault="007606E1" w14:paraId="680F6386" w14:textId="1B3A4FA7">
            <w:pPr>
              <w:spacing w:before="80" w:line="240" w:lineRule="exact"/>
              <w:jc w:val="right"/>
              <w:rPr>
                <w:sz w:val="20"/>
                <w:szCs w:val="20"/>
              </w:rPr>
            </w:pPr>
            <w:r w:rsidRPr="006B7451">
              <w:rPr>
                <w:sz w:val="20"/>
                <w:szCs w:val="20"/>
              </w:rPr>
              <w:t>+1</w:t>
            </w:r>
            <w:r w:rsidR="00093E5C">
              <w:rPr>
                <w:sz w:val="20"/>
                <w:szCs w:val="20"/>
              </w:rPr>
              <w:t xml:space="preserve"> </w:t>
            </w:r>
            <w:r w:rsidRPr="006B7451">
              <w:rPr>
                <w:sz w:val="20"/>
                <w:szCs w:val="20"/>
              </w:rPr>
              <w:t>070</w:t>
            </w:r>
          </w:p>
        </w:tc>
      </w:tr>
      <w:tr w:rsidRPr="006B7451" w:rsidR="007606E1" w:rsidTr="00093E5C" w14:paraId="0E27A695" w14:textId="77777777">
        <w:tc>
          <w:tcPr>
            <w:tcW w:w="2212" w:type="pct"/>
          </w:tcPr>
          <w:p w:rsidRPr="006B7451" w:rsidR="007606E1" w:rsidP="00093E5C" w:rsidRDefault="007606E1" w14:paraId="4A8503B9" w14:textId="77777777">
            <w:pPr>
              <w:spacing w:before="80" w:line="240" w:lineRule="exact"/>
              <w:ind w:firstLine="0"/>
              <w:rPr>
                <w:sz w:val="20"/>
                <w:szCs w:val="20"/>
              </w:rPr>
            </w:pPr>
            <w:r w:rsidRPr="006B7451">
              <w:rPr>
                <w:sz w:val="20"/>
                <w:szCs w:val="20"/>
              </w:rPr>
              <w:t>Garantipension</w:t>
            </w:r>
          </w:p>
        </w:tc>
        <w:tc>
          <w:tcPr>
            <w:tcW w:w="1444" w:type="pct"/>
          </w:tcPr>
          <w:p w:rsidRPr="006B7451" w:rsidR="007606E1" w:rsidP="00093E5C" w:rsidRDefault="007606E1" w14:paraId="6BECB908" w14:textId="77777777">
            <w:pPr>
              <w:spacing w:before="80" w:line="240" w:lineRule="exact"/>
              <w:jc w:val="right"/>
              <w:rPr>
                <w:sz w:val="20"/>
                <w:szCs w:val="20"/>
              </w:rPr>
            </w:pPr>
            <w:r w:rsidRPr="006B7451">
              <w:rPr>
                <w:sz w:val="20"/>
                <w:szCs w:val="20"/>
              </w:rPr>
              <w:t>0</w:t>
            </w:r>
          </w:p>
        </w:tc>
        <w:tc>
          <w:tcPr>
            <w:tcW w:w="1344" w:type="pct"/>
          </w:tcPr>
          <w:p w:rsidRPr="006B7451" w:rsidR="007606E1" w:rsidP="00093E5C" w:rsidRDefault="007606E1" w14:paraId="7383462A" w14:textId="77777777">
            <w:pPr>
              <w:spacing w:before="80" w:line="240" w:lineRule="exact"/>
              <w:jc w:val="right"/>
              <w:rPr>
                <w:sz w:val="20"/>
                <w:szCs w:val="20"/>
              </w:rPr>
            </w:pPr>
            <w:r w:rsidRPr="006B7451">
              <w:rPr>
                <w:sz w:val="20"/>
                <w:szCs w:val="20"/>
              </w:rPr>
              <w:t>0</w:t>
            </w:r>
          </w:p>
        </w:tc>
      </w:tr>
      <w:tr w:rsidRPr="006B7451" w:rsidR="007606E1" w:rsidTr="00093E5C" w14:paraId="21198140" w14:textId="77777777">
        <w:tc>
          <w:tcPr>
            <w:tcW w:w="2212" w:type="pct"/>
          </w:tcPr>
          <w:p w:rsidRPr="006B7451" w:rsidR="007606E1" w:rsidP="00093E5C" w:rsidRDefault="007606E1" w14:paraId="222E5635" w14:textId="77777777">
            <w:pPr>
              <w:spacing w:before="80" w:line="240" w:lineRule="exact"/>
              <w:ind w:firstLine="0"/>
              <w:rPr>
                <w:sz w:val="20"/>
                <w:szCs w:val="20"/>
              </w:rPr>
            </w:pPr>
            <w:r w:rsidRPr="006B7451">
              <w:rPr>
                <w:sz w:val="20"/>
                <w:szCs w:val="20"/>
              </w:rPr>
              <w:t>Bostadstillägg</w:t>
            </w:r>
          </w:p>
        </w:tc>
        <w:tc>
          <w:tcPr>
            <w:tcW w:w="1444" w:type="pct"/>
          </w:tcPr>
          <w:p w:rsidRPr="006B7451" w:rsidR="007606E1" w:rsidP="00093E5C" w:rsidRDefault="007606E1" w14:paraId="66ADEBF2" w14:textId="77777777">
            <w:pPr>
              <w:spacing w:before="80" w:line="240" w:lineRule="exact"/>
              <w:jc w:val="right"/>
              <w:rPr>
                <w:sz w:val="20"/>
                <w:szCs w:val="20"/>
              </w:rPr>
            </w:pPr>
            <w:r w:rsidRPr="006B7451">
              <w:rPr>
                <w:sz w:val="20"/>
                <w:szCs w:val="20"/>
              </w:rPr>
              <w:t>0</w:t>
            </w:r>
          </w:p>
        </w:tc>
        <w:tc>
          <w:tcPr>
            <w:tcW w:w="1344" w:type="pct"/>
          </w:tcPr>
          <w:p w:rsidRPr="006B7451" w:rsidR="007606E1" w:rsidP="00093E5C" w:rsidRDefault="007606E1" w14:paraId="394181B3" w14:textId="77777777">
            <w:pPr>
              <w:spacing w:before="80" w:line="240" w:lineRule="exact"/>
              <w:jc w:val="right"/>
              <w:rPr>
                <w:sz w:val="20"/>
                <w:szCs w:val="20"/>
              </w:rPr>
            </w:pPr>
            <w:r w:rsidRPr="006B7451">
              <w:rPr>
                <w:sz w:val="20"/>
                <w:szCs w:val="20"/>
              </w:rPr>
              <w:t>0</w:t>
            </w:r>
          </w:p>
        </w:tc>
      </w:tr>
      <w:tr w:rsidRPr="00F334C8" w:rsidR="007606E1" w:rsidTr="00093E5C" w14:paraId="6D256F81" w14:textId="77777777">
        <w:tc>
          <w:tcPr>
            <w:tcW w:w="2212" w:type="pct"/>
            <w:tcBorders>
              <w:bottom w:val="single" w:color="auto" w:sz="4" w:space="0"/>
            </w:tcBorders>
          </w:tcPr>
          <w:p w:rsidRPr="00F334C8" w:rsidR="007606E1" w:rsidP="00093E5C" w:rsidRDefault="007606E1" w14:paraId="6A804A31" w14:textId="77777777">
            <w:pPr>
              <w:spacing w:before="80" w:line="240" w:lineRule="exact"/>
              <w:ind w:firstLine="0"/>
              <w:rPr>
                <w:b/>
                <w:bCs/>
                <w:sz w:val="20"/>
                <w:szCs w:val="20"/>
              </w:rPr>
            </w:pPr>
            <w:r w:rsidRPr="00F334C8">
              <w:rPr>
                <w:b/>
                <w:bCs/>
                <w:sz w:val="20"/>
                <w:szCs w:val="20"/>
              </w:rPr>
              <w:t>Summa</w:t>
            </w:r>
          </w:p>
        </w:tc>
        <w:tc>
          <w:tcPr>
            <w:tcW w:w="1444" w:type="pct"/>
            <w:tcBorders>
              <w:bottom w:val="single" w:color="auto" w:sz="4" w:space="0"/>
            </w:tcBorders>
          </w:tcPr>
          <w:p w:rsidRPr="00F334C8" w:rsidR="007606E1" w:rsidP="00093E5C" w:rsidRDefault="007606E1" w14:paraId="56AB20C0" w14:textId="77777777">
            <w:pPr>
              <w:spacing w:before="80" w:line="240" w:lineRule="exact"/>
              <w:jc w:val="right"/>
              <w:rPr>
                <w:b/>
                <w:bCs/>
                <w:sz w:val="20"/>
                <w:szCs w:val="20"/>
              </w:rPr>
            </w:pPr>
            <w:r w:rsidRPr="00F334C8">
              <w:rPr>
                <w:b/>
                <w:bCs/>
                <w:sz w:val="20"/>
                <w:szCs w:val="20"/>
              </w:rPr>
              <w:t>+810</w:t>
            </w:r>
          </w:p>
        </w:tc>
        <w:tc>
          <w:tcPr>
            <w:tcW w:w="1344" w:type="pct"/>
            <w:tcBorders>
              <w:bottom w:val="single" w:color="auto" w:sz="4" w:space="0"/>
            </w:tcBorders>
          </w:tcPr>
          <w:p w:rsidRPr="00F334C8" w:rsidR="007606E1" w:rsidP="00093E5C" w:rsidRDefault="007606E1" w14:paraId="7E14559D" w14:textId="270E7EE7">
            <w:pPr>
              <w:spacing w:before="80" w:line="240" w:lineRule="exact"/>
              <w:jc w:val="right"/>
              <w:rPr>
                <w:b/>
                <w:bCs/>
                <w:sz w:val="20"/>
                <w:szCs w:val="20"/>
              </w:rPr>
            </w:pPr>
            <w:r w:rsidRPr="00F334C8">
              <w:rPr>
                <w:b/>
                <w:bCs/>
                <w:sz w:val="20"/>
                <w:szCs w:val="20"/>
              </w:rPr>
              <w:t>+1</w:t>
            </w:r>
            <w:r w:rsidRPr="00F334C8" w:rsidR="00093E5C">
              <w:rPr>
                <w:b/>
                <w:bCs/>
                <w:sz w:val="20"/>
                <w:szCs w:val="20"/>
              </w:rPr>
              <w:t xml:space="preserve"> </w:t>
            </w:r>
            <w:r w:rsidRPr="00F334C8">
              <w:rPr>
                <w:b/>
                <w:bCs/>
                <w:sz w:val="20"/>
                <w:szCs w:val="20"/>
              </w:rPr>
              <w:t>070</w:t>
            </w:r>
          </w:p>
        </w:tc>
      </w:tr>
    </w:tbl>
    <w:p w:rsidR="00B3656C" w:rsidP="004C59C9" w:rsidRDefault="00B3656C" w14:paraId="0A1CA49C" w14:textId="77777777">
      <w:pPr>
        <w:pStyle w:val="Normalutanindragellerluft"/>
      </w:pPr>
    </w:p>
    <w:p w:rsidR="00B3656C" w:rsidP="00A013CF" w:rsidRDefault="00B3656C" w14:paraId="46B8E8D1" w14:textId="77777777">
      <w:pPr>
        <w:pStyle w:val="Normalutanindragellerluft"/>
      </w:pPr>
      <w:r>
        <w:br w:type="page"/>
      </w:r>
    </w:p>
    <w:p w:rsidRPr="006B7451" w:rsidR="007606E1" w:rsidP="00F74926" w:rsidRDefault="007606E1" w14:paraId="65598D3C" w14:textId="07E3BC3B">
      <w:pPr>
        <w:pStyle w:val="Rubrik3"/>
      </w:pPr>
      <w:bookmarkStart w:name="_Toc121752589" w:id="80"/>
      <w:r w:rsidRPr="006B7451">
        <w:lastRenderedPageBreak/>
        <w:t>Offentligfinansiell effekt</w:t>
      </w:r>
      <w:bookmarkEnd w:id="80"/>
    </w:p>
    <w:p w:rsidRPr="007F7B99" w:rsidR="006A15B9" w:rsidP="00A013CF" w:rsidRDefault="006A15B9" w14:paraId="378C3055" w14:textId="7F8B31C3">
      <w:pPr>
        <w:pStyle w:val="Tabellrubrik"/>
        <w:keepNext/>
      </w:pPr>
      <w:r w:rsidRPr="007F7B99">
        <w:t xml:space="preserve">Tabell </w:t>
      </w:r>
      <w:r w:rsidR="007F7B99">
        <w:t>14</w:t>
      </w:r>
      <w:r w:rsidRPr="007F7B99">
        <w:t xml:space="preserve"> Offentligfinansiell effekt av höjda pensionsavsättningar</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759"/>
        <w:gridCol w:w="1310"/>
        <w:gridCol w:w="1145"/>
        <w:gridCol w:w="1145"/>
        <w:gridCol w:w="1145"/>
      </w:tblGrid>
      <w:tr w:rsidRPr="006B7451" w:rsidR="006A15B9" w:rsidTr="007139CE" w14:paraId="4DFD9993" w14:textId="77777777">
        <w:trPr>
          <w:cantSplit/>
        </w:trPr>
        <w:tc>
          <w:tcPr>
            <w:tcW w:w="2210" w:type="pct"/>
            <w:tcBorders>
              <w:top w:val="single" w:color="auto" w:sz="4" w:space="0"/>
              <w:bottom w:val="single" w:color="auto" w:sz="4" w:space="0"/>
            </w:tcBorders>
          </w:tcPr>
          <w:p w:rsidRPr="006B7451" w:rsidR="006A15B9" w:rsidP="007139CE" w:rsidRDefault="006A15B9" w14:paraId="1826F82F" w14:textId="77777777">
            <w:pPr>
              <w:spacing w:before="80" w:line="240" w:lineRule="exact"/>
              <w:rPr>
                <w:sz w:val="20"/>
                <w:szCs w:val="20"/>
              </w:rPr>
            </w:pPr>
            <w:r w:rsidRPr="006B7451">
              <w:rPr>
                <w:sz w:val="20"/>
                <w:szCs w:val="20"/>
              </w:rPr>
              <w:br w:type="column"/>
            </w:r>
          </w:p>
        </w:tc>
        <w:tc>
          <w:tcPr>
            <w:tcW w:w="770" w:type="pct"/>
            <w:tcBorders>
              <w:top w:val="single" w:color="auto" w:sz="4" w:space="0"/>
              <w:bottom w:val="single" w:color="auto" w:sz="4" w:space="0"/>
            </w:tcBorders>
          </w:tcPr>
          <w:p w:rsidRPr="006B7451" w:rsidR="006A15B9" w:rsidP="007139CE" w:rsidRDefault="006A15B9" w14:paraId="2A0BEB9B" w14:textId="7C4AC10D">
            <w:pPr>
              <w:spacing w:before="80" w:line="240" w:lineRule="exact"/>
              <w:jc w:val="right"/>
              <w:rPr>
                <w:b/>
                <w:sz w:val="20"/>
                <w:szCs w:val="20"/>
              </w:rPr>
            </w:pPr>
            <w:r w:rsidRPr="006B7451">
              <w:rPr>
                <w:b/>
                <w:sz w:val="20"/>
                <w:szCs w:val="20"/>
              </w:rPr>
              <w:t>2</w:t>
            </w:r>
            <w:r w:rsidRPr="006B7451" w:rsidR="0006666B">
              <w:rPr>
                <w:b/>
                <w:sz w:val="20"/>
                <w:szCs w:val="20"/>
              </w:rPr>
              <w:t>0</w:t>
            </w:r>
            <w:r w:rsidRPr="006B7451">
              <w:rPr>
                <w:b/>
                <w:sz w:val="20"/>
                <w:szCs w:val="20"/>
              </w:rPr>
              <w:t>22</w:t>
            </w:r>
          </w:p>
        </w:tc>
        <w:tc>
          <w:tcPr>
            <w:tcW w:w="673" w:type="pct"/>
            <w:tcBorders>
              <w:top w:val="single" w:color="auto" w:sz="4" w:space="0"/>
              <w:bottom w:val="single" w:color="auto" w:sz="4" w:space="0"/>
            </w:tcBorders>
          </w:tcPr>
          <w:p w:rsidRPr="006B7451" w:rsidR="006A15B9" w:rsidP="007139CE" w:rsidRDefault="006A15B9" w14:paraId="265A6C8E" w14:textId="77777777">
            <w:pPr>
              <w:spacing w:before="80" w:line="240" w:lineRule="exact"/>
              <w:jc w:val="right"/>
              <w:rPr>
                <w:b/>
                <w:sz w:val="20"/>
                <w:szCs w:val="20"/>
              </w:rPr>
            </w:pPr>
            <w:r w:rsidRPr="006B7451">
              <w:rPr>
                <w:b/>
                <w:sz w:val="20"/>
                <w:szCs w:val="20"/>
              </w:rPr>
              <w:t>2023</w:t>
            </w:r>
          </w:p>
        </w:tc>
        <w:tc>
          <w:tcPr>
            <w:tcW w:w="673" w:type="pct"/>
            <w:tcBorders>
              <w:top w:val="single" w:color="auto" w:sz="4" w:space="0"/>
              <w:bottom w:val="single" w:color="auto" w:sz="4" w:space="0"/>
            </w:tcBorders>
          </w:tcPr>
          <w:p w:rsidRPr="006B7451" w:rsidR="006A15B9" w:rsidP="007139CE" w:rsidRDefault="006A15B9" w14:paraId="760355DB" w14:textId="77777777">
            <w:pPr>
              <w:spacing w:before="80" w:line="240" w:lineRule="exact"/>
              <w:jc w:val="right"/>
              <w:rPr>
                <w:b/>
                <w:sz w:val="20"/>
                <w:szCs w:val="20"/>
              </w:rPr>
            </w:pPr>
            <w:r w:rsidRPr="006B7451">
              <w:rPr>
                <w:b/>
                <w:sz w:val="20"/>
                <w:szCs w:val="20"/>
              </w:rPr>
              <w:t>2024</w:t>
            </w:r>
          </w:p>
        </w:tc>
        <w:tc>
          <w:tcPr>
            <w:tcW w:w="673" w:type="pct"/>
            <w:tcBorders>
              <w:top w:val="single" w:color="auto" w:sz="4" w:space="0"/>
              <w:bottom w:val="single" w:color="auto" w:sz="4" w:space="0"/>
            </w:tcBorders>
          </w:tcPr>
          <w:p w:rsidRPr="006B7451" w:rsidR="006A15B9" w:rsidP="007139CE" w:rsidRDefault="006A15B9" w14:paraId="79019D54" w14:textId="77777777">
            <w:pPr>
              <w:spacing w:before="80" w:line="240" w:lineRule="exact"/>
              <w:jc w:val="right"/>
              <w:rPr>
                <w:b/>
                <w:sz w:val="20"/>
                <w:szCs w:val="20"/>
              </w:rPr>
            </w:pPr>
            <w:r w:rsidRPr="006B7451">
              <w:rPr>
                <w:b/>
                <w:sz w:val="20"/>
                <w:szCs w:val="20"/>
              </w:rPr>
              <w:t>2025</w:t>
            </w:r>
          </w:p>
        </w:tc>
      </w:tr>
      <w:tr w:rsidRPr="006B7451" w:rsidR="006A15B9" w:rsidTr="007139CE" w14:paraId="51B5D774" w14:textId="77777777">
        <w:trPr>
          <w:cantSplit/>
        </w:trPr>
        <w:tc>
          <w:tcPr>
            <w:tcW w:w="2210" w:type="pct"/>
            <w:tcBorders>
              <w:top w:val="single" w:color="auto" w:sz="4" w:space="0"/>
            </w:tcBorders>
          </w:tcPr>
          <w:p w:rsidRPr="006B7451" w:rsidR="006A15B9" w:rsidP="007139CE" w:rsidRDefault="006A15B9" w14:paraId="14F97233" w14:textId="77777777">
            <w:pPr>
              <w:spacing w:before="80" w:line="240" w:lineRule="exact"/>
              <w:ind w:firstLine="0"/>
              <w:rPr>
                <w:b/>
                <w:sz w:val="20"/>
                <w:szCs w:val="20"/>
              </w:rPr>
            </w:pPr>
            <w:r w:rsidRPr="006B7451">
              <w:rPr>
                <w:b/>
                <w:sz w:val="20"/>
                <w:szCs w:val="20"/>
              </w:rPr>
              <w:t>Staten</w:t>
            </w:r>
          </w:p>
        </w:tc>
        <w:tc>
          <w:tcPr>
            <w:tcW w:w="770" w:type="pct"/>
            <w:tcBorders>
              <w:top w:val="single" w:color="auto" w:sz="4" w:space="0"/>
            </w:tcBorders>
          </w:tcPr>
          <w:p w:rsidRPr="006B7451" w:rsidR="006A15B9" w:rsidP="007139CE" w:rsidRDefault="006A15B9" w14:paraId="409EC12E" w14:textId="77777777">
            <w:pPr>
              <w:spacing w:before="80" w:line="240" w:lineRule="exact"/>
              <w:jc w:val="right"/>
              <w:rPr>
                <w:sz w:val="20"/>
                <w:szCs w:val="20"/>
              </w:rPr>
            </w:pPr>
          </w:p>
        </w:tc>
        <w:tc>
          <w:tcPr>
            <w:tcW w:w="673" w:type="pct"/>
            <w:tcBorders>
              <w:top w:val="single" w:color="auto" w:sz="4" w:space="0"/>
            </w:tcBorders>
          </w:tcPr>
          <w:p w:rsidRPr="006B7451" w:rsidR="006A15B9" w:rsidP="007139CE" w:rsidRDefault="006A15B9" w14:paraId="2565D376" w14:textId="77777777">
            <w:pPr>
              <w:spacing w:before="80" w:line="240" w:lineRule="exact"/>
              <w:jc w:val="right"/>
              <w:rPr>
                <w:sz w:val="20"/>
                <w:szCs w:val="20"/>
              </w:rPr>
            </w:pPr>
          </w:p>
        </w:tc>
        <w:tc>
          <w:tcPr>
            <w:tcW w:w="673" w:type="pct"/>
            <w:tcBorders>
              <w:top w:val="single" w:color="auto" w:sz="4" w:space="0"/>
            </w:tcBorders>
          </w:tcPr>
          <w:p w:rsidRPr="006B7451" w:rsidR="006A15B9" w:rsidP="007139CE" w:rsidRDefault="007139CE" w14:paraId="4E6E0FDC" w14:textId="1D8DF0FC">
            <w:pPr>
              <w:spacing w:before="80" w:line="240" w:lineRule="exact"/>
              <w:jc w:val="right"/>
              <w:rPr>
                <w:b/>
                <w:sz w:val="20"/>
                <w:szCs w:val="20"/>
              </w:rPr>
            </w:pPr>
            <w:r>
              <w:rPr>
                <w:b/>
                <w:sz w:val="20"/>
                <w:szCs w:val="20"/>
              </w:rPr>
              <w:t>–</w:t>
            </w:r>
            <w:r w:rsidRPr="006B7451" w:rsidR="006A15B9">
              <w:rPr>
                <w:b/>
                <w:sz w:val="20"/>
                <w:szCs w:val="20"/>
              </w:rPr>
              <w:t>23,8</w:t>
            </w:r>
          </w:p>
        </w:tc>
        <w:tc>
          <w:tcPr>
            <w:tcW w:w="673" w:type="pct"/>
            <w:tcBorders>
              <w:top w:val="single" w:color="auto" w:sz="4" w:space="0"/>
            </w:tcBorders>
          </w:tcPr>
          <w:p w:rsidRPr="006B7451" w:rsidR="006A15B9" w:rsidP="007139CE" w:rsidRDefault="006A15B9" w14:paraId="6F635B63" w14:textId="77777777">
            <w:pPr>
              <w:spacing w:before="80" w:line="240" w:lineRule="exact"/>
              <w:jc w:val="right"/>
              <w:rPr>
                <w:b/>
                <w:sz w:val="20"/>
                <w:szCs w:val="20"/>
              </w:rPr>
            </w:pPr>
            <w:r w:rsidRPr="006B7451">
              <w:rPr>
                <w:b/>
                <w:sz w:val="20"/>
                <w:szCs w:val="20"/>
              </w:rPr>
              <w:t>-26,2</w:t>
            </w:r>
          </w:p>
        </w:tc>
      </w:tr>
      <w:tr w:rsidRPr="006B7451" w:rsidR="006A15B9" w:rsidTr="007139CE" w14:paraId="484AFD2E" w14:textId="77777777">
        <w:trPr>
          <w:cantSplit/>
        </w:trPr>
        <w:tc>
          <w:tcPr>
            <w:tcW w:w="2210" w:type="pct"/>
            <w:vAlign w:val="center"/>
          </w:tcPr>
          <w:p w:rsidRPr="006B7451" w:rsidR="006A15B9" w:rsidP="007139CE" w:rsidRDefault="006A15B9" w14:paraId="48176BF6" w14:textId="77777777">
            <w:pPr>
              <w:spacing w:before="80" w:line="240" w:lineRule="exact"/>
              <w:ind w:firstLine="0"/>
              <w:rPr>
                <w:sz w:val="20"/>
                <w:szCs w:val="20"/>
              </w:rPr>
            </w:pPr>
            <w:r w:rsidRPr="006B7451">
              <w:rPr>
                <w:sz w:val="20"/>
                <w:szCs w:val="20"/>
              </w:rPr>
              <w:t>Varav skattereduktion pensionsavgift</w:t>
            </w:r>
          </w:p>
        </w:tc>
        <w:tc>
          <w:tcPr>
            <w:tcW w:w="770" w:type="pct"/>
          </w:tcPr>
          <w:p w:rsidRPr="006B7451" w:rsidR="006A15B9" w:rsidP="007139CE" w:rsidRDefault="006A15B9" w14:paraId="459588A5" w14:textId="77777777">
            <w:pPr>
              <w:spacing w:before="80" w:line="240" w:lineRule="exact"/>
              <w:jc w:val="right"/>
              <w:rPr>
                <w:sz w:val="20"/>
                <w:szCs w:val="20"/>
              </w:rPr>
            </w:pPr>
          </w:p>
        </w:tc>
        <w:tc>
          <w:tcPr>
            <w:tcW w:w="673" w:type="pct"/>
          </w:tcPr>
          <w:p w:rsidRPr="006B7451" w:rsidR="006A15B9" w:rsidP="007139CE" w:rsidRDefault="006A15B9" w14:paraId="14A7F856" w14:textId="77777777">
            <w:pPr>
              <w:spacing w:before="80" w:line="240" w:lineRule="exact"/>
              <w:jc w:val="right"/>
              <w:rPr>
                <w:sz w:val="20"/>
                <w:szCs w:val="20"/>
              </w:rPr>
            </w:pPr>
          </w:p>
        </w:tc>
        <w:tc>
          <w:tcPr>
            <w:tcW w:w="673" w:type="pct"/>
          </w:tcPr>
          <w:p w:rsidRPr="006B7451" w:rsidR="006A15B9" w:rsidP="007139CE" w:rsidRDefault="006A15B9" w14:paraId="0AEEBF48" w14:textId="77777777">
            <w:pPr>
              <w:spacing w:before="80" w:line="240" w:lineRule="exact"/>
              <w:jc w:val="right"/>
              <w:rPr>
                <w:sz w:val="20"/>
                <w:szCs w:val="20"/>
              </w:rPr>
            </w:pPr>
            <w:r w:rsidRPr="006B7451">
              <w:rPr>
                <w:sz w:val="20"/>
                <w:szCs w:val="20"/>
              </w:rPr>
              <w:t>139,7</w:t>
            </w:r>
          </w:p>
        </w:tc>
        <w:tc>
          <w:tcPr>
            <w:tcW w:w="673" w:type="pct"/>
          </w:tcPr>
          <w:p w:rsidRPr="006B7451" w:rsidR="006A15B9" w:rsidP="007139CE" w:rsidRDefault="006A15B9" w14:paraId="042CDDF0" w14:textId="77777777">
            <w:pPr>
              <w:spacing w:before="80" w:line="240" w:lineRule="exact"/>
              <w:jc w:val="right"/>
              <w:rPr>
                <w:sz w:val="20"/>
                <w:szCs w:val="20"/>
              </w:rPr>
            </w:pPr>
            <w:r w:rsidRPr="006B7451">
              <w:rPr>
                <w:sz w:val="20"/>
                <w:szCs w:val="20"/>
              </w:rPr>
              <w:t>145,5</w:t>
            </w:r>
          </w:p>
        </w:tc>
      </w:tr>
      <w:tr w:rsidRPr="006B7451" w:rsidR="006A15B9" w:rsidTr="007139CE" w14:paraId="3FBC4777" w14:textId="77777777">
        <w:trPr>
          <w:cantSplit/>
        </w:trPr>
        <w:tc>
          <w:tcPr>
            <w:tcW w:w="2210" w:type="pct"/>
            <w:vAlign w:val="center"/>
          </w:tcPr>
          <w:p w:rsidRPr="006B7451" w:rsidR="006A15B9" w:rsidP="007139CE" w:rsidRDefault="0006666B" w14:paraId="7FDFA200" w14:textId="4C9CDC70">
            <w:pPr>
              <w:spacing w:before="80" w:line="240" w:lineRule="exact"/>
              <w:ind w:firstLine="0"/>
              <w:rPr>
                <w:sz w:val="20"/>
                <w:szCs w:val="20"/>
              </w:rPr>
            </w:pPr>
            <w:r w:rsidRPr="006B7451">
              <w:rPr>
                <w:sz w:val="20"/>
                <w:szCs w:val="20"/>
              </w:rPr>
              <w:t>V</w:t>
            </w:r>
            <w:r w:rsidRPr="006B7451" w:rsidR="006A15B9">
              <w:rPr>
                <w:sz w:val="20"/>
                <w:szCs w:val="20"/>
              </w:rPr>
              <w:t>arav allmän löneavgift</w:t>
            </w:r>
          </w:p>
        </w:tc>
        <w:tc>
          <w:tcPr>
            <w:tcW w:w="770" w:type="pct"/>
          </w:tcPr>
          <w:p w:rsidRPr="006B7451" w:rsidR="006A15B9" w:rsidP="007139CE" w:rsidRDefault="006A15B9" w14:paraId="4156E777" w14:textId="77777777">
            <w:pPr>
              <w:spacing w:before="80" w:line="240" w:lineRule="exact"/>
              <w:jc w:val="right"/>
              <w:rPr>
                <w:sz w:val="20"/>
                <w:szCs w:val="20"/>
              </w:rPr>
            </w:pPr>
          </w:p>
        </w:tc>
        <w:tc>
          <w:tcPr>
            <w:tcW w:w="673" w:type="pct"/>
          </w:tcPr>
          <w:p w:rsidRPr="006B7451" w:rsidR="006A15B9" w:rsidP="007139CE" w:rsidRDefault="006A15B9" w14:paraId="3DFA97AC" w14:textId="77777777">
            <w:pPr>
              <w:spacing w:before="80" w:line="240" w:lineRule="exact"/>
              <w:jc w:val="right"/>
              <w:rPr>
                <w:sz w:val="20"/>
                <w:szCs w:val="20"/>
              </w:rPr>
            </w:pPr>
          </w:p>
        </w:tc>
        <w:tc>
          <w:tcPr>
            <w:tcW w:w="673" w:type="pct"/>
          </w:tcPr>
          <w:p w:rsidRPr="006B7451" w:rsidR="006A15B9" w:rsidP="007139CE" w:rsidRDefault="007139CE" w14:paraId="51997A59" w14:textId="31CDE7BB">
            <w:pPr>
              <w:spacing w:before="80" w:line="240" w:lineRule="exact"/>
              <w:jc w:val="right"/>
              <w:rPr>
                <w:sz w:val="20"/>
                <w:szCs w:val="20"/>
              </w:rPr>
            </w:pPr>
            <w:r>
              <w:rPr>
                <w:sz w:val="20"/>
                <w:szCs w:val="20"/>
              </w:rPr>
              <w:t>–</w:t>
            </w:r>
            <w:r w:rsidRPr="006B7451" w:rsidR="006A15B9">
              <w:rPr>
                <w:sz w:val="20"/>
                <w:szCs w:val="20"/>
              </w:rPr>
              <w:t>167</w:t>
            </w:r>
          </w:p>
        </w:tc>
        <w:tc>
          <w:tcPr>
            <w:tcW w:w="673" w:type="pct"/>
          </w:tcPr>
          <w:p w:rsidRPr="006B7451" w:rsidR="006A15B9" w:rsidP="007139CE" w:rsidRDefault="007139CE" w14:paraId="07F79282" w14:textId="5847E026">
            <w:pPr>
              <w:spacing w:before="80" w:line="240" w:lineRule="exact"/>
              <w:jc w:val="right"/>
              <w:rPr>
                <w:sz w:val="20"/>
                <w:szCs w:val="20"/>
              </w:rPr>
            </w:pPr>
            <w:r>
              <w:rPr>
                <w:sz w:val="20"/>
                <w:szCs w:val="20"/>
              </w:rPr>
              <w:t>–</w:t>
            </w:r>
            <w:r w:rsidRPr="006B7451" w:rsidR="006A15B9">
              <w:rPr>
                <w:sz w:val="20"/>
                <w:szCs w:val="20"/>
              </w:rPr>
              <w:t>174</w:t>
            </w:r>
          </w:p>
        </w:tc>
      </w:tr>
      <w:tr w:rsidRPr="006B7451" w:rsidR="006A15B9" w:rsidTr="007139CE" w14:paraId="6FC2B040" w14:textId="77777777">
        <w:trPr>
          <w:cantSplit/>
        </w:trPr>
        <w:tc>
          <w:tcPr>
            <w:tcW w:w="2210" w:type="pct"/>
            <w:vAlign w:val="center"/>
          </w:tcPr>
          <w:p w:rsidRPr="006B7451" w:rsidR="006A15B9" w:rsidP="007139CE" w:rsidRDefault="006A15B9" w14:paraId="350E6996" w14:textId="77777777">
            <w:pPr>
              <w:spacing w:before="80" w:line="240" w:lineRule="exact"/>
              <w:ind w:firstLine="0"/>
              <w:rPr>
                <w:sz w:val="20"/>
                <w:szCs w:val="20"/>
              </w:rPr>
            </w:pPr>
            <w:r w:rsidRPr="006B7451">
              <w:rPr>
                <w:sz w:val="20"/>
                <w:szCs w:val="20"/>
              </w:rPr>
              <w:t>Varav socialförsäkringar</w:t>
            </w:r>
          </w:p>
        </w:tc>
        <w:tc>
          <w:tcPr>
            <w:tcW w:w="770" w:type="pct"/>
          </w:tcPr>
          <w:p w:rsidRPr="006B7451" w:rsidR="006A15B9" w:rsidP="007139CE" w:rsidRDefault="006A15B9" w14:paraId="04F572AB" w14:textId="77777777">
            <w:pPr>
              <w:spacing w:before="80" w:line="240" w:lineRule="exact"/>
              <w:jc w:val="right"/>
              <w:rPr>
                <w:sz w:val="20"/>
                <w:szCs w:val="20"/>
              </w:rPr>
            </w:pPr>
          </w:p>
        </w:tc>
        <w:tc>
          <w:tcPr>
            <w:tcW w:w="673" w:type="pct"/>
          </w:tcPr>
          <w:p w:rsidRPr="006B7451" w:rsidR="006A15B9" w:rsidP="007139CE" w:rsidRDefault="006A15B9" w14:paraId="573CAF0F" w14:textId="77777777">
            <w:pPr>
              <w:spacing w:before="80" w:line="240" w:lineRule="exact"/>
              <w:jc w:val="right"/>
              <w:rPr>
                <w:sz w:val="20"/>
                <w:szCs w:val="20"/>
              </w:rPr>
            </w:pPr>
          </w:p>
        </w:tc>
        <w:tc>
          <w:tcPr>
            <w:tcW w:w="673" w:type="pct"/>
          </w:tcPr>
          <w:p w:rsidRPr="006B7451" w:rsidR="006A15B9" w:rsidP="007139CE" w:rsidRDefault="007139CE" w14:paraId="4E14C158" w14:textId="784EFA08">
            <w:pPr>
              <w:spacing w:before="80" w:line="240" w:lineRule="exact"/>
              <w:jc w:val="right"/>
              <w:rPr>
                <w:sz w:val="20"/>
                <w:szCs w:val="20"/>
              </w:rPr>
            </w:pPr>
            <w:r>
              <w:rPr>
                <w:sz w:val="20"/>
                <w:szCs w:val="20"/>
              </w:rPr>
              <w:t>–</w:t>
            </w:r>
            <w:r w:rsidRPr="006B7451" w:rsidR="006A15B9">
              <w:rPr>
                <w:sz w:val="20"/>
                <w:szCs w:val="20"/>
              </w:rPr>
              <w:t>9,3</w:t>
            </w:r>
          </w:p>
        </w:tc>
        <w:tc>
          <w:tcPr>
            <w:tcW w:w="673" w:type="pct"/>
          </w:tcPr>
          <w:p w:rsidRPr="006B7451" w:rsidR="006A15B9" w:rsidP="007139CE" w:rsidRDefault="007139CE" w14:paraId="0D4A2038" w14:textId="45F6F7BA">
            <w:pPr>
              <w:spacing w:before="80" w:line="240" w:lineRule="exact"/>
              <w:jc w:val="right"/>
              <w:rPr>
                <w:sz w:val="20"/>
                <w:szCs w:val="20"/>
              </w:rPr>
            </w:pPr>
            <w:r>
              <w:rPr>
                <w:sz w:val="20"/>
                <w:szCs w:val="20"/>
              </w:rPr>
              <w:t>–</w:t>
            </w:r>
            <w:r w:rsidRPr="006B7451" w:rsidR="006A15B9">
              <w:rPr>
                <w:sz w:val="20"/>
                <w:szCs w:val="20"/>
              </w:rPr>
              <w:t>9,1</w:t>
            </w:r>
          </w:p>
        </w:tc>
      </w:tr>
      <w:tr w:rsidRPr="006B7451" w:rsidR="006A15B9" w:rsidTr="007139CE" w14:paraId="1ABCA386" w14:textId="77777777">
        <w:trPr>
          <w:cantSplit/>
        </w:trPr>
        <w:tc>
          <w:tcPr>
            <w:tcW w:w="2210" w:type="pct"/>
            <w:vAlign w:val="center"/>
          </w:tcPr>
          <w:p w:rsidRPr="006B7451" w:rsidR="006A15B9" w:rsidP="007139CE" w:rsidRDefault="006A15B9" w14:paraId="1AF07207" w14:textId="77777777">
            <w:pPr>
              <w:spacing w:before="80" w:line="240" w:lineRule="exact"/>
              <w:ind w:firstLine="0"/>
              <w:rPr>
                <w:sz w:val="20"/>
                <w:szCs w:val="20"/>
              </w:rPr>
            </w:pPr>
            <w:r w:rsidRPr="006B7451">
              <w:rPr>
                <w:sz w:val="20"/>
                <w:szCs w:val="20"/>
              </w:rPr>
              <w:t>Varav ålderspensionsavgifter över taket</w:t>
            </w:r>
          </w:p>
        </w:tc>
        <w:tc>
          <w:tcPr>
            <w:tcW w:w="770" w:type="pct"/>
          </w:tcPr>
          <w:p w:rsidRPr="006B7451" w:rsidR="006A15B9" w:rsidP="007139CE" w:rsidRDefault="006A15B9" w14:paraId="155323E1" w14:textId="77777777">
            <w:pPr>
              <w:spacing w:before="80" w:line="240" w:lineRule="exact"/>
              <w:jc w:val="right"/>
              <w:rPr>
                <w:sz w:val="20"/>
                <w:szCs w:val="20"/>
              </w:rPr>
            </w:pPr>
          </w:p>
        </w:tc>
        <w:tc>
          <w:tcPr>
            <w:tcW w:w="673" w:type="pct"/>
          </w:tcPr>
          <w:p w:rsidRPr="006B7451" w:rsidR="006A15B9" w:rsidP="007139CE" w:rsidRDefault="006A15B9" w14:paraId="31941E18" w14:textId="77777777">
            <w:pPr>
              <w:spacing w:before="80" w:line="240" w:lineRule="exact"/>
              <w:jc w:val="right"/>
              <w:rPr>
                <w:sz w:val="20"/>
                <w:szCs w:val="20"/>
              </w:rPr>
            </w:pPr>
          </w:p>
        </w:tc>
        <w:tc>
          <w:tcPr>
            <w:tcW w:w="673" w:type="pct"/>
          </w:tcPr>
          <w:p w:rsidRPr="006B7451" w:rsidR="006A15B9" w:rsidP="007139CE" w:rsidRDefault="006A15B9" w14:paraId="1A5350C5" w14:textId="77777777">
            <w:pPr>
              <w:spacing w:before="80" w:line="240" w:lineRule="exact"/>
              <w:jc w:val="right"/>
              <w:rPr>
                <w:sz w:val="20"/>
                <w:szCs w:val="20"/>
              </w:rPr>
            </w:pPr>
            <w:r w:rsidRPr="006B7451">
              <w:rPr>
                <w:sz w:val="20"/>
                <w:szCs w:val="20"/>
              </w:rPr>
              <w:t>21</w:t>
            </w:r>
          </w:p>
        </w:tc>
        <w:tc>
          <w:tcPr>
            <w:tcW w:w="673" w:type="pct"/>
          </w:tcPr>
          <w:p w:rsidRPr="006B7451" w:rsidR="006A15B9" w:rsidP="007139CE" w:rsidRDefault="006A15B9" w14:paraId="094E4513" w14:textId="77777777">
            <w:pPr>
              <w:spacing w:before="80" w:line="240" w:lineRule="exact"/>
              <w:jc w:val="right"/>
              <w:rPr>
                <w:sz w:val="20"/>
                <w:szCs w:val="20"/>
              </w:rPr>
            </w:pPr>
            <w:r w:rsidRPr="006B7451">
              <w:rPr>
                <w:sz w:val="20"/>
                <w:szCs w:val="20"/>
              </w:rPr>
              <w:t>18,7</w:t>
            </w:r>
          </w:p>
        </w:tc>
      </w:tr>
      <w:tr w:rsidRPr="006B7451" w:rsidR="006A15B9" w:rsidTr="007139CE" w14:paraId="0427C363" w14:textId="77777777">
        <w:trPr>
          <w:cantSplit/>
        </w:trPr>
        <w:tc>
          <w:tcPr>
            <w:tcW w:w="2210" w:type="pct"/>
            <w:vAlign w:val="center"/>
          </w:tcPr>
          <w:p w:rsidRPr="006B7451" w:rsidR="006A15B9" w:rsidP="007139CE" w:rsidRDefault="006A15B9" w14:paraId="51DA194E" w14:textId="77777777">
            <w:pPr>
              <w:spacing w:before="80" w:line="240" w:lineRule="exact"/>
              <w:ind w:firstLine="0"/>
              <w:rPr>
                <w:sz w:val="20"/>
                <w:szCs w:val="20"/>
              </w:rPr>
            </w:pPr>
            <w:r w:rsidRPr="006B7451">
              <w:rPr>
                <w:sz w:val="20"/>
                <w:szCs w:val="20"/>
              </w:rPr>
              <w:t>Varav statlig inkomstskatt</w:t>
            </w:r>
          </w:p>
        </w:tc>
        <w:tc>
          <w:tcPr>
            <w:tcW w:w="770" w:type="pct"/>
          </w:tcPr>
          <w:p w:rsidRPr="006B7451" w:rsidR="006A15B9" w:rsidP="007139CE" w:rsidRDefault="006A15B9" w14:paraId="3709A612" w14:textId="77777777">
            <w:pPr>
              <w:spacing w:before="80" w:line="240" w:lineRule="exact"/>
              <w:jc w:val="right"/>
              <w:rPr>
                <w:sz w:val="20"/>
                <w:szCs w:val="20"/>
              </w:rPr>
            </w:pPr>
          </w:p>
        </w:tc>
        <w:tc>
          <w:tcPr>
            <w:tcW w:w="673" w:type="pct"/>
          </w:tcPr>
          <w:p w:rsidRPr="006B7451" w:rsidR="006A15B9" w:rsidP="007139CE" w:rsidRDefault="006A15B9" w14:paraId="0834C720" w14:textId="77777777">
            <w:pPr>
              <w:spacing w:before="80" w:line="240" w:lineRule="exact"/>
              <w:jc w:val="right"/>
              <w:rPr>
                <w:sz w:val="20"/>
                <w:szCs w:val="20"/>
              </w:rPr>
            </w:pPr>
          </w:p>
        </w:tc>
        <w:tc>
          <w:tcPr>
            <w:tcW w:w="673" w:type="pct"/>
          </w:tcPr>
          <w:p w:rsidRPr="006B7451" w:rsidR="006A15B9" w:rsidP="007139CE" w:rsidRDefault="006A15B9" w14:paraId="6BC7CE25" w14:textId="77777777">
            <w:pPr>
              <w:spacing w:before="80" w:line="240" w:lineRule="exact"/>
              <w:jc w:val="right"/>
              <w:rPr>
                <w:sz w:val="20"/>
                <w:szCs w:val="20"/>
              </w:rPr>
            </w:pPr>
            <w:r w:rsidRPr="006B7451">
              <w:rPr>
                <w:sz w:val="20"/>
                <w:szCs w:val="20"/>
              </w:rPr>
              <w:t>0</w:t>
            </w:r>
          </w:p>
        </w:tc>
        <w:tc>
          <w:tcPr>
            <w:tcW w:w="673" w:type="pct"/>
          </w:tcPr>
          <w:p w:rsidRPr="006B7451" w:rsidR="006A15B9" w:rsidP="007139CE" w:rsidRDefault="006A15B9" w14:paraId="6B3C5222" w14:textId="77777777">
            <w:pPr>
              <w:spacing w:before="80" w:line="240" w:lineRule="exact"/>
              <w:jc w:val="right"/>
              <w:rPr>
                <w:sz w:val="20"/>
                <w:szCs w:val="20"/>
              </w:rPr>
            </w:pPr>
            <w:r w:rsidRPr="006B7451">
              <w:rPr>
                <w:sz w:val="20"/>
                <w:szCs w:val="20"/>
              </w:rPr>
              <w:t>1,1</w:t>
            </w:r>
          </w:p>
        </w:tc>
      </w:tr>
      <w:tr w:rsidRPr="006B7451" w:rsidR="006A15B9" w:rsidTr="007139CE" w14:paraId="1E3F8AC4" w14:textId="77777777">
        <w:trPr>
          <w:cantSplit/>
        </w:trPr>
        <w:tc>
          <w:tcPr>
            <w:tcW w:w="2210" w:type="pct"/>
          </w:tcPr>
          <w:p w:rsidRPr="006B7451" w:rsidR="006A15B9" w:rsidP="007139CE" w:rsidRDefault="006A15B9" w14:paraId="047F6923" w14:textId="77777777">
            <w:pPr>
              <w:spacing w:before="80" w:line="240" w:lineRule="exact"/>
              <w:ind w:firstLine="0"/>
              <w:rPr>
                <w:b/>
                <w:sz w:val="20"/>
                <w:szCs w:val="20"/>
              </w:rPr>
            </w:pPr>
            <w:r w:rsidRPr="006B7451">
              <w:rPr>
                <w:b/>
                <w:sz w:val="20"/>
                <w:szCs w:val="20"/>
              </w:rPr>
              <w:t>Kommunerna</w:t>
            </w:r>
          </w:p>
        </w:tc>
        <w:tc>
          <w:tcPr>
            <w:tcW w:w="770" w:type="pct"/>
          </w:tcPr>
          <w:p w:rsidRPr="006B7451" w:rsidR="006A15B9" w:rsidP="007139CE" w:rsidRDefault="006A15B9" w14:paraId="26F111B9" w14:textId="77777777">
            <w:pPr>
              <w:spacing w:before="80" w:line="240" w:lineRule="exact"/>
              <w:jc w:val="right"/>
              <w:rPr>
                <w:sz w:val="20"/>
                <w:szCs w:val="20"/>
              </w:rPr>
            </w:pPr>
          </w:p>
        </w:tc>
        <w:tc>
          <w:tcPr>
            <w:tcW w:w="673" w:type="pct"/>
          </w:tcPr>
          <w:p w:rsidRPr="006B7451" w:rsidR="006A15B9" w:rsidP="007139CE" w:rsidRDefault="006A15B9" w14:paraId="0941ADEB" w14:textId="77777777">
            <w:pPr>
              <w:spacing w:before="80" w:line="240" w:lineRule="exact"/>
              <w:jc w:val="right"/>
              <w:rPr>
                <w:sz w:val="20"/>
                <w:szCs w:val="20"/>
              </w:rPr>
            </w:pPr>
          </w:p>
        </w:tc>
        <w:tc>
          <w:tcPr>
            <w:tcW w:w="673" w:type="pct"/>
          </w:tcPr>
          <w:p w:rsidRPr="006B7451" w:rsidR="006A15B9" w:rsidP="007139CE" w:rsidRDefault="007139CE" w14:paraId="37B9BD54" w14:textId="4D0EC358">
            <w:pPr>
              <w:spacing w:before="80" w:line="240" w:lineRule="exact"/>
              <w:jc w:val="right"/>
              <w:rPr>
                <w:b/>
                <w:sz w:val="20"/>
                <w:szCs w:val="20"/>
              </w:rPr>
            </w:pPr>
            <w:r>
              <w:rPr>
                <w:b/>
                <w:sz w:val="20"/>
                <w:szCs w:val="20"/>
              </w:rPr>
              <w:t>–</w:t>
            </w:r>
            <w:r w:rsidRPr="006B7451" w:rsidR="006A15B9">
              <w:rPr>
                <w:b/>
                <w:sz w:val="20"/>
                <w:szCs w:val="20"/>
              </w:rPr>
              <w:t>0,2</w:t>
            </w:r>
          </w:p>
        </w:tc>
        <w:tc>
          <w:tcPr>
            <w:tcW w:w="673" w:type="pct"/>
          </w:tcPr>
          <w:p w:rsidRPr="006B7451" w:rsidR="006A15B9" w:rsidP="007139CE" w:rsidRDefault="006A15B9" w14:paraId="6BA118C1" w14:textId="77777777">
            <w:pPr>
              <w:spacing w:before="80" w:line="240" w:lineRule="exact"/>
              <w:jc w:val="right"/>
              <w:rPr>
                <w:b/>
                <w:sz w:val="20"/>
                <w:szCs w:val="20"/>
              </w:rPr>
            </w:pPr>
            <w:r w:rsidRPr="006B7451">
              <w:rPr>
                <w:b/>
                <w:sz w:val="20"/>
                <w:szCs w:val="20"/>
              </w:rPr>
              <w:t>7,9</w:t>
            </w:r>
          </w:p>
        </w:tc>
      </w:tr>
      <w:tr w:rsidRPr="006B7451" w:rsidR="006A15B9" w:rsidTr="007139CE" w14:paraId="5DC9754C" w14:textId="77777777">
        <w:trPr>
          <w:cantSplit/>
        </w:trPr>
        <w:tc>
          <w:tcPr>
            <w:tcW w:w="2210" w:type="pct"/>
            <w:vAlign w:val="center"/>
          </w:tcPr>
          <w:p w:rsidRPr="006B7451" w:rsidR="006A15B9" w:rsidP="007139CE" w:rsidRDefault="006A15B9" w14:paraId="06BB555A" w14:textId="77777777">
            <w:pPr>
              <w:spacing w:before="80" w:line="240" w:lineRule="exact"/>
              <w:ind w:firstLine="0"/>
              <w:rPr>
                <w:sz w:val="20"/>
                <w:szCs w:val="20"/>
              </w:rPr>
            </w:pPr>
            <w:r w:rsidRPr="006B7451">
              <w:rPr>
                <w:sz w:val="20"/>
                <w:szCs w:val="20"/>
              </w:rPr>
              <w:t>Varav inkomstskatt</w:t>
            </w:r>
          </w:p>
        </w:tc>
        <w:tc>
          <w:tcPr>
            <w:tcW w:w="770" w:type="pct"/>
          </w:tcPr>
          <w:p w:rsidRPr="006B7451" w:rsidR="006A15B9" w:rsidP="007139CE" w:rsidRDefault="006A15B9" w14:paraId="5BC6107F" w14:textId="77777777">
            <w:pPr>
              <w:spacing w:before="80" w:line="240" w:lineRule="exact"/>
              <w:jc w:val="right"/>
              <w:rPr>
                <w:sz w:val="20"/>
                <w:szCs w:val="20"/>
              </w:rPr>
            </w:pPr>
          </w:p>
        </w:tc>
        <w:tc>
          <w:tcPr>
            <w:tcW w:w="673" w:type="pct"/>
          </w:tcPr>
          <w:p w:rsidRPr="006B7451" w:rsidR="006A15B9" w:rsidP="007139CE" w:rsidRDefault="006A15B9" w14:paraId="5873B7D2" w14:textId="77777777">
            <w:pPr>
              <w:spacing w:before="80" w:line="240" w:lineRule="exact"/>
              <w:jc w:val="right"/>
              <w:rPr>
                <w:sz w:val="20"/>
                <w:szCs w:val="20"/>
              </w:rPr>
            </w:pPr>
          </w:p>
        </w:tc>
        <w:tc>
          <w:tcPr>
            <w:tcW w:w="673" w:type="pct"/>
          </w:tcPr>
          <w:p w:rsidRPr="006B7451" w:rsidR="006A15B9" w:rsidP="007139CE" w:rsidRDefault="007139CE" w14:paraId="6A5FCB67" w14:textId="6D40A380">
            <w:pPr>
              <w:spacing w:before="80" w:line="240" w:lineRule="exact"/>
              <w:jc w:val="right"/>
              <w:rPr>
                <w:sz w:val="20"/>
                <w:szCs w:val="20"/>
              </w:rPr>
            </w:pPr>
            <w:r>
              <w:rPr>
                <w:sz w:val="20"/>
                <w:szCs w:val="20"/>
              </w:rPr>
              <w:t>–</w:t>
            </w:r>
            <w:r w:rsidRPr="006B7451" w:rsidR="006A15B9">
              <w:rPr>
                <w:sz w:val="20"/>
                <w:szCs w:val="20"/>
              </w:rPr>
              <w:t>0,2</w:t>
            </w:r>
          </w:p>
        </w:tc>
        <w:tc>
          <w:tcPr>
            <w:tcW w:w="673" w:type="pct"/>
          </w:tcPr>
          <w:p w:rsidRPr="006B7451" w:rsidR="006A15B9" w:rsidP="007139CE" w:rsidRDefault="006A15B9" w14:paraId="780B1FA2" w14:textId="77777777">
            <w:pPr>
              <w:spacing w:before="80" w:line="240" w:lineRule="exact"/>
              <w:jc w:val="right"/>
              <w:rPr>
                <w:sz w:val="20"/>
                <w:szCs w:val="20"/>
              </w:rPr>
            </w:pPr>
            <w:r w:rsidRPr="006B7451">
              <w:rPr>
                <w:sz w:val="20"/>
                <w:szCs w:val="20"/>
              </w:rPr>
              <w:t>6,4</w:t>
            </w:r>
          </w:p>
        </w:tc>
      </w:tr>
      <w:tr w:rsidRPr="006B7451" w:rsidR="006A15B9" w:rsidTr="007139CE" w14:paraId="594B7EA4" w14:textId="77777777">
        <w:trPr>
          <w:cantSplit/>
        </w:trPr>
        <w:tc>
          <w:tcPr>
            <w:tcW w:w="2210" w:type="pct"/>
          </w:tcPr>
          <w:p w:rsidRPr="006B7451" w:rsidR="006A15B9" w:rsidP="007139CE" w:rsidRDefault="006A15B9" w14:paraId="14A5D0BC" w14:textId="77777777">
            <w:pPr>
              <w:spacing w:before="80" w:line="240" w:lineRule="exact"/>
              <w:ind w:firstLine="0"/>
              <w:rPr>
                <w:b/>
                <w:sz w:val="20"/>
                <w:szCs w:val="20"/>
              </w:rPr>
            </w:pPr>
            <w:r w:rsidRPr="006B7451">
              <w:rPr>
                <w:b/>
                <w:sz w:val="20"/>
                <w:szCs w:val="20"/>
              </w:rPr>
              <w:t>Ålderspensionssystemet</w:t>
            </w:r>
          </w:p>
        </w:tc>
        <w:tc>
          <w:tcPr>
            <w:tcW w:w="770" w:type="pct"/>
          </w:tcPr>
          <w:p w:rsidRPr="006B7451" w:rsidR="006A15B9" w:rsidP="007139CE" w:rsidRDefault="006A15B9" w14:paraId="384573E5" w14:textId="77777777">
            <w:pPr>
              <w:spacing w:before="80" w:line="240" w:lineRule="exact"/>
              <w:jc w:val="right"/>
              <w:rPr>
                <w:sz w:val="20"/>
                <w:szCs w:val="20"/>
              </w:rPr>
            </w:pPr>
          </w:p>
        </w:tc>
        <w:tc>
          <w:tcPr>
            <w:tcW w:w="673" w:type="pct"/>
          </w:tcPr>
          <w:p w:rsidRPr="006B7451" w:rsidR="006A15B9" w:rsidP="007139CE" w:rsidRDefault="006A15B9" w14:paraId="5B7BE97D" w14:textId="77777777">
            <w:pPr>
              <w:spacing w:before="80" w:line="240" w:lineRule="exact"/>
              <w:jc w:val="right"/>
              <w:rPr>
                <w:sz w:val="20"/>
                <w:szCs w:val="20"/>
              </w:rPr>
            </w:pPr>
          </w:p>
        </w:tc>
        <w:tc>
          <w:tcPr>
            <w:tcW w:w="673" w:type="pct"/>
          </w:tcPr>
          <w:p w:rsidRPr="006B7451" w:rsidR="006A15B9" w:rsidP="007139CE" w:rsidRDefault="006A15B9" w14:paraId="3BB93D52" w14:textId="77777777">
            <w:pPr>
              <w:spacing w:before="80" w:line="240" w:lineRule="exact"/>
              <w:jc w:val="right"/>
              <w:rPr>
                <w:b/>
                <w:sz w:val="20"/>
                <w:szCs w:val="20"/>
              </w:rPr>
            </w:pPr>
            <w:r w:rsidRPr="006B7451">
              <w:rPr>
                <w:b/>
                <w:sz w:val="20"/>
                <w:szCs w:val="20"/>
              </w:rPr>
              <w:t>23,8</w:t>
            </w:r>
          </w:p>
        </w:tc>
        <w:tc>
          <w:tcPr>
            <w:tcW w:w="673" w:type="pct"/>
          </w:tcPr>
          <w:p w:rsidRPr="006B7451" w:rsidR="006A15B9" w:rsidP="007139CE" w:rsidRDefault="006A15B9" w14:paraId="4C72559E" w14:textId="77777777">
            <w:pPr>
              <w:spacing w:before="80" w:line="240" w:lineRule="exact"/>
              <w:jc w:val="right"/>
              <w:rPr>
                <w:b/>
                <w:sz w:val="20"/>
                <w:szCs w:val="20"/>
              </w:rPr>
            </w:pPr>
            <w:r w:rsidRPr="006B7451">
              <w:rPr>
                <w:b/>
                <w:sz w:val="20"/>
                <w:szCs w:val="20"/>
              </w:rPr>
              <w:t>4,8</w:t>
            </w:r>
          </w:p>
        </w:tc>
      </w:tr>
      <w:tr w:rsidRPr="006B7451" w:rsidR="006A15B9" w:rsidTr="007139CE" w14:paraId="2DCF3476" w14:textId="77777777">
        <w:trPr>
          <w:cantSplit/>
        </w:trPr>
        <w:tc>
          <w:tcPr>
            <w:tcW w:w="2210" w:type="pct"/>
          </w:tcPr>
          <w:p w:rsidRPr="006B7451" w:rsidR="006A15B9" w:rsidP="007139CE" w:rsidRDefault="006A15B9" w14:paraId="4046372A" w14:textId="77777777">
            <w:pPr>
              <w:spacing w:before="80" w:line="240" w:lineRule="exact"/>
              <w:ind w:firstLine="0"/>
              <w:rPr>
                <w:sz w:val="20"/>
                <w:szCs w:val="20"/>
              </w:rPr>
            </w:pPr>
            <w:r w:rsidRPr="006B7451">
              <w:rPr>
                <w:sz w:val="20"/>
                <w:szCs w:val="20"/>
              </w:rPr>
              <w:t>Varav avgifter</w:t>
            </w:r>
          </w:p>
        </w:tc>
        <w:tc>
          <w:tcPr>
            <w:tcW w:w="770" w:type="pct"/>
          </w:tcPr>
          <w:p w:rsidRPr="006B7451" w:rsidR="006A15B9" w:rsidP="007139CE" w:rsidRDefault="006A15B9" w14:paraId="60BF1B13" w14:textId="77777777">
            <w:pPr>
              <w:spacing w:before="80" w:line="240" w:lineRule="exact"/>
              <w:jc w:val="right"/>
              <w:rPr>
                <w:sz w:val="20"/>
                <w:szCs w:val="20"/>
              </w:rPr>
            </w:pPr>
          </w:p>
        </w:tc>
        <w:tc>
          <w:tcPr>
            <w:tcW w:w="673" w:type="pct"/>
          </w:tcPr>
          <w:p w:rsidRPr="006B7451" w:rsidR="006A15B9" w:rsidP="007139CE" w:rsidRDefault="006A15B9" w14:paraId="1E7E996C" w14:textId="77777777">
            <w:pPr>
              <w:spacing w:before="80" w:line="240" w:lineRule="exact"/>
              <w:jc w:val="right"/>
              <w:rPr>
                <w:sz w:val="20"/>
                <w:szCs w:val="20"/>
              </w:rPr>
            </w:pPr>
          </w:p>
        </w:tc>
        <w:tc>
          <w:tcPr>
            <w:tcW w:w="673" w:type="pct"/>
          </w:tcPr>
          <w:p w:rsidRPr="006B7451" w:rsidR="006A15B9" w:rsidP="007139CE" w:rsidRDefault="006A15B9" w14:paraId="79D07ED3" w14:textId="77777777">
            <w:pPr>
              <w:spacing w:before="80" w:line="240" w:lineRule="exact"/>
              <w:jc w:val="right"/>
              <w:rPr>
                <w:sz w:val="20"/>
                <w:szCs w:val="20"/>
              </w:rPr>
            </w:pPr>
            <w:r w:rsidRPr="006B7451">
              <w:rPr>
                <w:sz w:val="20"/>
                <w:szCs w:val="20"/>
              </w:rPr>
              <w:t>14,5</w:t>
            </w:r>
          </w:p>
        </w:tc>
        <w:tc>
          <w:tcPr>
            <w:tcW w:w="673" w:type="pct"/>
          </w:tcPr>
          <w:p w:rsidRPr="006B7451" w:rsidR="006A15B9" w:rsidP="007139CE" w:rsidRDefault="006A15B9" w14:paraId="4E9E6681" w14:textId="77777777">
            <w:pPr>
              <w:spacing w:before="80" w:line="240" w:lineRule="exact"/>
              <w:jc w:val="right"/>
              <w:rPr>
                <w:sz w:val="20"/>
                <w:szCs w:val="20"/>
              </w:rPr>
            </w:pPr>
            <w:r w:rsidRPr="006B7451">
              <w:rPr>
                <w:sz w:val="20"/>
                <w:szCs w:val="20"/>
              </w:rPr>
              <w:t>18,4</w:t>
            </w:r>
          </w:p>
        </w:tc>
      </w:tr>
      <w:tr w:rsidRPr="006B7451" w:rsidR="006A15B9" w:rsidTr="007139CE" w14:paraId="0510EE1C" w14:textId="77777777">
        <w:trPr>
          <w:cantSplit/>
        </w:trPr>
        <w:tc>
          <w:tcPr>
            <w:tcW w:w="2210" w:type="pct"/>
          </w:tcPr>
          <w:p w:rsidRPr="006B7451" w:rsidR="006A15B9" w:rsidP="007139CE" w:rsidRDefault="006A15B9" w14:paraId="011C654B" w14:textId="77777777">
            <w:pPr>
              <w:spacing w:before="80" w:line="240" w:lineRule="exact"/>
              <w:ind w:firstLine="0"/>
              <w:rPr>
                <w:sz w:val="20"/>
                <w:szCs w:val="20"/>
              </w:rPr>
            </w:pPr>
            <w:r w:rsidRPr="006B7451">
              <w:rPr>
                <w:sz w:val="20"/>
                <w:szCs w:val="20"/>
              </w:rPr>
              <w:t>Varav inkomstpension</w:t>
            </w:r>
          </w:p>
        </w:tc>
        <w:tc>
          <w:tcPr>
            <w:tcW w:w="770" w:type="pct"/>
          </w:tcPr>
          <w:p w:rsidRPr="006B7451" w:rsidR="006A15B9" w:rsidP="007139CE" w:rsidRDefault="006A15B9" w14:paraId="39669A3B" w14:textId="77777777">
            <w:pPr>
              <w:spacing w:before="80" w:line="240" w:lineRule="exact"/>
              <w:jc w:val="right"/>
              <w:rPr>
                <w:sz w:val="20"/>
                <w:szCs w:val="20"/>
              </w:rPr>
            </w:pPr>
          </w:p>
        </w:tc>
        <w:tc>
          <w:tcPr>
            <w:tcW w:w="673" w:type="pct"/>
          </w:tcPr>
          <w:p w:rsidRPr="006B7451" w:rsidR="006A15B9" w:rsidP="007139CE" w:rsidRDefault="006A15B9" w14:paraId="303794D0" w14:textId="77777777">
            <w:pPr>
              <w:spacing w:before="80" w:line="240" w:lineRule="exact"/>
              <w:jc w:val="right"/>
              <w:rPr>
                <w:sz w:val="20"/>
                <w:szCs w:val="20"/>
              </w:rPr>
            </w:pPr>
          </w:p>
        </w:tc>
        <w:tc>
          <w:tcPr>
            <w:tcW w:w="673" w:type="pct"/>
          </w:tcPr>
          <w:p w:rsidRPr="006B7451" w:rsidR="006A15B9" w:rsidP="007139CE" w:rsidRDefault="007139CE" w14:paraId="5F54CA86" w14:textId="08134AE1">
            <w:pPr>
              <w:spacing w:before="80" w:line="240" w:lineRule="exact"/>
              <w:jc w:val="right"/>
              <w:rPr>
                <w:sz w:val="20"/>
                <w:szCs w:val="20"/>
              </w:rPr>
            </w:pPr>
            <w:r>
              <w:rPr>
                <w:sz w:val="20"/>
                <w:szCs w:val="20"/>
              </w:rPr>
              <w:t>–</w:t>
            </w:r>
          </w:p>
        </w:tc>
        <w:tc>
          <w:tcPr>
            <w:tcW w:w="673" w:type="pct"/>
          </w:tcPr>
          <w:p w:rsidRPr="006B7451" w:rsidR="006A15B9" w:rsidP="007139CE" w:rsidRDefault="007139CE" w14:paraId="52EA6426" w14:textId="6D0B6568">
            <w:pPr>
              <w:spacing w:before="80" w:line="240" w:lineRule="exact"/>
              <w:jc w:val="right"/>
              <w:rPr>
                <w:sz w:val="20"/>
                <w:szCs w:val="20"/>
              </w:rPr>
            </w:pPr>
            <w:r>
              <w:rPr>
                <w:sz w:val="20"/>
                <w:szCs w:val="20"/>
              </w:rPr>
              <w:t>–</w:t>
            </w:r>
            <w:r w:rsidRPr="006B7451" w:rsidR="006A15B9">
              <w:rPr>
                <w:sz w:val="20"/>
                <w:szCs w:val="20"/>
              </w:rPr>
              <w:t>22,3</w:t>
            </w:r>
          </w:p>
        </w:tc>
      </w:tr>
      <w:tr w:rsidRPr="006B7451" w:rsidR="006A15B9" w:rsidTr="007139CE" w14:paraId="4C6BD777" w14:textId="77777777">
        <w:trPr>
          <w:cantSplit/>
        </w:trPr>
        <w:tc>
          <w:tcPr>
            <w:tcW w:w="2210" w:type="pct"/>
            <w:tcBorders>
              <w:bottom w:val="single" w:color="auto" w:sz="4" w:space="0"/>
            </w:tcBorders>
          </w:tcPr>
          <w:p w:rsidRPr="006B7451" w:rsidR="006A15B9" w:rsidP="007139CE" w:rsidRDefault="006A15B9" w14:paraId="758B55A7" w14:textId="77777777">
            <w:pPr>
              <w:spacing w:before="80" w:line="240" w:lineRule="exact"/>
              <w:ind w:firstLine="0"/>
              <w:rPr>
                <w:sz w:val="20"/>
                <w:szCs w:val="20"/>
              </w:rPr>
            </w:pPr>
            <w:r w:rsidRPr="006B7451">
              <w:rPr>
                <w:sz w:val="20"/>
                <w:szCs w:val="20"/>
              </w:rPr>
              <w:t>Varav socialförsäkringar</w:t>
            </w:r>
          </w:p>
        </w:tc>
        <w:tc>
          <w:tcPr>
            <w:tcW w:w="770" w:type="pct"/>
            <w:tcBorders>
              <w:bottom w:val="single" w:color="auto" w:sz="4" w:space="0"/>
            </w:tcBorders>
          </w:tcPr>
          <w:p w:rsidRPr="006B7451" w:rsidR="006A15B9" w:rsidP="007139CE" w:rsidRDefault="006A15B9" w14:paraId="7D61CB52" w14:textId="77777777">
            <w:pPr>
              <w:spacing w:before="80" w:line="240" w:lineRule="exact"/>
              <w:jc w:val="right"/>
              <w:rPr>
                <w:sz w:val="20"/>
                <w:szCs w:val="20"/>
              </w:rPr>
            </w:pPr>
          </w:p>
        </w:tc>
        <w:tc>
          <w:tcPr>
            <w:tcW w:w="673" w:type="pct"/>
            <w:tcBorders>
              <w:bottom w:val="single" w:color="auto" w:sz="4" w:space="0"/>
            </w:tcBorders>
          </w:tcPr>
          <w:p w:rsidRPr="006B7451" w:rsidR="006A15B9" w:rsidP="007139CE" w:rsidRDefault="006A15B9" w14:paraId="2BC1F91C" w14:textId="77777777">
            <w:pPr>
              <w:spacing w:before="80" w:line="240" w:lineRule="exact"/>
              <w:jc w:val="right"/>
              <w:rPr>
                <w:sz w:val="20"/>
                <w:szCs w:val="20"/>
              </w:rPr>
            </w:pPr>
          </w:p>
        </w:tc>
        <w:tc>
          <w:tcPr>
            <w:tcW w:w="673" w:type="pct"/>
            <w:tcBorders>
              <w:bottom w:val="single" w:color="auto" w:sz="4" w:space="0"/>
            </w:tcBorders>
          </w:tcPr>
          <w:p w:rsidRPr="006B7451" w:rsidR="006A15B9" w:rsidP="007139CE" w:rsidRDefault="006A15B9" w14:paraId="4B7E6570" w14:textId="77777777">
            <w:pPr>
              <w:spacing w:before="80" w:line="240" w:lineRule="exact"/>
              <w:jc w:val="right"/>
              <w:rPr>
                <w:sz w:val="20"/>
                <w:szCs w:val="20"/>
              </w:rPr>
            </w:pPr>
            <w:r w:rsidRPr="006B7451">
              <w:rPr>
                <w:sz w:val="20"/>
                <w:szCs w:val="20"/>
              </w:rPr>
              <w:t>9,3</w:t>
            </w:r>
          </w:p>
        </w:tc>
        <w:tc>
          <w:tcPr>
            <w:tcW w:w="673" w:type="pct"/>
            <w:tcBorders>
              <w:bottom w:val="single" w:color="auto" w:sz="4" w:space="0"/>
            </w:tcBorders>
          </w:tcPr>
          <w:p w:rsidRPr="006B7451" w:rsidR="006A15B9" w:rsidP="007139CE" w:rsidRDefault="006A15B9" w14:paraId="4B06515A" w14:textId="77777777">
            <w:pPr>
              <w:spacing w:before="80" w:line="240" w:lineRule="exact"/>
              <w:jc w:val="right"/>
              <w:rPr>
                <w:sz w:val="20"/>
                <w:szCs w:val="20"/>
              </w:rPr>
            </w:pPr>
            <w:r w:rsidRPr="006B7451">
              <w:rPr>
                <w:sz w:val="20"/>
                <w:szCs w:val="20"/>
              </w:rPr>
              <w:t>9,1</w:t>
            </w:r>
          </w:p>
        </w:tc>
      </w:tr>
    </w:tbl>
    <w:p w:rsidRPr="006B7451" w:rsidR="007606E1" w:rsidP="00B37EA7" w:rsidRDefault="007606E1" w14:paraId="0B2E3F5C" w14:textId="38A71F48">
      <w:pPr>
        <w:pStyle w:val="Normalutanindragellerluft"/>
        <w:spacing w:before="150"/>
      </w:pPr>
      <w:r w:rsidRPr="006B7451">
        <w:t>De höjda pensionsavsättningarna finansieras helt av staten och innebär att utgifterna ökar med cirka 2</w:t>
      </w:r>
      <w:r w:rsidRPr="006B7451" w:rsidR="006A15B9">
        <w:t>4</w:t>
      </w:r>
      <w:r w:rsidRPr="006B7451">
        <w:t xml:space="preserve"> miljarder kronor 2023, där 3 miljarder utgörs av statens kompensa</w:t>
      </w:r>
      <w:r w:rsidR="00AA58F2">
        <w:softHyphen/>
      </w:r>
      <w:r w:rsidRPr="006B7451">
        <w:t xml:space="preserve">tion till företag </w:t>
      </w:r>
      <w:r w:rsidR="00EE3337">
        <w:t xml:space="preserve">för </w:t>
      </w:r>
      <w:r w:rsidRPr="006B7451">
        <w:t>höjda egenavgifter respektive arbetsgivaravgifter i de fall där ingen allmän löneavgift betalas</w:t>
      </w:r>
      <w:r w:rsidR="00EE3337">
        <w:t>. Ö</w:t>
      </w:r>
      <w:r w:rsidRPr="006B7451">
        <w:t>vriga kostnader hänförs till de ökade pensionsavsätt</w:t>
      </w:r>
      <w:r w:rsidR="00AA58F2">
        <w:softHyphen/>
      </w:r>
      <w:r w:rsidRPr="006B7451">
        <w:t>ningarna. Kostnaden beräknas öka år 2025 till cirka 2</w:t>
      </w:r>
      <w:r w:rsidRPr="006B7451" w:rsidR="006A15B9">
        <w:t>6</w:t>
      </w:r>
      <w:r w:rsidRPr="006B7451">
        <w:t xml:space="preserve"> miljarder kronor då förändringen av inkomstindex får genomslag på utbetalningen av grundskydd.</w:t>
      </w:r>
    </w:p>
    <w:p w:rsidRPr="006B7451" w:rsidR="007606E1" w:rsidP="007606E1" w:rsidRDefault="007606E1" w14:paraId="08416B37" w14:textId="7E67CEA4">
      <w:r w:rsidRPr="006B7451">
        <w:t>Den slopade skattereduktionen för pensionsavgiften medför att fler personer med låga arbetsinkomster nu kan få del av jobbskatteavdraget</w:t>
      </w:r>
      <w:r w:rsidR="006613E7">
        <w:t>,</w:t>
      </w:r>
      <w:r w:rsidRPr="006B7451">
        <w:t xml:space="preserve"> vilket ökar hushållens disponibla inkomst med 0,1 miljarder kronor 2023. Den disponibla inkomsten stärks ytterligare till 12 miljarder kronor 2024 till följd av ökade utbetalningar av inkomst</w:t>
      </w:r>
      <w:r w:rsidR="00AA58F2">
        <w:softHyphen/>
      </w:r>
      <w:r w:rsidRPr="006B7451">
        <w:t>pension. Detta påverkar även kommunsektorn som får ökade skatteintäkter om 6,4 miljarder kronor 2024.</w:t>
      </w:r>
    </w:p>
    <w:p w:rsidRPr="006B7451" w:rsidR="007606E1" w:rsidP="00ED5D60" w:rsidRDefault="007606E1" w14:paraId="50BAD8B3" w14:textId="6F6F7757">
      <w:pPr>
        <w:pStyle w:val="Rubrik2numrerat"/>
      </w:pPr>
      <w:bookmarkStart w:name="_Toc121752590" w:id="81"/>
      <w:r w:rsidRPr="006B7451">
        <w:t>Bättre möjligheter att pensionsspara privat</w:t>
      </w:r>
      <w:bookmarkEnd w:id="81"/>
    </w:p>
    <w:p w:rsidRPr="006B7451" w:rsidR="007606E1" w:rsidP="00750015" w:rsidRDefault="007606E1" w14:paraId="2B181BF4" w14:textId="77271257">
      <w:pPr>
        <w:pStyle w:val="Normalutanindragellerluft"/>
      </w:pPr>
      <w:r w:rsidRPr="006B7451">
        <w:t>I takt med att kompensationsgraden från den allmänna pensionen och tjänstepensionen minskar ökar behovet av ett eget pensionssparande. Att arbeta högre upp i åldrarna är ett sätt att motverka effekten av den ökande medellivslängdens påverkan på pensionen. Ett års extra arbete efter pensionsåldern för en person med en genomsnittlig lön ger mellan 1</w:t>
      </w:r>
      <w:r w:rsidR="005726E6">
        <w:t> </w:t>
      </w:r>
      <w:r w:rsidRPr="006B7451">
        <w:t>400 kronor och 2</w:t>
      </w:r>
      <w:r w:rsidR="005726E6">
        <w:t> </w:t>
      </w:r>
      <w:r w:rsidRPr="006B7451">
        <w:t>200 kronor mer i pension per månad före skatt, livet ut.</w:t>
      </w:r>
    </w:p>
    <w:p w:rsidRPr="006B7451" w:rsidR="007606E1" w:rsidP="007606E1" w:rsidRDefault="007606E1" w14:paraId="56F519B5" w14:textId="615CDA22">
      <w:r w:rsidRPr="006B7451">
        <w:t>Detta är dock inte möjligt för alla. Vissa har haft yrken som sliter hårt på kroppen som gör att de inte kan jobba högt upp i åldern, andra vill prioritera annorlunda. För persone</w:t>
      </w:r>
      <w:r w:rsidR="00710346">
        <w:t>r</w:t>
      </w:r>
      <w:r w:rsidRPr="006B7451">
        <w:t xml:space="preserve"> som arbetat deltid, utbildat sig mitt i livet eller av andra anledningar har haft lägre pensionsavsättningar måste det finnas alternativ för att stärka pensionen. </w:t>
      </w:r>
    </w:p>
    <w:p w:rsidRPr="006B7451" w:rsidR="007606E1" w:rsidP="00F74926" w:rsidRDefault="007606E1" w14:paraId="4CF41BCE" w14:textId="0CFE4147">
      <w:r w:rsidRPr="006B7451">
        <w:t>Sammantaget behövs det en ökad flexibilitet i systemet</w:t>
      </w:r>
      <w:r w:rsidR="00D37BCE">
        <w:t xml:space="preserve"> och</w:t>
      </w:r>
      <w:r w:rsidRPr="006B7451">
        <w:t xml:space="preserve"> goda förutsättningar för så många som möjligt att själva kunna påverka, och stärka, sin ekonomi under hela arbetslivet till den dag </w:t>
      </w:r>
      <w:r w:rsidR="00D37BCE">
        <w:t>de</w:t>
      </w:r>
      <w:r w:rsidRPr="006B7451">
        <w:t xml:space="preserve"> väljer att gå i pension. Ett steg i den riktningen är att öka incitamenten att spara.</w:t>
      </w:r>
    </w:p>
    <w:p w:rsidRPr="006B7451" w:rsidR="007606E1" w:rsidP="00F74926" w:rsidRDefault="007606E1" w14:paraId="4BDB9D07" w14:textId="77777777">
      <w:pPr>
        <w:pStyle w:val="Rubrik3"/>
      </w:pPr>
      <w:bookmarkStart w:name="_Toc121752591" w:id="82"/>
      <w:r w:rsidRPr="006B7451">
        <w:lastRenderedPageBreak/>
        <w:t>Återinförandet av privat pensionssparande</w:t>
      </w:r>
      <w:bookmarkEnd w:id="82"/>
    </w:p>
    <w:p w:rsidRPr="006B7451" w:rsidR="007606E1" w:rsidP="00750015" w:rsidRDefault="007606E1" w14:paraId="432404A9" w14:textId="3CBAD7AF">
      <w:pPr>
        <w:pStyle w:val="Normalutanindragellerluft"/>
      </w:pPr>
      <w:r w:rsidRPr="006B7451">
        <w:t xml:space="preserve">Före 2016 kunde privatpersoner spara privat till pensionen med skatteförmånliga alternativ, antingen genom </w:t>
      </w:r>
      <w:r w:rsidR="00261749">
        <w:t xml:space="preserve">ett </w:t>
      </w:r>
      <w:r w:rsidRPr="006B7451">
        <w:t xml:space="preserve">individuellt pensionssparande (IPS) eller </w:t>
      </w:r>
      <w:r w:rsidR="00261749">
        <w:t xml:space="preserve">en </w:t>
      </w:r>
      <w:r w:rsidRPr="006B7451">
        <w:t>privat pensionsförsäkring. Systemet innebar att det fanns en möjlighet att spara i en bank, ett värdepappersbolag eller ett utländskt värdepappersföretag med filial i Sverige där insättningarna var förena</w:t>
      </w:r>
      <w:r w:rsidR="00261749">
        <w:t>de</w:t>
      </w:r>
      <w:r w:rsidRPr="006B7451">
        <w:t xml:space="preserve"> med en avdragsrätt på deklarationen om maximalt 12 000 kronor per år. Skatten betalades i stället när pengarna betalades ut</w:t>
      </w:r>
      <w:r w:rsidR="00261749">
        <w:t>,</w:t>
      </w:r>
      <w:r w:rsidRPr="006B7451">
        <w:t xml:space="preserve"> vilket först var möjligt efter att personen fyllt 55 år.</w:t>
      </w:r>
    </w:p>
    <w:p w:rsidRPr="006B7451" w:rsidR="007606E1" w:rsidP="007606E1" w:rsidRDefault="007606E1" w14:paraId="57D3AF8B" w14:textId="18CADF74">
      <w:r w:rsidRPr="006B7451">
        <w:t>Ett månadssparande på 1</w:t>
      </w:r>
      <w:r w:rsidR="002F101C">
        <w:t> </w:t>
      </w:r>
      <w:r w:rsidRPr="006B7451">
        <w:t>000 kronor under arbetslivet ger stora effekter på privatekonomin på sikt. Vid en genomsnittlig avkastning på 7 procent per år kommer månadsspararen som börjar vid 25 års ålder och fortsätter fram till 65 år att ha cirka 2,5</w:t>
      </w:r>
      <w:r w:rsidR="00F95A0C">
        <w:t> </w:t>
      </w:r>
      <w:r w:rsidRPr="006B7451">
        <w:t xml:space="preserve">miljoner kronor att dryga ut pensionen med. Med andra ord är starka incitament att spara, kontinuerligt och från start i tidig ålder, en av de mer effektiva åtgärderna för ge människor ökad flexibilitet kring när </w:t>
      </w:r>
      <w:r w:rsidR="00F95A0C">
        <w:t>de</w:t>
      </w:r>
      <w:r w:rsidRPr="006B7451">
        <w:t xml:space="preserve"> vill gå i pension.</w:t>
      </w:r>
    </w:p>
    <w:p w:rsidRPr="006B7451" w:rsidR="007606E1" w:rsidP="007606E1" w:rsidRDefault="007606E1" w14:paraId="6F0253C4" w14:textId="5FD2A7B2">
      <w:r w:rsidRPr="006B7451">
        <w:t xml:space="preserve">Regeringen begick ett misstag när </w:t>
      </w:r>
      <w:r w:rsidR="00C45930">
        <w:t>den</w:t>
      </w:r>
      <w:r w:rsidRPr="006B7451">
        <w:t xml:space="preserve"> avskaffade möjligheten att spara privat till sin pension. Effekten blir att invånarna blir mer beroende av ett offentligt ålderspensions</w:t>
      </w:r>
      <w:r w:rsidR="00A013CF">
        <w:softHyphen/>
      </w:r>
      <w:r w:rsidRPr="006B7451">
        <w:t>system, som inte klarar av att leverera tillräckligt höga pensioner. Det gamla systemet var förvisso förenat med ett antal brister</w:t>
      </w:r>
      <w:r w:rsidR="00052DEA">
        <w:t xml:space="preserve"> och</w:t>
      </w:r>
      <w:r w:rsidRPr="006B7451">
        <w:t xml:space="preserve"> i praktiken var det enbart lönsamt att pensionsspara för relativt välavlönade individer.</w:t>
      </w:r>
    </w:p>
    <w:p w:rsidRPr="006B7451" w:rsidR="005B7C3B" w:rsidP="003931CE" w:rsidRDefault="007606E1" w14:paraId="0DAA1881" w14:textId="2F78400A">
      <w:r w:rsidRPr="006B7451">
        <w:t>För att stärka det privata sparandet i alla inkomstklasser bör det därför införas ett system med samma ålderskategorier som för det individuella pensionssparandet och samma regler för uttag, men där det inte sker något skatteavdrag vid själva insätt</w:t>
      </w:r>
      <w:r w:rsidR="00A013CF">
        <w:softHyphen/>
      </w:r>
      <w:r w:rsidRPr="006B7451">
        <w:t>ningarna och heller ingen reavinstbeskattning vid försäljning av exempelvis fonder eller aktier. I stället bör sparformen omfattas av en låg schablonskatt. Förslaget är att denna schablonbeskattning uppgår till 15 procent av föregående års statslåneränta, vilket är detsamma som för befintliga tjänstepensioner.</w:t>
      </w:r>
    </w:p>
    <w:p w:rsidRPr="006B7451" w:rsidR="007606E1" w:rsidP="003931CE" w:rsidRDefault="007606E1" w14:paraId="517AC429" w14:textId="77777777">
      <w:pPr>
        <w:pStyle w:val="Rubrik3"/>
      </w:pPr>
      <w:bookmarkStart w:name="_Toc121752592" w:id="83"/>
      <w:r w:rsidRPr="006B7451">
        <w:t>Sänkt skatt på investeringssparkonto</w:t>
      </w:r>
      <w:bookmarkEnd w:id="83"/>
    </w:p>
    <w:p w:rsidRPr="006B7451" w:rsidR="007606E1" w:rsidP="00750015" w:rsidRDefault="007606E1" w14:paraId="6DC434AE" w14:textId="4DB598EE">
      <w:pPr>
        <w:pStyle w:val="Normalutanindragellerluft"/>
      </w:pPr>
      <w:r w:rsidRPr="006B7451">
        <w:t>Medan förslaget ovan om ett nytt system för privat pensionssparande skulle vara gynnsamt för dem med fasta inkomster bör även alternativa sparformer stimuleras så att även personer som vissa år har en hög inkomst och vissa år en låg inkomst får starka incitament att spara.</w:t>
      </w:r>
    </w:p>
    <w:p w:rsidRPr="006B7451" w:rsidR="007606E1" w:rsidP="007606E1" w:rsidRDefault="007606E1" w14:paraId="1B25E49C" w14:textId="035AC276">
      <w:r w:rsidRPr="006B7451">
        <w:t xml:space="preserve">Investeringssparkonto (ISK) </w:t>
      </w:r>
      <w:r w:rsidR="00FB6F59">
        <w:t xml:space="preserve">är </w:t>
      </w:r>
      <w:r w:rsidRPr="006B7451">
        <w:t>ett alternativ sedan 2012. Via ett ISK har privat</w:t>
      </w:r>
      <w:r w:rsidR="00A013CF">
        <w:softHyphen/>
      </w:r>
      <w:r w:rsidRPr="006B7451">
        <w:t>personer möjlighet att spara i aktier, fondandelar och andra finansiella instrument där kapitalinkomsterna inte beskattas och där förluster på dessa tillgångar inte är avdrags</w:t>
      </w:r>
      <w:r w:rsidR="00A013CF">
        <w:softHyphen/>
      </w:r>
      <w:r w:rsidRPr="006B7451">
        <w:t>gilla. Beskattningen sker i stället på det samlade värdet av sparandet på kontot genom en schablonskatt motsvarande statslåneräntan den 30 november året före beskatt</w:t>
      </w:r>
      <w:r w:rsidR="00A013CF">
        <w:softHyphen/>
      </w:r>
      <w:r w:rsidRPr="006B7451">
        <w:t>ningsåret, plus ett tillägg. Tillägget är i dag 1 procentenhet.</w:t>
      </w:r>
    </w:p>
    <w:p w:rsidRPr="006B7451" w:rsidR="007606E1" w:rsidP="007606E1" w:rsidRDefault="007606E1" w14:paraId="17BFEFA5" w14:textId="77777777">
      <w:r w:rsidRPr="006B7451">
        <w:t xml:space="preserve">Sparformen har flera fördelar. Det är lätt att veta hur mycket skatt som kommer att betalas och försäljningar behöver inte deklareras. För långsiktigt sparande är den gynnsam på grund av en lägre förväntad skatt. </w:t>
      </w:r>
    </w:p>
    <w:p w:rsidRPr="006B7451" w:rsidR="007606E1" w:rsidP="007606E1" w:rsidRDefault="007606E1" w14:paraId="39593E8B" w14:textId="745F2622">
      <w:r w:rsidRPr="006B7451">
        <w:t>Med den positiva utveckling som börsen har haft sedan investeringssparkontot infördes har vissa förespråkat att skatten ska höjas</w:t>
      </w:r>
      <w:r w:rsidR="00751DB6">
        <w:t>;</w:t>
      </w:r>
      <w:r w:rsidRPr="006B7451">
        <w:t xml:space="preserve"> det skedde bland annat 2018 då regeringen föreslog en höjning om 0,25 procentenheter.</w:t>
      </w:r>
    </w:p>
    <w:p w:rsidRPr="006B7451" w:rsidR="007606E1" w:rsidP="007606E1" w:rsidRDefault="007606E1" w14:paraId="2FC13DC7" w14:textId="77777777">
      <w:r w:rsidRPr="006B7451">
        <w:t xml:space="preserve">Detta resonemang blir dock felaktigt då det inte går att avgöra hur börsen kommer att utvecklas den kommande tiden, att det skulle kunna bli en djup eller lång nedgång på börsen kan inte uteslutas – och i fallet med investeringssparkontot är innehavaren </w:t>
      </w:r>
      <w:r w:rsidRPr="006B7451">
        <w:lastRenderedPageBreak/>
        <w:t>skyldig att betala skatt oavsett hur innehaven utvecklas. Höjningar av skatten innebär därutöver en framtida osäkerhet. Med en sparhorisont på 30–40 år behöver villkoren vara stabila, i annat fall finns det en risk att personer sparar i mindre utsträckning.</w:t>
      </w:r>
    </w:p>
    <w:p w:rsidRPr="006B7451" w:rsidR="007606E1" w:rsidP="007606E1" w:rsidRDefault="007606E1" w14:paraId="236BC89F" w14:textId="4BE2D599">
      <w:r w:rsidRPr="006B7451">
        <w:t xml:space="preserve">Av denna anledning bör skatten återställas till den tidigare nivån, statslåneräntan med ett tillägg om 0,75 procent. Det skulle också innebära att </w:t>
      </w:r>
      <w:r w:rsidR="00162178">
        <w:t xml:space="preserve">en </w:t>
      </w:r>
      <w:r w:rsidRPr="006B7451">
        <w:t>person som månads</w:t>
      </w:r>
      <w:r w:rsidR="00A013CF">
        <w:softHyphen/>
      </w:r>
      <w:r w:rsidRPr="006B7451">
        <w:t xml:space="preserve">sparar till pensionen i ett investeringssparkonto, med samma premisser som i exemplet </w:t>
      </w:r>
      <w:r w:rsidRPr="006B7451" w:rsidR="00D241F3">
        <w:t>ovan</w:t>
      </w:r>
      <w:r w:rsidRPr="006B7451">
        <w:t>, har ytterligare 60 000 kronor på kontot vid 65 års ålder.</w:t>
      </w:r>
    </w:p>
    <w:p w:rsidRPr="006B7451" w:rsidR="00C264FD" w:rsidP="007606E1" w:rsidRDefault="00C264FD" w14:paraId="406C5A1D" w14:textId="7562E6A0">
      <w:r w:rsidRPr="006B7451">
        <w:t>Förslaget beräknas minska statens skatteintäkter med 1,60 miljarder kronor 2022.</w:t>
      </w:r>
    </w:p>
    <w:p w:rsidRPr="006B7451" w:rsidR="005B7C3B" w:rsidP="00ED5D60" w:rsidRDefault="005B7C3B" w14:paraId="78FC409E" w14:textId="77777777">
      <w:pPr>
        <w:pStyle w:val="Rubrik2numrerat"/>
      </w:pPr>
      <w:bookmarkStart w:name="_Toc121752593" w:id="84"/>
      <w:r w:rsidRPr="006B7451">
        <w:t>Stärkt grundskydd för de mest utsatta</w:t>
      </w:r>
      <w:bookmarkEnd w:id="84"/>
    </w:p>
    <w:p w:rsidRPr="006B7451" w:rsidR="005B7C3B" w:rsidP="00750015" w:rsidRDefault="005B7C3B" w14:paraId="0047EAD5" w14:textId="72B662A3">
      <w:pPr>
        <w:pStyle w:val="Normalutanindragellerluft"/>
      </w:pPr>
      <w:r w:rsidRPr="006B7451">
        <w:rPr>
          <w:b/>
        </w:rPr>
        <w:t>Sverigedemokraternas förslag</w:t>
      </w:r>
      <w:r w:rsidRPr="00750015">
        <w:t>:</w:t>
      </w:r>
      <w:r w:rsidRPr="006B7451">
        <w:t xml:space="preserve"> Garantipensionen ska höjas med </w:t>
      </w:r>
      <w:r w:rsidRPr="006B7451" w:rsidR="0074331A">
        <w:t>3</w:t>
      </w:r>
      <w:r w:rsidRPr="006B7451">
        <w:t>00 kronor per månad.</w:t>
      </w:r>
    </w:p>
    <w:p w:rsidRPr="006B7451" w:rsidR="005B7C3B" w:rsidP="00750015" w:rsidRDefault="005B7C3B" w14:paraId="6208A38D" w14:textId="5EA5BC34">
      <w:pPr>
        <w:pStyle w:val="Normalutanindragellerluft"/>
        <w:spacing w:before="150"/>
      </w:pPr>
      <w:r w:rsidRPr="006B7451">
        <w:t>Höjda pensionsavsättningar till den allmänna pensionen och ett mer flexibelt system för privat pensionssparande leder till stora effekter, på kort och på lång sikt, för dem som har en stabil inkomst. De ökade avsättningarna tillsammans med en uppjustering av grundskyddet leder till att alla som har betala</w:t>
      </w:r>
      <w:r w:rsidR="00C010FD">
        <w:t>t</w:t>
      </w:r>
      <w:r w:rsidRPr="006B7451">
        <w:t xml:space="preserve"> in pengar till pensionssystemet får en högre utbetalning. Reformen får dock lägre effekt </w:t>
      </w:r>
      <w:r w:rsidR="007C6E75">
        <w:t xml:space="preserve">för </w:t>
      </w:r>
      <w:r w:rsidRPr="006B7451">
        <w:t>dem som i låg utsträckning har haft en inkomst</w:t>
      </w:r>
      <w:r w:rsidR="007C6E75">
        <w:t>;</w:t>
      </w:r>
      <w:r w:rsidRPr="006B7451">
        <w:t xml:space="preserve"> för den som enbart har garantipension och bostadstillägg leder inte höjda pensionsavsättningar till några förändringar.</w:t>
      </w:r>
    </w:p>
    <w:p w:rsidRPr="006B7451" w:rsidR="00BA3EFA" w:rsidP="00B71288" w:rsidRDefault="005B7C3B" w14:paraId="56657E52" w14:textId="04F37A34">
      <w:r w:rsidRPr="006B7451">
        <w:t>Medan det är rimligt att en person som har arbetat också får en högre pension än en person som inte har arbetat finns det skäl att stärka grundskyddet med hänsyn till det stora antalet äldre som lever under fattigdomsgränsen.</w:t>
      </w:r>
    </w:p>
    <w:p w:rsidRPr="006B7451" w:rsidR="00C264FD" w:rsidP="00B71288" w:rsidRDefault="00C264FD" w14:paraId="0BA3DCA8" w14:textId="062562DA">
      <w:r w:rsidRPr="006B7451">
        <w:t>Förslaget beräknas öka utgifterna i statens budget med 1,60 miljarder kronor 2022.</w:t>
      </w:r>
    </w:p>
    <w:p w:rsidRPr="006B7451" w:rsidR="00D67D66" w:rsidP="00ED5D60" w:rsidRDefault="00E024AF" w14:paraId="6597B2DD" w14:textId="77777777">
      <w:pPr>
        <w:pStyle w:val="Rubrik1numrerat"/>
      </w:pPr>
      <w:bookmarkStart w:name="_Toc121752594" w:id="85"/>
      <w:r w:rsidRPr="006B7451">
        <w:t>Ökad trygghet vid sjukdom och funktionsnedsättning</w:t>
      </w:r>
      <w:bookmarkEnd w:id="85"/>
    </w:p>
    <w:p w:rsidRPr="006B7451" w:rsidR="00D67D66" w:rsidP="00D67D66" w:rsidRDefault="00D67D66" w14:paraId="60B4594B" w14:textId="1BCB8CAD">
      <w:pPr>
        <w:pStyle w:val="Normalutanindragellerluft"/>
      </w:pPr>
      <w:r w:rsidRPr="006B7451">
        <w:t>En viktig del av samhällskontraktet handlar om ekonomisk trygghet för dem som av olika anledningar inte kan försörja sig på den reguljära arbetsmarknaden. Det kan handla om tillfällig arbetslöshet, sjukdom eller permanenta funktionsvariationer.</w:t>
      </w:r>
      <w:r w:rsidR="008A2BB7">
        <w:t xml:space="preserve"> </w:t>
      </w:r>
      <w:r w:rsidRPr="006B7451">
        <w:t>Problemet är att välfärden är satt under hård press och många upplever sig orättvist behandlade. Det är dags för politiker att återupprätta grundtryggheten i Sverige. Sverigedemokraternas utgångspunkt är att den som är sjuk ska få bästa tänkbara rehabilitering och grundläggande ekonomisk trygghet. Den som har möjlighet att bli frisk ska erbjudas bästa tänkbara förutsättningar och incitament att återgå i arbete.</w:t>
      </w:r>
    </w:p>
    <w:p w:rsidRPr="006B7451" w:rsidR="00450C2E" w:rsidP="003931CE" w:rsidRDefault="00450C2E" w14:paraId="01D26EA3" w14:textId="30EFEDE0">
      <w:pPr>
        <w:pStyle w:val="Rubrik3"/>
      </w:pPr>
      <w:bookmarkStart w:name="_Toc121752595" w:id="86"/>
      <w:r w:rsidRPr="006B7451">
        <w:t>Förutsättningar för en fungerande socialförsäkring</w:t>
      </w:r>
      <w:bookmarkEnd w:id="86"/>
    </w:p>
    <w:p w:rsidRPr="006B7451" w:rsidR="00450C2E" w:rsidP="005D6986" w:rsidRDefault="00450C2E" w14:paraId="00EB1545" w14:textId="51EB28B5">
      <w:pPr>
        <w:pStyle w:val="Normalutanindragellerluft"/>
      </w:pPr>
      <w:r w:rsidRPr="006B7451">
        <w:t xml:space="preserve">Medborgarnas förtroende för socialförsäkringarna mäts återkommande av bland annat SOM-institutet i Göteborg, Sifo och Försäkringskassan. </w:t>
      </w:r>
      <w:r w:rsidR="00E30FD1">
        <w:t>Av</w:t>
      </w:r>
      <w:r w:rsidRPr="006B7451">
        <w:t xml:space="preserve"> den senaste nationella SOM-undersökningen framgår att förtroendebalansen, dvs. skillnaden mellan dem som har ganska eller mycket stort förtroende samt dem som har ganska eller mycket litet förtroende, är negativ för flera offentliga försäkringssystem (endast föräldraförsäkringen har en positiv balans).</w:t>
      </w:r>
    </w:p>
    <w:p w:rsidRPr="00750015" w:rsidR="00450C2E" w:rsidP="00A013CF" w:rsidRDefault="00450C2E" w14:paraId="559BB86E" w14:textId="3145C7A0">
      <w:pPr>
        <w:pStyle w:val="Tabellrubrik"/>
        <w:keepNext/>
      </w:pPr>
      <w:r w:rsidRPr="00750015">
        <w:lastRenderedPageBreak/>
        <w:t xml:space="preserve">Figur </w:t>
      </w:r>
      <w:r w:rsidRPr="00750015" w:rsidR="00750015">
        <w:t>17</w:t>
      </w:r>
      <w:r w:rsidRPr="00750015">
        <w:t xml:space="preserve"> – Förtroende för socialförsäkringarna, </w:t>
      </w:r>
      <w:r w:rsidRPr="00750015" w:rsidR="00231451">
        <w:t>2020</w:t>
      </w:r>
      <w:r w:rsidRPr="00750015">
        <w:t>, andel i procent</w:t>
      </w:r>
    </w:p>
    <w:p w:rsidRPr="006B7451" w:rsidR="00450C2E" w:rsidP="00450C2E" w:rsidRDefault="00231451" w14:paraId="51FF45EC" w14:textId="77777777">
      <w:pPr>
        <w:ind w:firstLine="0"/>
      </w:pPr>
      <w:r w:rsidRPr="006B7451">
        <w:rPr>
          <w:noProof/>
          <w14:numSpacing w14:val="default"/>
        </w:rPr>
        <w:drawing>
          <wp:inline distT="0" distB="0" distL="0" distR="0" wp14:anchorId="5F151728" wp14:editId="7A3C076A">
            <wp:extent cx="5400000" cy="2743200"/>
            <wp:effectExtent l="0" t="0" r="0" b="0"/>
            <wp:docPr id="32" name="Diagram 32" descr="">
              <a:extLst xmlns:a="http://schemas.openxmlformats.org/drawingml/2006/main">
                <a:ext uri="{FF2B5EF4-FFF2-40B4-BE49-F238E27FC236}">
                  <a16:creationId xmlns:a16="http://schemas.microsoft.com/office/drawing/2014/main" id="{B93881BF-317F-403D-B658-A0623BB5D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750015" w:rsidR="00450C2E" w:rsidP="00750015" w:rsidRDefault="00450C2E" w14:paraId="492A4008" w14:textId="77777777">
      <w:pPr>
        <w:pStyle w:val="Klla"/>
      </w:pPr>
      <w:r w:rsidRPr="00750015">
        <w:t>Källa: SOM-undersökningen 202</w:t>
      </w:r>
      <w:r w:rsidRPr="00750015" w:rsidR="00231451">
        <w:t>1</w:t>
      </w:r>
      <w:r w:rsidRPr="00750015">
        <w:t>.</w:t>
      </w:r>
    </w:p>
    <w:p w:rsidRPr="006B7451" w:rsidR="00450C2E" w:rsidP="00750015" w:rsidRDefault="00450C2E" w14:paraId="74E74FD0" w14:textId="4FFCDC12">
      <w:pPr>
        <w:pStyle w:val="Normalutanindragellerluft"/>
        <w:spacing w:before="150"/>
      </w:pPr>
      <w:r w:rsidRPr="006B7451">
        <w:t xml:space="preserve">Andelen som var negativa till Försäkringskassan ökade kraftigt under åren 1999–2010 och gick från en positiv förtroendebalans till en negativ förtroendebalans 2005. Från 2010 ökade förtroendet för Försäkringskassan och en positiv förtroendebalans uppstod 2015. Denna trend har dock inte kvarstått utan vänt ner till en negativ förtroendebalans. Vid den senaste mätningen var Försäkringskassans förtroendebalans </w:t>
      </w:r>
      <w:r w:rsidR="008D6930">
        <w:t>–</w:t>
      </w:r>
      <w:r w:rsidRPr="006B7451">
        <w:t>16, vilket innebär att bland dem som hade en åsikt så var det 16 procentenheter fler som saknade förtroende jämfört med dem som hade förtroende.</w:t>
      </w:r>
    </w:p>
    <w:p w:rsidRPr="006B7451" w:rsidR="005B7C3B" w:rsidP="005B7C3B" w:rsidRDefault="00450C2E" w14:paraId="68EDE7C1" w14:textId="05F86044">
      <w:r w:rsidRPr="006B7451">
        <w:t>Försäkringskassan har även ett lågt resultat på Kantar Sifos Anseendeindex för myndigheter. Urvalet är slumpmässigt från Kanta</w:t>
      </w:r>
      <w:r w:rsidR="0036331D">
        <w:t>r</w:t>
      </w:r>
      <w:r w:rsidRPr="006B7451">
        <w:t xml:space="preserve"> Sifos </w:t>
      </w:r>
      <w:proofErr w:type="spellStart"/>
      <w:r w:rsidRPr="006B7451">
        <w:t>onlinepanel</w:t>
      </w:r>
      <w:proofErr w:type="spellEnd"/>
      <w:r w:rsidRPr="006B7451">
        <w:t xml:space="preserve"> och ett anseende</w:t>
      </w:r>
      <w:r w:rsidR="00B01C79">
        <w:softHyphen/>
      </w:r>
      <w:r w:rsidRPr="006B7451">
        <w:t>index på 50 eller mer anses vara ett högt anseende för myndigheter. I den senaste mätningen, där 15</w:t>
      </w:r>
      <w:r w:rsidR="0036331D">
        <w:t> </w:t>
      </w:r>
      <w:r w:rsidRPr="006B7451">
        <w:t xml:space="preserve">172 intervjuer genomfördes och där varje intervjuperson har bedömt 2/3 slumpmässigt utvalda myndigheter, är det bara två myndigheter som </w:t>
      </w:r>
      <w:r w:rsidRPr="006B7451" w:rsidR="0036331D">
        <w:t xml:space="preserve">allmänheten </w:t>
      </w:r>
      <w:r w:rsidRPr="006B7451">
        <w:t xml:space="preserve">har ett lägre förtroende </w:t>
      </w:r>
      <w:r w:rsidR="0036331D">
        <w:t xml:space="preserve">för </w:t>
      </w:r>
      <w:r w:rsidRPr="006B7451">
        <w:t>än Försäkringskassan: Migrationsverket och Arbetsförmedlingen.</w:t>
      </w:r>
    </w:p>
    <w:p w:rsidRPr="006B7451" w:rsidR="005B7C3B" w:rsidP="00ED5D60" w:rsidRDefault="005B7C3B" w14:paraId="09E0C76F" w14:textId="2491CF45">
      <w:pPr>
        <w:pStyle w:val="Rubrik2numrerat"/>
      </w:pPr>
      <w:bookmarkStart w:name="_Toc121752596" w:id="87"/>
      <w:r w:rsidRPr="006B7451">
        <w:t>Förändra bedömning</w:t>
      </w:r>
      <w:r w:rsidR="004333E5">
        <w:t>en</w:t>
      </w:r>
      <w:r w:rsidRPr="006B7451">
        <w:t xml:space="preserve"> för sjuk- och aktivitetsersättning</w:t>
      </w:r>
      <w:bookmarkEnd w:id="87"/>
    </w:p>
    <w:p w:rsidRPr="006B7451" w:rsidR="005B7C3B" w:rsidP="00045F2A" w:rsidRDefault="005B7C3B" w14:paraId="7E73B7A6" w14:textId="36BC0B41">
      <w:pPr>
        <w:pStyle w:val="Normalutanindragellerluft"/>
      </w:pPr>
      <w:r w:rsidRPr="006B7451">
        <w:rPr>
          <w:b/>
        </w:rPr>
        <w:t>Sverigedemokraternas förslag</w:t>
      </w:r>
      <w:r w:rsidRPr="00045F2A">
        <w:t>:</w:t>
      </w:r>
      <w:r w:rsidRPr="006B7451">
        <w:t xml:space="preserve"> Vid bedömning av sjuk</w:t>
      </w:r>
      <w:r w:rsidR="004333E5">
        <w:t>-</w:t>
      </w:r>
      <w:r w:rsidRPr="006B7451">
        <w:t xml:space="preserve"> och aktivitetsersättning </w:t>
      </w:r>
      <w:r w:rsidR="004333E5">
        <w:t xml:space="preserve">ska </w:t>
      </w:r>
      <w:r w:rsidRPr="006B7451">
        <w:t xml:space="preserve">bedömningen av den försäkrades arbetsförmåga göras mot samma arbetsmarknadsbegrepp som används vid prövning av rätt till sjukpenning. </w:t>
      </w:r>
    </w:p>
    <w:p w:rsidRPr="006B7451" w:rsidR="005B7C3B" w:rsidP="00045F2A" w:rsidRDefault="005B7C3B" w14:paraId="38594D32" w14:textId="39C94871">
      <w:pPr>
        <w:pStyle w:val="Normalutanindragellerluft"/>
        <w:spacing w:before="150"/>
      </w:pPr>
      <w:r w:rsidRPr="006B7451">
        <w:t xml:space="preserve">I dag görs en striktare bedömning för rätten till sjukersättning än </w:t>
      </w:r>
      <w:r w:rsidR="006A1C59">
        <w:t>i fråga om</w:t>
      </w:r>
      <w:r w:rsidRPr="006B7451">
        <w:t xml:space="preserve"> rätten till sjukpenning. Att steget till sjukersättning inte ska göras lättvindigt är viktigt för att undvika att människor hamnar i långa sjukskrivningar utan åtgärder. Tröskeln har dock blivit så hög att människor i stället hamnar i ekonomisk kris och under kommunens ansvar med försörjningsstöd</w:t>
      </w:r>
      <w:r w:rsidR="00DD189F">
        <w:t>,</w:t>
      </w:r>
      <w:r w:rsidRPr="006B7451">
        <w:t xml:space="preserve"> vilket inte är en rimlig lösning för svårt sjuka personer.</w:t>
      </w:r>
    </w:p>
    <w:p w:rsidRPr="006B7451" w:rsidR="005B7C3B" w:rsidP="00E024AF" w:rsidRDefault="005B7C3B" w14:paraId="54F35499" w14:textId="39CD0D44">
      <w:proofErr w:type="spellStart"/>
      <w:r w:rsidRPr="006B7451">
        <w:t>Nybeviljande</w:t>
      </w:r>
      <w:r w:rsidR="00616EA7">
        <w:t>t</w:t>
      </w:r>
      <w:proofErr w:type="spellEnd"/>
      <w:r w:rsidRPr="006B7451">
        <w:t xml:space="preserve"> av aktivitetsersättning har minskat kraftigt sedan 2016 och avslags</w:t>
      </w:r>
      <w:r w:rsidR="005240A3">
        <w:softHyphen/>
      </w:r>
      <w:r w:rsidRPr="006B7451">
        <w:t xml:space="preserve">frekvensen har ökat kraftigt över tid. Även för ansökan om </w:t>
      </w:r>
      <w:r w:rsidR="006A3704">
        <w:t xml:space="preserve">en </w:t>
      </w:r>
      <w:r w:rsidRPr="006B7451">
        <w:t>ny period med ersättning har ökningen av andelen avslag varit mycket stor och ökat från 3 procent år 2014 till 17 procent år 2018. Stora variationer och en instabil tillämpning innebär stora problem för rättssäkerhet</w:t>
      </w:r>
      <w:r w:rsidR="00B66C9C">
        <w:t>en</w:t>
      </w:r>
      <w:r w:rsidRPr="006B7451">
        <w:t>, förutsebarhet</w:t>
      </w:r>
      <w:r w:rsidR="00B66C9C">
        <w:t>en</w:t>
      </w:r>
      <w:r w:rsidRPr="006B7451">
        <w:t xml:space="preserve"> och tillit</w:t>
      </w:r>
      <w:r w:rsidR="00B66C9C">
        <w:t>en</w:t>
      </w:r>
      <w:r w:rsidRPr="006B7451">
        <w:t xml:space="preserve"> till försäkringen. För att uppnå mer rätts</w:t>
      </w:r>
      <w:r w:rsidR="005240A3">
        <w:softHyphen/>
      </w:r>
      <w:r w:rsidRPr="006B7451">
        <w:lastRenderedPageBreak/>
        <w:t xml:space="preserve">säkra rimliga bedömningar vad gäller </w:t>
      </w:r>
      <w:r w:rsidRPr="006B7451" w:rsidR="00A059E9">
        <w:t xml:space="preserve">både </w:t>
      </w:r>
      <w:r w:rsidRPr="006B7451">
        <w:t>sjuk</w:t>
      </w:r>
      <w:r w:rsidR="00A059E9">
        <w:t>-</w:t>
      </w:r>
      <w:r w:rsidRPr="006B7451">
        <w:t xml:space="preserve"> och aktivitetsersättningen föreslår utredningen SOU 2021:69 att bedömningen av den försäkrades arbetsförmåga görs mot samma arbetsmarknadsbegrepp som används vid prövning av rätt till sjukpenning. Det innebär att prövning av arbetsförmågan ska ske i enlighet med samma regelverk som regeringen föreslår för sjukpenningen i prop</w:t>
      </w:r>
      <w:r w:rsidR="006D448A">
        <w:t>osition</w:t>
      </w:r>
      <w:r w:rsidRPr="006B7451">
        <w:t xml:space="preserve"> 2020/21:171</w:t>
      </w:r>
      <w:r w:rsidR="006D448A">
        <w:t>,</w:t>
      </w:r>
      <w:r w:rsidRPr="006B7451">
        <w:t xml:space="preserve"> där prövning av arbetsförmåga ska göras mot förvärvsarbete i en sådan angiven yrkesgrupp som innehåller arbeten som är normalt förekommande på arbetsmarknaden eller mot </w:t>
      </w:r>
      <w:r w:rsidR="006D448A">
        <w:t xml:space="preserve">ett </w:t>
      </w:r>
      <w:r w:rsidRPr="006B7451">
        <w:t>annat lämpligt arbete som är tillgängligt för den försäkrade.</w:t>
      </w:r>
    </w:p>
    <w:p w:rsidRPr="006B7451" w:rsidR="00C264FD" w:rsidP="00E024AF" w:rsidRDefault="00C264FD" w14:paraId="354702D1" w14:textId="36BCD2E5">
      <w:r w:rsidRPr="006B7451">
        <w:t>Förslaget beräknas öka utgifterna i statens budget med 0,30 miljarder kronor 2022.</w:t>
      </w:r>
    </w:p>
    <w:p w:rsidRPr="006B7451" w:rsidR="005B7C3B" w:rsidP="00061FD5" w:rsidRDefault="005B7C3B" w14:paraId="16015ED5" w14:textId="77777777">
      <w:pPr>
        <w:pStyle w:val="Rubrik2numrerat"/>
        <w:ind w:left="482" w:hanging="482"/>
      </w:pPr>
      <w:bookmarkStart w:name="_Toc121752597" w:id="88"/>
      <w:r w:rsidRPr="006B7451">
        <w:t>Merkostnadsersättning och handikappersättning – inkludera hjälpbehov</w:t>
      </w:r>
      <w:bookmarkEnd w:id="88"/>
    </w:p>
    <w:p w:rsidRPr="006B7451" w:rsidR="005B7C3B" w:rsidP="008F556A" w:rsidRDefault="005B7C3B" w14:paraId="4D9FBE69" w14:textId="50BC37A0">
      <w:pPr>
        <w:pStyle w:val="Normalutanindragellerluft"/>
      </w:pPr>
      <w:r w:rsidRPr="006B7451">
        <w:rPr>
          <w:b/>
        </w:rPr>
        <w:t>Sverigedemokraternas förslag</w:t>
      </w:r>
      <w:r w:rsidRPr="00761EB6">
        <w:t>:</w:t>
      </w:r>
      <w:r w:rsidRPr="006B7451">
        <w:t xml:space="preserve"> Möjligheten att ansöka om ersättning för rena hjälpbehov ska återinföras</w:t>
      </w:r>
      <w:r w:rsidR="00AD5764">
        <w:t>.</w:t>
      </w:r>
    </w:p>
    <w:p w:rsidRPr="006B7451" w:rsidR="00E024AF" w:rsidP="008F556A" w:rsidRDefault="00E024AF" w14:paraId="0458A25B" w14:textId="77777777">
      <w:pPr>
        <w:pStyle w:val="Normalutanindragellerluft"/>
        <w:spacing w:before="150"/>
      </w:pPr>
      <w:r w:rsidRPr="006B7451">
        <w:t>Under föregående mandatperiod infördes</w:t>
      </w:r>
      <w:r w:rsidRPr="006B7451" w:rsidR="005B7C3B">
        <w:t xml:space="preserve"> nya regler vad gäller omvårdnadsersättning och merkostnadsersättning för barn och vuxna med funktionshinder. För barn innebar förändringen till övervägande del förbättringar. För vuxna innebar det dock att den nya omvårdnadsersättningen för rena hjälpbehov inte omfattar vuxna. Detta är något som satt personer med funktionshinder i oro för vad detta kommer innebära.</w:t>
      </w:r>
    </w:p>
    <w:p w:rsidRPr="006B7451" w:rsidR="00E024AF" w:rsidP="00B71288" w:rsidRDefault="005B7C3B" w14:paraId="14F53A71" w14:textId="6BE05EC5">
      <w:r w:rsidRPr="006B7451">
        <w:t>Handikappersättningen utgör 10–20 procent av nettoinkomsten för många låg</w:t>
      </w:r>
      <w:r w:rsidR="005240A3">
        <w:softHyphen/>
      </w:r>
      <w:r w:rsidRPr="006B7451">
        <w:t>inkomsttagare med funktionsnedsättning och har fungerat som ett stöd när samhällets övriga stöd inte räcker till. Mottagare och närstående har haft en viss flexibilitet med frihet och egenmakt. I och med införandet av ett strikt merkostnadsbegrepp kommer de behövandes egenmakt att begränsas och processen för att ansöka om merkostnads</w:t>
      </w:r>
      <w:r w:rsidR="005240A3">
        <w:softHyphen/>
      </w:r>
      <w:r w:rsidRPr="006B7451">
        <w:t>ersättning att försvåras.</w:t>
      </w:r>
    </w:p>
    <w:p w:rsidR="000F7498" w:rsidP="00B71288" w:rsidRDefault="00C264FD" w14:paraId="414204CE" w14:textId="426696BA">
      <w:r w:rsidRPr="006B7451">
        <w:t xml:space="preserve">Förslaget beräknas öka </w:t>
      </w:r>
      <w:r w:rsidRPr="006B7451" w:rsidR="00D241F3">
        <w:t>utgifterna</w:t>
      </w:r>
      <w:r w:rsidRPr="006B7451">
        <w:t xml:space="preserve"> i statens budget med 0,03 miljarder kronor 2022.</w:t>
      </w:r>
    </w:p>
    <w:p w:rsidRPr="006B7451" w:rsidR="00E024AF" w:rsidP="00ED5D60" w:rsidRDefault="00E024AF" w14:paraId="1ECFC8C2" w14:textId="77777777">
      <w:pPr>
        <w:pStyle w:val="Rubrik2numrerat"/>
      </w:pPr>
      <w:bookmarkStart w:name="_Toc121752598" w:id="89"/>
      <w:r w:rsidRPr="006B7451">
        <w:t>Bidrag för sjukskrivningsprocessen</w:t>
      </w:r>
      <w:bookmarkEnd w:id="89"/>
    </w:p>
    <w:p w:rsidRPr="006B7451" w:rsidR="00E024AF" w:rsidP="00761EB6" w:rsidRDefault="00E024AF" w14:paraId="24558DCD" w14:textId="04C82A73">
      <w:pPr>
        <w:pStyle w:val="Normalutanindragellerluft"/>
      </w:pPr>
      <w:r w:rsidRPr="006B7451">
        <w:rPr>
          <w:b/>
        </w:rPr>
        <w:t>Sverigedemokraternas förslag</w:t>
      </w:r>
      <w:r w:rsidRPr="00761EB6">
        <w:t xml:space="preserve">: </w:t>
      </w:r>
      <w:r w:rsidRPr="006B7451">
        <w:t xml:space="preserve">Rehabiliteringsinsatserna mellan </w:t>
      </w:r>
      <w:r w:rsidR="005B1E81">
        <w:t>F</w:t>
      </w:r>
      <w:r w:rsidRPr="006B7451">
        <w:t xml:space="preserve">örsäkringskassan och </w:t>
      </w:r>
      <w:r w:rsidR="005B1E81">
        <w:t>A</w:t>
      </w:r>
      <w:r w:rsidRPr="006B7451">
        <w:t>rbetsförmedlingen samt försäkringsmedicinska utredningar ska stärkas</w:t>
      </w:r>
      <w:r w:rsidR="005B1E81">
        <w:t>.</w:t>
      </w:r>
    </w:p>
    <w:p w:rsidRPr="006B7451" w:rsidR="00E024AF" w:rsidP="00761EB6" w:rsidRDefault="00E024AF" w14:paraId="012DA45A" w14:textId="19A091EC">
      <w:pPr>
        <w:pStyle w:val="Normalutanindragellerluft"/>
        <w:spacing w:before="150"/>
      </w:pPr>
      <w:r w:rsidRPr="006B7451">
        <w:t>Anslaget bidrag till sjukskrivningsprocessen innehåller en rad viktiga åtgärder</w:t>
      </w:r>
      <w:r w:rsidR="00D33864">
        <w:t>,</w:t>
      </w:r>
      <w:r w:rsidRPr="006B7451">
        <w:t xml:space="preserve"> däribland rehabiliteringsinsatser mellan </w:t>
      </w:r>
      <w:r w:rsidR="0015542A">
        <w:t>F</w:t>
      </w:r>
      <w:r w:rsidRPr="006B7451">
        <w:t xml:space="preserve">örsäkringskassan och </w:t>
      </w:r>
      <w:r w:rsidR="0015542A">
        <w:t>A</w:t>
      </w:r>
      <w:r w:rsidRPr="006B7451">
        <w:t xml:space="preserve">rbetsförmedlingen, samordningsförbunden och försäkringsmedicinska utredningar. I dag råder stora brister i </w:t>
      </w:r>
      <w:r w:rsidR="00F3733C">
        <w:t xml:space="preserve">fråga om </w:t>
      </w:r>
      <w:r w:rsidRPr="006B7451">
        <w:t xml:space="preserve">just tidiga rehabiliteringsinsatser, samordningen mellan </w:t>
      </w:r>
      <w:r w:rsidR="003C22C9">
        <w:t>F</w:t>
      </w:r>
      <w:r w:rsidRPr="006B7451">
        <w:t>örsäkringskassan</w:t>
      </w:r>
      <w:r w:rsidR="00F3733C">
        <w:t xml:space="preserve"> och</w:t>
      </w:r>
      <w:r w:rsidRPr="006B7451">
        <w:t xml:space="preserve"> </w:t>
      </w:r>
      <w:r w:rsidR="003C22C9">
        <w:t>A</w:t>
      </w:r>
      <w:r w:rsidRPr="006B7451">
        <w:t xml:space="preserve">rbetsförmedlingen samt utredningsarbetet. </w:t>
      </w:r>
      <w:r w:rsidR="00F3733C">
        <w:t>Av</w:t>
      </w:r>
      <w:r w:rsidRPr="006B7451">
        <w:t xml:space="preserve"> SOU 2020:6 framgår att utredningarna som ligger bakom beslut om sjukpenning är bristfälliga. Det kan till exempel handla om att Försäkringskassan i högre grad behöver träffa den försäkrade och på ett strukturerat sätt gå igenom både hinder och möjligheter för återgång i arbete eller att det bör finnas en bättre samordning med Arbetsförmedlingens bedömning av personens arbetsförmåga. Sverigedemokraterna menar därför att det i utredningsarbetet måste finnas en regelbunden personlig kontakt med avstämningsmöten och kontroll</w:t>
      </w:r>
      <w:r w:rsidR="005240A3">
        <w:softHyphen/>
      </w:r>
      <w:r w:rsidRPr="006B7451">
        <w:t xml:space="preserve">stationer som involverar den enskilde, arbetsgivaren, hälso- och sjukvården samt Försäkringskassan. Sverigedemokraterna menar att de olika insatser som kan göras </w:t>
      </w:r>
      <w:r w:rsidRPr="006B7451">
        <w:lastRenderedPageBreak/>
        <w:t>inom detta anslag vad gäller både rehabilitering, samordning och utredningsarbete kan åtgärda en del av de brister som finns.</w:t>
      </w:r>
    </w:p>
    <w:p w:rsidRPr="006B7451" w:rsidR="00C264FD" w:rsidP="00C264FD" w:rsidRDefault="00C264FD" w14:paraId="70A9C515" w14:textId="1B4D4FB1">
      <w:r w:rsidRPr="006B7451">
        <w:t>Förslaget beräknas öka utgifterna i statens budget med 0,10 miljarder kronor 2022.</w:t>
      </w:r>
    </w:p>
    <w:p w:rsidRPr="006B7451" w:rsidR="00E024AF" w:rsidP="0026758D" w:rsidRDefault="00E024AF" w14:paraId="538C278B" w14:textId="400AC301">
      <w:pPr>
        <w:pStyle w:val="Rubrik2numrerat"/>
        <w:ind w:left="482" w:hanging="482"/>
      </w:pPr>
      <w:bookmarkStart w:name="_Toc121752599" w:id="90"/>
      <w:r w:rsidRPr="006B7451">
        <w:t>Bemötande vid psykisk ohälsa och minska</w:t>
      </w:r>
      <w:r w:rsidR="0090146B">
        <w:t>de ha</w:t>
      </w:r>
      <w:r w:rsidRPr="006B7451">
        <w:t>ndläggningstider</w:t>
      </w:r>
      <w:bookmarkEnd w:id="90"/>
    </w:p>
    <w:p w:rsidRPr="006B7451" w:rsidR="00E024AF" w:rsidP="00761EB6" w:rsidRDefault="00E024AF" w14:paraId="42D5D630" w14:textId="6EB651D8">
      <w:pPr>
        <w:pStyle w:val="Normalutanindragellerluft"/>
      </w:pPr>
      <w:r w:rsidRPr="006B7451">
        <w:rPr>
          <w:b/>
        </w:rPr>
        <w:t>Sverigedemokraternas förslag</w:t>
      </w:r>
      <w:r w:rsidRPr="00761EB6">
        <w:t>:</w:t>
      </w:r>
      <w:r w:rsidRPr="006B7451">
        <w:t xml:space="preserve"> </w:t>
      </w:r>
      <w:r w:rsidRPr="006B7451" w:rsidR="00D86C1F">
        <w:t>K</w:t>
      </w:r>
      <w:r w:rsidRPr="006B7451">
        <w:t xml:space="preserve">ompetensen </w:t>
      </w:r>
      <w:r w:rsidR="000808B8">
        <w:t xml:space="preserve">i fråga om </w:t>
      </w:r>
      <w:r w:rsidRPr="006B7451">
        <w:t xml:space="preserve">att bemöta människor med psykisk ohälsa </w:t>
      </w:r>
      <w:r w:rsidRPr="006B7451" w:rsidR="000808B8">
        <w:t xml:space="preserve">ska stärkas </w:t>
      </w:r>
      <w:r w:rsidRPr="006B7451">
        <w:t>för alla inblandade instanser</w:t>
      </w:r>
      <w:r w:rsidR="000808B8">
        <w:t>,</w:t>
      </w:r>
      <w:r w:rsidRPr="006B7451">
        <w:t xml:space="preserve"> såsom hälso- och sjukvården samt berörda myndigheter.</w:t>
      </w:r>
    </w:p>
    <w:p w:rsidRPr="006B7451" w:rsidR="00E024AF" w:rsidP="0026758D" w:rsidRDefault="00E024AF" w14:paraId="2086CF59" w14:textId="6A6410EC">
      <w:pPr>
        <w:pStyle w:val="Normalutanindragellerluft"/>
        <w:spacing w:before="150"/>
      </w:pPr>
      <w:r w:rsidRPr="006B7451">
        <w:t>Psykisk ohälsa är den vanligaste orsaken till sjukskrivning i</w:t>
      </w:r>
      <w:r w:rsidRPr="006B7451" w:rsidR="003101B3">
        <w:t xml:space="preserve"> </w:t>
      </w:r>
      <w:r w:rsidRPr="006B7451">
        <w:t xml:space="preserve">dag och det finns ett stort behov </w:t>
      </w:r>
      <w:r w:rsidR="00DB7776">
        <w:t xml:space="preserve">av </w:t>
      </w:r>
      <w:r w:rsidRPr="006B7451">
        <w:t>att stärka stödet till de som sjukskrivs med psykiatriska diagnoser. Kompe</w:t>
      </w:r>
      <w:r w:rsidR="000F7498">
        <w:softHyphen/>
      </w:r>
      <w:r w:rsidRPr="006B7451">
        <w:t>tensen hos berörda myndigheter behöver också stärkas genom hela rehabiliterings</w:t>
      </w:r>
      <w:r w:rsidR="000F7498">
        <w:softHyphen/>
      </w:r>
      <w:r w:rsidRPr="006B7451">
        <w:t>kedjan. Många upplever sig illa bemötta då deras individuella situation inte passar in i ett stelbent system främst gjort för fysiska diagnoser. Den psykiska ohälsan är också ett jämställdhetsproblem då sjukfrånvaron är nästan dubbelt så hög bland kvinnor som bland män. Den vanligaste psykiatriska diagnosen är reaktioner på stress som leder till utbrändhet. Sammantaget finns det stora brister i sjukskrivnings- och rehabiliterings</w:t>
      </w:r>
      <w:r w:rsidR="000F7498">
        <w:softHyphen/>
      </w:r>
      <w:r w:rsidRPr="006B7451">
        <w:t>processen koppla</w:t>
      </w:r>
      <w:r w:rsidR="009F4FD2">
        <w:t>d</w:t>
      </w:r>
      <w:r w:rsidRPr="006B7451">
        <w:t xml:space="preserve"> till psykisk ohälsa. Sverigedemokraterna vill därför stärka kompe</w:t>
      </w:r>
      <w:r w:rsidR="000F7498">
        <w:softHyphen/>
      </w:r>
      <w:r w:rsidRPr="006B7451">
        <w:t>tensen att bemöta människor med psykisk ohälsa för alla inblandade instanser</w:t>
      </w:r>
      <w:r w:rsidR="00C60B11">
        <w:t>,</w:t>
      </w:r>
      <w:r w:rsidRPr="006B7451">
        <w:t xml:space="preserve"> såsom hälso- och sjukvården, Försäkringskassan och Arbetsförmedlingen.</w:t>
      </w:r>
    </w:p>
    <w:p w:rsidRPr="006B7451" w:rsidR="00E024AF" w:rsidP="00E024AF" w:rsidRDefault="00E024AF" w14:paraId="6ECD4FFD" w14:textId="1BEA2420">
      <w:r w:rsidRPr="006B7451">
        <w:t>Reformen av vårdbidraget och handikappersättningen till omvårdnadsbidrag och merkostnadsersättning har vidare bidragit till långa handläggningstid där många familjer och vuxna med funktionsnedsättning står utan ekonomiskt stöd. Enligt Försäkrings</w:t>
      </w:r>
      <w:r w:rsidR="000F7498">
        <w:softHyphen/>
      </w:r>
      <w:r w:rsidRPr="006B7451">
        <w:t>kassans handlingsplan på området förväntas myndigheten ha kommit ikapp först 2023. Vi vill därför stärka myndighetens förutsättningar i arbetet med handläggning, nyrekrytering och utbildning.</w:t>
      </w:r>
    </w:p>
    <w:p w:rsidR="00C264FD" w:rsidP="00E024AF" w:rsidRDefault="00C264FD" w14:paraId="47C12F0D" w14:textId="2309D280">
      <w:r w:rsidRPr="006B7451">
        <w:t>Förslaget beräknas öka utgifterna i statens budget med 0,10 miljarder kronor 2022.</w:t>
      </w:r>
    </w:p>
    <w:p w:rsidR="00F80001" w:rsidRDefault="00F80001" w14:paraId="4ADD509E" w14:textId="5AAD9AA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67D66" w:rsidP="00ED5D60" w:rsidRDefault="00D67D66" w14:paraId="558281C3" w14:textId="4614B252">
      <w:pPr>
        <w:pStyle w:val="Rubrik1numrerat"/>
      </w:pPr>
      <w:bookmarkStart w:name="_Toc121752600" w:id="91"/>
      <w:r w:rsidRPr="006B7451">
        <w:lastRenderedPageBreak/>
        <w:t>Trygga familjer grunden för ett tryggt samhälle</w:t>
      </w:r>
      <w:bookmarkEnd w:id="91"/>
    </w:p>
    <w:p w:rsidRPr="006B7451" w:rsidR="00D67D66" w:rsidP="00761EB6" w:rsidRDefault="00D67D66" w14:paraId="0AB90290" w14:textId="77777777">
      <w:pPr>
        <w:pStyle w:val="Normalutanindragellerluft"/>
      </w:pPr>
      <w:r w:rsidRPr="006B7451">
        <w:t>Sverigedemokraterna har en vision om en barndomsgaranti, som bland annat innebär att samhället, så långt det är möjligt, garanterar en trygg uppväxt för barn. Starka och trygga familjer är en nödvändig förutsättning för harmoniska samhällsförhållanden och politikens uppgift är att stödja familjerna utan att inkräkta på deras handlingsfrihet. Att familjer ges rätt förutsättningar att knyta band och kunna spendera tid tillsammans under de viktiga småbarnsåren är oerhört viktigt. Familjepolitiken ska samtidigt vara flexibel för att ge alla barnfamiljer rätt förutsättningar.</w:t>
      </w:r>
    </w:p>
    <w:p w:rsidRPr="006B7451" w:rsidR="00D67D66" w:rsidP="00ED5D60" w:rsidRDefault="00D67D66" w14:paraId="76A4174A" w14:textId="77777777">
      <w:pPr>
        <w:pStyle w:val="Rubrik2numrerat"/>
      </w:pPr>
      <w:bookmarkStart w:name="_Toc121752601" w:id="92"/>
      <w:r w:rsidRPr="006B7451">
        <w:t>Stärk de socioekonomiskt svaga barnfamiljerna</w:t>
      </w:r>
      <w:bookmarkEnd w:id="92"/>
    </w:p>
    <w:p w:rsidRPr="006B7451" w:rsidR="00D67D66" w:rsidP="00761EB6" w:rsidRDefault="00D67D66" w14:paraId="101E6EF1" w14:textId="3B7EB294">
      <w:pPr>
        <w:pStyle w:val="Normalutanindragellerluft"/>
      </w:pPr>
      <w:r w:rsidRPr="006B7451">
        <w:rPr>
          <w:b/>
        </w:rPr>
        <w:t>Sverigedemokraternas förslag</w:t>
      </w:r>
      <w:r w:rsidRPr="00761EB6">
        <w:t>:</w:t>
      </w:r>
      <w:r w:rsidRPr="006B7451">
        <w:t xml:space="preserve"> Inkomsttaket för bostadsbidraget ska höjas med 25</w:t>
      </w:r>
      <w:r w:rsidR="005F1191">
        <w:t> </w:t>
      </w:r>
      <w:r w:rsidRPr="006B7451">
        <w:t>000 kronor och intervallet för bostadskostnaden ska höjas med 500 kronor.</w:t>
      </w:r>
    </w:p>
    <w:p w:rsidRPr="006B7451" w:rsidR="00D67D66" w:rsidP="00761EB6" w:rsidRDefault="00D67D66" w14:paraId="7A92CD2B" w14:textId="521672B2">
      <w:pPr>
        <w:pStyle w:val="Normalutanindragellerluft"/>
        <w:spacing w:before="150"/>
      </w:pPr>
      <w:r w:rsidRPr="006B7451">
        <w:t xml:space="preserve">Bostadsbidraget är en viktig extra trygghet för barnfamiljer med låga inkomster. I dag lever i sammanhanget en alltför stor del barn i ekonomiskt svaga familjer, vilket för barnen kan innebära flera negativa konsekvenser. Det är exempelvis vanligare att barn som lever i ekonomiskt utsatta familjer utsätts för mobbning. Det påverkar även barnens möjlighet till fritidsaktiviteter samt kan leda till sämre resultat senare i skolåldern. Det bör vara en självklarhet att barnfattigdom inte ska finnas i Sverige. Bostadsbidraget är ett av de viktigaste instrumenten som i dag finns för att komma tillrätta med fattigdom då bidraget riktas särskilt till dem som har det svårast. </w:t>
      </w:r>
    </w:p>
    <w:p w:rsidRPr="006B7451" w:rsidR="00C264FD" w:rsidP="00C264FD" w:rsidRDefault="00C264FD" w14:paraId="423AF61F" w14:textId="103352BA">
      <w:r w:rsidRPr="006B7451">
        <w:t>Förslaget beräknas öka utgifterna i statens budget med 0,75 miljarder kronor 2022.</w:t>
      </w:r>
    </w:p>
    <w:p w:rsidRPr="006B7451" w:rsidR="00D67D66" w:rsidP="00ED5D60" w:rsidRDefault="00D67D66" w14:paraId="6CD5DE9C" w14:textId="77777777">
      <w:pPr>
        <w:pStyle w:val="Rubrik2numrerat"/>
      </w:pPr>
      <w:bookmarkStart w:name="_Toc121752602" w:id="93"/>
      <w:r w:rsidRPr="006B7451">
        <w:t>Bidrag till förstföderskor</w:t>
      </w:r>
      <w:bookmarkEnd w:id="93"/>
    </w:p>
    <w:p w:rsidRPr="006B7451" w:rsidR="00D67D66" w:rsidP="00761EB6" w:rsidRDefault="00D67D66" w14:paraId="63C9E767" w14:textId="7B04FFB9">
      <w:pPr>
        <w:pStyle w:val="Normalutanindragellerluft"/>
      </w:pPr>
      <w:r w:rsidRPr="006B7451">
        <w:rPr>
          <w:b/>
        </w:rPr>
        <w:t>Sverigedemokraternas förslag</w:t>
      </w:r>
      <w:r w:rsidRPr="00761EB6">
        <w:t>:</w:t>
      </w:r>
      <w:r w:rsidRPr="006B7451">
        <w:t xml:space="preserve"> Ett engångsbidrag till förstföderskor på 20</w:t>
      </w:r>
      <w:r w:rsidR="00446C87">
        <w:t> </w:t>
      </w:r>
      <w:r w:rsidRPr="006B7451">
        <w:t>000 kronor ska införas.</w:t>
      </w:r>
    </w:p>
    <w:p w:rsidRPr="006B7451" w:rsidR="00D67D66" w:rsidP="00761EB6" w:rsidRDefault="00D67D66" w14:paraId="53BF4770" w14:textId="6C4D3EE1">
      <w:pPr>
        <w:pStyle w:val="Normalutanindragellerluft"/>
        <w:spacing w:before="150"/>
      </w:pPr>
      <w:r w:rsidRPr="006B7451">
        <w:t>Som ett familjevänligt parti vill Sverigedemokraterna införa ett nytt bidrag till först</w:t>
      </w:r>
      <w:r w:rsidR="000F7498">
        <w:softHyphen/>
      </w:r>
      <w:r w:rsidRPr="006B7451">
        <w:t>föderskor. Detta ska vara ett engångsstöd, som utgår till förstföderskor och förstagångs</w:t>
      </w:r>
      <w:r w:rsidR="000F7498">
        <w:softHyphen/>
      </w:r>
      <w:r w:rsidRPr="006B7451">
        <w:t>adoptivföräldrar och ska kunna täcka en del av de engångskostnader som uppstår i samband med första barnet. Givetvis är det viktigt att varje familj, så långt det är möjligt, på egen hand skapar ekonomiska förutsättningar för familjebildning, men det är ändå viktigt att den nya familjen får ett extra stöd. Bilbarnstol och barnvagn är exempel på utgifter där också säkerheten för barnet utgör en viktig aspekt.</w:t>
      </w:r>
    </w:p>
    <w:p w:rsidRPr="006B7451" w:rsidR="00C264FD" w:rsidP="00C264FD" w:rsidRDefault="00C264FD" w14:paraId="69BE908D" w14:textId="14C4845C">
      <w:r w:rsidRPr="006B7451">
        <w:t>Förslaget beräknas öka utgifterna i statens budget med 1,00 miljarder kronor 2022.</w:t>
      </w:r>
    </w:p>
    <w:p w:rsidRPr="006B7451" w:rsidR="00D67D66" w:rsidP="00ED5D60" w:rsidRDefault="00D67D66" w14:paraId="6C24788A" w14:textId="77777777">
      <w:pPr>
        <w:pStyle w:val="Rubrik2numrerat"/>
      </w:pPr>
      <w:bookmarkStart w:name="_Toc121752603" w:id="94"/>
      <w:r w:rsidRPr="006B7451">
        <w:t>Graviditetsdagar och mödravårdsbesök</w:t>
      </w:r>
      <w:bookmarkEnd w:id="94"/>
    </w:p>
    <w:p w:rsidRPr="006B7451" w:rsidR="00D67D66" w:rsidP="00A862A0" w:rsidRDefault="00D67D66" w14:paraId="4E3132B4" w14:textId="77777777">
      <w:pPr>
        <w:pStyle w:val="Normalutanindragellerluft"/>
      </w:pPr>
      <w:r w:rsidRPr="006B7451">
        <w:rPr>
          <w:b/>
        </w:rPr>
        <w:t>Sverigedemokraternas förslag</w:t>
      </w:r>
      <w:r w:rsidRPr="00A862A0">
        <w:t>:</w:t>
      </w:r>
      <w:r w:rsidRPr="006B7451">
        <w:t xml:space="preserve"> Rätt till ytterligare 10 graviditetsdagar och rätt till tillfällig föräldrapenning för besök hos mödravården ska införas.</w:t>
      </w:r>
    </w:p>
    <w:p w:rsidRPr="006B7451" w:rsidR="00D67D66" w:rsidP="00A862A0" w:rsidRDefault="00D67D66" w14:paraId="507304DF" w14:textId="77777777">
      <w:pPr>
        <w:pStyle w:val="Normalutanindragellerluft"/>
        <w:spacing w:before="150"/>
      </w:pPr>
      <w:r w:rsidRPr="006B7451">
        <w:t xml:space="preserve">Sverigedemokraterna anser att det, särskilt under graviditetens sista fas, ska finnas förutsättningar för lugn och harmoni för såväl mamman som det ofödda barnet. Kvinnor som på grund av ett ansträngande yrke upplever besvär, har i dag möjlighet till graviditetspenning. Denna kan erhållas från och med 60:e dagen före beräknad födsel. Trots detta nekas många denna avlastning med följden att de tvingas fortsätta att arbeta </w:t>
      </w:r>
      <w:r w:rsidRPr="006B7451">
        <w:lastRenderedPageBreak/>
        <w:t>heltid, trots höggraviditet och inte sällan med fysiskt påfrestande arbetsuppgifter. Därför är det Sverigedemokraternas ambition att det ska bli lättare att beviljas ersättning från den 60:e dagen före beräknad förlossning. Dessutom bör kvinnor ha rätt till 10 dagar med graviditetspeng, som kan tas ut 30 dagar före beräknad förlossning, oavsett om man har behov av det i förhållande till sitt arbete eller inte.</w:t>
      </w:r>
    </w:p>
    <w:p w:rsidRPr="006B7451" w:rsidR="00D67D66" w:rsidP="00A862A0" w:rsidRDefault="00D67D66" w14:paraId="678EC4E9" w14:textId="4DBE5FE4">
      <w:r w:rsidRPr="006B7451">
        <w:t>Från den tidpunkt då graviditeten är bekräftad ska båda föräldrarna ha en lagstadgad rättighet att få ledigt från sitt arbete för att kunna delta vid besök i mödravården. Båda föräldrarna ska ha möjlighet att ansöka om en ny form av tillfällig föräldrapenning för besök hos mödravården. De ordinarie föräldrapenningdagarna ska inte behöva användas till detta före de 60 dagar före beräknad förlossning som båda föräldrarna numera har rätt att ta ut föräldrapenning för vid mödravårdsbesök.</w:t>
      </w:r>
    </w:p>
    <w:p w:rsidRPr="006B7451" w:rsidR="00C264FD" w:rsidP="00C264FD" w:rsidRDefault="00C264FD" w14:paraId="12B84951" w14:textId="764A4596">
      <w:r w:rsidRPr="006B7451">
        <w:t>Förslaget beräknas öka utgifterna i statens budget med 0,32 miljarder kronor 2022.</w:t>
      </w:r>
    </w:p>
    <w:p w:rsidRPr="006B7451" w:rsidR="00D67D66" w:rsidP="00ED5D60" w:rsidRDefault="006C0D2F" w14:paraId="6B25200B" w14:textId="77777777">
      <w:pPr>
        <w:pStyle w:val="Rubrik2numrerat"/>
      </w:pPr>
      <w:bookmarkStart w:name="_Toc121752604" w:id="95"/>
      <w:r w:rsidRPr="006B7451">
        <w:t>Snabbhetspremie</w:t>
      </w:r>
      <w:bookmarkEnd w:id="95"/>
    </w:p>
    <w:p w:rsidRPr="006B7451" w:rsidR="006C0D2F" w:rsidP="00A862A0" w:rsidRDefault="006C0D2F" w14:paraId="0A4B3A70" w14:textId="32CB32E2">
      <w:pPr>
        <w:pStyle w:val="Normalutanindragellerluft"/>
      </w:pPr>
      <w:r w:rsidRPr="006B7451">
        <w:rPr>
          <w:b/>
        </w:rPr>
        <w:t>Sverigedemokraternas förslag</w:t>
      </w:r>
      <w:r w:rsidRPr="00A862A0">
        <w:t>:</w:t>
      </w:r>
      <w:r w:rsidRPr="006B7451">
        <w:t xml:space="preserve"> Tidsramen för skyddandet av den sjukpenninggrundade inkomsten (SGI) bör gälla fram till dess att </w:t>
      </w:r>
      <w:r w:rsidR="003753D6">
        <w:t xml:space="preserve">det </w:t>
      </w:r>
      <w:r w:rsidRPr="006B7451">
        <w:t>senaste barnet fyllt tre år.</w:t>
      </w:r>
    </w:p>
    <w:p w:rsidRPr="006B7451" w:rsidR="006C0D2F" w:rsidP="00A862A0" w:rsidRDefault="00E024AF" w14:paraId="030D98A8" w14:textId="434942F9">
      <w:pPr>
        <w:pStyle w:val="Normalutanindragellerluft"/>
        <w:spacing w:before="150"/>
      </w:pPr>
      <w:r w:rsidRPr="006B7451">
        <w:t xml:space="preserve">Sverigedemokraterna värnar barnfamiljen och ser det som viktigt att föräldrar ges största möjlighet att forma småbarnsåren så att de blir så goda och trygga som möjligt. Tidsramen för skyddandet av den sjukpenninggrundade inkomsten (SGI) bör anses för kort och vi menar att den ska skyddas fram till dess att </w:t>
      </w:r>
      <w:r w:rsidR="000F7264">
        <w:t xml:space="preserve">det </w:t>
      </w:r>
      <w:r w:rsidRPr="006B7451">
        <w:t>senaste barnet fyllt tre år.</w:t>
      </w:r>
    </w:p>
    <w:p w:rsidRPr="006B7451" w:rsidR="00C264FD" w:rsidP="00C264FD" w:rsidRDefault="00C264FD" w14:paraId="4B8AD7E2" w14:textId="62737D3E">
      <w:r w:rsidRPr="006B7451">
        <w:t>Förslaget beräknas öka utgifterna i statens budget med 0,30 miljarder kronor 2022.</w:t>
      </w:r>
    </w:p>
    <w:p w:rsidRPr="006B7451" w:rsidR="006C0D2F" w:rsidP="00ED5D60" w:rsidRDefault="006C0D2F" w14:paraId="3BA620D3" w14:textId="6A722716">
      <w:pPr>
        <w:pStyle w:val="Rubrik2numrerat"/>
      </w:pPr>
      <w:bookmarkStart w:name="_Toc121752605" w:id="96"/>
      <w:r w:rsidRPr="006B7451">
        <w:t>Fler dubbeldagar</w:t>
      </w:r>
      <w:bookmarkEnd w:id="96"/>
    </w:p>
    <w:p w:rsidRPr="006B7451" w:rsidR="006C0D2F" w:rsidP="00A862A0" w:rsidRDefault="006C0D2F" w14:paraId="6F46168B" w14:textId="77777777">
      <w:pPr>
        <w:pStyle w:val="Normalutanindragellerluft"/>
      </w:pPr>
      <w:r w:rsidRPr="006B7451">
        <w:rPr>
          <w:b/>
        </w:rPr>
        <w:t>Sverigedemokraternas förslag</w:t>
      </w:r>
      <w:r w:rsidRPr="00A862A0">
        <w:t xml:space="preserve">: </w:t>
      </w:r>
      <w:r w:rsidRPr="006B7451">
        <w:t>Antalet dubbeldagar ska öka från 30 till 60.</w:t>
      </w:r>
    </w:p>
    <w:p w:rsidRPr="006B7451" w:rsidR="006C0D2F" w:rsidP="00A862A0" w:rsidRDefault="006C0D2F" w14:paraId="01A097FD" w14:textId="10373CC3">
      <w:pPr>
        <w:pStyle w:val="Normalutanindragellerluft"/>
        <w:spacing w:before="150"/>
      </w:pPr>
      <w:r w:rsidRPr="006B7451">
        <w:t>Uttaget av dubbeldagar är fortfarande förhållandevis lågt, vilket skulle kunna bero på</w:t>
      </w:r>
      <w:r w:rsidR="00B7693A">
        <w:t xml:space="preserve"> </w:t>
      </w:r>
      <w:r w:rsidRPr="006B7451">
        <w:t>att föräldrar inte har kunskap om detta eller det faktum att dagarna räcker en kortare tid.</w:t>
      </w:r>
      <w:r w:rsidR="00B7693A">
        <w:t xml:space="preserve"> </w:t>
      </w:r>
      <w:r w:rsidRPr="006B7451">
        <w:t>Men för de familjer som har ett behov har det lett till minskad psykisk ohälsa och</w:t>
      </w:r>
      <w:r w:rsidR="00B7693A">
        <w:t xml:space="preserve"> ett </w:t>
      </w:r>
      <w:r w:rsidRPr="006B7451">
        <w:t>minskat behov av sjukvård bland förstföderskor. Även vård- och läkemedelsbehovet minskade. I ISF</w:t>
      </w:r>
      <w:r w:rsidRPr="006B7451" w:rsidR="00D86C1F">
        <w:t>:s</w:t>
      </w:r>
      <w:r w:rsidRPr="006B7451">
        <w:t xml:space="preserve"> rapport</w:t>
      </w:r>
      <w:r w:rsidRPr="006B7451" w:rsidR="00202BA6">
        <w:t xml:space="preserve"> </w:t>
      </w:r>
      <w:r w:rsidRPr="006B7451">
        <w:rPr>
          <w:i/>
        </w:rPr>
        <w:t>Dubbeldagar – pappors väg in i föräldrapenningen</w:t>
      </w:r>
      <w:r w:rsidRPr="006B7451">
        <w:t xml:space="preserve"> </w:t>
      </w:r>
      <w:r w:rsidRPr="006B7451" w:rsidR="00202BA6">
        <w:t xml:space="preserve">konstateras </w:t>
      </w:r>
      <w:r w:rsidRPr="006B7451">
        <w:t>att pappors uttag under barnets första levnadsår har ökat och att pappor som tidigare valt att ej ta ut</w:t>
      </w:r>
      <w:r w:rsidRPr="006B7451" w:rsidR="00202BA6">
        <w:t xml:space="preserve"> </w:t>
      </w:r>
      <w:r w:rsidRPr="006B7451">
        <w:t>föräldrapenning nu har börjat ta ut dagar. Dubbeldagarna gör att föräldrar kan hjälpas åt</w:t>
      </w:r>
      <w:r w:rsidRPr="006B7451" w:rsidR="00202BA6">
        <w:t xml:space="preserve"> </w:t>
      </w:r>
      <w:r w:rsidRPr="006B7451">
        <w:t xml:space="preserve">i större utsträckning, utan att en av föräldrarna är hemma utan inkomst. </w:t>
      </w:r>
      <w:r w:rsidRPr="006B7451" w:rsidR="00202BA6">
        <w:t>Detta bör uppmuntras i högre utsträckning</w:t>
      </w:r>
      <w:r w:rsidR="009E16C9">
        <w:t>,</w:t>
      </w:r>
      <w:r w:rsidRPr="006B7451" w:rsidR="00202BA6">
        <w:t xml:space="preserve"> var</w:t>
      </w:r>
      <w:r w:rsidR="009E16C9">
        <w:t>för</w:t>
      </w:r>
      <w:r w:rsidRPr="006B7451" w:rsidR="00202BA6">
        <w:t xml:space="preserve"> Sverigedemokraterna föreslår att antalet dubbeldagar ska ökas.</w:t>
      </w:r>
    </w:p>
    <w:p w:rsidRPr="006B7451" w:rsidR="00C264FD" w:rsidP="00C264FD" w:rsidRDefault="00C264FD" w14:paraId="1CB0CD59" w14:textId="5FACC73A">
      <w:r w:rsidRPr="006B7451">
        <w:t>Förslaget beräknas öka utgifterna i statens budget med 0,10 miljarder kronor 2022.</w:t>
      </w:r>
    </w:p>
    <w:p w:rsidRPr="006B7451" w:rsidR="00D67D66" w:rsidP="00ED5D60" w:rsidRDefault="00202BA6" w14:paraId="08F36CDA" w14:textId="2987D26D">
      <w:pPr>
        <w:pStyle w:val="Rubrik2numrerat"/>
      </w:pPr>
      <w:bookmarkStart w:name="_Toc121752606" w:id="97"/>
      <w:r w:rsidRPr="006B7451">
        <w:t xml:space="preserve">Tillfällig föräldrapenning vid </w:t>
      </w:r>
      <w:r w:rsidR="0075256F">
        <w:t xml:space="preserve">ett </w:t>
      </w:r>
      <w:r w:rsidRPr="006B7451">
        <w:t>barns födelse eller adoption</w:t>
      </w:r>
      <w:bookmarkEnd w:id="97"/>
    </w:p>
    <w:p w:rsidRPr="006B7451" w:rsidR="00202BA6" w:rsidP="00A862A0" w:rsidRDefault="00202BA6" w14:paraId="7DA3938D" w14:textId="1B04A87C">
      <w:pPr>
        <w:pStyle w:val="Normalutanindragellerluft"/>
      </w:pPr>
      <w:r w:rsidRPr="006B7451">
        <w:rPr>
          <w:b/>
        </w:rPr>
        <w:t>Sverigedemokraternas förslag</w:t>
      </w:r>
      <w:r w:rsidRPr="00A862A0">
        <w:t>:</w:t>
      </w:r>
      <w:r w:rsidRPr="006B7451">
        <w:t xml:space="preserve"> Antalet dagar med föräldrapenning vid </w:t>
      </w:r>
      <w:r w:rsidR="0075256F">
        <w:t xml:space="preserve">ett </w:t>
      </w:r>
      <w:r w:rsidRPr="006B7451">
        <w:t>barns födelse eller adoption ska öka från 10 till 15.</w:t>
      </w:r>
    </w:p>
    <w:p w:rsidRPr="006B7451" w:rsidR="00202BA6" w:rsidP="00A862A0" w:rsidRDefault="00202BA6" w14:paraId="076081F3" w14:textId="232E1316">
      <w:pPr>
        <w:pStyle w:val="Normalutanindragellerluft"/>
        <w:spacing w:before="150"/>
      </w:pPr>
      <w:r w:rsidRPr="006B7451">
        <w:t xml:space="preserve">Den förälder som inte är gravid har rätt till tio dagars ledighet i samband med barnets födsel, så kallade pappadagar. Detta ger möjlighet till gemensam föräldranärvaro under </w:t>
      </w:r>
      <w:r w:rsidRPr="006B7451">
        <w:lastRenderedPageBreak/>
        <w:t>barnets första tid. Dessa dagar påverkar inte övriga föräldrapenningdagar. Att båda föräldrarna ges förutsättning att tillsammans knyta an till den nya bebisen, känna delaktighet</w:t>
      </w:r>
      <w:r w:rsidR="007E52DE">
        <w:t xml:space="preserve"> och</w:t>
      </w:r>
      <w:r w:rsidRPr="006B7451">
        <w:t xml:space="preserve"> få en god första tid tillsammans är oerhört viktigt. För föräldrar med äldre barn är det inte sällan som stress</w:t>
      </w:r>
      <w:r w:rsidR="007E52DE">
        <w:t>en</w:t>
      </w:r>
      <w:r w:rsidRPr="006B7451">
        <w:t xml:space="preserve"> och oro</w:t>
      </w:r>
      <w:r w:rsidR="007E52DE">
        <w:t>n</w:t>
      </w:r>
      <w:r w:rsidRPr="006B7451">
        <w:t xml:space="preserve"> ökar för mamman efter dessa två veckor på grund av att hon därefter ofta själv bär ansvaret för bebis</w:t>
      </w:r>
      <w:r w:rsidR="00E75E1A">
        <w:t>en</w:t>
      </w:r>
      <w:r w:rsidRPr="006B7451">
        <w:t>, syskon</w:t>
      </w:r>
      <w:r w:rsidR="00E75E1A">
        <w:t>et</w:t>
      </w:r>
      <w:r w:rsidRPr="006B7451">
        <w:t xml:space="preserve"> och hushåll</w:t>
      </w:r>
      <w:r w:rsidR="00E75E1A">
        <w:t>et</w:t>
      </w:r>
      <w:r w:rsidRPr="006B7451">
        <w:t xml:space="preserve">. För att ge föräldrarna en mer jämställd förutsättning i föräldraskapet från start, samt främja psykisk hälsa, bör antalet dagar med föräldrapenning vid </w:t>
      </w:r>
      <w:r w:rsidR="00E75E1A">
        <w:t xml:space="preserve">ett </w:t>
      </w:r>
      <w:r w:rsidRPr="006B7451">
        <w:t>barns födelse eller adoption öka.</w:t>
      </w:r>
    </w:p>
    <w:p w:rsidR="000F7498" w:rsidP="00C264FD" w:rsidRDefault="00C264FD" w14:paraId="106D1011" w14:textId="6E1CE050">
      <w:r w:rsidRPr="006B7451">
        <w:t>Förslaget beräknas öka utgifterna i statens budget med 0,58 miljarder kronor 2022.</w:t>
      </w:r>
    </w:p>
    <w:p w:rsidR="000F7498" w:rsidRDefault="000F7498" w14:paraId="64D6416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1C65EA92" w14:textId="38525FD1">
      <w:pPr>
        <w:pStyle w:val="Rubrik1numrerat"/>
      </w:pPr>
      <w:bookmarkStart w:name="_Toc121752607" w:id="98"/>
      <w:r w:rsidRPr="006B7451">
        <w:lastRenderedPageBreak/>
        <w:t>Försvar</w:t>
      </w:r>
      <w:bookmarkEnd w:id="98"/>
    </w:p>
    <w:p w:rsidRPr="006B7451" w:rsidR="004D1A7F" w:rsidP="003A40A5" w:rsidRDefault="004D1A7F" w14:paraId="0CE4ABB9" w14:textId="6F55E3C2">
      <w:pPr>
        <w:pStyle w:val="Normalutanindragellerluft"/>
      </w:pPr>
      <w:r w:rsidRPr="006B7451">
        <w:rPr>
          <w:b/>
        </w:rPr>
        <w:t>Sverigedemokraternas förslag</w:t>
      </w:r>
      <w:r w:rsidRPr="003A40A5">
        <w:t>:</w:t>
      </w:r>
      <w:r w:rsidRPr="006B7451">
        <w:t xml:space="preserve"> Försvarsberedningens rapporter ”Värnkraft” och ”Motståndskraft” ska finansieras fullt ut med målsättning</w:t>
      </w:r>
      <w:r w:rsidR="00B35534">
        <w:t>en</w:t>
      </w:r>
      <w:r w:rsidRPr="006B7451">
        <w:t xml:space="preserve"> att Försvarsmaktens medel uppgår till 84 miljarder kronor, motsvarande 1,5 procent av BNP, senast 2025. Förberedelser ska ske för</w:t>
      </w:r>
      <w:r w:rsidR="00B35534">
        <w:t xml:space="preserve"> en</w:t>
      </w:r>
      <w:r w:rsidRPr="006B7451">
        <w:t xml:space="preserve"> fortsatt stegvis upptrappning under kommande försvarsbeslut perioden 2026–2030 för att uppnå 2 procent av BNP senast 2030.</w:t>
      </w:r>
    </w:p>
    <w:p w:rsidRPr="006B7451" w:rsidR="004D1A7F" w:rsidP="003A40A5" w:rsidRDefault="004D1A7F" w14:paraId="3B9C9307" w14:textId="17151E1A">
      <w:pPr>
        <w:pStyle w:val="Normalutanindragellerluft"/>
        <w:spacing w:before="150"/>
      </w:pPr>
      <w:r w:rsidRPr="006B7451">
        <w:t>Sverigedemokraternas målsättning är att stärka det svenska totalförsvaret i en omfattning som återställer dess förmåga att skydda hela territoriet från yttre hot. Detta kräver rejäla satsningar på såväl ett skalförsvar som ett invasionsförsvar, i syfte att skapa en tröskeleffekt så att en presumtiv angripare avhåller sig från aggressions</w:t>
      </w:r>
      <w:r w:rsidR="000F7498">
        <w:softHyphen/>
      </w:r>
      <w:r w:rsidRPr="006B7451">
        <w:t xml:space="preserve">handlingar mot Sverige. Ett sådant försvar baseras inte bara på högteknologiska vapen, utan även </w:t>
      </w:r>
      <w:r w:rsidRPr="006B7451" w:rsidR="00A066ED">
        <w:t>på</w:t>
      </w:r>
      <w:r w:rsidRPr="006B7451">
        <w:t xml:space="preserve"> en stark försvarsvilja. Detta i sin tur uppnås genom satsningar på utökad värnplikt</w:t>
      </w:r>
      <w:r w:rsidRPr="006B7451" w:rsidR="00A066ED">
        <w:t xml:space="preserve"> </w:t>
      </w:r>
      <w:r w:rsidRPr="006B7451">
        <w:t>samt en stark uppslutning till totalförsvarets frivilligorganisationer.</w:t>
      </w:r>
    </w:p>
    <w:p w:rsidRPr="006B7451" w:rsidR="004D1A7F" w:rsidP="004D1A7F" w:rsidRDefault="004D1A7F" w14:paraId="1063F590" w14:textId="696D85A6">
      <w:r w:rsidRPr="006B7451">
        <w:t xml:space="preserve">Sverigedemokraterna anser att försvarsbudgeten, som andel av BNP, på sikt ska fördubblas jämfört med dagens nivå. För att undvika att Försvarsmakten blir en budgetregulator krävs en grundlag som reglerar att försvarsbudgeten ska ha en lägsta nivå om två procent av BNP. Antalet brigader i armén behöver utökas och förbandens materiel moderniseras. Detta kräver att fler regementen etableras. Sverige behöver också </w:t>
      </w:r>
      <w:r w:rsidR="00160531">
        <w:t>e</w:t>
      </w:r>
      <w:r w:rsidRPr="006B7451">
        <w:t xml:space="preserve">tt modernt luftvärnssystem med förmåga att </w:t>
      </w:r>
      <w:r w:rsidRPr="006B7451" w:rsidR="00A066ED">
        <w:t>möta kvalificerade hot</w:t>
      </w:r>
      <w:r w:rsidRPr="006B7451">
        <w:t>.</w:t>
      </w:r>
    </w:p>
    <w:p w:rsidRPr="006B7451" w:rsidR="004D1A7F" w:rsidP="004D1A7F" w:rsidRDefault="004D1A7F" w14:paraId="65D061E3" w14:textId="77777777">
      <w:r w:rsidRPr="006B7451">
        <w:t>Sverige har mer än 270 mil kust. För att kunna övervaka denna på ett effektivt sätt ser Sverigedemokraterna att den svenska marinen behöver förstärkas genom fler fartyg, ubåtar och amfibieförband. För att klara av utbildningen av fler förband behöver fler regementen och marinbaser etableras inom marinen. Även marinen har ett stort behov av modernt luftvärn.</w:t>
      </w:r>
    </w:p>
    <w:p w:rsidRPr="006B7451" w:rsidR="004D1A7F" w:rsidP="004D1A7F" w:rsidRDefault="004D1A7F" w14:paraId="06483F3C" w14:textId="0236B63E">
      <w:r w:rsidRPr="006B7451">
        <w:t xml:space="preserve">Sverigedemokraterna bedömer vidare att flygvapnet behöver tillföras ytterligare flygplan och basförband för att klara av en framtida hotmiljö och de krav som den kommer att ställa. Fler flygflottiljer behöver etableras för att klara av produktionen av dessa förband, </w:t>
      </w:r>
      <w:r w:rsidR="00A24CDC">
        <w:t xml:space="preserve">och </w:t>
      </w:r>
      <w:r w:rsidRPr="006B7451">
        <w:t>flygvapnet behöver även ersätta sina tunga transportflygplan. Om totalförsvaret ska kunna växa i enlighet med denna vision är en väl fungerande personalförsörjning helt avgörande. Antalet värnpliktiga kommer att behöva öka för att fylla upp nya förband med kompetent personal, vilket även innebär att officers</w:t>
      </w:r>
      <w:r w:rsidR="000F7498">
        <w:softHyphen/>
      </w:r>
      <w:r w:rsidRPr="006B7451">
        <w:t xml:space="preserve">utbildningen behöver utökas och omstruktureras. </w:t>
      </w:r>
    </w:p>
    <w:p w:rsidRPr="006B7451" w:rsidR="004D1A7F" w:rsidP="004D1A7F" w:rsidRDefault="004D1A7F" w14:paraId="1CAEA309" w14:textId="1E0DC64D">
      <w:r w:rsidRPr="006B7451">
        <w:t>Avslutningsvis är ett väl utbyggt och uthålligt civilförsvar av stor betydelse för Sveriges försvarsförmåga. För att återupprätta ett sådant krävs omfattande satsningar på området.</w:t>
      </w:r>
    </w:p>
    <w:p w:rsidR="00C264FD" w:rsidP="004D1A7F" w:rsidRDefault="00C264FD" w14:paraId="117D30D9" w14:textId="16E6D4D4">
      <w:r w:rsidRPr="006B7451">
        <w:t>Förslaget beräknas öka utgifterna i statens budget med 2,93 miljarder kronor</w:t>
      </w:r>
      <w:r w:rsidRPr="006B7451" w:rsidR="00D241F3">
        <w:t xml:space="preserve"> 2022</w:t>
      </w:r>
      <w:r w:rsidRPr="006B7451">
        <w:t>.</w:t>
      </w:r>
    </w:p>
    <w:p w:rsidR="000541B8" w:rsidRDefault="000541B8" w14:paraId="307F9033" w14:textId="28CBBD6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633FD8" w:rsidP="00ED5D60" w:rsidRDefault="004D1A7F" w14:paraId="72B1599F" w14:textId="77777777">
      <w:pPr>
        <w:pStyle w:val="Rubrik1numrerat"/>
      </w:pPr>
      <w:bookmarkStart w:name="_Toc121752608" w:id="99"/>
      <w:r w:rsidRPr="006B7451">
        <w:lastRenderedPageBreak/>
        <w:t>Krisberedskap</w:t>
      </w:r>
      <w:bookmarkEnd w:id="99"/>
    </w:p>
    <w:p w:rsidRPr="006B7451" w:rsidR="002616A8" w:rsidP="00F33AEE" w:rsidRDefault="00E168C7" w14:paraId="7CB05D34" w14:textId="3246C611">
      <w:pPr>
        <w:pStyle w:val="Normalutanindragellerluft"/>
      </w:pPr>
      <w:r w:rsidRPr="006B7451">
        <w:t xml:space="preserve">Vid återkommande tillfällen har svensk krisberedskap visat sig vara otillräcklig. Det uppenbarade sig vid tsunamikatastrofen 2004 då </w:t>
      </w:r>
      <w:r w:rsidR="00C143EC">
        <w:t xml:space="preserve">det </w:t>
      </w:r>
      <w:r w:rsidRPr="006B7451">
        <w:t>saknades en fungerande organisation för hantering av större kriser. Det uppenbarade sig vid skogsbränderna 2014 och 2018</w:t>
      </w:r>
      <w:r w:rsidRPr="006B7451" w:rsidR="002616A8">
        <w:t xml:space="preserve"> då det saknades både utrustning och personal. Coronapandemin har inte varit ett undantag. Det kommer att komma fler kriser, och då krävs det en tydlig ansvarsfördelning, en tydlig ledning och stora förberedelser.</w:t>
      </w:r>
    </w:p>
    <w:p w:rsidRPr="006B7451" w:rsidR="009959DB" w:rsidP="00ED5D60" w:rsidRDefault="009959DB" w14:paraId="50D88910" w14:textId="2E7037FF">
      <w:pPr>
        <w:pStyle w:val="Rubrik2numrerat"/>
      </w:pPr>
      <w:bookmarkStart w:name="_Toc121752609" w:id="100"/>
      <w:r w:rsidRPr="006B7451">
        <w:t>Beredskapslager</w:t>
      </w:r>
      <w:bookmarkEnd w:id="100"/>
    </w:p>
    <w:p w:rsidRPr="006B7451" w:rsidR="002616A8" w:rsidP="00F33AEE" w:rsidRDefault="002616A8" w14:paraId="2220FEAA" w14:textId="2BBB955F">
      <w:pPr>
        <w:pStyle w:val="Normalutanindragellerluft"/>
        <w:rPr>
          <w:b/>
        </w:rPr>
      </w:pPr>
      <w:r w:rsidRPr="006B7451">
        <w:rPr>
          <w:b/>
        </w:rPr>
        <w:t>Sverigedemokraternas förslag</w:t>
      </w:r>
      <w:r w:rsidRPr="00F33AEE">
        <w:t xml:space="preserve">: </w:t>
      </w:r>
      <w:r w:rsidRPr="006B7451">
        <w:t>Beredskapslager för eventuella krissituationer ska upprättas.</w:t>
      </w:r>
    </w:p>
    <w:p w:rsidRPr="006B7451" w:rsidR="009959DB" w:rsidP="00F33AEE" w:rsidRDefault="009959DB" w14:paraId="1E0F0148" w14:textId="5E50D1F5">
      <w:pPr>
        <w:pStyle w:val="Normalutanindragellerluft"/>
        <w:spacing w:before="150"/>
      </w:pPr>
      <w:r w:rsidRPr="006B7451">
        <w:t>Sveriges beredskapslager avvecklades stegvis från 1990-talet och framåt. Lagringen av exempelvis livsmedel, läkemedel, sjukvårdsmaterial samt drivmedel avsåg att göra Sverige mindre sårbart för längre perioder av avspärrning. Vad gäller insatsmedel till jordbruket var lagren dimensionerade för att klara flera års blockad. Besynnerligt nog innebar EU-medlemskapet, då det svenska jordbruket inledde sin tillbakagång, att lagren minskades väsentligt. Regeringen och berörda myndigheter bör skyndsamt planera för inrättandet av beredskapslager för eventuella krissituationer. Utöver lager av</w:t>
      </w:r>
      <w:r w:rsidRPr="006B7451" w:rsidR="00A265C9">
        <w:t xml:space="preserve"> läkemedel, skyddsutrustning</w:t>
      </w:r>
      <w:r w:rsidR="00E43E4F">
        <w:t>,</w:t>
      </w:r>
      <w:r w:rsidRPr="006B7451" w:rsidR="00A265C9">
        <w:t xml:space="preserve"> medicinsk utrustning och</w:t>
      </w:r>
      <w:r w:rsidRPr="006B7451">
        <w:t xml:space="preserve"> livsmedel bör Sverige bygga upp förråd av insatsvaror såsom utsäde, </w:t>
      </w:r>
      <w:proofErr w:type="spellStart"/>
      <w:r w:rsidRPr="006B7451">
        <w:t>agrokemikalier</w:t>
      </w:r>
      <w:proofErr w:type="spellEnd"/>
      <w:r w:rsidRPr="006B7451">
        <w:t xml:space="preserve"> och drivmedel.</w:t>
      </w:r>
    </w:p>
    <w:p w:rsidRPr="006B7451" w:rsidR="00C264FD" w:rsidP="00C264FD" w:rsidRDefault="00C264FD" w14:paraId="0E30E6BE" w14:textId="4A7FA5F0">
      <w:r w:rsidRPr="006B7451">
        <w:t>Förslaget beräknas öka utgifterna i statens budget med 0,30 miljarder kronor 2022.</w:t>
      </w:r>
    </w:p>
    <w:p w:rsidRPr="006B7451" w:rsidR="009959DB" w:rsidP="00ED5D60" w:rsidRDefault="009959DB" w14:paraId="40B0F229" w14:textId="0F5CB950">
      <w:pPr>
        <w:pStyle w:val="Rubrik2numrerat"/>
      </w:pPr>
      <w:bookmarkStart w:name="_Toc121752610" w:id="101"/>
      <w:r w:rsidRPr="006B7451">
        <w:t>Högre självförsörjningsgrad</w:t>
      </w:r>
      <w:bookmarkEnd w:id="101"/>
    </w:p>
    <w:p w:rsidRPr="006B7451" w:rsidR="009959DB" w:rsidP="00F33AEE" w:rsidRDefault="009959DB" w14:paraId="5F46E1EA" w14:textId="262E02D7">
      <w:pPr>
        <w:pStyle w:val="Normalutanindragellerluft"/>
      </w:pPr>
      <w:r w:rsidRPr="006B7451">
        <w:t>Trots relativt goda geografiska förutsättningar för ett både miljövänligt och hög</w:t>
      </w:r>
      <w:r w:rsidR="000F7498">
        <w:softHyphen/>
      </w:r>
      <w:r w:rsidRPr="006B7451">
        <w:t xml:space="preserve">produktivt jordbruk har den så kallade självförsörjningsgraden i Sverige sjunkit till omkring 50 procent. </w:t>
      </w:r>
      <w:r w:rsidRPr="006B7451" w:rsidR="00A066ED">
        <w:t>V</w:t>
      </w:r>
      <w:r w:rsidRPr="006B7451">
        <w:t xml:space="preserve">i </w:t>
      </w:r>
      <w:r w:rsidRPr="006B7451" w:rsidR="00E34178">
        <w:t xml:space="preserve">producerar </w:t>
      </w:r>
      <w:r w:rsidRPr="006B7451">
        <w:t>mindre än hälften av de livsmedel vi konsumerar,</w:t>
      </w:r>
      <w:r w:rsidRPr="006B7451" w:rsidR="00E34178">
        <w:t xml:space="preserve"> vilket är</w:t>
      </w:r>
      <w:r w:rsidRPr="006B7451">
        <w:t xml:space="preserve"> ett resultat av att politiker i decennier har negligerat lantbrukarnas villkor. Den senaste tidens utveckling understryker att livsmedel inte kan jämföras med vilken handelsvara som helst. I en krissituation måste Sverige kunna lita till egna resurser och beredskapslager för att under en period leverera de livsmedel som </w:t>
      </w:r>
      <w:r w:rsidRPr="006B7451" w:rsidR="00E34178">
        <w:t>befolkningen</w:t>
      </w:r>
      <w:r w:rsidRPr="006B7451">
        <w:t xml:space="preserve"> behöver. Så är inte fallet i dag.</w:t>
      </w:r>
    </w:p>
    <w:p w:rsidRPr="006B7451" w:rsidR="009959DB" w:rsidP="00ED5D60" w:rsidRDefault="009959DB" w14:paraId="5459B291" w14:textId="4B2EA9E0">
      <w:pPr>
        <w:pStyle w:val="Rubrik2numrerat"/>
      </w:pPr>
      <w:bookmarkStart w:name="_Toc121752611" w:id="102"/>
      <w:r w:rsidRPr="006B7451">
        <w:t>Säkra elleveranser</w:t>
      </w:r>
      <w:bookmarkEnd w:id="102"/>
    </w:p>
    <w:p w:rsidRPr="006B7451" w:rsidR="009959DB" w:rsidP="00F33AEE" w:rsidRDefault="009959DB" w14:paraId="1024348D" w14:textId="3165B719">
      <w:pPr>
        <w:pStyle w:val="Normalutanindragellerluft"/>
      </w:pPr>
      <w:r w:rsidRPr="006B7451">
        <w:t xml:space="preserve">Sveriges elleveranser har under lång tid kännetecknats av en hög </w:t>
      </w:r>
      <w:proofErr w:type="spellStart"/>
      <w:r w:rsidRPr="006B7451">
        <w:t>elkvalitet</w:t>
      </w:r>
      <w:proofErr w:type="spellEnd"/>
      <w:r w:rsidRPr="006B7451">
        <w:t xml:space="preserve"> och god driftssäkerhet. Ett flertal stora kraftstationer har dock under de senaste åren försvunnit från det svenska kraftsystemet. Det har bland annat lett till en svagare effektbalans, stegrande elpriser och att Sverige blivit allt mer beroende av importerad el. Vidare stiger kostnaderna för stödtjänster för elsystemet</w:t>
      </w:r>
      <w:r w:rsidR="00542078">
        <w:t>,</w:t>
      </w:r>
      <w:r w:rsidRPr="006B7451">
        <w:t xml:space="preserve"> vilket i slutändan drabbar konsumenter och företag i form av högre elpriser. Att regeringen samtidigt överväger att göra mer av det som lett fel inom energipolitiken genom subventioner till havsbaserad vindkraft är anmärkningsvärt. I ljuset av detta samt att vi står inför en omfattande elektrifiering av bland annat transportsektorn menar Sverigedemokraterna att energipolitiken ska vara inriktad på att säkerställa en långsiktigt konkurrenskraftig och tillförlitlig energi</w:t>
      </w:r>
      <w:r w:rsidR="000F7498">
        <w:softHyphen/>
      </w:r>
      <w:r w:rsidRPr="006B7451">
        <w:lastRenderedPageBreak/>
        <w:t>försörjning för såväl hushåll som näringsliv. Detta bland annat genom att ett mål för leveranssäkerheten fastslås som den förda energipolitiken ska sträva efter att uppnå</w:t>
      </w:r>
      <w:r w:rsidR="00041716">
        <w:t xml:space="preserve"> och a</w:t>
      </w:r>
      <w:r w:rsidRPr="006B7451">
        <w:t>tt målet om att svensk elproduktion ska vara förnybar ersätts med ett mål om helt fossilfri produktion. I stället för att avveckla fungerande kärnkraftsreaktorer ska modern och än mer säker kärnkraft i Sverige utvecklas.</w:t>
      </w:r>
    </w:p>
    <w:p w:rsidRPr="006B7451" w:rsidR="009959DB" w:rsidP="00ED5D60" w:rsidRDefault="009959DB" w14:paraId="5800D0D3" w14:textId="77777777">
      <w:pPr>
        <w:pStyle w:val="Rubrik2numrerat"/>
      </w:pPr>
      <w:bookmarkStart w:name="_Toc121752612" w:id="103"/>
      <w:r w:rsidRPr="006B7451">
        <w:t>Nordisk krisberedskap</w:t>
      </w:r>
      <w:bookmarkEnd w:id="103"/>
    </w:p>
    <w:p w:rsidRPr="006B7451" w:rsidR="009959DB" w:rsidP="00F33AEE" w:rsidRDefault="009959DB" w14:paraId="3258130F" w14:textId="4C27A21B">
      <w:pPr>
        <w:pStyle w:val="Normalutanindragellerluft"/>
      </w:pPr>
      <w:r w:rsidRPr="006B7451">
        <w:t>Coronapandemin är en stark påminnelse om behovet av samverkan, särskilt med våra närmaste grannar. Behovet fanns även 2018 när omfattande skogsbränder härjade samtidigt i flera av de nordiska länder</w:t>
      </w:r>
      <w:r w:rsidR="001D37F3">
        <w:t>na</w:t>
      </w:r>
      <w:r w:rsidRPr="006B7451">
        <w:t xml:space="preserve"> och 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i om vi nordiska grann</w:t>
      </w:r>
      <w:r w:rsidR="00FD5B0C">
        <w:softHyphen/>
      </w:r>
      <w:r w:rsidRPr="006B7451">
        <w:t xml:space="preserve">länder i mycket högre grad kunde upprätta en gemensam krisberedskap som utan onödiga hinder kan operera över våra gränser. Räddningstjänstsamarbetet </w:t>
      </w:r>
      <w:proofErr w:type="spellStart"/>
      <w:r w:rsidRPr="006B7451">
        <w:t>Nordred</w:t>
      </w:r>
      <w:proofErr w:type="spellEnd"/>
      <w:r w:rsidRPr="006B7451">
        <w:t xml:space="preserve"> möjliggör förvisso värdefullt räddningstjänstutbyte, men långt ifrån tillräckligt i förhållande till vad som skulle kunna organiseras och behövas vid kriser och katastrofer av dignitet och vidsträckthet. Risken för fler naturkatastrofer, störningar och påfres</w:t>
      </w:r>
      <w:r w:rsidR="00FD5B0C">
        <w:softHyphen/>
      </w:r>
      <w:r w:rsidRPr="006B7451">
        <w:t xml:space="preserve">tningar på infrastruktur eller ytterligare pandemier kan inte negligeras utan behöver mötas med en god beredskap. Sverige borde vara initiativtagare till att bygga vidare på det goda samarbete som redan existerar inom </w:t>
      </w:r>
      <w:proofErr w:type="spellStart"/>
      <w:r w:rsidRPr="006B7451">
        <w:t>Nordred</w:t>
      </w:r>
      <w:proofErr w:type="spellEnd"/>
      <w:r w:rsidRPr="006B7451">
        <w:t xml:space="preserve"> och verka för att de nordiska länderna tar ytterligare kliv mot ett närmare samarbete inom krisberedskapen.</w:t>
      </w:r>
    </w:p>
    <w:p w:rsidR="009959DB" w:rsidP="002757F2" w:rsidRDefault="009959DB" w14:paraId="77DFE935" w14:textId="0B15DAA9">
      <w:r w:rsidRPr="006B7451">
        <w:t xml:space="preserve">Sverigedemokraterna och vår partigrupp i Nordiska rådet, Nordisk Frihet, menar att vår samlade beredskap behöver inventeras, samordnas och koordineras. Vi menar också att vi skulle tjäna på att bygga upp viss beredskap tillsammans, såsom en gemensam brandflygsflotta, där vi skulle få ut avsevärt mycket mer förmåga och effekt genom att samverka kring resursförmåga än </w:t>
      </w:r>
      <w:r w:rsidR="00E97EDE">
        <w:t>om</w:t>
      </w:r>
      <w:r w:rsidRPr="006B7451">
        <w:t xml:space="preserve"> varje nordiskt land ska bygga upp och upprätthålla beredskap som är svår att försörja på egen hand.</w:t>
      </w:r>
    </w:p>
    <w:p w:rsidR="0027081A" w:rsidRDefault="0027081A" w14:paraId="60724D19" w14:textId="432026B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63A9778B" w14:textId="0A977B90">
      <w:pPr>
        <w:pStyle w:val="Rubrik1numrerat"/>
      </w:pPr>
      <w:bookmarkStart w:name="_Toc121752613" w:id="104"/>
      <w:r w:rsidRPr="006B7451">
        <w:lastRenderedPageBreak/>
        <w:t>Migration</w:t>
      </w:r>
      <w:r w:rsidRPr="006B7451" w:rsidR="007F3F34">
        <w:t xml:space="preserve"> och integration</w:t>
      </w:r>
      <w:bookmarkEnd w:id="104"/>
    </w:p>
    <w:p w:rsidRPr="006B7451" w:rsidR="005844EF" w:rsidP="005844EF" w:rsidRDefault="005844EF" w14:paraId="775BE98F" w14:textId="2DCC7F82">
      <w:pPr>
        <w:ind w:firstLine="0"/>
      </w:pPr>
      <w:r w:rsidRPr="006B7451">
        <w:t xml:space="preserve">Sedan migrationskrisen 2015 utgick Sveriges </w:t>
      </w:r>
      <w:proofErr w:type="spellStart"/>
      <w:r w:rsidRPr="006B7451">
        <w:t>migrationspolitik</w:t>
      </w:r>
      <w:proofErr w:type="spellEnd"/>
      <w:r w:rsidRPr="006B7451">
        <w:t xml:space="preserve"> från en tillfällig lag som förläng</w:t>
      </w:r>
      <w:r w:rsidR="0012124B">
        <w:t>de</w:t>
      </w:r>
      <w:r w:rsidRPr="006B7451">
        <w:t>s och omarbeta</w:t>
      </w:r>
      <w:r w:rsidR="0012124B">
        <w:t>de</w:t>
      </w:r>
      <w:r w:rsidRPr="006B7451">
        <w:t xml:space="preserve">s över tiden. För att få till stånd en långsiktigt hållbar </w:t>
      </w:r>
      <w:proofErr w:type="spellStart"/>
      <w:r w:rsidRPr="006B7451">
        <w:t>migrationspolitik</w:t>
      </w:r>
      <w:proofErr w:type="spellEnd"/>
      <w:r w:rsidRPr="006B7451">
        <w:t xml:space="preserve"> förhandlade representanter från alla riksdagspartier i över ett år i Migrationskommittén.</w:t>
      </w:r>
      <w:r w:rsidRPr="006B7451" w:rsidR="001645D9">
        <w:t xml:space="preserve"> </w:t>
      </w:r>
      <w:r w:rsidRPr="006B7451">
        <w:t>Sverigedemokraterna var djupt engagerade i förhandlingarna, i förhoppningen att de gångna årens skadliga politik skulle kunna motarbetas. Dessvärre valde majoriteten att gå en annan väg, och kommitténs förslag vattnades ur till att bli värre än den tillfälliga lagen. I ett omfattande särskilt yttrande framlade Sverige</w:t>
      </w:r>
      <w:r w:rsidR="002757F2">
        <w:softHyphen/>
      </w:r>
      <w:r w:rsidRPr="006B7451">
        <w:t>demokraterna sin alternativa syn på sakfrågorna.</w:t>
      </w:r>
    </w:p>
    <w:p w:rsidRPr="006B7451" w:rsidR="005844EF" w:rsidP="005844EF" w:rsidRDefault="005844EF" w14:paraId="1C1BF987" w14:textId="71A3CB49">
      <w:r w:rsidRPr="006B7451">
        <w:t xml:space="preserve">Tyvärr nöjde sig inte regeringen med kommitténs förslag, utan införde sedermera ytterligare uppluckringar och undantag. Det rörde sig bland annat om att reglerna för anhöriginvandring gjordes mer generösa och att kvotflyktingar skulle befrias från försörjningskrav vid anhöriginvandring. Men den största förändringen utgörs av en kraftigt utökad bestämmelse om humanitära skäl, sannolikt den mest generösa i Sveriges historia. </w:t>
      </w:r>
    </w:p>
    <w:p w:rsidRPr="006B7451" w:rsidR="005844EF" w:rsidP="005844EF" w:rsidRDefault="005844EF" w14:paraId="78407D24" w14:textId="6792F38B">
      <w:r w:rsidRPr="006B7451">
        <w:t xml:space="preserve">Regeringens förslag fick massiv kritik från en rad remissinstanser, i synnerhet för de bristfälliga konsekvensanalyserna. En rad myndigheter har pekat på att kostnaderna kommer </w:t>
      </w:r>
      <w:r w:rsidR="001C2C99">
        <w:t xml:space="preserve">att </w:t>
      </w:r>
      <w:r w:rsidRPr="006B7451">
        <w:t xml:space="preserve">öka, medan andra ifrågasatt både syftet och meningen med regeringens förslag. Det är tydligt att de kommer </w:t>
      </w:r>
      <w:r w:rsidR="00220F88">
        <w:t xml:space="preserve">att </w:t>
      </w:r>
      <w:r w:rsidRPr="006B7451">
        <w:t>skada Sverige, men även andra faktorer spelar en roll här.</w:t>
      </w:r>
    </w:p>
    <w:p w:rsidRPr="006B7451" w:rsidR="00F064A6" w:rsidP="005844EF" w:rsidRDefault="005844EF" w14:paraId="5D0DCAC2" w14:textId="1944657C">
      <w:r w:rsidRPr="006B7451">
        <w:t xml:space="preserve">Migrationsflödena till Sverige har minskat under 2020, något som dock beror på den världsomspännande nedstängningen efter coronapandemin snarare än den svenska regeringens beslut. Minskningen i sig har varit välkommen, men det är uppenbart att den kommer </w:t>
      </w:r>
      <w:r w:rsidR="005F2892">
        <w:t xml:space="preserve">att </w:t>
      </w:r>
      <w:r w:rsidRPr="006B7451">
        <w:t>följas av en ökning när pandemin väl klingat ut och massvaccinering kommit igång. Trots minskningen beviljades under 2020 nästan 90</w:t>
      </w:r>
      <w:r w:rsidR="004F0921">
        <w:t> </w:t>
      </w:r>
      <w:r w:rsidRPr="006B7451">
        <w:t>000 uppehålls</w:t>
      </w:r>
      <w:r w:rsidR="002757F2">
        <w:softHyphen/>
      </w:r>
      <w:r w:rsidRPr="006B7451">
        <w:t xml:space="preserve">tillstånd. Givet regeringens enträgna försök att luckra upp lagstiftningen och göra Sverige mer attraktivt för asylshopping och andra liknande fenomen, ser det mörkt ut inför framtiden. Sverigedemokraterna kommer dock fortsätta </w:t>
      </w:r>
      <w:r w:rsidR="004746C0">
        <w:t xml:space="preserve">att </w:t>
      </w:r>
      <w:r w:rsidRPr="006B7451">
        <w:t xml:space="preserve">arbeta enträget för en fungerande och ansvarsfull </w:t>
      </w:r>
      <w:proofErr w:type="spellStart"/>
      <w:r w:rsidRPr="006B7451">
        <w:t>migrationspolitik</w:t>
      </w:r>
      <w:proofErr w:type="spellEnd"/>
      <w:r w:rsidRPr="006B7451">
        <w:t xml:space="preserve"> som sätter Sverige och dess folk i första rummet.</w:t>
      </w:r>
    </w:p>
    <w:p w:rsidRPr="006B7451" w:rsidR="005844EF" w:rsidP="005844EF" w:rsidRDefault="005844EF" w14:paraId="752857E7" w14:textId="6FF615EB">
      <w:r w:rsidRPr="006B7451">
        <w:t>Enligt undersökningen MIPEX är Sverige det land som spenderar mest pengar på integrationspolitik, samtidigt som vi enligt OECD-rapporten International Migration Outlook har det största gapet mellan in- och utrikes födda vad gäller sysselsättning av samtliga 37 OECD-länder. Enligt P</w:t>
      </w:r>
      <w:r w:rsidR="006B4E93">
        <w:t>isa</w:t>
      </w:r>
      <w:r w:rsidRPr="006B7451">
        <w:t xml:space="preserve">undersökningen har </w:t>
      </w:r>
      <w:r w:rsidRPr="006B7451" w:rsidR="00DB5471">
        <w:t>Sverige</w:t>
      </w:r>
      <w:r w:rsidRPr="006B7451">
        <w:t xml:space="preserve"> dessutom störst skillnader i skolresultat mellan inrikes och utrikes födda. I tillägg till detta har Sverige enorma problem med skjutningar och organiserad brottslighet, växande utanförskaps</w:t>
      </w:r>
      <w:r w:rsidR="002757F2">
        <w:softHyphen/>
      </w:r>
      <w:r w:rsidRPr="006B7451">
        <w:t>områden, korruption och kriminella klaner. Problemen beror på en kombination av naivitet inför skillnader vad gäller normer och värderingar, slapphet inför kriminalitet och asocialt beteende, en missriktad välvilja som möjliggör permanent offentlig försörjning och sist men inte minst politisk korrekthet och ängslighet inför att tala om det uppenbara.</w:t>
      </w:r>
    </w:p>
    <w:p w:rsidRPr="006B7451" w:rsidR="005844EF" w:rsidP="005844EF" w:rsidRDefault="005844EF" w14:paraId="27C13A8C" w14:textId="34321A59">
      <w:r w:rsidRPr="006B7451">
        <w:t>Sverigedemokraterna vill upprätta en kravbaserad integrationspolitik som bygger på principerna om att man tar seden dit man kommer och frihet under ansvar. Den som är ny i Sverige ska mötas av tydligt normerande samhällsinformation som förklarar vad som krävs för att passa in och lyckas i Sverige. För att motverka passivisering</w:t>
      </w:r>
      <w:r w:rsidR="007022B8">
        <w:t xml:space="preserve"> och</w:t>
      </w:r>
      <w:r w:rsidRPr="006B7451">
        <w:t xml:space="preserve"> bidragsberoende och minska vår attraktivitet för ekonomiska migranter kommer nyanlända </w:t>
      </w:r>
      <w:r w:rsidR="007022B8">
        <w:t xml:space="preserve">att </w:t>
      </w:r>
      <w:r w:rsidRPr="006B7451">
        <w:t xml:space="preserve">få del av välfärden i takt med språkinlärning, egen inkomst och </w:t>
      </w:r>
      <w:r w:rsidRPr="006B7451">
        <w:lastRenderedPageBreak/>
        <w:t>medborgarskap. Vidare bör en integrationspolitisk bortre gräns införas,</w:t>
      </w:r>
      <w:r w:rsidR="00395434">
        <w:t xml:space="preserve"> och</w:t>
      </w:r>
      <w:r w:rsidRPr="006B7451">
        <w:t xml:space="preserve"> personer som visar varaktig motvilja </w:t>
      </w:r>
      <w:r w:rsidR="00395434">
        <w:t>mot</w:t>
      </w:r>
      <w:r w:rsidRPr="006B7451">
        <w:t xml:space="preserve"> att lära sig svenska och anpassa sig till förhållandena här bör hjälpas att återvända hem.</w:t>
      </w:r>
    </w:p>
    <w:p w:rsidRPr="006B7451" w:rsidR="007F3F34" w:rsidP="00ED5D60" w:rsidRDefault="007F3F34" w14:paraId="3AEFC9A0" w14:textId="77777777">
      <w:pPr>
        <w:pStyle w:val="Rubrik2numrerat"/>
      </w:pPr>
      <w:bookmarkStart w:name="_Toc121752614" w:id="105"/>
      <w:r w:rsidRPr="006B7451">
        <w:t>Fler utvisningar</w:t>
      </w:r>
      <w:bookmarkEnd w:id="105"/>
    </w:p>
    <w:p w:rsidRPr="006B7451" w:rsidR="007F3F34" w:rsidP="00092309" w:rsidRDefault="007F3F34" w14:paraId="1C16E4E1" w14:textId="06184F33">
      <w:pPr>
        <w:pStyle w:val="Normalutanindragellerluft"/>
      </w:pPr>
      <w:r w:rsidRPr="006B7451">
        <w:rPr>
          <w:b/>
        </w:rPr>
        <w:t>Sverigedemokraterna</w:t>
      </w:r>
      <w:r w:rsidR="003633AC">
        <w:rPr>
          <w:b/>
        </w:rPr>
        <w:t>s</w:t>
      </w:r>
      <w:r w:rsidRPr="006B7451">
        <w:rPr>
          <w:b/>
        </w:rPr>
        <w:t xml:space="preserve"> förslag</w:t>
      </w:r>
      <w:r w:rsidRPr="00092309">
        <w:t xml:space="preserve">: </w:t>
      </w:r>
      <w:r w:rsidRPr="006B7451">
        <w:t>Anslaget för utresor för avvisade och utvisade ska utökas med 196 miljoner kronor 2022.</w:t>
      </w:r>
    </w:p>
    <w:p w:rsidRPr="006B7451" w:rsidR="007F3F34" w:rsidP="00092309" w:rsidRDefault="005844EF" w14:paraId="355758D7" w14:textId="4A5FF5D1">
      <w:pPr>
        <w:pStyle w:val="Normalutanindragellerluft"/>
        <w:spacing w:before="150"/>
      </w:pPr>
      <w:r w:rsidRPr="006B7451">
        <w:t>Sverigedemokraternas politik kommer</w:t>
      </w:r>
      <w:r w:rsidR="003633AC">
        <w:t xml:space="preserve"> att</w:t>
      </w:r>
      <w:r w:rsidRPr="006B7451">
        <w:t xml:space="preserve"> leda till drastiskt minskade inflöden av asylsökande och andra migranter. Utöver detta förväntas Sverigedemokraternas politik också leda till fler definitiva avslagsbeslut och därmed beslut om utvisning. Dessutom läggs stort fokus på att försvåra möjligheten att leva utan tillstånd i landet. Hela det offentliga ska kraftsamla för att motverka och slutligen montera ned det skuggsamhälle som växt fram, och den kriminalitet och det utanförskap som följer med detta. Livstids utvisning blir också det normala straffet för grova brott begångna av utlänningar. Detta får sammantaget följden att betydligt fler personer bedöms lämna landet än tidigare, både av fri vilja och med tvång. Särskilda avtal med tredjeländer ska också leda till drastiskt ökade möjligheter att verkställa utvisningar. Sverigedemokraterna skjuter därför till resurser för att i högre utsträckning möjliggöra detta.</w:t>
      </w:r>
    </w:p>
    <w:p w:rsidRPr="006B7451" w:rsidR="00C264FD" w:rsidP="00C264FD" w:rsidRDefault="00C264FD" w14:paraId="4A583C6B" w14:textId="699A9290">
      <w:r w:rsidRPr="006B7451">
        <w:t>Förslaget beräknas öka utgifterna i statens budget med 0,20 miljarder kronor 2022.</w:t>
      </w:r>
    </w:p>
    <w:p w:rsidRPr="006B7451" w:rsidR="007F3F34" w:rsidP="00ED5D60" w:rsidRDefault="007F3F34" w14:paraId="72F8066C" w14:textId="19A33CCF">
      <w:pPr>
        <w:pStyle w:val="Rubrik2numrerat"/>
      </w:pPr>
      <w:bookmarkStart w:name="_Toc121752615" w:id="106"/>
      <w:r w:rsidRPr="006B7451">
        <w:t>Fler förvarsplatser</w:t>
      </w:r>
      <w:bookmarkEnd w:id="106"/>
    </w:p>
    <w:p w:rsidRPr="006B7451" w:rsidR="007F3F34" w:rsidP="001A7B84" w:rsidRDefault="007F3F34" w14:paraId="301B40AA" w14:textId="77777777">
      <w:pPr>
        <w:pStyle w:val="Normalutanindragellerluft"/>
      </w:pPr>
      <w:r w:rsidRPr="006B7451">
        <w:rPr>
          <w:b/>
        </w:rPr>
        <w:t>Sverigedemokraternas förslag</w:t>
      </w:r>
      <w:r w:rsidRPr="001A7B84">
        <w:t>:</w:t>
      </w:r>
      <w:r w:rsidRPr="006B7451">
        <w:t xml:space="preserve"> Antalet förvarsplatser ska utökas.</w:t>
      </w:r>
    </w:p>
    <w:p w:rsidRPr="006B7451" w:rsidR="005844EF" w:rsidP="001A7B84" w:rsidRDefault="005844EF" w14:paraId="208C9519" w14:textId="26609B3B">
      <w:pPr>
        <w:pStyle w:val="Normalutanindragellerluft"/>
        <w:spacing w:before="150"/>
      </w:pPr>
      <w:r w:rsidRPr="006B7451">
        <w:t>Ett led i arbetet med att omöjliggöra för personer att vistas illegalt i landet, i synnerhet då dessa personer kan antas utgöra en säkerhetsrisk, är utökade möjligheter till förvars</w:t>
      </w:r>
      <w:r w:rsidR="005F5A9E">
        <w:softHyphen/>
      </w:r>
      <w:r w:rsidRPr="006B7451">
        <w:t>tagande, något som i dag begränsas av såväl regelverk som resurser och de faktiska förvarsplatserna. Migrationsverket har de senaste åren kontinuerligt ökat antalet försvarsplatser.</w:t>
      </w:r>
    </w:p>
    <w:p w:rsidRPr="006B7451" w:rsidR="005844EF" w:rsidP="005844EF" w:rsidRDefault="005844EF" w14:paraId="4C40A3AB" w14:textId="74104DEB">
      <w:r w:rsidRPr="006B7451">
        <w:t>Beläggningsgraden har trots detta varit hundraprocentig över tiden. Uppgifter från Migrationsverket såväl som i media vittnar om att illegala migranter oftast släpps på fri fot av Polismyndigheten, eftersom det saknas lediga förvarsplatser. Trots att läget varit på detta sätt under flera år har regeringen endast genomfört blygsamma satsningar på området. Politiken har också helt saknat ett långsiktigt perspektiv, med följden att ansvariga myndigheter haft svårt att planera inför framtiden.</w:t>
      </w:r>
    </w:p>
    <w:p w:rsidRPr="006B7451" w:rsidR="00347230" w:rsidP="005844EF" w:rsidRDefault="005844EF" w14:paraId="66D3AAD0" w14:textId="20DD4450">
      <w:r w:rsidRPr="006B7451">
        <w:t xml:space="preserve">Även om betydligt fler utresor förväntas </w:t>
      </w:r>
      <w:r w:rsidR="005246CA">
        <w:t xml:space="preserve">bli </w:t>
      </w:r>
      <w:r w:rsidRPr="006B7451" w:rsidR="005246CA">
        <w:t xml:space="preserve">verkställda </w:t>
      </w:r>
      <w:r w:rsidRPr="006B7451">
        <w:t>beräknas behovet av förvarsplatser öka och kvarstå på en hög nivå de kommande åren. Sverigedemokraterna föreslår därför att antalet förvarsplatser utvidgas kraftigt, tills efterfrågan mättas. I nuläget bör målet därför vara 1</w:t>
      </w:r>
      <w:r w:rsidR="005246CA">
        <w:t> </w:t>
      </w:r>
      <w:r w:rsidRPr="006B7451">
        <w:t>000 förvarsplatser år 2023</w:t>
      </w:r>
      <w:r w:rsidRPr="006B7451" w:rsidR="007F3F34">
        <w:t>.</w:t>
      </w:r>
    </w:p>
    <w:p w:rsidRPr="006B7451" w:rsidR="00C264FD" w:rsidP="005844EF" w:rsidRDefault="00C264FD" w14:paraId="7B7400A3" w14:textId="3684BB8C">
      <w:r w:rsidRPr="006B7451">
        <w:t>Förslaget beräknas öka utgifterna i statens budget med 0,21 miljarder kronor 2022.</w:t>
      </w:r>
    </w:p>
    <w:p w:rsidRPr="006B7451" w:rsidR="007F3F34" w:rsidP="00ED5D60" w:rsidRDefault="00772833" w14:paraId="614CE9A4" w14:textId="77777777">
      <w:pPr>
        <w:pStyle w:val="Rubrik2numrerat"/>
      </w:pPr>
      <w:bookmarkStart w:name="_Toc121752616" w:id="107"/>
      <w:r w:rsidRPr="006B7451">
        <w:t>Utvecklat stöd för återvandring</w:t>
      </w:r>
      <w:bookmarkEnd w:id="107"/>
    </w:p>
    <w:p w:rsidRPr="006B7451" w:rsidR="00772833" w:rsidP="003813C3" w:rsidRDefault="00772833" w14:paraId="5EAC30FD" w14:textId="71F0D4D2">
      <w:pPr>
        <w:pStyle w:val="Normalutanindragellerluft"/>
      </w:pPr>
      <w:r w:rsidRPr="006B7451">
        <w:rPr>
          <w:b/>
        </w:rPr>
        <w:t>Sverigedemokraternas förslag</w:t>
      </w:r>
      <w:r w:rsidRPr="003813C3">
        <w:t>:</w:t>
      </w:r>
      <w:r w:rsidRPr="006B7451">
        <w:t xml:space="preserve"> </w:t>
      </w:r>
      <w:r w:rsidRPr="006B7451" w:rsidR="008A6406">
        <w:t>1</w:t>
      </w:r>
      <w:r w:rsidRPr="006B7451" w:rsidR="00DB5471">
        <w:t>,00</w:t>
      </w:r>
      <w:r w:rsidRPr="006B7451" w:rsidR="008A6406">
        <w:t xml:space="preserve"> miljard kronor ska omfördelas från generell biståndsverksamhet till ett nytt och specifikt anslag med särskilt fokus på biståndsverksamhet koppla</w:t>
      </w:r>
      <w:r w:rsidR="00CA6C8A">
        <w:t>d</w:t>
      </w:r>
      <w:r w:rsidRPr="006B7451" w:rsidR="008A6406">
        <w:t xml:space="preserve"> till återvandring.</w:t>
      </w:r>
    </w:p>
    <w:p w:rsidRPr="006B7451" w:rsidR="005844EF" w:rsidP="003813C3" w:rsidRDefault="005844EF" w14:paraId="0EE02FC8" w14:textId="77777777">
      <w:pPr>
        <w:pStyle w:val="Normalutanindragellerluft"/>
        <w:spacing w:before="150"/>
      </w:pPr>
      <w:r w:rsidRPr="006B7451">
        <w:lastRenderedPageBreak/>
        <w:t>För Sverigedemokraterna är det en självklarhet att all ansvarsfull flyktinghjälp också måste möjliggöra en säker och trygg återvandring för den som så önskar. Redan i dag erbjuder Sverige ett visst återvandringsstöd, men det används i liten skala och är förhållandevis begränsat. Vi vill därför ge Migrationsverket ett tydligt uppdrag att arbeta mer aktivt med återvändandeverksamhet.</w:t>
      </w:r>
    </w:p>
    <w:p w:rsidRPr="006B7451" w:rsidR="005844EF" w:rsidP="005844EF" w:rsidRDefault="005844EF" w14:paraId="4995C547" w14:textId="77777777">
      <w:r w:rsidRPr="006B7451">
        <w:t>Utöver dagens stöd, i utbyggd skala, ingår också proaktivt arbete såsom informations- och utbildningsinsatser samt arbete med att utreda behov av och förbereda återuppbyggnadssatsningar av särskild vikt för återvandring. Därmed övertas och utvecklas delar av den verksamhet som i dag ryms inom anslaget 1:3 Migrationspolitiska åtgärder.</w:t>
      </w:r>
    </w:p>
    <w:p w:rsidRPr="006B7451" w:rsidR="009959DB" w:rsidP="005844EF" w:rsidRDefault="005844EF" w14:paraId="11BE026C" w14:textId="25B5B5F6">
      <w:r w:rsidRPr="006B7451">
        <w:t xml:space="preserve">Vidare omfördelas </w:t>
      </w:r>
      <w:r w:rsidRPr="006B7451" w:rsidR="00DB5471">
        <w:t>1,00 miljarder</w:t>
      </w:r>
      <w:r w:rsidRPr="006B7451">
        <w:t xml:space="preserve"> kronor från generell biståndsverksamhet till ett nytt och specifikt anslag med särskilt fokus på biståndsverksamhet koppla</w:t>
      </w:r>
      <w:r w:rsidR="00CE745A">
        <w:t>d</w:t>
      </w:r>
      <w:r w:rsidRPr="006B7451">
        <w:t xml:space="preserve"> till återvandring. Häri ingår just återuppbyggnad av hemländer men också ett verkligt återvandringsstöd, för att ge återvändande möjlighet att kunna återintegreras i hemlandet och därmed bidra till hemlandets tillväxt. Satsningen ska särskilt ses i ljuset av slutet </w:t>
      </w:r>
      <w:r w:rsidR="0096717D">
        <w:t>på</w:t>
      </w:r>
      <w:r w:rsidRPr="006B7451">
        <w:t xml:space="preserve"> konflikten i Syrien och den ökande återvandringen dit från andra länder</w:t>
      </w:r>
      <w:r w:rsidRPr="006B7451" w:rsidR="00772833">
        <w:t>.</w:t>
      </w:r>
    </w:p>
    <w:p w:rsidRPr="006B7451" w:rsidR="009959DB" w:rsidP="005F5A9E" w:rsidRDefault="007F3F34" w14:paraId="416FA39B" w14:textId="77777777">
      <w:pPr>
        <w:pStyle w:val="Rubrik2numrerat"/>
        <w:ind w:left="652" w:hanging="652"/>
      </w:pPr>
      <w:bookmarkStart w:name="_Toc121752617" w:id="108"/>
      <w:r w:rsidRPr="006B7451">
        <w:t xml:space="preserve">Obligatorisk förskola för </w:t>
      </w:r>
      <w:r w:rsidRPr="006B7451" w:rsidR="008A6406">
        <w:t>barn till nyanlända</w:t>
      </w:r>
      <w:r w:rsidRPr="006B7451">
        <w:t xml:space="preserve"> i utsatta områden</w:t>
      </w:r>
      <w:bookmarkEnd w:id="108"/>
    </w:p>
    <w:p w:rsidRPr="006B7451" w:rsidR="008A6406" w:rsidP="003813C3" w:rsidRDefault="008A6406" w14:paraId="72E437E3" w14:textId="77777777">
      <w:pPr>
        <w:pStyle w:val="Normalutanindragellerluft"/>
      </w:pPr>
      <w:r w:rsidRPr="006B7451">
        <w:rPr>
          <w:b/>
        </w:rPr>
        <w:t>Sverigedemokraternas förslag</w:t>
      </w:r>
      <w:r w:rsidRPr="003813C3">
        <w:t>:</w:t>
      </w:r>
      <w:r w:rsidRPr="006B7451">
        <w:t xml:space="preserve"> Obligatorisk förskola för barn till nyanlända i utsatta områden ska införas.</w:t>
      </w:r>
    </w:p>
    <w:p w:rsidRPr="006B7451" w:rsidR="008A6406" w:rsidP="003813C3" w:rsidRDefault="005844EF" w14:paraId="384103B7" w14:textId="5A639D17">
      <w:pPr>
        <w:pStyle w:val="Normalutanindragellerluft"/>
        <w:spacing w:before="150"/>
      </w:pPr>
      <w:r w:rsidRPr="006B7451">
        <w:t>För många som har utländska föräldrar och växer upp i så kallade utsatta områden upplevs majoritetssamhället som någonting annorlunda. Många kan vittna om främlingskap och svårigheter att bli en del av det svenska samhället. Detta kan leda till frustration, hopplöshet och segregation. Den som står utanför det svenska samhället har också sämre möjligheter att stå emot förtryck och hedersnormer. För att underlätta för de barn som växer upp i utanförskapsområden vill Sverigedemokraterna att förskolan under vissa omständigheter ska vara obligatorisk för barn mellan tre och fem år. Förskolan ska då kunna fungera som ett fönster in i det svenska samhället. Förhoppningsvis ska detta kunna leda till att barn som växer upp i utanförskap ändå kan få med sig språket och en känsla av att det svenska samhället inte är någonting främmande utan i stället någonting man har förståelse för och en relation till sedan barndomen</w:t>
      </w:r>
      <w:r w:rsidRPr="006B7451" w:rsidR="008A6406">
        <w:t>.</w:t>
      </w:r>
    </w:p>
    <w:p w:rsidRPr="006B7451" w:rsidR="0080621D" w:rsidP="0080621D" w:rsidRDefault="0080621D" w14:paraId="3A8E538C" w14:textId="2C26BBFE">
      <w:r w:rsidRPr="006B7451">
        <w:t>Förslaget beräknas öka utgifterna i statens budget med 0,38 miljarder kronor 2022.</w:t>
      </w:r>
    </w:p>
    <w:p w:rsidRPr="006B7451" w:rsidR="000E2252" w:rsidP="00ED5D60" w:rsidRDefault="000E2252" w14:paraId="31384DE3" w14:textId="77777777">
      <w:pPr>
        <w:pStyle w:val="Rubrik2numrerat"/>
      </w:pPr>
      <w:bookmarkStart w:name="_Toc121752618" w:id="109"/>
      <w:r w:rsidRPr="006B7451">
        <w:t>Skattereduktion i stället för flerbarnstillägg</w:t>
      </w:r>
      <w:bookmarkEnd w:id="109"/>
    </w:p>
    <w:p w:rsidRPr="006B7451" w:rsidR="00B718CA" w:rsidP="00795407" w:rsidRDefault="000E2252" w14:paraId="5810BF1A" w14:textId="77777777">
      <w:pPr>
        <w:pStyle w:val="Normalutanindragellerluft"/>
      </w:pPr>
      <w:r w:rsidRPr="006B7451">
        <w:rPr>
          <w:b/>
        </w:rPr>
        <w:t>Sverigedemokraternas förslag</w:t>
      </w:r>
      <w:r w:rsidRPr="00795407">
        <w:t>:</w:t>
      </w:r>
      <w:r w:rsidRPr="006B7451">
        <w:t xml:space="preserve"> </w:t>
      </w:r>
      <w:r w:rsidRPr="006B7451" w:rsidR="00B718CA">
        <w:t>Det nuvarande flerbarnstillägget ska omvandlas till ett flerbarnsavdrag – en skattereduktion på inkomst av tjänst, a-kassa eller föräldrapenning – fördelat jämnt på föräldrarna.</w:t>
      </w:r>
    </w:p>
    <w:p w:rsidRPr="006B7451" w:rsidR="00B718CA" w:rsidP="00795407" w:rsidRDefault="00B718CA" w14:paraId="158026C8" w14:textId="77777777">
      <w:pPr>
        <w:pStyle w:val="Normalutanindragellerluft"/>
        <w:spacing w:before="150"/>
      </w:pPr>
      <w:r w:rsidRPr="006B7451">
        <w:t>Delar av Sveriges generösa välfärdspolitik har blivit en segregationsfälla. Höga bidragsnivåer har lett till att nyanlända saknar incitament att lära sig språket och att söka sig till arbetsmarknaden, en ohållbar utveckling.</w:t>
      </w:r>
    </w:p>
    <w:p w:rsidRPr="006B7451" w:rsidR="00B718CA" w:rsidP="00B718CA" w:rsidRDefault="00B718CA" w14:paraId="705C946E" w14:textId="77777777">
      <w:r w:rsidRPr="006B7451">
        <w:t xml:space="preserve">Flerbarnstillägget är ett tillägg på barnbidraget som ökar för varje extra barn i familjen. Syftet med tillägget har varit att väga upp för extra kostnader som uppstår i </w:t>
      </w:r>
      <w:r w:rsidRPr="006B7451">
        <w:lastRenderedPageBreak/>
        <w:t xml:space="preserve">samband med att familjen blir större, men i realiteten har det blivit en extra tröskel för utrikesfödda kvinnor – som utgör en majoritet av de barnrika familjerna – för att komma ut i arbetslivet. Detta bidrar till ökad segregation, minskad jämställdhet och en ekonomisk belastning för samhället. </w:t>
      </w:r>
    </w:p>
    <w:p w:rsidRPr="006B7451" w:rsidR="00B718CA" w:rsidP="00B718CA" w:rsidRDefault="00B718CA" w14:paraId="2AB72EA2" w14:textId="77777777">
      <w:r w:rsidRPr="006B7451">
        <w:t>Sverigedemokraterna föreslår att flerbarnstillägget omvandlas till ett flerbarnsavdrag – en skattereduktion på inkomst av tjänst, a-kassa eller föräldrapenning – fördelat jämnt på föräldrarna. Det innebär i praktiken att arbetande familjer med många barn får en skattereduktion, medan familjer som lever på bidrag inte längre kommer att omfattas av systemet.</w:t>
      </w:r>
    </w:p>
    <w:p w:rsidR="005F5A9E" w:rsidP="0080621D" w:rsidRDefault="00B718CA" w14:paraId="62290D7B" w14:textId="491FC967">
      <w:r w:rsidRPr="006B7451">
        <w:t>Avsikten är inte att omvandlingen ska leda till en besparing för staten, tvärtom innebär förändringen att nivåerna för flerbarnstillägget kommer att öka något. Förslaget innebär att en fembarnsfamilj som går från bidrag till arbete får cirka 3 400 kronor extra i månaden. Det skulle också innebära en välbehövd inkomstökning för alla flerbarns</w:t>
      </w:r>
      <w:r w:rsidR="005F5A9E">
        <w:softHyphen/>
      </w:r>
      <w:r w:rsidRPr="006B7451">
        <w:t>familjer som i dag har ett arbete, utöver att verka som en kraftfull integrationsåtgärd.</w:t>
      </w:r>
    </w:p>
    <w:p w:rsidR="005F5A9E" w:rsidRDefault="005F5A9E" w14:paraId="3B2658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E57373" w:rsidP="00ED5D60" w:rsidRDefault="00E57373" w14:paraId="0F11054F" w14:textId="46DBD727">
      <w:pPr>
        <w:pStyle w:val="Rubrik1numrerat"/>
      </w:pPr>
      <w:bookmarkStart w:name="_Toc121752619" w:id="110"/>
      <w:r w:rsidRPr="006B7451">
        <w:lastRenderedPageBreak/>
        <w:t>Medborgarskap och välfärd</w:t>
      </w:r>
      <w:bookmarkEnd w:id="110"/>
    </w:p>
    <w:p w:rsidRPr="006B7451" w:rsidR="00E57373" w:rsidP="00795407" w:rsidRDefault="00E57373" w14:paraId="1B0566DE" w14:textId="77777777">
      <w:pPr>
        <w:pStyle w:val="Normalutanindragellerluft"/>
      </w:pPr>
      <w:r w:rsidRPr="006B7451">
        <w:t>För Sverigedemokraterna är kopplingen mellan medborgarskap och nationell identitet en viktig grundbult i samhällsbygget. Den som är medborgare i Sverige ska också vara en del av Sverige och se Sverige som sitt hemland. En ansökan om att få upptagas till medborgare är en ansökan om att denna samhörighet formellt ska bekräftas. Att upptagas till medborgare ska ses som ett bevis för att Sverige är den sökandes nya, permanenta hemland. Detta menar vi bidrar till ett sammanhållet folk med god samhällsgemenskap, där klyftor mellan infödda och invandrade svenskar minimeras.</w:t>
      </w:r>
    </w:p>
    <w:p w:rsidRPr="006B7451" w:rsidR="00E57373" w:rsidP="00E57373" w:rsidRDefault="00E57373" w14:paraId="39480AD8" w14:textId="77777777">
      <w:r w:rsidRPr="006B7451">
        <w:t>Att höja kraven för medborgarskapet gör visserligen att färre kan bli medborgare. Genom höjda krav för medborgarskap blir dock belöningen och känslan desto större när den nya medborgaren väl får medborgarskapet i sin hand. Medborgarskapet är förenat med vissa rättigheter som icke-medborgare saknar, exempelvis rösträtt i riksdagsval och val till Europaparlamentet, men det bör även förenas med fler förmåner för att stärka dess värde.</w:t>
      </w:r>
    </w:p>
    <w:p w:rsidRPr="006B7451" w:rsidR="00E57373" w:rsidP="00E57373" w:rsidRDefault="00E57373" w14:paraId="1BD4E327" w14:textId="5E9ED748">
      <w:r w:rsidRPr="006B7451">
        <w:t xml:space="preserve">De senaste årtiondenas invandring till Sverige har skapat en hög segregation där en alltför stor del av dem som kommer hit inte anpassar sig till landet eller deltar på den svenska arbetsmarknaden, vilket i sin tur minskar skatteintäkterna. En del av detta kan förklaras med skillnader i utbildning, yrkeskompetens och språkkunskaper, </w:t>
      </w:r>
      <w:r w:rsidR="0089465E">
        <w:t xml:space="preserve">och </w:t>
      </w:r>
      <w:r w:rsidRPr="006B7451">
        <w:t>en annan del kan förklaras av kulturskillnader och en förmånlig socialförsäkring som leder till att invandrare, främst invandrarkvinnor, i viss utsträckning försörjer sig på bidrag.</w:t>
      </w:r>
    </w:p>
    <w:p w:rsidRPr="006B7451" w:rsidR="00E57373" w:rsidP="00ED5D60" w:rsidRDefault="00E57373" w14:paraId="511B0B1C" w14:textId="77777777">
      <w:pPr>
        <w:pStyle w:val="Rubrik2numrerat"/>
      </w:pPr>
      <w:bookmarkStart w:name="_Toc121752620" w:id="111"/>
      <w:r w:rsidRPr="006B7451">
        <w:t>Behovet av begränsade bidrag för tredjelandsmedborgare</w:t>
      </w:r>
      <w:bookmarkEnd w:id="111"/>
    </w:p>
    <w:p w:rsidRPr="006B7451" w:rsidR="00E57373" w:rsidP="00795407" w:rsidRDefault="00E57373" w14:paraId="15861701" w14:textId="3CAC9C74">
      <w:pPr>
        <w:pStyle w:val="Normalutanindragellerluft"/>
      </w:pPr>
      <w:r w:rsidRPr="006B7451">
        <w:t xml:space="preserve">Socialförsäkringens kostnadsutveckling för tredjelandsmedborgare (personer som saknar svenskt medborgarskap eller medborgarskap i </w:t>
      </w:r>
      <w:r w:rsidR="000705E4">
        <w:t xml:space="preserve">ett annat </w:t>
      </w:r>
      <w:r w:rsidRPr="006B7451">
        <w:t>EU</w:t>
      </w:r>
      <w:r w:rsidR="000705E4">
        <w:t>-</w:t>
      </w:r>
      <w:r w:rsidRPr="006B7451">
        <w:t>/EES-land) har ökat kraftigt det senaste årtiondet samtidigt som den demografiska försörjningskvoten, hur många personer en person i arbetsför ålder behöver försörja utöver sig själv, likväl har ökat.</w:t>
      </w:r>
    </w:p>
    <w:p w:rsidRPr="006B7451" w:rsidR="00E57373" w:rsidP="00E57373" w:rsidRDefault="00E57373" w14:paraId="542D2F12" w14:textId="459B9704">
      <w:r w:rsidRPr="006B7451">
        <w:t xml:space="preserve">Att utländska medborgare får ta del av de arbetsbaserade förmåner som man är med och finansierar kan inte ifrågasättas, det är en förutsättning för att Sverige ska kunna locka högkompetent arbetskraft. Det går däremot att ifrågasätta om Sverige ska erbjuda frikostiga förmåner till personer som i liten eller ingen utsträckning alls har arbetat. Särskilt i avseende till att Sverige under de senaste åren har haft en hög invandring av grupper som står långt </w:t>
      </w:r>
      <w:r w:rsidR="00B1525B">
        <w:t>i</w:t>
      </w:r>
      <w:r w:rsidRPr="006B7451">
        <w:t>från arbetsmarknaden.</w:t>
      </w:r>
    </w:p>
    <w:p w:rsidRPr="006B7451" w:rsidR="00E57373" w:rsidP="00E57373" w:rsidRDefault="00E57373" w14:paraId="647397BC" w14:textId="10427526">
      <w:r w:rsidRPr="006B7451">
        <w:t>De bosättningsbaserade förmånerna, bidrag som betalas ut enbart för att en person bor i Sverige, har i många fall en negativ sysselsättningseffekt för nyanlända och skapar incitament för att söka sig till Sverige. För de förmåner som Pensionsmyndigheten administrerar – bostadstillägg för pensionärer, efterlevandestöd till barn, garantipension och äldreförsörjningsstöd – har kostnadsutvecklingen varit markant det senaste årtiondet.</w:t>
      </w:r>
    </w:p>
    <w:p w:rsidRPr="00795407" w:rsidR="00E57373" w:rsidP="005F5A9E" w:rsidRDefault="00E57373" w14:paraId="4190EB1A" w14:textId="333D0D04">
      <w:pPr>
        <w:pStyle w:val="Tabellrubrik"/>
        <w:keepNext/>
      </w:pPr>
      <w:r w:rsidRPr="00795407">
        <w:lastRenderedPageBreak/>
        <w:t xml:space="preserve">Figur </w:t>
      </w:r>
      <w:r w:rsidR="00795407">
        <w:t>18</w:t>
      </w:r>
      <w:r w:rsidRPr="00795407">
        <w:t xml:space="preserve"> Sammantage</w:t>
      </w:r>
      <w:r w:rsidR="006F539C">
        <w:t>n</w:t>
      </w:r>
      <w:r w:rsidRPr="00795407">
        <w:t xml:space="preserve"> kostnadsutveckling för bosättningsbaserade förmåner administrerade av Pensionsmyndigheten, index år 2010=100</w:t>
      </w:r>
    </w:p>
    <w:p w:rsidRPr="006B7451" w:rsidR="00E57373" w:rsidP="005F5A9E" w:rsidRDefault="00E57373" w14:paraId="6F981C2F" w14:textId="77777777">
      <w:pPr>
        <w:pStyle w:val="Normalutanindragellerluft"/>
      </w:pPr>
      <w:r w:rsidRPr="006B7451">
        <w:rPr>
          <w:noProof/>
        </w:rPr>
        <w:drawing>
          <wp:inline distT="0" distB="0" distL="0" distR="0" wp14:anchorId="2441FEFF" wp14:editId="12E055A8">
            <wp:extent cx="5400000" cy="2743200"/>
            <wp:effectExtent l="0" t="0" r="0" b="0"/>
            <wp:docPr id="4" name="Diagram 4" descr="">
              <a:extLst xmlns:a="http://schemas.openxmlformats.org/drawingml/2006/main">
                <a:ext uri="{FF2B5EF4-FFF2-40B4-BE49-F238E27FC236}">
                  <a16:creationId xmlns:a16="http://schemas.microsoft.com/office/drawing/2014/main" id="{9A497D49-C94A-4EAD-A69B-141F9F348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ED6D12" w:rsidR="00E57373" w:rsidP="00ED6D12" w:rsidRDefault="00E57373" w14:paraId="397E2BD0" w14:textId="77777777">
      <w:pPr>
        <w:pStyle w:val="Klla"/>
      </w:pPr>
      <w:r w:rsidRPr="00ED6D12">
        <w:t>Källa: Pensionsmyndigheten.</w:t>
      </w:r>
    </w:p>
    <w:p w:rsidRPr="006B7451" w:rsidR="00E57373" w:rsidP="003931CE" w:rsidRDefault="00E57373" w14:paraId="3863A467" w14:textId="77777777">
      <w:pPr>
        <w:pStyle w:val="Rubrik3"/>
      </w:pPr>
      <w:bookmarkStart w:name="_Toc121752621" w:id="112"/>
      <w:r w:rsidRPr="006B7451">
        <w:t>EU/EES-medborgare bör inte omfattas av begränsningarna</w:t>
      </w:r>
      <w:bookmarkEnd w:id="112"/>
    </w:p>
    <w:p w:rsidRPr="006B7451" w:rsidR="00E57373" w:rsidP="00ED6D12" w:rsidRDefault="00E57373" w14:paraId="61A6D517" w14:textId="77777777">
      <w:pPr>
        <w:pStyle w:val="Normalutanindragellerluft"/>
      </w:pPr>
      <w:r w:rsidRPr="006B7451">
        <w:t>EU:s likabehandlingsprincip innebär att personer och företag från en medlemsstat inte får diskrimineras i en annan. Principen appliceras bland annat på arbetsvillkor, på sociala förmåner samt på skatteförmåner och innebär exempelvis att arbetstagare från andra EU-länder har samma rätt som det egna landets medborgare till barnbidrag och garanterade minimiinkomster.</w:t>
      </w:r>
    </w:p>
    <w:p w:rsidRPr="006B7451" w:rsidR="00E57373" w:rsidP="00E57373" w:rsidRDefault="00E57373" w14:paraId="5849ACBE" w14:textId="6AF71B0D">
      <w:r w:rsidRPr="006B7451">
        <w:t xml:space="preserve">Rättsläget för på vilka grunder ett medlemsland får neka bidrag till medborgare i andra medlemsländer är oklart. Här kan bland annat konstateras att EU-domstolen har slagit fast att utlänningar som rest in i landet i syfte att erhålla socialt bistånd eller vars uppehållsrätt endast följer av att de söker arbete inte </w:t>
      </w:r>
      <w:r w:rsidRPr="006B7451" w:rsidR="00743E29">
        <w:t xml:space="preserve">har </w:t>
      </w:r>
      <w:r w:rsidRPr="006B7451">
        <w:t xml:space="preserve">rätt till socialt bistånd. Detsamma gäller för deras familjemedlemmar. </w:t>
      </w:r>
      <w:r w:rsidR="00E97D82">
        <w:t>Av</w:t>
      </w:r>
      <w:r w:rsidRPr="006B7451">
        <w:t xml:space="preserve"> EU-direktiv 883/2004 framgår dock att bosättningslandet, efter arbetslandet, </w:t>
      </w:r>
      <w:r w:rsidRPr="006B7451" w:rsidR="00E97D82">
        <w:t xml:space="preserve">är </w:t>
      </w:r>
      <w:r w:rsidRPr="006B7451">
        <w:t>ansvarig</w:t>
      </w:r>
      <w:r w:rsidR="00E97D82">
        <w:t>t</w:t>
      </w:r>
      <w:r w:rsidRPr="006B7451">
        <w:t xml:space="preserve"> för att betala ut sociala förmåner där exempelvis barnbidrag och föräldrapenning ingår. I det första skedet bör därför en begränsning av välfärdsförmåner rikta sig mot personer som är medborgare i ett land utanför EU/EES som saknar avtal med EU om s.k. likabehandling och där bilaterala socialförsäkringskonventioner saknas.</w:t>
      </w:r>
    </w:p>
    <w:p w:rsidRPr="006B7451" w:rsidR="00E57373" w:rsidP="003931CE" w:rsidRDefault="00E57373" w14:paraId="1D74E99D" w14:textId="77777777">
      <w:pPr>
        <w:pStyle w:val="Rubrik3"/>
      </w:pPr>
      <w:bookmarkStart w:name="_Toc121752622" w:id="113"/>
      <w:r w:rsidRPr="006B7451">
        <w:t>Alla bosättningsbaserade förmåner bör inte omfattas av begränsningarna</w:t>
      </w:r>
      <w:bookmarkEnd w:id="113"/>
    </w:p>
    <w:p w:rsidRPr="006B7451" w:rsidR="00E57373" w:rsidP="00ED6D12" w:rsidRDefault="00E57373" w14:paraId="2932F7CA" w14:textId="227E6ECE">
      <w:pPr>
        <w:pStyle w:val="Normalutanindragellerluft"/>
      </w:pPr>
      <w:r w:rsidRPr="006B7451">
        <w:t>Förändringarna bör, som beskrivits ovan, begränsas till att endast beröra de bosättnings</w:t>
      </w:r>
      <w:r w:rsidR="009464E6">
        <w:softHyphen/>
      </w:r>
      <w:r w:rsidRPr="006B7451">
        <w:t xml:space="preserve">baserade förmånerna i socialförsäkringen. Inom dessa finns det även förmåner som inte bör vara föremål för begränsningar, antingen för att det leder till högre kostnader inom andra områden än besparingen inom socialförsäkringen eller </w:t>
      </w:r>
      <w:r w:rsidR="0024775C">
        <w:t>för att det</w:t>
      </w:r>
      <w:r w:rsidRPr="006B7451">
        <w:t xml:space="preserve"> av andra skäl inte kan försvaras</w:t>
      </w:r>
      <w:r w:rsidR="0024775C">
        <w:t>,</w:t>
      </w:r>
      <w:r w:rsidRPr="006B7451">
        <w:t xml:space="preserve"> exempelvis </w:t>
      </w:r>
      <w:r w:rsidR="0024775C">
        <w:t xml:space="preserve">i fråga om </w:t>
      </w:r>
      <w:r w:rsidRPr="006B7451">
        <w:t>omvårdnadsbidraget som ges till föräldrar till barn med funktionsnedsättning och som baseras på den omvårdnad och tillsyn som barnet behöver.</w:t>
      </w:r>
    </w:p>
    <w:p w:rsidRPr="006B7451" w:rsidR="00E57373" w:rsidP="00ED5D60" w:rsidRDefault="00E57373" w14:paraId="2358CC5D" w14:textId="77777777">
      <w:pPr>
        <w:pStyle w:val="Rubrik2numrerat"/>
      </w:pPr>
      <w:bookmarkStart w:name="_Toc121752623" w:id="114"/>
      <w:r w:rsidRPr="006B7451">
        <w:lastRenderedPageBreak/>
        <w:t>Arbetet med författningsförslag bör påbörjas omgående</w:t>
      </w:r>
      <w:bookmarkEnd w:id="114"/>
    </w:p>
    <w:p w:rsidRPr="006B7451" w:rsidR="00B718CA" w:rsidP="00ED6D12" w:rsidRDefault="00B718CA" w14:paraId="20A4C64E" w14:textId="676DA1B6">
      <w:pPr>
        <w:pStyle w:val="Normalutanindragellerluft"/>
      </w:pPr>
      <w:r w:rsidRPr="006B7451">
        <w:rPr>
          <w:b/>
        </w:rPr>
        <w:t>Sverigedemokraternas förslag</w:t>
      </w:r>
      <w:r w:rsidRPr="00ED6D12">
        <w:t xml:space="preserve">: </w:t>
      </w:r>
      <w:r w:rsidRPr="006B7451">
        <w:t xml:space="preserve">En särskild utredare ska lämna förslag </w:t>
      </w:r>
      <w:r w:rsidR="00E760D1">
        <w:t>om</w:t>
      </w:r>
      <w:r w:rsidRPr="006B7451">
        <w:t xml:space="preserve"> hur det ekonomiska biståndet inom ramarna för de bosättningsbaserade förmånerna i social</w:t>
      </w:r>
      <w:r w:rsidR="009464E6">
        <w:softHyphen/>
      </w:r>
      <w:r w:rsidRPr="006B7451">
        <w:t xml:space="preserve">försäkringen i högre utsträckning ska vara förenat med krav på svenskt medborgarskap eller medborgarskap i </w:t>
      </w:r>
      <w:r w:rsidR="00E760D1">
        <w:t xml:space="preserve">ett </w:t>
      </w:r>
      <w:r w:rsidRPr="006B7451">
        <w:t>EU</w:t>
      </w:r>
      <w:r w:rsidR="00E760D1">
        <w:t>-</w:t>
      </w:r>
      <w:r w:rsidRPr="006B7451">
        <w:t xml:space="preserve">/EES-land. Utgångspunkten för reformen är att den totala kostnaden för bosättningsbaserade förmåner och kommunalt försörjningsstöd till tredjelandsmedborgare ska minska. </w:t>
      </w:r>
    </w:p>
    <w:p w:rsidRPr="006B7451" w:rsidR="00E57373" w:rsidP="00ED6D12" w:rsidRDefault="00E57373" w14:paraId="183B1134" w14:textId="2BC9A581">
      <w:pPr>
        <w:pStyle w:val="Normalutanindragellerluft"/>
        <w:spacing w:before="150"/>
      </w:pPr>
      <w:r w:rsidRPr="006B7451">
        <w:t xml:space="preserve">Sverigedemokraterna har i rapporten </w:t>
      </w:r>
      <w:r w:rsidRPr="006B7451">
        <w:rPr>
          <w:i/>
        </w:rPr>
        <w:t>Gör din plikt – kräv din rätt</w:t>
      </w:r>
      <w:r w:rsidRPr="006B7451">
        <w:t xml:space="preserve"> bland annat beräknat statens kostnader för ett antal delar inom de bosättningsbaserade förmånerna utefter medborgarskap. Rapporten ska ses som </w:t>
      </w:r>
      <w:r w:rsidRPr="006B7451" w:rsidR="00D86C1F">
        <w:t>en grund</w:t>
      </w:r>
      <w:r w:rsidRPr="006B7451">
        <w:t xml:space="preserve"> </w:t>
      </w:r>
      <w:r w:rsidRPr="006B7451" w:rsidR="00D86C1F">
        <w:t>för</w:t>
      </w:r>
      <w:r w:rsidRPr="006B7451">
        <w:t xml:space="preserve"> en kommande utredning som ska föreslå hur stöd och krav avseende personer som tar emot ekonomiskt bistånd inom ramarna för de bosättningsbaserade förmånerna i socialförsäkringen kan utvecklas. Den visar på vilka utredningsdirektiv som bör ligga till grund för det fortsatta arbetet samt inriktning och mål.</w:t>
      </w:r>
    </w:p>
    <w:p w:rsidRPr="006B7451" w:rsidR="00E57373" w:rsidP="003931CE" w:rsidRDefault="00E57373" w14:paraId="2D0FC30C" w14:textId="77777777">
      <w:pPr>
        <w:pStyle w:val="Rubrik3"/>
      </w:pPr>
      <w:bookmarkStart w:name="_Toc121752624" w:id="115"/>
      <w:r w:rsidRPr="006B7451">
        <w:t>Statens kostnader för vissa bosättningsbaserade förmåner</w:t>
      </w:r>
      <w:bookmarkEnd w:id="115"/>
    </w:p>
    <w:p w:rsidRPr="006B7451" w:rsidR="00E57373" w:rsidP="00ED6D12" w:rsidRDefault="00E57373" w14:paraId="50BA5DF4" w14:textId="642CCB6F">
      <w:pPr>
        <w:pStyle w:val="Normalutanindragellerluft"/>
      </w:pPr>
      <w:r w:rsidRPr="006B7451">
        <w:t>De bosättningsbaserade förmånerna som har inkluderats i beräkningarna är</w:t>
      </w:r>
    </w:p>
    <w:p w:rsidRPr="006B7451" w:rsidR="00E57373" w:rsidP="00E57373" w:rsidRDefault="00E5481E" w14:paraId="18B33521" w14:textId="05BC8F18">
      <w:pPr>
        <w:pStyle w:val="ListaPunkt"/>
      </w:pPr>
      <w:r>
        <w:t>b</w:t>
      </w:r>
      <w:r w:rsidRPr="006B7451" w:rsidR="00E57373">
        <w:t>arnbidraget</w:t>
      </w:r>
    </w:p>
    <w:p w:rsidRPr="006B7451" w:rsidR="00E57373" w:rsidP="00E57373" w:rsidRDefault="00E5481E" w14:paraId="2E0A0483" w14:textId="431810A3">
      <w:pPr>
        <w:pStyle w:val="ListaPunkt"/>
      </w:pPr>
      <w:r>
        <w:t>b</w:t>
      </w:r>
      <w:r w:rsidRPr="006B7451" w:rsidR="00E57373">
        <w:t>ostadsbidraget</w:t>
      </w:r>
    </w:p>
    <w:p w:rsidRPr="006B7451" w:rsidR="00E57373" w:rsidP="00E57373" w:rsidRDefault="00E5481E" w14:paraId="515BE10B" w14:textId="62C6DB06">
      <w:pPr>
        <w:pStyle w:val="ListaPunkt"/>
      </w:pPr>
      <w:r>
        <w:t>e</w:t>
      </w:r>
      <w:r w:rsidRPr="006B7451" w:rsidR="00E57373">
        <w:t>fterlevandestöd för barn</w:t>
      </w:r>
    </w:p>
    <w:p w:rsidRPr="006B7451" w:rsidR="00E57373" w:rsidP="00E57373" w:rsidRDefault="00E5481E" w14:paraId="4CD53976" w14:textId="3CC79FB4">
      <w:pPr>
        <w:pStyle w:val="ListaPunkt"/>
      </w:pPr>
      <w:r>
        <w:t>f</w:t>
      </w:r>
      <w:r w:rsidRPr="006B7451" w:rsidR="00E57373">
        <w:t>öräldrapenning på lägstanivå och grundnivå</w:t>
      </w:r>
    </w:p>
    <w:p w:rsidRPr="006B7451" w:rsidR="00E57373" w:rsidP="00E57373" w:rsidRDefault="00E5481E" w14:paraId="2B0A553C" w14:textId="1C125D35">
      <w:pPr>
        <w:pStyle w:val="ListaPunkt"/>
      </w:pPr>
      <w:r>
        <w:t>ä</w:t>
      </w:r>
      <w:r w:rsidRPr="006B7451" w:rsidR="00E57373">
        <w:t>ldreförsörjningsstöd</w:t>
      </w:r>
    </w:p>
    <w:p w:rsidRPr="006B7451" w:rsidR="00E57373" w:rsidP="00E57373" w:rsidRDefault="00E5481E" w14:paraId="4674B1D1" w14:textId="7E14709A">
      <w:pPr>
        <w:pStyle w:val="ListaPunkt"/>
      </w:pPr>
      <w:r>
        <w:t>b</w:t>
      </w:r>
      <w:r w:rsidRPr="006B7451" w:rsidR="00E57373">
        <w:t>ostadstillägg till pensionärer</w:t>
      </w:r>
    </w:p>
    <w:p w:rsidRPr="006B7451" w:rsidR="00E57373" w:rsidP="00E57373" w:rsidRDefault="00E5481E" w14:paraId="05D682A9" w14:textId="76D07853">
      <w:pPr>
        <w:pStyle w:val="ListaPunkt"/>
      </w:pPr>
      <w:r>
        <w:t>g</w:t>
      </w:r>
      <w:r w:rsidRPr="006B7451" w:rsidR="00E57373">
        <w:t>arantipension</w:t>
      </w:r>
    </w:p>
    <w:p w:rsidRPr="006B7451" w:rsidR="00E57373" w:rsidP="00E57373" w:rsidRDefault="00E5481E" w14:paraId="115F37CF" w14:textId="733028F6">
      <w:pPr>
        <w:pStyle w:val="ListaPunkt"/>
      </w:pPr>
      <w:r>
        <w:t>g</w:t>
      </w:r>
      <w:r w:rsidRPr="006B7451" w:rsidR="00E57373">
        <w:t>arantiersättning i sjukersättning</w:t>
      </w:r>
    </w:p>
    <w:p w:rsidRPr="006B7451" w:rsidR="00E57373" w:rsidP="00276928" w:rsidRDefault="00E5481E" w14:paraId="0CECAC56" w14:textId="7889F981">
      <w:pPr>
        <w:pStyle w:val="ListaPunkt"/>
      </w:pPr>
      <w:r>
        <w:t>g</w:t>
      </w:r>
      <w:r w:rsidRPr="006B7451" w:rsidR="00E57373">
        <w:t>arantiersättning i aktivitetsersättningen</w:t>
      </w:r>
      <w:r>
        <w:t>.</w:t>
      </w:r>
    </w:p>
    <w:p w:rsidRPr="006B7451" w:rsidR="00276928" w:rsidP="00276928" w:rsidRDefault="00276928" w14:paraId="6E9C1231" w14:textId="73E1AAE4">
      <w:pPr>
        <w:ind w:firstLine="0"/>
      </w:pPr>
      <w:r w:rsidRPr="006B7451">
        <w:t>För att beräkna den möjliga bruttobesparingen har utbetalningarna från Försäkrings</w:t>
      </w:r>
      <w:r w:rsidR="009464E6">
        <w:softHyphen/>
      </w:r>
      <w:r w:rsidRPr="006B7451">
        <w:t>kassan och Pensionsmyndigheten delats upp i tre grupper: svenska medborgare, medborgare i EU</w:t>
      </w:r>
      <w:r w:rsidR="00254847">
        <w:t>-</w:t>
      </w:r>
      <w:r w:rsidRPr="006B7451">
        <w:t>/EES-länder samt övriga medborgare. För exempelvis barnbidraget ser det då ut som följ</w:t>
      </w:r>
      <w:r w:rsidR="00254847">
        <w:t>er</w:t>
      </w:r>
      <w:r w:rsidRPr="006B7451">
        <w:t>:</w:t>
      </w:r>
    </w:p>
    <w:p w:rsidRPr="00A07C88" w:rsidR="00276928" w:rsidP="009464E6" w:rsidRDefault="00276928" w14:paraId="738C322E" w14:textId="7CA51204">
      <w:pPr>
        <w:pStyle w:val="Tabellrubrik"/>
        <w:keepNext/>
      </w:pPr>
      <w:r w:rsidRPr="00A07C88">
        <w:t xml:space="preserve">Tabell </w:t>
      </w:r>
      <w:r w:rsidR="00A07C88">
        <w:t>15</w:t>
      </w:r>
      <w:r w:rsidRPr="00A07C88">
        <w:t xml:space="preserve"> – Antal mottagare och utbetalt belopp för barnbidrag, fördelat på mottagarens medborgarskap, 2019, antal och miljoner kronor</w:t>
      </w:r>
    </w:p>
    <w:tbl>
      <w:tblPr>
        <w:tblStyle w:val="Tabellrutnt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309"/>
        <w:gridCol w:w="1909"/>
        <w:gridCol w:w="1072"/>
        <w:gridCol w:w="1072"/>
        <w:gridCol w:w="1072"/>
        <w:gridCol w:w="1070"/>
      </w:tblGrid>
      <w:tr w:rsidRPr="006B7451" w:rsidR="00E57373" w:rsidTr="00481083" w14:paraId="45797195" w14:textId="77777777">
        <w:tc>
          <w:tcPr>
            <w:tcW w:w="1358" w:type="pct"/>
            <w:tcBorders>
              <w:top w:val="single" w:color="auto" w:sz="4" w:space="0"/>
              <w:bottom w:val="single" w:color="auto" w:sz="4" w:space="0"/>
            </w:tcBorders>
          </w:tcPr>
          <w:p w:rsidRPr="006B7451" w:rsidR="00E57373" w:rsidP="002678AB" w:rsidRDefault="00E57373" w14:paraId="646E0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tcBorders>
              <w:top w:val="single" w:color="auto" w:sz="4" w:space="0"/>
              <w:bottom w:val="single" w:color="auto" w:sz="4" w:space="0"/>
            </w:tcBorders>
          </w:tcPr>
          <w:p w:rsidRPr="006B7451" w:rsidR="00E57373" w:rsidP="002678AB" w:rsidRDefault="00E57373" w14:paraId="6C2B0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630" w:type="pct"/>
            <w:tcBorders>
              <w:top w:val="single" w:color="auto" w:sz="4" w:space="0"/>
              <w:bottom w:val="single" w:color="auto" w:sz="4" w:space="0"/>
            </w:tcBorders>
          </w:tcPr>
          <w:p w:rsidRPr="006B7451" w:rsidR="00E57373" w:rsidP="002678AB" w:rsidRDefault="00E57373" w14:paraId="49722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Sverige</w:t>
            </w:r>
          </w:p>
        </w:tc>
        <w:tc>
          <w:tcPr>
            <w:tcW w:w="630" w:type="pct"/>
            <w:tcBorders>
              <w:top w:val="single" w:color="auto" w:sz="4" w:space="0"/>
              <w:bottom w:val="single" w:color="auto" w:sz="4" w:space="0"/>
            </w:tcBorders>
          </w:tcPr>
          <w:p w:rsidRPr="006B7451" w:rsidR="00E57373" w:rsidP="002678AB" w:rsidRDefault="00E57373" w14:paraId="3C80A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EU/EES</w:t>
            </w:r>
          </w:p>
        </w:tc>
        <w:tc>
          <w:tcPr>
            <w:tcW w:w="630" w:type="pct"/>
            <w:tcBorders>
              <w:top w:val="single" w:color="auto" w:sz="4" w:space="0"/>
              <w:bottom w:val="single" w:color="auto" w:sz="4" w:space="0"/>
            </w:tcBorders>
          </w:tcPr>
          <w:p w:rsidRPr="006B7451" w:rsidR="00E57373" w:rsidP="002678AB" w:rsidRDefault="00E57373" w14:paraId="2F6FE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Övriga a)</w:t>
            </w:r>
          </w:p>
        </w:tc>
        <w:tc>
          <w:tcPr>
            <w:tcW w:w="630" w:type="pct"/>
            <w:tcBorders>
              <w:top w:val="single" w:color="auto" w:sz="4" w:space="0"/>
              <w:left w:val="nil"/>
              <w:bottom w:val="single" w:color="auto" w:sz="4" w:space="0"/>
            </w:tcBorders>
          </w:tcPr>
          <w:p w:rsidRPr="006B7451" w:rsidR="00E57373" w:rsidP="002678AB" w:rsidRDefault="00E57373" w14:paraId="74142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Totalt</w:t>
            </w:r>
          </w:p>
        </w:tc>
      </w:tr>
      <w:tr w:rsidRPr="006B7451" w:rsidR="00E57373" w:rsidTr="00481083" w14:paraId="298839EF" w14:textId="77777777">
        <w:tc>
          <w:tcPr>
            <w:tcW w:w="1358" w:type="pct"/>
            <w:vMerge w:val="restart"/>
            <w:tcBorders>
              <w:top w:val="single" w:color="auto" w:sz="4" w:space="0"/>
            </w:tcBorders>
          </w:tcPr>
          <w:p w:rsidRPr="006B7451" w:rsidR="00E57373" w:rsidP="002678AB" w:rsidRDefault="00E57373" w14:paraId="5F073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Antal mottagare</w:t>
            </w:r>
          </w:p>
        </w:tc>
        <w:tc>
          <w:tcPr>
            <w:tcW w:w="1123" w:type="pct"/>
            <w:tcBorders>
              <w:top w:val="single" w:color="auto" w:sz="4" w:space="0"/>
            </w:tcBorders>
          </w:tcPr>
          <w:p w:rsidRPr="006B7451" w:rsidR="00E57373" w:rsidP="002678AB" w:rsidRDefault="00E57373" w14:paraId="32379B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Allmänt barnbidrag</w:t>
            </w:r>
          </w:p>
        </w:tc>
        <w:tc>
          <w:tcPr>
            <w:tcW w:w="630" w:type="pct"/>
            <w:tcBorders>
              <w:top w:val="single" w:color="auto" w:sz="4" w:space="0"/>
            </w:tcBorders>
          </w:tcPr>
          <w:p w:rsidRPr="006B7451" w:rsidR="00E57373" w:rsidP="002678AB" w:rsidRDefault="00E57373" w14:paraId="1A5E4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1 333 700</w:t>
            </w:r>
          </w:p>
        </w:tc>
        <w:tc>
          <w:tcPr>
            <w:tcW w:w="630" w:type="pct"/>
            <w:tcBorders>
              <w:top w:val="single" w:color="auto" w:sz="4" w:space="0"/>
            </w:tcBorders>
          </w:tcPr>
          <w:p w:rsidRPr="006B7451" w:rsidR="00E57373" w:rsidP="002678AB" w:rsidRDefault="00E57373" w14:paraId="2D994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58 700</w:t>
            </w:r>
          </w:p>
        </w:tc>
        <w:tc>
          <w:tcPr>
            <w:tcW w:w="630" w:type="pct"/>
            <w:tcBorders>
              <w:top w:val="single" w:color="auto" w:sz="4" w:space="0"/>
            </w:tcBorders>
          </w:tcPr>
          <w:p w:rsidRPr="006B7451" w:rsidR="00E57373" w:rsidP="002678AB" w:rsidRDefault="00E57373" w14:paraId="6D1A5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150 500</w:t>
            </w:r>
          </w:p>
        </w:tc>
        <w:tc>
          <w:tcPr>
            <w:tcW w:w="630" w:type="pct"/>
            <w:tcBorders>
              <w:top w:val="single" w:color="auto" w:sz="4" w:space="0"/>
              <w:left w:val="nil"/>
            </w:tcBorders>
          </w:tcPr>
          <w:p w:rsidRPr="006B7451" w:rsidR="00E57373" w:rsidP="002678AB" w:rsidRDefault="00E57373" w14:paraId="27C77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1 542 900</w:t>
            </w:r>
          </w:p>
        </w:tc>
      </w:tr>
      <w:tr w:rsidRPr="006B7451" w:rsidR="00E57373" w:rsidTr="00481083" w14:paraId="76D0C69F" w14:textId="77777777">
        <w:tc>
          <w:tcPr>
            <w:tcW w:w="1358" w:type="pct"/>
            <w:vMerge/>
          </w:tcPr>
          <w:p w:rsidRPr="006B7451" w:rsidR="00E57373" w:rsidP="002678AB" w:rsidRDefault="00E57373" w14:paraId="6A235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tcPr>
          <w:p w:rsidRPr="006B7451" w:rsidR="00E57373" w:rsidP="002678AB" w:rsidRDefault="00E57373" w14:paraId="68EBF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Flerbarnstillägg</w:t>
            </w:r>
          </w:p>
        </w:tc>
        <w:tc>
          <w:tcPr>
            <w:tcW w:w="630" w:type="pct"/>
          </w:tcPr>
          <w:p w:rsidRPr="006B7451" w:rsidR="00E57373" w:rsidP="002678AB" w:rsidRDefault="00E57373" w14:paraId="402FB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907 200</w:t>
            </w:r>
          </w:p>
        </w:tc>
        <w:tc>
          <w:tcPr>
            <w:tcW w:w="630" w:type="pct"/>
          </w:tcPr>
          <w:p w:rsidRPr="006B7451" w:rsidR="00E57373" w:rsidP="002678AB" w:rsidRDefault="00E57373" w14:paraId="026C0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34 300</w:t>
            </w:r>
          </w:p>
        </w:tc>
        <w:tc>
          <w:tcPr>
            <w:tcW w:w="630" w:type="pct"/>
          </w:tcPr>
          <w:p w:rsidRPr="006B7451" w:rsidR="00E57373" w:rsidP="002678AB" w:rsidRDefault="00E57373" w14:paraId="04FA7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99 100</w:t>
            </w:r>
          </w:p>
        </w:tc>
        <w:tc>
          <w:tcPr>
            <w:tcW w:w="630" w:type="pct"/>
            <w:tcBorders>
              <w:left w:val="nil"/>
            </w:tcBorders>
          </w:tcPr>
          <w:p w:rsidRPr="006B7451" w:rsidR="00E57373" w:rsidP="002678AB" w:rsidRDefault="00E57373" w14:paraId="17F6E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1 040 600</w:t>
            </w:r>
          </w:p>
        </w:tc>
      </w:tr>
      <w:tr w:rsidRPr="006B7451" w:rsidR="00E57373" w:rsidTr="00481083" w14:paraId="3D427FEE" w14:textId="77777777">
        <w:tc>
          <w:tcPr>
            <w:tcW w:w="1358" w:type="pct"/>
            <w:vMerge/>
          </w:tcPr>
          <w:p w:rsidRPr="006B7451" w:rsidR="00E57373" w:rsidP="002678AB" w:rsidRDefault="00E57373" w14:paraId="4260A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tcBorders>
              <w:bottom w:val="single" w:color="auto" w:sz="4" w:space="0"/>
            </w:tcBorders>
          </w:tcPr>
          <w:p w:rsidRPr="006B7451" w:rsidR="00E57373" w:rsidP="002678AB" w:rsidRDefault="00E57373" w14:paraId="11A9A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Förlängt barnbidrag</w:t>
            </w:r>
          </w:p>
        </w:tc>
        <w:tc>
          <w:tcPr>
            <w:tcW w:w="630" w:type="pct"/>
            <w:tcBorders>
              <w:bottom w:val="single" w:color="auto" w:sz="4" w:space="0"/>
            </w:tcBorders>
          </w:tcPr>
          <w:p w:rsidRPr="006B7451" w:rsidR="00E57373" w:rsidP="002678AB" w:rsidRDefault="00E57373" w14:paraId="34BFD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38 300</w:t>
            </w:r>
          </w:p>
        </w:tc>
        <w:tc>
          <w:tcPr>
            <w:tcW w:w="630" w:type="pct"/>
            <w:tcBorders>
              <w:bottom w:val="single" w:color="auto" w:sz="4" w:space="0"/>
            </w:tcBorders>
          </w:tcPr>
          <w:p w:rsidRPr="006B7451" w:rsidR="00E57373" w:rsidP="002678AB" w:rsidRDefault="00E57373" w14:paraId="3FB5B8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1 300</w:t>
            </w:r>
          </w:p>
        </w:tc>
        <w:tc>
          <w:tcPr>
            <w:tcW w:w="630" w:type="pct"/>
            <w:tcBorders>
              <w:bottom w:val="single" w:color="auto" w:sz="4" w:space="0"/>
            </w:tcBorders>
          </w:tcPr>
          <w:p w:rsidRPr="006B7451" w:rsidR="00E57373" w:rsidP="002678AB" w:rsidRDefault="00E57373" w14:paraId="39661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8 500</w:t>
            </w:r>
          </w:p>
        </w:tc>
        <w:tc>
          <w:tcPr>
            <w:tcW w:w="630" w:type="pct"/>
            <w:tcBorders>
              <w:left w:val="nil"/>
              <w:bottom w:val="single" w:color="auto" w:sz="4" w:space="0"/>
            </w:tcBorders>
          </w:tcPr>
          <w:p w:rsidRPr="006B7451" w:rsidR="00E57373" w:rsidP="002678AB" w:rsidRDefault="00E57373" w14:paraId="1BC3A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48 100</w:t>
            </w:r>
          </w:p>
        </w:tc>
      </w:tr>
      <w:tr w:rsidRPr="006B7451" w:rsidR="00E57373" w:rsidTr="00481083" w14:paraId="27ADF0C5" w14:textId="77777777">
        <w:tc>
          <w:tcPr>
            <w:tcW w:w="1358" w:type="pct"/>
            <w:vMerge/>
            <w:tcBorders>
              <w:bottom w:val="single" w:color="auto" w:sz="4" w:space="0"/>
            </w:tcBorders>
          </w:tcPr>
          <w:p w:rsidRPr="006B7451" w:rsidR="00E57373" w:rsidP="002678AB" w:rsidRDefault="00E57373" w14:paraId="3B32A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tcBorders>
              <w:top w:val="single" w:color="auto" w:sz="4" w:space="0"/>
              <w:bottom w:val="single" w:color="auto" w:sz="4" w:space="0"/>
            </w:tcBorders>
          </w:tcPr>
          <w:p w:rsidRPr="006B7451" w:rsidR="00E57373" w:rsidP="002678AB" w:rsidRDefault="00E57373" w14:paraId="216B8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Totalt b)</w:t>
            </w:r>
          </w:p>
        </w:tc>
        <w:tc>
          <w:tcPr>
            <w:tcW w:w="630" w:type="pct"/>
            <w:tcBorders>
              <w:top w:val="single" w:color="auto" w:sz="4" w:space="0"/>
              <w:bottom w:val="single" w:color="auto" w:sz="4" w:space="0"/>
            </w:tcBorders>
          </w:tcPr>
          <w:p w:rsidRPr="006B7451" w:rsidR="00E57373" w:rsidP="002678AB" w:rsidRDefault="00E57373" w14:paraId="34DDB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1 371 900</w:t>
            </w:r>
          </w:p>
        </w:tc>
        <w:tc>
          <w:tcPr>
            <w:tcW w:w="630" w:type="pct"/>
            <w:tcBorders>
              <w:top w:val="single" w:color="auto" w:sz="4" w:space="0"/>
              <w:bottom w:val="single" w:color="auto" w:sz="4" w:space="0"/>
            </w:tcBorders>
          </w:tcPr>
          <w:p w:rsidRPr="006B7451" w:rsidR="00E57373" w:rsidP="002678AB" w:rsidRDefault="00E57373" w14:paraId="38E96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60 000</w:t>
            </w:r>
          </w:p>
        </w:tc>
        <w:tc>
          <w:tcPr>
            <w:tcW w:w="630" w:type="pct"/>
            <w:tcBorders>
              <w:top w:val="single" w:color="auto" w:sz="4" w:space="0"/>
              <w:bottom w:val="single" w:color="auto" w:sz="4" w:space="0"/>
            </w:tcBorders>
          </w:tcPr>
          <w:p w:rsidRPr="006B7451" w:rsidR="00E57373" w:rsidP="002678AB" w:rsidRDefault="00E57373" w14:paraId="6DA8F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159 000</w:t>
            </w:r>
          </w:p>
        </w:tc>
        <w:tc>
          <w:tcPr>
            <w:tcW w:w="630" w:type="pct"/>
            <w:tcBorders>
              <w:top w:val="single" w:color="auto" w:sz="4" w:space="0"/>
              <w:left w:val="nil"/>
              <w:bottom w:val="single" w:color="auto" w:sz="4" w:space="0"/>
            </w:tcBorders>
          </w:tcPr>
          <w:p w:rsidRPr="006B7451" w:rsidR="00E57373" w:rsidP="002678AB" w:rsidRDefault="00E57373" w14:paraId="063E8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1 591 000</w:t>
            </w:r>
          </w:p>
        </w:tc>
      </w:tr>
      <w:tr w:rsidRPr="006B7451" w:rsidR="00E57373" w:rsidTr="00481083" w14:paraId="691C72BF" w14:textId="77777777">
        <w:tc>
          <w:tcPr>
            <w:tcW w:w="1358" w:type="pct"/>
            <w:vMerge w:val="restart"/>
            <w:tcBorders>
              <w:top w:val="single" w:color="auto" w:sz="4" w:space="0"/>
            </w:tcBorders>
            <w:shd w:val="clear" w:color="auto" w:fill="auto"/>
          </w:tcPr>
          <w:p w:rsidRPr="006B7451" w:rsidR="00E57373" w:rsidP="002678AB" w:rsidRDefault="00E57373" w14:paraId="56FA848A" w14:textId="209AE5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 xml:space="preserve">Utbetalt belopp (milj. </w:t>
            </w:r>
            <w:r w:rsidRPr="006B7451" w:rsidR="00A07C88">
              <w:rPr>
                <w:rFonts w:eastAsia="Calibri" w:asciiTheme="majorHAnsi" w:hAnsiTheme="majorHAnsi" w:cstheme="majorHAnsi"/>
                <w:kern w:val="0"/>
                <w:sz w:val="20"/>
                <w:szCs w:val="20"/>
                <w14:numSpacing w14:val="default"/>
              </w:rPr>
              <w:t>K</w:t>
            </w:r>
            <w:r w:rsidRPr="006B7451">
              <w:rPr>
                <w:rFonts w:eastAsia="Calibri" w:asciiTheme="majorHAnsi" w:hAnsiTheme="majorHAnsi" w:cstheme="majorHAnsi"/>
                <w:kern w:val="0"/>
                <w:sz w:val="20"/>
                <w:szCs w:val="20"/>
                <w14:numSpacing w14:val="default"/>
              </w:rPr>
              <w:t>r</w:t>
            </w:r>
            <w:r w:rsidR="00A07C88">
              <w:rPr>
                <w:rFonts w:eastAsia="Calibri" w:asciiTheme="majorHAnsi" w:hAnsiTheme="majorHAnsi" w:cstheme="majorHAnsi"/>
                <w:kern w:val="0"/>
                <w:sz w:val="20"/>
                <w:szCs w:val="20"/>
                <w14:numSpacing w14:val="default"/>
              </w:rPr>
              <w:t>.</w:t>
            </w:r>
            <w:r w:rsidRPr="006B7451">
              <w:rPr>
                <w:rFonts w:eastAsia="Calibri" w:asciiTheme="majorHAnsi" w:hAnsiTheme="majorHAnsi" w:cstheme="majorHAnsi"/>
                <w:kern w:val="0"/>
                <w:sz w:val="20"/>
                <w:szCs w:val="20"/>
                <w14:numSpacing w14:val="default"/>
              </w:rPr>
              <w:t>)</w:t>
            </w:r>
          </w:p>
        </w:tc>
        <w:tc>
          <w:tcPr>
            <w:tcW w:w="1123" w:type="pct"/>
            <w:tcBorders>
              <w:top w:val="single" w:color="auto" w:sz="4" w:space="0"/>
            </w:tcBorders>
            <w:shd w:val="clear" w:color="auto" w:fill="auto"/>
          </w:tcPr>
          <w:p w:rsidRPr="006B7451" w:rsidR="00E57373" w:rsidP="002678AB" w:rsidRDefault="00E57373" w14:paraId="63BB8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Allmänt barnbidrag</w:t>
            </w:r>
          </w:p>
        </w:tc>
        <w:tc>
          <w:tcPr>
            <w:tcW w:w="630" w:type="pct"/>
            <w:tcBorders>
              <w:top w:val="single" w:color="auto" w:sz="4" w:space="0"/>
            </w:tcBorders>
            <w:shd w:val="clear" w:color="auto" w:fill="auto"/>
          </w:tcPr>
          <w:p w:rsidRPr="006B7451" w:rsidR="00E57373" w:rsidP="002678AB" w:rsidRDefault="00E57373" w14:paraId="2D24F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25 500</w:t>
            </w:r>
          </w:p>
        </w:tc>
        <w:tc>
          <w:tcPr>
            <w:tcW w:w="630" w:type="pct"/>
            <w:tcBorders>
              <w:top w:val="single" w:color="auto" w:sz="4" w:space="0"/>
            </w:tcBorders>
            <w:shd w:val="clear" w:color="auto" w:fill="auto"/>
          </w:tcPr>
          <w:p w:rsidRPr="006B7451" w:rsidR="00E57373" w:rsidP="002678AB" w:rsidRDefault="00E57373" w14:paraId="7D99D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1 000</w:t>
            </w:r>
          </w:p>
        </w:tc>
        <w:tc>
          <w:tcPr>
            <w:tcW w:w="630" w:type="pct"/>
            <w:tcBorders>
              <w:top w:val="single" w:color="auto" w:sz="4" w:space="0"/>
            </w:tcBorders>
            <w:shd w:val="clear" w:color="auto" w:fill="auto"/>
          </w:tcPr>
          <w:p w:rsidRPr="006B7451" w:rsidR="00E57373" w:rsidP="002678AB" w:rsidRDefault="00E57373" w14:paraId="127C3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2 900</w:t>
            </w:r>
          </w:p>
        </w:tc>
        <w:tc>
          <w:tcPr>
            <w:tcW w:w="630" w:type="pct"/>
            <w:tcBorders>
              <w:top w:val="single" w:color="auto" w:sz="4" w:space="0"/>
              <w:left w:val="nil"/>
            </w:tcBorders>
            <w:shd w:val="clear" w:color="auto" w:fill="auto"/>
          </w:tcPr>
          <w:p w:rsidRPr="006B7451" w:rsidR="00E57373" w:rsidP="002678AB" w:rsidRDefault="00E57373" w14:paraId="43673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29 500</w:t>
            </w:r>
          </w:p>
        </w:tc>
      </w:tr>
      <w:tr w:rsidRPr="006B7451" w:rsidR="00E57373" w:rsidTr="00481083" w14:paraId="2948E8AA" w14:textId="77777777">
        <w:tc>
          <w:tcPr>
            <w:tcW w:w="1358" w:type="pct"/>
            <w:vMerge/>
            <w:shd w:val="clear" w:color="auto" w:fill="auto"/>
          </w:tcPr>
          <w:p w:rsidRPr="006B7451" w:rsidR="00E57373" w:rsidP="002678AB" w:rsidRDefault="00E57373" w14:paraId="036AE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shd w:val="clear" w:color="auto" w:fill="auto"/>
          </w:tcPr>
          <w:p w:rsidRPr="006B7451" w:rsidR="00E57373" w:rsidP="002678AB" w:rsidRDefault="00E57373" w14:paraId="37C12C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Flerbarnstillägg</w:t>
            </w:r>
          </w:p>
        </w:tc>
        <w:tc>
          <w:tcPr>
            <w:tcW w:w="630" w:type="pct"/>
            <w:shd w:val="clear" w:color="auto" w:fill="auto"/>
          </w:tcPr>
          <w:p w:rsidRPr="006B7451" w:rsidR="00E57373" w:rsidP="002678AB" w:rsidRDefault="00E57373" w14:paraId="08D6F8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3 100</w:t>
            </w:r>
          </w:p>
        </w:tc>
        <w:tc>
          <w:tcPr>
            <w:tcW w:w="630" w:type="pct"/>
            <w:shd w:val="clear" w:color="auto" w:fill="auto"/>
          </w:tcPr>
          <w:p w:rsidRPr="006B7451" w:rsidR="00E57373" w:rsidP="002678AB" w:rsidRDefault="00E57373" w14:paraId="39FEF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100</w:t>
            </w:r>
          </w:p>
        </w:tc>
        <w:tc>
          <w:tcPr>
            <w:tcW w:w="630" w:type="pct"/>
            <w:shd w:val="clear" w:color="auto" w:fill="auto"/>
          </w:tcPr>
          <w:p w:rsidRPr="006B7451" w:rsidR="00E57373" w:rsidP="002678AB" w:rsidRDefault="00E57373" w14:paraId="0459F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600</w:t>
            </w:r>
          </w:p>
        </w:tc>
        <w:tc>
          <w:tcPr>
            <w:tcW w:w="630" w:type="pct"/>
            <w:tcBorders>
              <w:left w:val="nil"/>
            </w:tcBorders>
            <w:shd w:val="clear" w:color="auto" w:fill="auto"/>
          </w:tcPr>
          <w:p w:rsidRPr="006B7451" w:rsidR="00E57373" w:rsidP="002678AB" w:rsidRDefault="00E57373" w14:paraId="0A5992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3 800</w:t>
            </w:r>
          </w:p>
        </w:tc>
      </w:tr>
      <w:tr w:rsidRPr="006B7451" w:rsidR="00E57373" w:rsidTr="00481083" w14:paraId="4C57F550" w14:textId="77777777">
        <w:tc>
          <w:tcPr>
            <w:tcW w:w="1358" w:type="pct"/>
            <w:vMerge/>
            <w:shd w:val="clear" w:color="auto" w:fill="auto"/>
          </w:tcPr>
          <w:p w:rsidRPr="006B7451" w:rsidR="00E57373" w:rsidP="002678AB" w:rsidRDefault="00E57373" w14:paraId="6D129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tcBorders>
              <w:bottom w:val="single" w:color="auto" w:sz="4" w:space="0"/>
            </w:tcBorders>
            <w:shd w:val="clear" w:color="auto" w:fill="auto"/>
          </w:tcPr>
          <w:p w:rsidRPr="006B7451" w:rsidR="00E57373" w:rsidP="002678AB" w:rsidRDefault="00E57373" w14:paraId="7E2A2B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Förlängt barnbidrag</w:t>
            </w:r>
          </w:p>
        </w:tc>
        <w:tc>
          <w:tcPr>
            <w:tcW w:w="630" w:type="pct"/>
            <w:tcBorders>
              <w:bottom w:val="single" w:color="auto" w:sz="4" w:space="0"/>
            </w:tcBorders>
            <w:shd w:val="clear" w:color="auto" w:fill="auto"/>
          </w:tcPr>
          <w:p w:rsidRPr="006B7451" w:rsidR="00E57373" w:rsidP="002678AB" w:rsidRDefault="00E57373" w14:paraId="32CB3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200</w:t>
            </w:r>
          </w:p>
        </w:tc>
        <w:tc>
          <w:tcPr>
            <w:tcW w:w="630" w:type="pct"/>
            <w:tcBorders>
              <w:bottom w:val="single" w:color="auto" w:sz="4" w:space="0"/>
            </w:tcBorders>
            <w:shd w:val="clear" w:color="auto" w:fill="auto"/>
          </w:tcPr>
          <w:p w:rsidRPr="006B7451" w:rsidR="00E57373" w:rsidP="002678AB" w:rsidRDefault="00E57373" w14:paraId="3812E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10</w:t>
            </w:r>
          </w:p>
        </w:tc>
        <w:tc>
          <w:tcPr>
            <w:tcW w:w="630" w:type="pct"/>
            <w:tcBorders>
              <w:bottom w:val="single" w:color="auto" w:sz="4" w:space="0"/>
            </w:tcBorders>
            <w:shd w:val="clear" w:color="auto" w:fill="auto"/>
          </w:tcPr>
          <w:p w:rsidRPr="006B7451" w:rsidR="00E57373" w:rsidP="002678AB" w:rsidRDefault="00E57373" w14:paraId="477C8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50</w:t>
            </w:r>
          </w:p>
        </w:tc>
        <w:tc>
          <w:tcPr>
            <w:tcW w:w="630" w:type="pct"/>
            <w:tcBorders>
              <w:left w:val="nil"/>
              <w:bottom w:val="single" w:color="auto" w:sz="4" w:space="0"/>
            </w:tcBorders>
            <w:shd w:val="clear" w:color="auto" w:fill="auto"/>
          </w:tcPr>
          <w:p w:rsidRPr="006B7451" w:rsidR="00E57373" w:rsidP="002678AB" w:rsidRDefault="00E57373" w14:paraId="0F9B1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300</w:t>
            </w:r>
          </w:p>
        </w:tc>
      </w:tr>
      <w:tr w:rsidRPr="006B7451" w:rsidR="00E57373" w:rsidTr="00481083" w14:paraId="2ECBE7D1" w14:textId="77777777">
        <w:tc>
          <w:tcPr>
            <w:tcW w:w="1358" w:type="pct"/>
            <w:vMerge/>
            <w:tcBorders>
              <w:bottom w:val="single" w:color="auto" w:sz="4" w:space="0"/>
            </w:tcBorders>
            <w:shd w:val="clear" w:color="auto" w:fill="auto"/>
          </w:tcPr>
          <w:p w:rsidRPr="006B7451" w:rsidR="00E57373" w:rsidP="002678AB" w:rsidRDefault="00E57373" w14:paraId="656AC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1123" w:type="pct"/>
            <w:tcBorders>
              <w:top w:val="single" w:color="auto" w:sz="4" w:space="0"/>
              <w:bottom w:val="single" w:color="auto" w:sz="4" w:space="0"/>
            </w:tcBorders>
            <w:shd w:val="clear" w:color="auto" w:fill="auto"/>
          </w:tcPr>
          <w:p w:rsidRPr="006B7451" w:rsidR="00E57373" w:rsidP="002678AB" w:rsidRDefault="00E57373" w14:paraId="4D0C6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Totalt</w:t>
            </w:r>
          </w:p>
        </w:tc>
        <w:tc>
          <w:tcPr>
            <w:tcW w:w="630" w:type="pct"/>
            <w:tcBorders>
              <w:top w:val="single" w:color="auto" w:sz="4" w:space="0"/>
              <w:bottom w:val="single" w:color="auto" w:sz="4" w:space="0"/>
            </w:tcBorders>
            <w:shd w:val="clear" w:color="auto" w:fill="auto"/>
          </w:tcPr>
          <w:p w:rsidRPr="006B7451" w:rsidR="00E57373" w:rsidP="002678AB" w:rsidRDefault="00E57373" w14:paraId="6ECDF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28 900</w:t>
            </w:r>
          </w:p>
        </w:tc>
        <w:tc>
          <w:tcPr>
            <w:tcW w:w="630" w:type="pct"/>
            <w:tcBorders>
              <w:top w:val="single" w:color="auto" w:sz="4" w:space="0"/>
              <w:bottom w:val="single" w:color="auto" w:sz="4" w:space="0"/>
            </w:tcBorders>
            <w:shd w:val="clear" w:color="auto" w:fill="auto"/>
          </w:tcPr>
          <w:p w:rsidRPr="006B7451" w:rsidR="00E57373" w:rsidP="002678AB" w:rsidRDefault="00E57373" w14:paraId="6DD8E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1 200</w:t>
            </w:r>
          </w:p>
        </w:tc>
        <w:tc>
          <w:tcPr>
            <w:tcW w:w="630" w:type="pct"/>
            <w:tcBorders>
              <w:top w:val="single" w:color="auto" w:sz="4" w:space="0"/>
              <w:bottom w:val="single" w:color="auto" w:sz="4" w:space="0"/>
            </w:tcBorders>
            <w:shd w:val="clear" w:color="auto" w:fill="auto"/>
          </w:tcPr>
          <w:p w:rsidRPr="006B7451" w:rsidR="00E57373" w:rsidP="002678AB" w:rsidRDefault="00E57373" w14:paraId="3580D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3 500</w:t>
            </w:r>
          </w:p>
        </w:tc>
        <w:tc>
          <w:tcPr>
            <w:tcW w:w="630" w:type="pct"/>
            <w:tcBorders>
              <w:top w:val="single" w:color="auto" w:sz="4" w:space="0"/>
              <w:left w:val="nil"/>
              <w:bottom w:val="single" w:color="auto" w:sz="4" w:space="0"/>
            </w:tcBorders>
            <w:shd w:val="clear" w:color="auto" w:fill="auto"/>
          </w:tcPr>
          <w:p w:rsidRPr="006B7451" w:rsidR="00E57373" w:rsidP="002678AB" w:rsidRDefault="00E57373" w14:paraId="2B8BD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33 600</w:t>
            </w:r>
          </w:p>
        </w:tc>
      </w:tr>
    </w:tbl>
    <w:p w:rsidRPr="006D5226" w:rsidR="00276928" w:rsidP="006D5226" w:rsidRDefault="00276928" w14:paraId="5F89156A" w14:textId="7EB0BE14">
      <w:pPr>
        <w:pStyle w:val="Klla"/>
      </w:pPr>
      <w:r w:rsidRPr="006D5226">
        <w:t>Källa: Försäkringskassan</w:t>
      </w:r>
      <w:r w:rsidR="002678AB">
        <w:t>.</w:t>
      </w:r>
    </w:p>
    <w:p w:rsidRPr="006B7451" w:rsidR="00E57373" w:rsidP="006D5226" w:rsidRDefault="00E57373" w14:paraId="29077134" w14:textId="2B7BBDFE">
      <w:pPr>
        <w:pStyle w:val="Normalutanindragellerluft"/>
        <w:spacing w:before="150"/>
      </w:pPr>
      <w:r w:rsidRPr="006B7451">
        <w:t>Beloppet har sedan räknats upp med Försäkringskassan</w:t>
      </w:r>
      <w:r w:rsidR="00327B4A">
        <w:t>s</w:t>
      </w:r>
      <w:r w:rsidRPr="006B7451">
        <w:t xml:space="preserve"> eller Pensionsmyndighetens senaste pro</w:t>
      </w:r>
      <w:r w:rsidRPr="006B7451" w:rsidR="00276928">
        <w:t>gnos för utgifterna för respektive förmån</w:t>
      </w:r>
      <w:r w:rsidR="00327B4A">
        <w:t>.</w:t>
      </w:r>
    </w:p>
    <w:p w:rsidRPr="00EF4FDD" w:rsidR="00276928" w:rsidP="00D7147C" w:rsidRDefault="00276928" w14:paraId="05D229C8" w14:textId="2511ED27">
      <w:pPr>
        <w:pStyle w:val="Tabellrubrik"/>
        <w:keepNext/>
      </w:pPr>
      <w:r w:rsidRPr="00EF4FDD">
        <w:lastRenderedPageBreak/>
        <w:t xml:space="preserve">Tabell </w:t>
      </w:r>
      <w:r w:rsidR="00EF4FDD">
        <w:t>16</w:t>
      </w:r>
      <w:r w:rsidRPr="00EF4FDD">
        <w:t xml:space="preserve"> Beräknade utgifter för staten i förhållande till nuvarande regelverk, 2020–2024, miljoner kronor</w:t>
      </w:r>
    </w:p>
    <w:tbl>
      <w:tblPr>
        <w:tblStyle w:val="Tabellrutnt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858"/>
        <w:gridCol w:w="1130"/>
        <w:gridCol w:w="1130"/>
        <w:gridCol w:w="1129"/>
        <w:gridCol w:w="1129"/>
        <w:gridCol w:w="1128"/>
      </w:tblGrid>
      <w:tr w:rsidRPr="006B7451" w:rsidR="00276928" w:rsidTr="002678AB" w14:paraId="0B404AFE" w14:textId="77777777">
        <w:tc>
          <w:tcPr>
            <w:tcW w:w="1680" w:type="pct"/>
            <w:tcBorders>
              <w:top w:val="single" w:color="auto" w:sz="4" w:space="0"/>
              <w:bottom w:val="single" w:color="auto" w:sz="4" w:space="0"/>
            </w:tcBorders>
          </w:tcPr>
          <w:p w:rsidRPr="006B7451" w:rsidR="00276928" w:rsidP="002678AB" w:rsidRDefault="00276928" w14:paraId="6A999C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p>
        </w:tc>
        <w:tc>
          <w:tcPr>
            <w:tcW w:w="664" w:type="pct"/>
            <w:tcBorders>
              <w:top w:val="single" w:color="auto" w:sz="4" w:space="0"/>
              <w:bottom w:val="single" w:color="auto" w:sz="4" w:space="0"/>
            </w:tcBorders>
          </w:tcPr>
          <w:p w:rsidRPr="006B7451" w:rsidR="00276928" w:rsidP="002678AB" w:rsidRDefault="00276928" w14:paraId="22054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2020</w:t>
            </w:r>
          </w:p>
        </w:tc>
        <w:tc>
          <w:tcPr>
            <w:tcW w:w="664" w:type="pct"/>
            <w:tcBorders>
              <w:top w:val="single" w:color="auto" w:sz="4" w:space="0"/>
              <w:bottom w:val="single" w:color="auto" w:sz="4" w:space="0"/>
            </w:tcBorders>
          </w:tcPr>
          <w:p w:rsidRPr="006B7451" w:rsidR="00276928" w:rsidP="002678AB" w:rsidRDefault="00276928" w14:paraId="3F13F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2021</w:t>
            </w:r>
          </w:p>
        </w:tc>
        <w:tc>
          <w:tcPr>
            <w:tcW w:w="664" w:type="pct"/>
            <w:tcBorders>
              <w:top w:val="single" w:color="auto" w:sz="4" w:space="0"/>
              <w:bottom w:val="single" w:color="auto" w:sz="4" w:space="0"/>
            </w:tcBorders>
          </w:tcPr>
          <w:p w:rsidRPr="006B7451" w:rsidR="00276928" w:rsidP="002678AB" w:rsidRDefault="00276928" w14:paraId="7D1B5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2022</w:t>
            </w:r>
          </w:p>
        </w:tc>
        <w:tc>
          <w:tcPr>
            <w:tcW w:w="664" w:type="pct"/>
            <w:tcBorders>
              <w:top w:val="single" w:color="auto" w:sz="4" w:space="0"/>
              <w:bottom w:val="single" w:color="auto" w:sz="4" w:space="0"/>
            </w:tcBorders>
          </w:tcPr>
          <w:p w:rsidRPr="006B7451" w:rsidR="00276928" w:rsidP="002678AB" w:rsidRDefault="00276928" w14:paraId="1E134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2023</w:t>
            </w:r>
          </w:p>
        </w:tc>
        <w:tc>
          <w:tcPr>
            <w:tcW w:w="663" w:type="pct"/>
            <w:tcBorders>
              <w:top w:val="single" w:color="auto" w:sz="4" w:space="0"/>
              <w:bottom w:val="single" w:color="auto" w:sz="4" w:space="0"/>
            </w:tcBorders>
          </w:tcPr>
          <w:p w:rsidRPr="006B7451" w:rsidR="00276928" w:rsidP="002678AB" w:rsidRDefault="00276928" w14:paraId="658A7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2024</w:t>
            </w:r>
          </w:p>
        </w:tc>
      </w:tr>
      <w:tr w:rsidRPr="006B7451" w:rsidR="00276928" w:rsidTr="002678AB" w14:paraId="1200037B" w14:textId="77777777">
        <w:tc>
          <w:tcPr>
            <w:tcW w:w="1680" w:type="pct"/>
            <w:tcBorders>
              <w:top w:val="single" w:color="auto" w:sz="4" w:space="0"/>
            </w:tcBorders>
          </w:tcPr>
          <w:p w:rsidRPr="006B7451" w:rsidR="00276928" w:rsidP="002678AB" w:rsidRDefault="00276928" w14:paraId="3C899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Barnbidrag</w:t>
            </w:r>
          </w:p>
        </w:tc>
        <w:tc>
          <w:tcPr>
            <w:tcW w:w="664" w:type="pct"/>
            <w:tcBorders>
              <w:top w:val="single" w:color="auto" w:sz="4" w:space="0"/>
            </w:tcBorders>
          </w:tcPr>
          <w:p w:rsidRPr="006B7451" w:rsidR="00276928" w:rsidP="002678AB" w:rsidRDefault="00337447" w14:paraId="062D197F" w14:textId="175038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3 000</w:t>
            </w:r>
          </w:p>
        </w:tc>
        <w:tc>
          <w:tcPr>
            <w:tcW w:w="664" w:type="pct"/>
            <w:tcBorders>
              <w:top w:val="single" w:color="auto" w:sz="4" w:space="0"/>
            </w:tcBorders>
          </w:tcPr>
          <w:p w:rsidRPr="006B7451" w:rsidR="00276928" w:rsidP="002678AB" w:rsidRDefault="00337447" w14:paraId="0B37D70F" w14:textId="5B6749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3 000</w:t>
            </w:r>
          </w:p>
        </w:tc>
        <w:tc>
          <w:tcPr>
            <w:tcW w:w="664" w:type="pct"/>
            <w:tcBorders>
              <w:top w:val="single" w:color="auto" w:sz="4" w:space="0"/>
            </w:tcBorders>
          </w:tcPr>
          <w:p w:rsidRPr="006B7451" w:rsidR="00276928" w:rsidP="002678AB" w:rsidRDefault="00337447" w14:paraId="78421D95" w14:textId="785C12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3 000</w:t>
            </w:r>
          </w:p>
        </w:tc>
        <w:tc>
          <w:tcPr>
            <w:tcW w:w="664" w:type="pct"/>
            <w:tcBorders>
              <w:top w:val="single" w:color="auto" w:sz="4" w:space="0"/>
            </w:tcBorders>
          </w:tcPr>
          <w:p w:rsidRPr="006B7451" w:rsidR="00276928" w:rsidP="002678AB" w:rsidRDefault="00337447" w14:paraId="1B75D3BE" w14:textId="1143D9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3 000</w:t>
            </w:r>
          </w:p>
        </w:tc>
        <w:tc>
          <w:tcPr>
            <w:tcW w:w="663" w:type="pct"/>
            <w:tcBorders>
              <w:top w:val="single" w:color="auto" w:sz="4" w:space="0"/>
            </w:tcBorders>
          </w:tcPr>
          <w:p w:rsidRPr="006B7451" w:rsidR="00276928" w:rsidP="002678AB" w:rsidRDefault="00337447" w14:paraId="1248E82F" w14:textId="55D66D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3 000</w:t>
            </w:r>
          </w:p>
        </w:tc>
      </w:tr>
      <w:tr w:rsidRPr="006B7451" w:rsidR="00276928" w:rsidTr="002678AB" w14:paraId="2F3FD854" w14:textId="77777777">
        <w:tc>
          <w:tcPr>
            <w:tcW w:w="1680" w:type="pct"/>
          </w:tcPr>
          <w:p w:rsidRPr="006B7451" w:rsidR="00276928" w:rsidP="002678AB" w:rsidRDefault="00276928" w14:paraId="25924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Bostadsbidrag</w:t>
            </w:r>
          </w:p>
        </w:tc>
        <w:tc>
          <w:tcPr>
            <w:tcW w:w="664" w:type="pct"/>
          </w:tcPr>
          <w:p w:rsidRPr="006B7451" w:rsidR="00276928" w:rsidP="002678AB" w:rsidRDefault="00337447" w14:paraId="779BD510" w14:textId="4E9B5E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2 200</w:t>
            </w:r>
          </w:p>
        </w:tc>
        <w:tc>
          <w:tcPr>
            <w:tcW w:w="664" w:type="pct"/>
          </w:tcPr>
          <w:p w:rsidRPr="006B7451" w:rsidR="00276928" w:rsidP="002678AB" w:rsidRDefault="00337447" w14:paraId="3049AC0B" w14:textId="08E5F4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1 900</w:t>
            </w:r>
          </w:p>
        </w:tc>
        <w:tc>
          <w:tcPr>
            <w:tcW w:w="664" w:type="pct"/>
          </w:tcPr>
          <w:p w:rsidRPr="006B7451" w:rsidR="00276928" w:rsidP="002678AB" w:rsidRDefault="00337447" w14:paraId="1559E4C3" w14:textId="62B663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1 800</w:t>
            </w:r>
          </w:p>
        </w:tc>
        <w:tc>
          <w:tcPr>
            <w:tcW w:w="664" w:type="pct"/>
          </w:tcPr>
          <w:p w:rsidRPr="006B7451" w:rsidR="00276928" w:rsidP="002678AB" w:rsidRDefault="00337447" w14:paraId="34A9BA3F" w14:textId="7A60B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1 700</w:t>
            </w:r>
          </w:p>
        </w:tc>
        <w:tc>
          <w:tcPr>
            <w:tcW w:w="663" w:type="pct"/>
          </w:tcPr>
          <w:p w:rsidRPr="006B7451" w:rsidR="00276928" w:rsidP="002678AB" w:rsidRDefault="00337447" w14:paraId="6E5ADF92" w14:textId="1C9CC1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1 700</w:t>
            </w:r>
          </w:p>
        </w:tc>
      </w:tr>
      <w:tr w:rsidRPr="006B7451" w:rsidR="00276928" w:rsidTr="002678AB" w14:paraId="5FE0A1DE" w14:textId="77777777">
        <w:tc>
          <w:tcPr>
            <w:tcW w:w="1680" w:type="pct"/>
          </w:tcPr>
          <w:p w:rsidRPr="006B7451" w:rsidR="00276928" w:rsidP="002678AB" w:rsidRDefault="00276928" w14:paraId="3F5AE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Efterlevandestöd</w:t>
            </w:r>
          </w:p>
        </w:tc>
        <w:tc>
          <w:tcPr>
            <w:tcW w:w="664" w:type="pct"/>
          </w:tcPr>
          <w:p w:rsidRPr="006B7451" w:rsidR="00276928" w:rsidP="002678AB" w:rsidRDefault="00337447" w14:paraId="1D06C2F1" w14:textId="5AEEE0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100</w:t>
            </w:r>
          </w:p>
        </w:tc>
        <w:tc>
          <w:tcPr>
            <w:tcW w:w="664" w:type="pct"/>
          </w:tcPr>
          <w:p w:rsidRPr="006B7451" w:rsidR="00276928" w:rsidP="002678AB" w:rsidRDefault="00276928" w14:paraId="27715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-90</w:t>
            </w:r>
          </w:p>
        </w:tc>
        <w:tc>
          <w:tcPr>
            <w:tcW w:w="664" w:type="pct"/>
          </w:tcPr>
          <w:p w:rsidRPr="006B7451" w:rsidR="00276928" w:rsidP="002678AB" w:rsidRDefault="00276928" w14:paraId="412CD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-90</w:t>
            </w:r>
          </w:p>
        </w:tc>
        <w:tc>
          <w:tcPr>
            <w:tcW w:w="664" w:type="pct"/>
          </w:tcPr>
          <w:p w:rsidRPr="006B7451" w:rsidR="00276928" w:rsidP="002678AB" w:rsidRDefault="00337447" w14:paraId="6FC03C47" w14:textId="49A82A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100</w:t>
            </w:r>
          </w:p>
        </w:tc>
        <w:tc>
          <w:tcPr>
            <w:tcW w:w="663" w:type="pct"/>
          </w:tcPr>
          <w:p w:rsidRPr="006B7451" w:rsidR="00276928" w:rsidP="002678AB" w:rsidRDefault="00337447" w14:paraId="3CD559BE" w14:textId="7E8C19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100</w:t>
            </w:r>
          </w:p>
        </w:tc>
      </w:tr>
      <w:tr w:rsidRPr="006B7451" w:rsidR="00276928" w:rsidTr="002678AB" w14:paraId="69C51BAF" w14:textId="77777777">
        <w:tc>
          <w:tcPr>
            <w:tcW w:w="1680" w:type="pct"/>
          </w:tcPr>
          <w:p w:rsidRPr="006B7451" w:rsidR="00276928" w:rsidP="002678AB" w:rsidRDefault="00276928" w14:paraId="47AEA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Föräldrapenning på lägstanivå och grundnivå</w:t>
            </w:r>
          </w:p>
        </w:tc>
        <w:tc>
          <w:tcPr>
            <w:tcW w:w="664" w:type="pct"/>
            <w:vAlign w:val="bottom"/>
          </w:tcPr>
          <w:p w:rsidRPr="006B7451" w:rsidR="00276928" w:rsidP="002678AB" w:rsidRDefault="00337447" w14:paraId="12086B25" w14:textId="608957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1 300</w:t>
            </w:r>
          </w:p>
        </w:tc>
        <w:tc>
          <w:tcPr>
            <w:tcW w:w="664" w:type="pct"/>
            <w:vAlign w:val="bottom"/>
          </w:tcPr>
          <w:p w:rsidRPr="006B7451" w:rsidR="00276928" w:rsidP="002678AB" w:rsidRDefault="00337447" w14:paraId="68031AB1" w14:textId="68912D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1 300</w:t>
            </w:r>
          </w:p>
        </w:tc>
        <w:tc>
          <w:tcPr>
            <w:tcW w:w="664" w:type="pct"/>
            <w:vAlign w:val="bottom"/>
          </w:tcPr>
          <w:p w:rsidRPr="006B7451" w:rsidR="00276928" w:rsidP="002678AB" w:rsidRDefault="00337447" w14:paraId="5A23F79A" w14:textId="15E850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1 300</w:t>
            </w:r>
          </w:p>
        </w:tc>
        <w:tc>
          <w:tcPr>
            <w:tcW w:w="664" w:type="pct"/>
            <w:vAlign w:val="bottom"/>
          </w:tcPr>
          <w:p w:rsidRPr="006B7451" w:rsidR="00276928" w:rsidP="002678AB" w:rsidRDefault="00337447" w14:paraId="30DEC017" w14:textId="024F19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1 300</w:t>
            </w:r>
          </w:p>
        </w:tc>
        <w:tc>
          <w:tcPr>
            <w:tcW w:w="663" w:type="pct"/>
            <w:vAlign w:val="bottom"/>
          </w:tcPr>
          <w:p w:rsidRPr="006B7451" w:rsidR="00276928" w:rsidP="002678AB" w:rsidRDefault="00337447" w14:paraId="6C7BF078" w14:textId="21FD78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1 400</w:t>
            </w:r>
          </w:p>
        </w:tc>
      </w:tr>
      <w:tr w:rsidRPr="006B7451" w:rsidR="00276928" w:rsidTr="002678AB" w14:paraId="6AC2CEE0" w14:textId="77777777">
        <w:tc>
          <w:tcPr>
            <w:tcW w:w="1680" w:type="pct"/>
          </w:tcPr>
          <w:p w:rsidRPr="006B7451" w:rsidR="00276928" w:rsidP="002678AB" w:rsidRDefault="00276928" w14:paraId="49C3F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Äldreförsörjningsstöd</w:t>
            </w:r>
          </w:p>
        </w:tc>
        <w:tc>
          <w:tcPr>
            <w:tcW w:w="664" w:type="pct"/>
          </w:tcPr>
          <w:p w:rsidRPr="006B7451" w:rsidR="00276928" w:rsidP="002678AB" w:rsidRDefault="00337447" w14:paraId="7F0A9D8D" w14:textId="4AEEFF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500</w:t>
            </w:r>
          </w:p>
        </w:tc>
        <w:tc>
          <w:tcPr>
            <w:tcW w:w="664" w:type="pct"/>
          </w:tcPr>
          <w:p w:rsidRPr="006B7451" w:rsidR="00276928" w:rsidP="002678AB" w:rsidRDefault="00337447" w14:paraId="554B1AFD" w14:textId="26DFA2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500</w:t>
            </w:r>
          </w:p>
        </w:tc>
        <w:tc>
          <w:tcPr>
            <w:tcW w:w="664" w:type="pct"/>
          </w:tcPr>
          <w:p w:rsidRPr="006B7451" w:rsidR="00276928" w:rsidP="002678AB" w:rsidRDefault="00337447" w14:paraId="3D5743FC" w14:textId="213A98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500</w:t>
            </w:r>
          </w:p>
        </w:tc>
        <w:tc>
          <w:tcPr>
            <w:tcW w:w="664" w:type="pct"/>
          </w:tcPr>
          <w:p w:rsidRPr="006B7451" w:rsidR="00276928" w:rsidP="002678AB" w:rsidRDefault="00337447" w14:paraId="57D7FFD9" w14:textId="6BFBA4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500</w:t>
            </w:r>
          </w:p>
        </w:tc>
        <w:tc>
          <w:tcPr>
            <w:tcW w:w="663" w:type="pct"/>
          </w:tcPr>
          <w:p w:rsidRPr="006B7451" w:rsidR="00276928" w:rsidP="002678AB" w:rsidRDefault="00337447" w14:paraId="147F17DA" w14:textId="3C5A21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500</w:t>
            </w:r>
          </w:p>
        </w:tc>
      </w:tr>
      <w:tr w:rsidRPr="006B7451" w:rsidR="00276928" w:rsidTr="002678AB" w14:paraId="0F89A5C2" w14:textId="77777777">
        <w:tc>
          <w:tcPr>
            <w:tcW w:w="1680" w:type="pct"/>
          </w:tcPr>
          <w:p w:rsidRPr="006B7451" w:rsidR="00276928" w:rsidP="002678AB" w:rsidRDefault="00276928" w14:paraId="4E874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Bostadstillägg till pensionärer</w:t>
            </w:r>
          </w:p>
        </w:tc>
        <w:tc>
          <w:tcPr>
            <w:tcW w:w="664" w:type="pct"/>
          </w:tcPr>
          <w:p w:rsidRPr="006B7451" w:rsidR="00276928" w:rsidP="002678AB" w:rsidRDefault="00337447" w14:paraId="36F75FFB" w14:textId="6468FC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4" w:type="pct"/>
          </w:tcPr>
          <w:p w:rsidRPr="006B7451" w:rsidR="00276928" w:rsidP="002678AB" w:rsidRDefault="00337447" w14:paraId="4B29E558" w14:textId="207815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4" w:type="pct"/>
          </w:tcPr>
          <w:p w:rsidRPr="006B7451" w:rsidR="00276928" w:rsidP="002678AB" w:rsidRDefault="00337447" w14:paraId="21502D8C" w14:textId="3A6F6A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4" w:type="pct"/>
          </w:tcPr>
          <w:p w:rsidRPr="006B7451" w:rsidR="00276928" w:rsidP="002678AB" w:rsidRDefault="00337447" w14:paraId="1BF01FC4" w14:textId="2E485A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3" w:type="pct"/>
          </w:tcPr>
          <w:p w:rsidRPr="006B7451" w:rsidR="00276928" w:rsidP="002678AB" w:rsidRDefault="00337447" w14:paraId="65FF55C0" w14:textId="046FA4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r>
      <w:tr w:rsidRPr="006B7451" w:rsidR="00276928" w:rsidTr="002678AB" w14:paraId="77C56B09" w14:textId="77777777">
        <w:tc>
          <w:tcPr>
            <w:tcW w:w="1680" w:type="pct"/>
          </w:tcPr>
          <w:p w:rsidRPr="006B7451" w:rsidR="00276928" w:rsidP="002678AB" w:rsidRDefault="00276928" w14:paraId="2EA8B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Garantipension</w:t>
            </w:r>
          </w:p>
        </w:tc>
        <w:tc>
          <w:tcPr>
            <w:tcW w:w="664" w:type="pct"/>
          </w:tcPr>
          <w:p w:rsidRPr="006B7451" w:rsidR="00276928" w:rsidP="002678AB" w:rsidRDefault="00337447" w14:paraId="18D02834" w14:textId="643317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400</w:t>
            </w:r>
          </w:p>
        </w:tc>
        <w:tc>
          <w:tcPr>
            <w:tcW w:w="664" w:type="pct"/>
          </w:tcPr>
          <w:p w:rsidRPr="006B7451" w:rsidR="00276928" w:rsidP="002678AB" w:rsidRDefault="00337447" w14:paraId="04A31B20" w14:textId="2901E5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400</w:t>
            </w:r>
          </w:p>
        </w:tc>
        <w:tc>
          <w:tcPr>
            <w:tcW w:w="664" w:type="pct"/>
          </w:tcPr>
          <w:p w:rsidRPr="006B7451" w:rsidR="00276928" w:rsidP="002678AB" w:rsidRDefault="00337447" w14:paraId="00545200" w14:textId="4BCD47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400</w:t>
            </w:r>
          </w:p>
        </w:tc>
        <w:tc>
          <w:tcPr>
            <w:tcW w:w="664" w:type="pct"/>
          </w:tcPr>
          <w:p w:rsidRPr="006B7451" w:rsidR="00276928" w:rsidP="002678AB" w:rsidRDefault="00337447" w14:paraId="3DDA8665" w14:textId="4117E2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400</w:t>
            </w:r>
          </w:p>
        </w:tc>
        <w:tc>
          <w:tcPr>
            <w:tcW w:w="663" w:type="pct"/>
          </w:tcPr>
          <w:p w:rsidRPr="006B7451" w:rsidR="00276928" w:rsidP="002678AB" w:rsidRDefault="00337447" w14:paraId="0362939C" w14:textId="53E7E5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400</w:t>
            </w:r>
          </w:p>
        </w:tc>
      </w:tr>
      <w:tr w:rsidRPr="006B7451" w:rsidR="00276928" w:rsidTr="00CF2DDA" w14:paraId="688DB51C" w14:textId="77777777">
        <w:tc>
          <w:tcPr>
            <w:tcW w:w="1680" w:type="pct"/>
          </w:tcPr>
          <w:p w:rsidRPr="006B7451" w:rsidR="00276928" w:rsidP="002678AB" w:rsidRDefault="00276928" w14:paraId="6BA82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Garantiersättningen i sjukersättningen</w:t>
            </w:r>
          </w:p>
        </w:tc>
        <w:tc>
          <w:tcPr>
            <w:tcW w:w="664" w:type="pct"/>
            <w:vAlign w:val="bottom"/>
          </w:tcPr>
          <w:p w:rsidRPr="006B7451" w:rsidR="00276928" w:rsidP="00CF2DDA" w:rsidRDefault="00337447" w14:paraId="2E045D4B" w14:textId="12F089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4" w:type="pct"/>
            <w:vAlign w:val="bottom"/>
          </w:tcPr>
          <w:p w:rsidRPr="006B7451" w:rsidR="00276928" w:rsidP="00CF2DDA" w:rsidRDefault="00337447" w14:paraId="787BD7B1" w14:textId="2B5A07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4" w:type="pct"/>
            <w:vAlign w:val="bottom"/>
          </w:tcPr>
          <w:p w:rsidRPr="006B7451" w:rsidR="00276928" w:rsidP="00CF2DDA" w:rsidRDefault="00337447" w14:paraId="420E8C26" w14:textId="042854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4" w:type="pct"/>
            <w:vAlign w:val="bottom"/>
          </w:tcPr>
          <w:p w:rsidRPr="006B7451" w:rsidR="00276928" w:rsidP="00CF2DDA" w:rsidRDefault="00337447" w14:paraId="4323688B" w14:textId="3C8F1B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c>
          <w:tcPr>
            <w:tcW w:w="663" w:type="pct"/>
            <w:vAlign w:val="bottom"/>
          </w:tcPr>
          <w:p w:rsidRPr="006B7451" w:rsidR="00276928" w:rsidP="00CF2DDA" w:rsidRDefault="00337447" w14:paraId="406E7510" w14:textId="41E4B5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200</w:t>
            </w:r>
          </w:p>
        </w:tc>
      </w:tr>
      <w:tr w:rsidRPr="006B7451" w:rsidR="00276928" w:rsidTr="00CF2DDA" w14:paraId="17167DF3" w14:textId="77777777">
        <w:tc>
          <w:tcPr>
            <w:tcW w:w="1680" w:type="pct"/>
          </w:tcPr>
          <w:p w:rsidRPr="006B7451" w:rsidR="00276928" w:rsidP="002678AB" w:rsidRDefault="00276928" w14:paraId="1F69E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kern w:val="0"/>
                <w:sz w:val="20"/>
                <w:szCs w:val="20"/>
                <w14:numSpacing w14:val="default"/>
              </w:rPr>
            </w:pPr>
            <w:r w:rsidRPr="006B7451">
              <w:rPr>
                <w:rFonts w:eastAsia="Calibri" w:asciiTheme="majorHAnsi" w:hAnsiTheme="majorHAnsi" w:cstheme="majorHAnsi"/>
                <w:kern w:val="0"/>
                <w:sz w:val="20"/>
                <w:szCs w:val="20"/>
                <w14:numSpacing w14:val="default"/>
              </w:rPr>
              <w:t>Garantiersättningen i aktivitetsersättningen</w:t>
            </w:r>
          </w:p>
        </w:tc>
        <w:tc>
          <w:tcPr>
            <w:tcW w:w="664" w:type="pct"/>
            <w:vAlign w:val="bottom"/>
          </w:tcPr>
          <w:p w:rsidRPr="006B7451" w:rsidR="00276928" w:rsidP="00CF2DDA" w:rsidRDefault="00337447" w14:paraId="3D9967D5" w14:textId="596510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w:t>
            </w:r>
          </w:p>
        </w:tc>
        <w:tc>
          <w:tcPr>
            <w:tcW w:w="664" w:type="pct"/>
            <w:vAlign w:val="bottom"/>
          </w:tcPr>
          <w:p w:rsidRPr="006B7451" w:rsidR="00276928" w:rsidP="00CF2DDA" w:rsidRDefault="00337447" w14:paraId="413137A3" w14:textId="1FA2AD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w:t>
            </w:r>
          </w:p>
        </w:tc>
        <w:tc>
          <w:tcPr>
            <w:tcW w:w="664" w:type="pct"/>
            <w:vAlign w:val="bottom"/>
          </w:tcPr>
          <w:p w:rsidRPr="006B7451" w:rsidR="00276928" w:rsidP="00CF2DDA" w:rsidRDefault="00337447" w14:paraId="18303937" w14:textId="20EC87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w:t>
            </w:r>
          </w:p>
        </w:tc>
        <w:tc>
          <w:tcPr>
            <w:tcW w:w="664" w:type="pct"/>
            <w:vAlign w:val="bottom"/>
          </w:tcPr>
          <w:p w:rsidRPr="006B7451" w:rsidR="00276928" w:rsidP="00CF2DDA" w:rsidRDefault="00337447" w14:paraId="0D0FB406" w14:textId="6AB8AE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50</w:t>
            </w:r>
          </w:p>
        </w:tc>
        <w:tc>
          <w:tcPr>
            <w:tcW w:w="663" w:type="pct"/>
            <w:vAlign w:val="bottom"/>
          </w:tcPr>
          <w:p w:rsidRPr="006B7451" w:rsidR="00276928" w:rsidP="00CF2DDA" w:rsidRDefault="00337447" w14:paraId="2E79F0C5" w14:textId="63B297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kern w:val="0"/>
                <w:sz w:val="20"/>
                <w:szCs w:val="20"/>
                <w14:numSpacing w14:val="default"/>
              </w:rPr>
            </w:pPr>
            <w:r>
              <w:rPr>
                <w:rFonts w:eastAsia="Calibri" w:asciiTheme="majorHAnsi" w:hAnsiTheme="majorHAnsi" w:cstheme="majorHAnsi"/>
                <w:kern w:val="0"/>
                <w:sz w:val="20"/>
                <w:szCs w:val="20"/>
                <w14:numSpacing w14:val="default"/>
              </w:rPr>
              <w:t>–</w:t>
            </w:r>
            <w:r w:rsidRPr="006B7451" w:rsidR="00276928">
              <w:rPr>
                <w:rFonts w:eastAsia="Calibri" w:asciiTheme="majorHAnsi" w:hAnsiTheme="majorHAnsi" w:cstheme="majorHAnsi"/>
                <w:kern w:val="0"/>
                <w:sz w:val="20"/>
                <w:szCs w:val="20"/>
                <w14:numSpacing w14:val="default"/>
              </w:rPr>
              <w:t>40</w:t>
            </w:r>
          </w:p>
        </w:tc>
      </w:tr>
      <w:tr w:rsidRPr="006B7451" w:rsidR="00276928" w:rsidTr="002678AB" w14:paraId="1C5379A3" w14:textId="77777777">
        <w:tc>
          <w:tcPr>
            <w:tcW w:w="1680" w:type="pct"/>
            <w:tcBorders>
              <w:top w:val="single" w:color="auto" w:sz="4" w:space="0"/>
              <w:bottom w:val="single" w:color="auto" w:sz="4" w:space="0"/>
            </w:tcBorders>
          </w:tcPr>
          <w:p w:rsidRPr="006B7451" w:rsidR="00276928" w:rsidP="002678AB" w:rsidRDefault="00276928" w14:paraId="54EA9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Totalt</w:t>
            </w:r>
          </w:p>
        </w:tc>
        <w:tc>
          <w:tcPr>
            <w:tcW w:w="664" w:type="pct"/>
            <w:tcBorders>
              <w:top w:val="single" w:color="auto" w:sz="4" w:space="0"/>
              <w:bottom w:val="single" w:color="auto" w:sz="4" w:space="0"/>
            </w:tcBorders>
          </w:tcPr>
          <w:p w:rsidRPr="006B7451" w:rsidR="00276928" w:rsidP="002678AB" w:rsidRDefault="00276928" w14:paraId="46EC8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-7 950</w:t>
            </w:r>
          </w:p>
        </w:tc>
        <w:tc>
          <w:tcPr>
            <w:tcW w:w="664" w:type="pct"/>
            <w:tcBorders>
              <w:top w:val="single" w:color="auto" w:sz="4" w:space="0"/>
              <w:bottom w:val="single" w:color="auto" w:sz="4" w:space="0"/>
            </w:tcBorders>
          </w:tcPr>
          <w:p w:rsidRPr="006B7451" w:rsidR="00276928" w:rsidP="002678AB" w:rsidRDefault="00276928" w14:paraId="7BEA4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-7 640</w:t>
            </w:r>
          </w:p>
        </w:tc>
        <w:tc>
          <w:tcPr>
            <w:tcW w:w="664" w:type="pct"/>
            <w:tcBorders>
              <w:top w:val="single" w:color="auto" w:sz="4" w:space="0"/>
              <w:bottom w:val="single" w:color="auto" w:sz="4" w:space="0"/>
            </w:tcBorders>
          </w:tcPr>
          <w:p w:rsidRPr="006B7451" w:rsidR="00276928" w:rsidP="002678AB" w:rsidRDefault="00276928" w14:paraId="660E3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-7 540</w:t>
            </w:r>
          </w:p>
        </w:tc>
        <w:tc>
          <w:tcPr>
            <w:tcW w:w="664" w:type="pct"/>
            <w:tcBorders>
              <w:top w:val="single" w:color="auto" w:sz="4" w:space="0"/>
              <w:bottom w:val="single" w:color="auto" w:sz="4" w:space="0"/>
            </w:tcBorders>
          </w:tcPr>
          <w:p w:rsidRPr="006B7451" w:rsidR="00276928" w:rsidP="002678AB" w:rsidRDefault="00276928" w14:paraId="4A2C3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-7 450</w:t>
            </w:r>
          </w:p>
        </w:tc>
        <w:tc>
          <w:tcPr>
            <w:tcW w:w="663" w:type="pct"/>
            <w:tcBorders>
              <w:top w:val="single" w:color="auto" w:sz="4" w:space="0"/>
              <w:bottom w:val="single" w:color="auto" w:sz="4" w:space="0"/>
            </w:tcBorders>
          </w:tcPr>
          <w:p w:rsidRPr="006B7451" w:rsidR="00276928" w:rsidP="002678AB" w:rsidRDefault="00276928" w14:paraId="1CB66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Calibri" w:asciiTheme="majorHAnsi" w:hAnsiTheme="majorHAnsi" w:cstheme="majorHAnsi"/>
                <w:b/>
                <w:kern w:val="0"/>
                <w:sz w:val="20"/>
                <w:szCs w:val="20"/>
                <w14:numSpacing w14:val="default"/>
              </w:rPr>
            </w:pPr>
            <w:r w:rsidRPr="006B7451">
              <w:rPr>
                <w:rFonts w:eastAsia="Calibri" w:asciiTheme="majorHAnsi" w:hAnsiTheme="majorHAnsi" w:cstheme="majorHAnsi"/>
                <w:b/>
                <w:kern w:val="0"/>
                <w:sz w:val="20"/>
                <w:szCs w:val="20"/>
                <w14:numSpacing w14:val="default"/>
              </w:rPr>
              <w:t>-7 540</w:t>
            </w:r>
          </w:p>
        </w:tc>
      </w:tr>
    </w:tbl>
    <w:p w:rsidRPr="002678AB" w:rsidR="00E57373" w:rsidP="002678AB" w:rsidRDefault="00276928" w14:paraId="496E2E57" w14:textId="188A8319">
      <w:pPr>
        <w:pStyle w:val="Klla"/>
      </w:pPr>
      <w:r w:rsidRPr="002678AB">
        <w:t>Anm</w:t>
      </w:r>
      <w:r w:rsidRPr="002678AB" w:rsidR="00B9149E">
        <w:t>.</w:t>
      </w:r>
      <w:r w:rsidRPr="002678AB">
        <w:t>: Avrundade belopp, vilket gör att delarna inte alltid summerar till totalen. Minustecken visar på minskade utgifter.</w:t>
      </w:r>
    </w:p>
    <w:p w:rsidRPr="002678AB" w:rsidR="00276928" w:rsidP="002678AB" w:rsidRDefault="00276928" w14:paraId="22F4AE6D" w14:textId="77777777">
      <w:pPr>
        <w:pStyle w:val="Klla"/>
      </w:pPr>
      <w:r w:rsidRPr="002678AB">
        <w:t>Källa: Försäkringskassan, Pensionsmyndigheten och beräkningar från riksdagens utredningstjänst.</w:t>
      </w:r>
    </w:p>
    <w:p w:rsidRPr="006B7451" w:rsidR="00276928" w:rsidP="002678AB" w:rsidRDefault="00276928" w14:paraId="1FD457E0" w14:textId="77777777">
      <w:pPr>
        <w:pStyle w:val="Normalutanindragellerluft"/>
        <w:spacing w:before="150"/>
      </w:pPr>
      <w:r w:rsidRPr="006B7451">
        <w:t>Om de föreslagna begränsningarna av bosättningsbaserade förmåner i socialförsäkringen skulle genomföras hade statens utgifter minskat med omkring 7–8 miljarder kronor per år.</w:t>
      </w:r>
    </w:p>
    <w:p w:rsidRPr="006B7451" w:rsidR="00276928" w:rsidP="00ED5D60" w:rsidRDefault="00276928" w14:paraId="303C02C5" w14:textId="77777777">
      <w:pPr>
        <w:pStyle w:val="Rubrik2numrerat"/>
      </w:pPr>
      <w:bookmarkStart w:name="_Toc121752625" w:id="116"/>
      <w:r w:rsidRPr="006B7451">
        <w:t>Konsekvenser av de föreslagna förändringarna</w:t>
      </w:r>
      <w:bookmarkEnd w:id="116"/>
    </w:p>
    <w:p w:rsidRPr="006B7451" w:rsidR="00276928" w:rsidP="00D7147C" w:rsidRDefault="00276928" w14:paraId="0943039B" w14:textId="77777777">
      <w:pPr>
        <w:pStyle w:val="Rubrik3"/>
        <w:spacing w:before="125"/>
      </w:pPr>
      <w:bookmarkStart w:name="_Toc121752626" w:id="117"/>
      <w:r w:rsidRPr="006B7451">
        <w:t>Ökat antal utfärdade svenska medborgarskap</w:t>
      </w:r>
      <w:bookmarkEnd w:id="117"/>
    </w:p>
    <w:p w:rsidRPr="006B7451" w:rsidR="00276928" w:rsidP="007E3476" w:rsidRDefault="00276928" w14:paraId="6AEE0216" w14:textId="32CDA642">
      <w:pPr>
        <w:pStyle w:val="Normalutanindragellerluft"/>
      </w:pPr>
      <w:r w:rsidRPr="006B7451">
        <w:t>Det finns utländska medborgare i Sverige som väljer att inte ansöka om svenskt medborgarskap även om de uppfyller villkoren för att tilldelas ett svenskt medborgarskap. Hur stor denna grupp är eller i vilken utsträckning de</w:t>
      </w:r>
      <w:r w:rsidR="00693B16">
        <w:t>n</w:t>
      </w:r>
      <w:r w:rsidRPr="006B7451">
        <w:t xml:space="preserve"> omfattas av de föreslagna förändringarna har inte analyserats. Det går därför att anta att kostnadsbesparingen inte kan genomföras fullt ut till följd av att delar av denna grupp ansöker om medborgarskap när förändringarna genomförs. Sammansättningen av gruppen övriga medborgare och deras förutsättningar för att tilldelas svenskt medborgarskap bör utredas närmare, </w:t>
      </w:r>
      <w:r w:rsidR="005966E9">
        <w:t xml:space="preserve">och </w:t>
      </w:r>
      <w:r w:rsidRPr="006B7451">
        <w:t>därutöver kan det även finnas ett behov av att införa författningsförslag som begränsar antalet nya medborgarskap som delas ut.</w:t>
      </w:r>
    </w:p>
    <w:p w:rsidRPr="006B7451" w:rsidR="00276928" w:rsidP="00276928" w:rsidRDefault="00276928" w14:paraId="47D2E959" w14:textId="77777777">
      <w:pPr>
        <w:pStyle w:val="Rubrik3"/>
      </w:pPr>
      <w:bookmarkStart w:name="_Toc121752627" w:id="118"/>
      <w:r w:rsidRPr="006B7451">
        <w:t>Ökad kostnad för kommunsektorn</w:t>
      </w:r>
      <w:bookmarkEnd w:id="118"/>
    </w:p>
    <w:p w:rsidRPr="006B7451" w:rsidR="00276928" w:rsidP="007E3476" w:rsidRDefault="00276928" w14:paraId="014ECFC8" w14:textId="2232E2A7">
      <w:pPr>
        <w:pStyle w:val="Normalutanindragellerluft"/>
      </w:pPr>
      <w:r w:rsidRPr="006B7451">
        <w:t>För personer som saknar förmåga att försörja sig på egen hand finns det möjlighet att ansöka om kommunalt försörjningsstöd. Försörjningsstödet är inkomstprövat och syftar till att vara ett komplement till den egna inkomsten och andra ekonomiska förmåner för att personen ska uppnå en skälig levnadsnivå.</w:t>
      </w:r>
    </w:p>
    <w:p w:rsidRPr="006B7451" w:rsidR="00276928" w:rsidP="00276928" w:rsidRDefault="00276928" w14:paraId="4785D3F8" w14:textId="77777777">
      <w:r w:rsidRPr="006B7451">
        <w:t>Nivån för försörjningsstödet påverkas av en riksnorm som gäller för samtliga kommuner, en nivå som justeras varje år. Vid beräkning av storleken på stödet för den enskilde individen räknar kommunen ihop hushållets alla inkomster, där försörjningsstödet därefter utgör skillnaden mellan den hopräknade inkomsten och riksnormen.</w:t>
      </w:r>
    </w:p>
    <w:p w:rsidRPr="006B7451" w:rsidR="00276928" w:rsidP="00276928" w:rsidRDefault="009D479B" w14:paraId="7421A04B" w14:textId="30E63F81">
      <w:r>
        <w:lastRenderedPageBreak/>
        <w:t>I</w:t>
      </w:r>
      <w:r w:rsidRPr="006B7451" w:rsidR="00276928">
        <w:t xml:space="preserve"> händelse av att delar av socialförsäkringen begränsas för icke-medborgare kommer det </w:t>
      </w:r>
      <w:r>
        <w:t xml:space="preserve">att </w:t>
      </w:r>
      <w:r w:rsidRPr="006B7451" w:rsidR="00276928">
        <w:t xml:space="preserve">uppstå situationer då det uppstår en kostnad för det kommunala försörjningsstödet som helt eller delvis motsvarar kostnadsbesparingen för staten. Utgångspunkten bör vara att kommunerna inte ska få bära den ökade kostnaden, </w:t>
      </w:r>
      <w:r w:rsidR="00041C31">
        <w:t xml:space="preserve">och </w:t>
      </w:r>
      <w:r w:rsidRPr="006B7451" w:rsidR="00276928">
        <w:t>därmed finns det ett behov av att öka det statliga stödet till kommunerna i motsvarande omfattning som kostnadsökningen för det kommunala försörjningsstödet.</w:t>
      </w:r>
    </w:p>
    <w:p w:rsidRPr="006B7451" w:rsidR="00276928" w:rsidP="00276928" w:rsidRDefault="00276928" w14:paraId="490F4253" w14:textId="77777777">
      <w:r w:rsidRPr="006B7451">
        <w:t>I detta läge har ingen analys gjorts av hur stor gruppen som skulle få kommunalt försörjningsstöd är eller hur stor kostnaden för ekonomiskt bidrag skulle bli.</w:t>
      </w:r>
    </w:p>
    <w:p w:rsidRPr="006B7451" w:rsidR="00276928" w:rsidP="00276928" w:rsidRDefault="00276928" w14:paraId="69704556" w14:textId="77777777">
      <w:pPr>
        <w:pStyle w:val="Rubrik3"/>
      </w:pPr>
      <w:bookmarkStart w:name="_Toc121752628" w:id="119"/>
      <w:r w:rsidRPr="006B7451">
        <w:t>Minskad invandring</w:t>
      </w:r>
      <w:bookmarkEnd w:id="119"/>
    </w:p>
    <w:p w:rsidRPr="006B7451" w:rsidR="00276928" w:rsidP="007E3476" w:rsidRDefault="00276928" w14:paraId="1320F69F" w14:textId="254C59C9">
      <w:pPr>
        <w:pStyle w:val="Normalutanindragellerluft"/>
      </w:pPr>
      <w:r w:rsidRPr="006B7451">
        <w:t xml:space="preserve">Bidragsnivåerna har en effekt på invandringen. Sverige har, jämfört med stora delar av övriga världen, höga nivåer på ekonomiskt stöd som nyanlända kan söka. Detta kan delvis förklara Sveriges höga migrationsnivåer av personer som står långt </w:t>
      </w:r>
      <w:r w:rsidR="00CB71F2">
        <w:t>i</w:t>
      </w:r>
      <w:r w:rsidRPr="006B7451">
        <w:t>från svensk arbetsmarknad, även om det finns fler faktorer som påverkar. Det exakta sambandet mellan bidragsnivåer och migrationsnivåer är svårt att utröna</w:t>
      </w:r>
      <w:r w:rsidR="009C48F3">
        <w:t>;</w:t>
      </w:r>
      <w:r w:rsidRPr="006B7451">
        <w:t xml:space="preserve"> en bred tillgång till sociala förmåner för nyanlända talar exempelvis för en mer positiv attityd till invandring</w:t>
      </w:r>
      <w:r w:rsidR="009C48F3">
        <w:t>,</w:t>
      </w:r>
      <w:r w:rsidRPr="006B7451">
        <w:t xml:space="preserve"> vilket också kan vara en faktor.</w:t>
      </w:r>
    </w:p>
    <w:p w:rsidRPr="006B7451" w:rsidR="00276928" w:rsidP="00276928" w:rsidRDefault="00276928" w14:paraId="72A1E755" w14:textId="7B31AFBA">
      <w:r w:rsidRPr="006B7451">
        <w:t xml:space="preserve">I studien </w:t>
      </w:r>
      <w:r w:rsidRPr="006B7451">
        <w:rPr>
          <w:i/>
        </w:rPr>
        <w:t xml:space="preserve">The Welfare Magnet </w:t>
      </w:r>
      <w:proofErr w:type="spellStart"/>
      <w:r w:rsidRPr="006B7451">
        <w:rPr>
          <w:i/>
        </w:rPr>
        <w:t>Hypothesis</w:t>
      </w:r>
      <w:proofErr w:type="spellEnd"/>
      <w:r w:rsidRPr="006B7451">
        <w:rPr>
          <w:i/>
        </w:rPr>
        <w:t xml:space="preserve">: </w:t>
      </w:r>
      <w:proofErr w:type="spellStart"/>
      <w:r w:rsidRPr="006B7451">
        <w:rPr>
          <w:i/>
        </w:rPr>
        <w:t>Evidence</w:t>
      </w:r>
      <w:proofErr w:type="spellEnd"/>
      <w:r w:rsidRPr="006B7451">
        <w:rPr>
          <w:i/>
        </w:rPr>
        <w:t xml:space="preserve"> from an Immigrant Welfare </w:t>
      </w:r>
      <w:proofErr w:type="spellStart"/>
      <w:r w:rsidRPr="006B7451">
        <w:rPr>
          <w:i/>
        </w:rPr>
        <w:t>Scheme</w:t>
      </w:r>
      <w:proofErr w:type="spellEnd"/>
      <w:r w:rsidRPr="006B7451">
        <w:rPr>
          <w:i/>
        </w:rPr>
        <w:t xml:space="preserve"> in </w:t>
      </w:r>
      <w:proofErr w:type="spellStart"/>
      <w:r w:rsidRPr="006B7451">
        <w:rPr>
          <w:i/>
        </w:rPr>
        <w:t>Denmark</w:t>
      </w:r>
      <w:proofErr w:type="spellEnd"/>
      <w:r w:rsidRPr="006B7451">
        <w:t xml:space="preserve"> studeras välfärdsförmånernas påverkan på migration genom invandringsreformer i Danmark. Den första reformen, från 2002, minskade bidragsförmånerna för invandrare utanför EU/EFTA med cirka 50 procent. Reformen drogs senare tillbaka 2012 och återinfördes i stora drag 2015. Studien visar att begränsningen av välfärdsförmånerna minskade nettoflödet av invandrare med cirka 5</w:t>
      </w:r>
      <w:r w:rsidR="007F1D1D">
        <w:t> </w:t>
      </w:r>
      <w:r w:rsidRPr="006B7451">
        <w:t>000 personer per år och att reverseringen av förslaget återställde effekten. Resultatet kan även beskrivas genom så kallad elasticitet, hur stor effekt biståndsminskningen har på invandringen, som i studien uppskattas till 1,3 – varje procents reducering av bidrag reducerade invandringen med 1,3 procent för den berörda gruppen.</w:t>
      </w:r>
    </w:p>
    <w:p w:rsidRPr="006B7451" w:rsidR="00276928" w:rsidP="00276928" w:rsidRDefault="00276928" w14:paraId="4834A336" w14:textId="282B01DD">
      <w:r w:rsidRPr="006B7451">
        <w:t>Begränsningen av tillgången till bosättningsbaserade förmåner skulle sannolikt leda till minskade nivåer av invandring från de områden som berörs</w:t>
      </w:r>
      <w:r w:rsidR="00827DA5">
        <w:t>;</w:t>
      </w:r>
      <w:r w:rsidRPr="006B7451">
        <w:t xml:space="preserve"> storleken är dock svår att uppskatta utan att först veta hur begränsningarna påverkar det ekonomiska biståndet. Givet att begränsningen motsvarar samma nivåer som den danska reformen, och </w:t>
      </w:r>
      <w:r w:rsidR="00443EF4">
        <w:t xml:space="preserve">att </w:t>
      </w:r>
      <w:r w:rsidRPr="006B7451">
        <w:t>elasticiteten är densamma, skulle det innebära en minskning av invandring i storleksklassen 5</w:t>
      </w:r>
      <w:r w:rsidR="00443EF4">
        <w:t> </w:t>
      </w:r>
      <w:r w:rsidRPr="006B7451">
        <w:t>000–10</w:t>
      </w:r>
      <w:r w:rsidR="00443EF4">
        <w:t> </w:t>
      </w:r>
      <w:r w:rsidRPr="006B7451">
        <w:t>000 personer, baserat på invandringsnivåerna år 2020.</w:t>
      </w:r>
    </w:p>
    <w:p w:rsidRPr="006B7451" w:rsidR="00E57373" w:rsidP="00276928" w:rsidRDefault="00276928" w14:paraId="266627DC" w14:textId="77777777">
      <w:pPr>
        <w:pStyle w:val="Rubrik3"/>
      </w:pPr>
      <w:bookmarkStart w:name="_Toc121752629" w:id="120"/>
      <w:r w:rsidRPr="006B7451">
        <w:t>Sysselsättningseffekter</w:t>
      </w:r>
      <w:bookmarkEnd w:id="120"/>
    </w:p>
    <w:p w:rsidRPr="006B7451" w:rsidR="00276928" w:rsidP="007E3476" w:rsidRDefault="00276928" w14:paraId="3813E336" w14:textId="77777777">
      <w:pPr>
        <w:pStyle w:val="Normalutanindragellerluft"/>
      </w:pPr>
      <w:r w:rsidRPr="006B7451">
        <w:t>Minskade nivåer på bidrag har en positiv sysselsättningseffekt; ju större skillnaden är mellan att leva på bidrag och att arbeta, desto mer benägna är människor att arbeta. Det finns flertalet studier som har undersökt hur stor sysselsättningseffekten blir av minskade bidrag. Även med ett konservativt antagande om deltagandeelasticiteten skulle en begränsning av bosättningsbaserade förmåner för tredjelandsmedborgare leda till höga positiva sysselsättningseffekter.</w:t>
      </w:r>
    </w:p>
    <w:p w:rsidR="00276928" w:rsidP="00276928" w:rsidRDefault="00276928" w14:paraId="6E00629C" w14:textId="2BB5DBC7">
      <w:r w:rsidRPr="006B7451">
        <w:t xml:space="preserve">I sammanhanget bör det dock noteras att gruppen som skulle omfattas av begränsningarna i många fall står långt </w:t>
      </w:r>
      <w:r w:rsidR="00A55AF3">
        <w:t>i</w:t>
      </w:r>
      <w:r w:rsidRPr="006B7451">
        <w:t>från den svenska arbetsmarknaden</w:t>
      </w:r>
      <w:r w:rsidR="00A55AF3">
        <w:t>,</w:t>
      </w:r>
      <w:r w:rsidRPr="006B7451">
        <w:t xml:space="preserve"> var</w:t>
      </w:r>
      <w:r w:rsidR="00A55AF3">
        <w:t>för</w:t>
      </w:r>
      <w:r w:rsidRPr="006B7451">
        <w:t xml:space="preserve"> effekten, framförallt på kort sikt, är begränsad. Givet detta är det svårt att i detta skede uppskatta hur de föreslagna reformerna kommer</w:t>
      </w:r>
      <w:r w:rsidRPr="006B7451" w:rsidR="0080389E">
        <w:t xml:space="preserve"> att</w:t>
      </w:r>
      <w:r w:rsidRPr="006B7451">
        <w:t xml:space="preserve"> påverka antalet sysselsatta.</w:t>
      </w:r>
    </w:p>
    <w:p w:rsidR="00D7147C" w:rsidRDefault="00D7147C" w14:paraId="7ABD1BCF" w14:textId="047CFE8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1FD3EC44" w14:textId="6ABB3A3B">
      <w:pPr>
        <w:pStyle w:val="Rubrik1numrerat"/>
      </w:pPr>
      <w:bookmarkStart w:name="_Toc121752630" w:id="121"/>
      <w:r w:rsidRPr="006B7451">
        <w:lastRenderedPageBreak/>
        <w:t>Internationellt bistånd</w:t>
      </w:r>
      <w:bookmarkEnd w:id="121"/>
    </w:p>
    <w:p w:rsidRPr="006B7451" w:rsidR="00F72CA8" w:rsidP="007E3476" w:rsidRDefault="00F72CA8" w14:paraId="201BAE45" w14:textId="20B77A6E">
      <w:pPr>
        <w:pStyle w:val="Normalutanindragellerluft"/>
      </w:pPr>
      <w:r w:rsidRPr="006B7451">
        <w:t>Åtgärderna för att minska coronapandemins ekonomiska konsekvenser har varit historiskt stora. Krisåtgärderna har, hittills, uppgått till omkring 420 miljarder kronor. De har varit nödvändiga för att undvika en stor mängd konkurser och ökad arbetslöshet som följd</w:t>
      </w:r>
      <w:r w:rsidR="0035054C">
        <w:t>;</w:t>
      </w:r>
      <w:r w:rsidRPr="006B7451">
        <w:t xml:space="preserve"> på många sätt och vis hade krisåtgärderna behövt vara större och implementerats tidigare i enlighet med vad Sverigedemokraterna förordat.</w:t>
      </w:r>
    </w:p>
    <w:p w:rsidRPr="006B7451" w:rsidR="00F72CA8" w:rsidP="00F72CA8" w:rsidRDefault="00F72CA8" w14:paraId="60F93E11" w14:textId="77777777">
      <w:r w:rsidRPr="006B7451">
        <w:t>Utöver krisåtgärderna nationellt har Sverige, utan stöd från Sverigedemokraterna, därutöver gått med på att vara en stor finansiär till EU:s skuldpaket till en kostnad om cirka 150 miljarder kronor, vilket kommer att sätta press på svensk finanspolitik de kommande decennierna.</w:t>
      </w:r>
    </w:p>
    <w:p w:rsidRPr="006B7451" w:rsidR="00E1000E" w:rsidP="00F72CA8" w:rsidRDefault="00F72CA8" w14:paraId="54CF0A6F" w14:textId="77777777">
      <w:r w:rsidRPr="006B7451">
        <w:t>För att tillväxtfrämjande åtgärder ska kunna genomföras, och för att Sverige ska vara väl förberett inför nästa kris, krävs det sunda statsfinanser och en budget som så snart som möjligt kommer i balans igen. Då går det inte att sprida skattebetalarnas pengar på andra länders medborgare i den enorma omfattning som hittills har gjorts. Då behövs det prioriteringar</w:t>
      </w:r>
      <w:r w:rsidRPr="006B7451" w:rsidR="00E1000E">
        <w:t>.</w:t>
      </w:r>
    </w:p>
    <w:p w:rsidRPr="006B7451" w:rsidR="00E1000E" w:rsidP="0039603E" w:rsidRDefault="00E1000E" w14:paraId="25D0329F" w14:textId="5D52CC19">
      <w:r w:rsidRPr="006B7451">
        <w:t xml:space="preserve">Under kapitel </w:t>
      </w:r>
      <w:r w:rsidRPr="006B7451" w:rsidR="00DB5471">
        <w:t>15</w:t>
      </w:r>
      <w:r w:rsidRPr="006B7451">
        <w:t xml:space="preserve"> har Sverigedemokraterna föreslagit åtgärder för att minska statens utgifter för socialförsäkringssystemet, skapa incitament för nyanlända att söka arbete och minska nivån av bidragsberoende invandring till Sverige. Det är nödvändigt men inte tillräckligt. Det behövs mer för att säkerställa att Sverige </w:t>
      </w:r>
      <w:r w:rsidR="00BA6090">
        <w:t>inom</w:t>
      </w:r>
      <w:r w:rsidRPr="006B7451">
        <w:t xml:space="preserve"> överskådlig tid kan bygga upp en finansiell buffert för kommande kriser.</w:t>
      </w:r>
    </w:p>
    <w:p w:rsidRPr="00D720AB" w:rsidR="00C56A44" w:rsidP="00876751" w:rsidRDefault="00C56A44" w14:paraId="18EE2A01" w14:textId="0566A1D6">
      <w:pPr>
        <w:pStyle w:val="Tabellrubrik"/>
        <w:keepNext/>
      </w:pPr>
      <w:r w:rsidRPr="00D720AB">
        <w:t xml:space="preserve">Figur </w:t>
      </w:r>
      <w:r w:rsidR="00D720AB">
        <w:t>19</w:t>
      </w:r>
      <w:r w:rsidRPr="00D720AB">
        <w:t xml:space="preserve"> Bistånd (ODA) i procent av respektive lands BNI, 2020</w:t>
      </w:r>
    </w:p>
    <w:p w:rsidRPr="006B7451" w:rsidR="00C56A44" w:rsidP="00C56A44" w:rsidRDefault="00DB5471" w14:paraId="03CE29C8" w14:textId="75E61912">
      <w:pPr>
        <w:ind w:firstLine="0"/>
        <w:rPr>
          <w:b/>
        </w:rPr>
      </w:pPr>
      <w:r w:rsidRPr="006B7451">
        <w:rPr>
          <w:noProof/>
          <w14:numSpacing w14:val="default"/>
        </w:rPr>
        <w:drawing>
          <wp:inline distT="0" distB="0" distL="0" distR="0" wp14:anchorId="175CAC05" wp14:editId="226C3E01">
            <wp:extent cx="5399405" cy="4105275"/>
            <wp:effectExtent l="0" t="0" r="0" b="0"/>
            <wp:docPr id="38" name="Diagram 38" descr="">
              <a:extLst xmlns:a="http://schemas.openxmlformats.org/drawingml/2006/main">
                <a:ext uri="{FF2B5EF4-FFF2-40B4-BE49-F238E27FC236}">
                  <a16:creationId xmlns:a16="http://schemas.microsoft.com/office/drawing/2014/main" id="{570593C9-0AF7-4767-9167-46F5C6648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54588C" w:rsidR="00C56A44" w:rsidP="0054588C" w:rsidRDefault="00C56A44" w14:paraId="14C81359" w14:textId="2D937498">
      <w:pPr>
        <w:pStyle w:val="Klla"/>
      </w:pPr>
      <w:r w:rsidRPr="0054588C">
        <w:t>Källa: OECD.</w:t>
      </w:r>
    </w:p>
    <w:p w:rsidRPr="006B7451" w:rsidR="00C56A44" w:rsidP="0054588C" w:rsidRDefault="00E1000E" w14:paraId="5D0C3BA5" w14:textId="441D2B56">
      <w:pPr>
        <w:pStyle w:val="Normalutanindragellerluft"/>
        <w:spacing w:before="150"/>
      </w:pPr>
      <w:r w:rsidRPr="006B7451">
        <w:t xml:space="preserve">Sveriges kostnad för internationellt bistånd har ökat </w:t>
      </w:r>
      <w:r w:rsidRPr="006B7451" w:rsidR="001A40C3">
        <w:t>kraftigt, både i absoluta tal och som andel av statens utgifter</w:t>
      </w:r>
      <w:r w:rsidRPr="006B7451">
        <w:t>. Volymen innebär att det är svårare att säkerställa att medlen nyttjas på ett så effektivt sätt som möjligt.</w:t>
      </w:r>
      <w:r w:rsidRPr="006B7451" w:rsidR="001A40C3">
        <w:t xml:space="preserve"> </w:t>
      </w:r>
      <w:r w:rsidRPr="006B7451" w:rsidR="00DB5471">
        <w:t>Det framkommer inte minst av Expert</w:t>
      </w:r>
      <w:r w:rsidR="00D7147C">
        <w:softHyphen/>
      </w:r>
      <w:r w:rsidRPr="006B7451" w:rsidR="00DB5471">
        <w:lastRenderedPageBreak/>
        <w:t xml:space="preserve">gruppen för </w:t>
      </w:r>
      <w:r w:rsidR="005E3474">
        <w:t>b</w:t>
      </w:r>
      <w:r w:rsidRPr="006B7451" w:rsidR="00DB5471">
        <w:t>iståndsanalys (EBA) granskning av det svenska biståndet till Afghanistan</w:t>
      </w:r>
      <w:r w:rsidRPr="006B7451" w:rsidR="001A7B72">
        <w:t xml:space="preserve"> som lyfter att lösningen framöver inte är mer bistånd, snarare mindre och mer nischat.</w:t>
      </w:r>
    </w:p>
    <w:p w:rsidRPr="004D6ECB" w:rsidR="00C56A44" w:rsidP="004D6ECB" w:rsidRDefault="00C56A44" w14:paraId="39590CF9" w14:textId="333B7855">
      <w:pPr>
        <w:pStyle w:val="Tabellrubrik"/>
        <w:keepNext/>
      </w:pPr>
      <w:r w:rsidRPr="004D6ECB">
        <w:t xml:space="preserve">Figur </w:t>
      </w:r>
      <w:r w:rsidR="004D6ECB">
        <w:t>20</w:t>
      </w:r>
      <w:r w:rsidRPr="004D6ECB">
        <w:t xml:space="preserve"> Internationellt bistånd som andel av summan av samtliga utgiftsområden 2000–2024, andel i procent</w:t>
      </w:r>
    </w:p>
    <w:p w:rsidRPr="006B7451" w:rsidR="00E1000E" w:rsidP="000E472B" w:rsidRDefault="00C56A44" w14:paraId="285372BE" w14:textId="77777777">
      <w:pPr>
        <w:pStyle w:val="Normalutanindragellerluft"/>
      </w:pPr>
      <w:r w:rsidRPr="006B7451">
        <w:rPr>
          <w:noProof/>
          <w14:numSpacing w14:val="default"/>
        </w:rPr>
        <w:drawing>
          <wp:inline distT="0" distB="0" distL="0" distR="0" wp14:anchorId="5264C9C0" wp14:editId="2A4E9F4C">
            <wp:extent cx="5400040" cy="2428875"/>
            <wp:effectExtent l="0" t="0" r="0" b="0"/>
            <wp:docPr id="21" name="Diagram 21" descr="">
              <a:extLst xmlns:a="http://schemas.openxmlformats.org/drawingml/2006/main">
                <a:ext uri="{FF2B5EF4-FFF2-40B4-BE49-F238E27FC236}">
                  <a16:creationId xmlns:a16="http://schemas.microsoft.com/office/drawing/2014/main" id="{C05BE049-0FAA-49F8-A3F3-B3BFF6C84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6B7451" w:rsidR="00E1000E" w:rsidP="00AF51A9" w:rsidRDefault="00E1000E" w14:paraId="6A792515" w14:textId="77777777">
      <w:pPr>
        <w:pStyle w:val="Normalutanindragellerluft"/>
        <w:spacing w:before="150"/>
      </w:pPr>
      <w:r w:rsidRPr="006B7451">
        <w:t>Med de stora behov som finns i Sverige, med hög otrygghet, ökande arbetslöshet, växande vårdskuld och så vidare är det inte rimligt att biståndsbudgeten fortsätter att svälla – den behöver stramas åt.</w:t>
      </w:r>
    </w:p>
    <w:p w:rsidRPr="006B7451" w:rsidR="00B71288" w:rsidP="00B71288" w:rsidRDefault="00741DD4" w14:paraId="7763F722" w14:textId="77777777">
      <w:r w:rsidRPr="006B7451">
        <w:t>S</w:t>
      </w:r>
      <w:r w:rsidRPr="006B7451" w:rsidR="00E1000E">
        <w:t>om strukturen för biståndsbudgeten ser ut, där det ofta förekommer fleråriga åtaganden, behöver det ske en utfasning där Sveriges nya åtaganden krymper kraftigt och där nivån för biståndet sjunker till cirka hälften av nuvarande nivåer på ett par års sikt. Samtidigt bör det utvärderas vilka projekt som ger störst nytta och vilka projekt som har störst risk att främja korruption.</w:t>
      </w:r>
    </w:p>
    <w:p w:rsidRPr="006B7451" w:rsidR="00E1000E" w:rsidP="00ED5D60" w:rsidRDefault="00E1000E" w14:paraId="7511F36F" w14:textId="7348493C">
      <w:pPr>
        <w:pStyle w:val="Rubrik2numrerat"/>
      </w:pPr>
      <w:bookmarkStart w:name="_Toc121752631" w:id="122"/>
      <w:r w:rsidRPr="006B7451">
        <w:t>En snävare biståndsram</w:t>
      </w:r>
      <w:bookmarkEnd w:id="122"/>
    </w:p>
    <w:p w:rsidRPr="006B7451" w:rsidR="00070FC7" w:rsidP="00AF51A9" w:rsidRDefault="00E1000E" w14:paraId="4CB4E2C8" w14:textId="77777777">
      <w:pPr>
        <w:pStyle w:val="Normalutanindragellerluft"/>
      </w:pPr>
      <w:r w:rsidRPr="006B7451">
        <w:rPr>
          <w:b/>
        </w:rPr>
        <w:t>Sverigedemokraternas förslag</w:t>
      </w:r>
      <w:r w:rsidRPr="00AF51A9">
        <w:t>:</w:t>
      </w:r>
      <w:r w:rsidRPr="006B7451">
        <w:t xml:space="preserve"> Sveriges biståndsram ska utgöra 0,7 procent av BNI 2022, 0,6 procent av BNI 2023 samt 0,5 procent av BNI 2024.</w:t>
      </w:r>
    </w:p>
    <w:p w:rsidRPr="006B7451" w:rsidR="00F72CA8" w:rsidP="00AF51A9" w:rsidRDefault="00F72CA8" w14:paraId="526CFD6E" w14:textId="2E146D51">
      <w:pPr>
        <w:pStyle w:val="Normalutanindragellerluft"/>
        <w:spacing w:before="150"/>
      </w:pPr>
      <w:r w:rsidRPr="006B7451">
        <w:t>Sverigedemokraterna ser bistånd som det primära verktyget för att understödja fattiga människor i utvecklingsländer. Sveriges bistånd bör fokusera på att tillmötesgå utsatta personers grundläggande behov i deras vardag. I en värld som till stor del präglas av god ekonomisk tillväxt, snabb förbättring av levnadsstandarder samt ökad framtidstro är det inte acceptabelt att miljoner människor saknar tillgång till enkel sanitet, grund</w:t>
      </w:r>
      <w:r w:rsidR="00D7147C">
        <w:softHyphen/>
      </w:r>
      <w:r w:rsidRPr="006B7451">
        <w:t>läggande sjukvård och säkert dricksvatten. Sverige kan inte som enskilt land ta ett helhetsansvar för att över 700 miljoner människor lever i extrem fattigdom men kan bidra till en positiv utveckling genom befintliga institutioner.</w:t>
      </w:r>
    </w:p>
    <w:p w:rsidRPr="006B7451" w:rsidR="00F72CA8" w:rsidP="00F72CA8" w:rsidRDefault="00F72CA8" w14:paraId="3A433895" w14:textId="60B2858E">
      <w:r w:rsidRPr="006B7451">
        <w:t>De senaste åren har Sveriges bistånd präglats av ett antal incidenter, som under</w:t>
      </w:r>
      <w:r w:rsidR="00D7147C">
        <w:softHyphen/>
      </w:r>
      <w:r w:rsidRPr="006B7451">
        <w:t>stryker ett akut reformbehov och som i det längre perspektivet utgör ett hot mot allmänhetens förtroende för biståndet som verktyg.</w:t>
      </w:r>
    </w:p>
    <w:p w:rsidRPr="006B7451" w:rsidR="00F72CA8" w:rsidP="00DB5471" w:rsidRDefault="00F72CA8" w14:paraId="3FDE7AE1" w14:textId="77777777">
      <w:pPr>
        <w:ind w:firstLine="0"/>
      </w:pPr>
      <w:r w:rsidRPr="006B7451">
        <w:t>Sverigedemokraterna ser fyra konkreta problem som måste adresseras snarast:</w:t>
      </w:r>
    </w:p>
    <w:p w:rsidRPr="006B7451" w:rsidR="00F72CA8" w:rsidP="00DB5471" w:rsidRDefault="00F72CA8" w14:paraId="551CDFE8" w14:textId="66586DA9">
      <w:pPr>
        <w:pStyle w:val="ListaPunkt"/>
      </w:pPr>
      <w:r w:rsidRPr="006B7451">
        <w:t xml:space="preserve">en osund kultur vad gäller ersättningar inom många biståndsorganisationer </w:t>
      </w:r>
    </w:p>
    <w:p w:rsidRPr="006B7451" w:rsidR="00F72CA8" w:rsidP="00DB5471" w:rsidRDefault="00F72CA8" w14:paraId="4FC69CC6" w14:textId="6973D72A">
      <w:pPr>
        <w:pStyle w:val="ListaPunkt"/>
      </w:pPr>
      <w:r w:rsidRPr="006B7451">
        <w:t xml:space="preserve">bristfällig kontroll över utbetalningar och betalningsmottagare </w:t>
      </w:r>
    </w:p>
    <w:p w:rsidRPr="006B7451" w:rsidR="00F72CA8" w:rsidP="00DB5471" w:rsidRDefault="00F72CA8" w14:paraId="11793B70" w14:textId="1C12603E">
      <w:pPr>
        <w:pStyle w:val="ListaPunkt"/>
      </w:pPr>
      <w:r w:rsidRPr="006B7451">
        <w:t xml:space="preserve">otillräcklig resultatstyrning inom framförallt demokratibiståndet </w:t>
      </w:r>
    </w:p>
    <w:p w:rsidRPr="006B7451" w:rsidR="00F72CA8" w:rsidP="00DB5471" w:rsidRDefault="00F72CA8" w14:paraId="72E9F38D" w14:textId="7EB2A6E1">
      <w:pPr>
        <w:pStyle w:val="ListaPunkt"/>
      </w:pPr>
      <w:r w:rsidRPr="006B7451">
        <w:t>skadliga incitament som följer av utgiftsmålet om 1 procent av BNI.</w:t>
      </w:r>
    </w:p>
    <w:p w:rsidRPr="006B7451" w:rsidR="0080621D" w:rsidP="00F72CA8" w:rsidRDefault="00F72CA8" w14:paraId="01803573" w14:textId="77777777">
      <w:pPr>
        <w:ind w:firstLine="0"/>
      </w:pPr>
      <w:r w:rsidRPr="006B7451">
        <w:lastRenderedPageBreak/>
        <w:t>För 2022 föreslås en biståndsram om 0,7 procent av BNI</w:t>
      </w:r>
      <w:r w:rsidRPr="006B7451" w:rsidR="0080621D">
        <w:t>.</w:t>
      </w:r>
    </w:p>
    <w:p w:rsidRPr="006B7451" w:rsidR="00E1000E" w:rsidP="0080621D" w:rsidRDefault="0080621D" w14:paraId="14316D73" w14:textId="462D918B">
      <w:r w:rsidRPr="006B7451">
        <w:t>Förslaget</w:t>
      </w:r>
      <w:r w:rsidRPr="006B7451" w:rsidR="00F72CA8">
        <w:t xml:space="preserve"> beräknas minska utgifterna i statens budget med </w:t>
      </w:r>
      <w:r w:rsidRPr="006B7451">
        <w:t>17,03</w:t>
      </w:r>
      <w:r w:rsidRPr="006B7451" w:rsidR="00F72CA8">
        <w:t xml:space="preserve"> miljarder kronor 2022</w:t>
      </w:r>
      <w:r w:rsidRPr="006B7451" w:rsidR="00070FC7">
        <w:t>.</w:t>
      </w:r>
    </w:p>
    <w:p w:rsidR="00D7147C" w:rsidRDefault="00D7147C" w14:paraId="474086C1" w14:textId="7C627EA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117E79E0" w14:textId="3BBA7D37">
      <w:pPr>
        <w:pStyle w:val="Rubrik1numrerat"/>
      </w:pPr>
      <w:bookmarkStart w:name="_Toc121752632" w:id="123"/>
      <w:bookmarkStart w:name="_Hlk82679775" w:id="124"/>
      <w:r w:rsidRPr="006B7451">
        <w:lastRenderedPageBreak/>
        <w:t>Kultur</w:t>
      </w:r>
      <w:r w:rsidRPr="006B7451" w:rsidR="00E32EA2">
        <w:t xml:space="preserve"> och media</w:t>
      </w:r>
      <w:bookmarkEnd w:id="123"/>
    </w:p>
    <w:p w:rsidRPr="006B7451" w:rsidR="004D1A7F" w:rsidP="00CF1DE6" w:rsidRDefault="004D1A7F" w14:paraId="3C163F19" w14:textId="724832A2">
      <w:pPr>
        <w:pStyle w:val="Normalutanindragellerluft"/>
      </w:pPr>
      <w:r w:rsidRPr="006B7451">
        <w:t xml:space="preserve">Kultursektorn har drabbats hårt av </w:t>
      </w:r>
      <w:r w:rsidR="00B9149E">
        <w:t>c</w:t>
      </w:r>
      <w:r w:rsidRPr="006B7451">
        <w:t>oronapandemin. Inställda förestäl</w:t>
      </w:r>
      <w:r w:rsidR="00B9149E">
        <w:t xml:space="preserve">lningar </w:t>
      </w:r>
      <w:r w:rsidRPr="006B7451">
        <w:t xml:space="preserve">och stängda utställningar, ovisshet om kommande planerade evenemang, publikbortfall och andra intäktsbortfall har varit vardag för branschen under krisen. Detta är å ena sidan inte överraskande utan en följd av verksamheternas natur, då stora delar av kultursektorn är orienterad mot publik verksamhet som bygger på upplevelser och möten människor emellan. Samtidigt visar det å andra sidan på sårbarheten i dagens system och förstärker Sverigedemokraternas principiella idé om att fler av kulturlivets aktörer behöver fler ben att stå på och stimuleras till en högre krisberedskap. </w:t>
      </w:r>
    </w:p>
    <w:p w:rsidRPr="00CF1DE6" w:rsidR="007669F5" w:rsidP="00CF1DE6" w:rsidRDefault="007669F5" w14:paraId="3C7F68D1" w14:textId="32788E55">
      <w:pPr>
        <w:pStyle w:val="Tabellrubrik"/>
      </w:pPr>
      <w:r w:rsidRPr="00CF1DE6">
        <w:t xml:space="preserve">Figur </w:t>
      </w:r>
      <w:r w:rsidR="00CF1DE6">
        <w:t>21</w:t>
      </w:r>
      <w:r w:rsidRPr="00CF1DE6">
        <w:t xml:space="preserve"> Antal museibesök,</w:t>
      </w:r>
      <w:r w:rsidRPr="00CF1DE6" w:rsidR="001A7B72">
        <w:t xml:space="preserve"> miljoner besök,</w:t>
      </w:r>
      <w:r w:rsidRPr="00CF1DE6">
        <w:t xml:space="preserve"> 2003–2020</w:t>
      </w:r>
    </w:p>
    <w:p w:rsidRPr="006B7451" w:rsidR="007669F5" w:rsidP="007669F5" w:rsidRDefault="001A7B72" w14:paraId="7EE4DF61" w14:textId="39A17050">
      <w:pPr>
        <w:ind w:firstLine="0"/>
      </w:pPr>
      <w:r w:rsidRPr="006B7451">
        <w:rPr>
          <w:noProof/>
          <w14:numSpacing w14:val="default"/>
        </w:rPr>
        <w:drawing>
          <wp:inline distT="0" distB="0" distL="0" distR="0" wp14:anchorId="015E9165" wp14:editId="39700C9A">
            <wp:extent cx="5400000" cy="2743200"/>
            <wp:effectExtent l="0" t="0" r="0" b="0"/>
            <wp:docPr id="39" name="Diagram 39" descr="">
              <a:extLst xmlns:a="http://schemas.openxmlformats.org/drawingml/2006/main">
                <a:ext uri="{FF2B5EF4-FFF2-40B4-BE49-F238E27FC236}">
                  <a16:creationId xmlns:a16="http://schemas.microsoft.com/office/drawing/2014/main" id="{997FF174-9D5B-422A-B15B-AD5710929E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D94667" w:rsidR="007669F5" w:rsidP="00D94667" w:rsidRDefault="007669F5" w14:paraId="2D5A9B0E" w14:textId="77777777">
      <w:pPr>
        <w:pStyle w:val="Klla"/>
      </w:pPr>
      <w:r w:rsidRPr="00D94667">
        <w:t>Källa: Sveriges Museer.</w:t>
      </w:r>
    </w:p>
    <w:p w:rsidRPr="006B7451" w:rsidR="004D1A7F" w:rsidP="00D94667" w:rsidRDefault="004D1A7F" w14:paraId="07FB23A8" w14:textId="12FCA8F6">
      <w:pPr>
        <w:pStyle w:val="Normalutanindragellerluft"/>
        <w:spacing w:before="150"/>
      </w:pPr>
      <w:r w:rsidRPr="006B7451">
        <w:t>För Sverigedemokraterna har kulturen en central plats i livet, samhället och politiken. Våra ledord lyder sammanhållning, tillgänglighet och folkhälsa. Kultur ska vara lättillgängligt inte minst för barn, gamla och funktionsnedsatta. En särskilt viktig roll har kulturen för ett starkt socialt kapital och social tillit mellan människor och mellan individer och institutioner. Sverige är unikt, och självklart är den svenska kulturen unik och värd att värna, vårda och visa. Den gemensamma svenska kulturen har också en avgörande betydelse för det fredliga, demokratiska och solidariska välfärdssamhälle som formats i Sverige. Det välfärdssamhälle vi i</w:t>
      </w:r>
      <w:r w:rsidRPr="006B7451" w:rsidR="003101B3">
        <w:t xml:space="preserve"> </w:t>
      </w:r>
      <w:r w:rsidRPr="006B7451">
        <w:t>dag ser krackelera inte minst på grund av storskaliga kulturella spänningar och motsättningar.</w:t>
      </w:r>
    </w:p>
    <w:p w:rsidRPr="006B7451" w:rsidR="004D1A7F" w:rsidP="00441672" w:rsidRDefault="004D1A7F" w14:paraId="4893A704" w14:textId="77777777">
      <w:r w:rsidRPr="006B7451">
        <w:t xml:space="preserve">Att stärka vårt lands gemenskap liksom kulturarvets ställning är alltså positivt för samhällsutvecklingen och den nationella sammanhållningen. Svensk kultur ska erkännas och kultur- och kunskapsinstitutioner med bildningsuppdrag tillåtas få vara just bildningsinstitutioner. </w:t>
      </w:r>
    </w:p>
    <w:p w:rsidRPr="006B7451" w:rsidR="004D1A7F" w:rsidP="00441672" w:rsidRDefault="004D1A7F" w14:paraId="637B2D20" w14:textId="77777777">
      <w:r w:rsidRPr="006B7451">
        <w:t>För Sveriges del är det viktigare än på länge att samlas kring gemensamma normer och värderingar, traditioner, seder och bruk för att hålla ihop. Särskilt viktigt är detta i ett samhälle med en solidariskt finansierad välfärd, just eftersom den solidaritet som håller upp systemet i sin tur baseras på en gemensam identitet och en stark känsla av gemenskap. Sverigedemokraternas syn är att den svenska kulturen ska erkännas och blomstra.</w:t>
      </w:r>
    </w:p>
    <w:p w:rsidRPr="006B7451" w:rsidR="004D1A7F" w:rsidP="00441672" w:rsidRDefault="004D1A7F" w14:paraId="077F1B51" w14:textId="6FBEFB32">
      <w:r w:rsidRPr="006B7451">
        <w:t xml:space="preserve">Utifrån det här bör en stor del av kulturpolitikens fokus vara att vårda och värna det svenska kulturarvet, det svenska språket, svenska värderingar och kunskap om Sveriges </w:t>
      </w:r>
      <w:r w:rsidRPr="006B7451">
        <w:lastRenderedPageBreak/>
        <w:t>historia. Samhället bör även prioritera tillgänglighetsåtgärder, kultur i relation till folkhälsa och insatser som är ägnade åt att bevara det svenska naturarvet</w:t>
      </w:r>
      <w:r w:rsidR="004B3143">
        <w:t>;</w:t>
      </w:r>
      <w:r w:rsidRPr="006B7451">
        <w:t xml:space="preserve"> rätt till kultur och gemensamma kulturella referenspunkter är en grogrund för social sammanhållning mellan gammal och ung, fattig och rik, stadsbo och landsbygdsbo, oavsett härkomst. </w:t>
      </w:r>
    </w:p>
    <w:p w:rsidRPr="006B7451" w:rsidR="004D1A7F" w:rsidP="00ED5D60" w:rsidRDefault="002726C9" w14:paraId="32479B1D" w14:textId="04FF74A3">
      <w:pPr>
        <w:pStyle w:val="Rubrik2numrerat"/>
      </w:pPr>
      <w:bookmarkStart w:name="_Toc121752633" w:id="125"/>
      <w:r w:rsidRPr="006B7451">
        <w:t>Värna kulturarvet</w:t>
      </w:r>
      <w:bookmarkEnd w:id="125"/>
    </w:p>
    <w:p w:rsidRPr="006B7451" w:rsidR="004D1A7F" w:rsidP="00D94667" w:rsidRDefault="004D1A7F" w14:paraId="00167338" w14:textId="68C9732C">
      <w:pPr>
        <w:pStyle w:val="Normalutanindragellerluft"/>
      </w:pPr>
      <w:r w:rsidRPr="006B7451">
        <w:rPr>
          <w:b/>
        </w:rPr>
        <w:t>Sverigedemokraternas förslag</w:t>
      </w:r>
      <w:r w:rsidRPr="006B7451">
        <w:t xml:space="preserve">: </w:t>
      </w:r>
      <w:r w:rsidRPr="006B7451" w:rsidR="002726C9">
        <w:t>Det samlade arbetet för att värna och bevara kulturarvet ska stärkas.</w:t>
      </w:r>
    </w:p>
    <w:p w:rsidRPr="006B7451" w:rsidR="004D1A7F" w:rsidP="00D94667" w:rsidRDefault="004D1A7F" w14:paraId="784EC9FC" w14:textId="77777777">
      <w:pPr>
        <w:pStyle w:val="Normalutanindragellerluft"/>
        <w:spacing w:before="150"/>
      </w:pPr>
      <w:r w:rsidRPr="006B7451">
        <w:t>Den svenska kulturens särart bottnar i Nordens historia, natur och klimat. Det svenska kulturarvet ska vårdas och värnas, till gagn för nationens sammanhållning och för att öka kunskaperna om svensk historia och vår gemensamma identitet.</w:t>
      </w:r>
    </w:p>
    <w:p w:rsidRPr="006B7451" w:rsidR="004D1A7F" w:rsidP="00441672" w:rsidRDefault="004D1A7F" w14:paraId="01A7D3EB" w14:textId="39E90343">
      <w:r w:rsidRPr="006B7451">
        <w:t xml:space="preserve">I konkreta budgettermer översätts detta i en </w:t>
      </w:r>
      <w:r w:rsidRPr="006B7451" w:rsidR="002726C9">
        <w:t>miljardsatsning på kulturarvet</w:t>
      </w:r>
      <w:r w:rsidRPr="006B7451" w:rsidR="0080621D">
        <w:t xml:space="preserve"> under budgetperioden</w:t>
      </w:r>
      <w:r w:rsidRPr="006B7451">
        <w:t xml:space="preserve">, där en höjning av den kyrkoantikvariska ersättningen </w:t>
      </w:r>
      <w:r w:rsidRPr="006B7451" w:rsidR="00D515EB">
        <w:t>svarar för en betydande del</w:t>
      </w:r>
      <w:r w:rsidRPr="006B7451">
        <w:t xml:space="preserve">. Andra komponenter är satsningar på bland annat Statens musikverk, Institutet för språk och folkminnen och Riksantikvarieämbetet. </w:t>
      </w:r>
    </w:p>
    <w:p w:rsidRPr="006B7451" w:rsidR="004D1A7F" w:rsidP="00441672" w:rsidRDefault="004D1A7F" w14:paraId="1E7999F1" w14:textId="78A6430F">
      <w:r w:rsidRPr="006B7451">
        <w:t>Sverigedemokraterna vill även inrätta en särskild fond dit privatpersoner, organisa</w:t>
      </w:r>
      <w:r w:rsidR="005512F8">
        <w:softHyphen/>
      </w:r>
      <w:r w:rsidRPr="006B7451">
        <w:t xml:space="preserve">tioner, föreningar och i särskilda fall även kommuner ska kunna vända sig för att äska medel till verksamheter som bevarar och levandegör kulturarvet. Utöver att bidra med rena ekonomiska medel skulle en särskild kulturarvsfond också skicka en tydlig signal om att staten värdesätter den svenska nationens historia och kulturarv – på riktigt, från yttre glesbygd till inre storstad. </w:t>
      </w:r>
    </w:p>
    <w:p w:rsidRPr="006B7451" w:rsidR="004D1A7F" w:rsidP="00441672" w:rsidRDefault="004D1A7F" w14:paraId="3A13758A" w14:textId="1584FA4B">
      <w:r w:rsidRPr="006B7451">
        <w:t xml:space="preserve">Sverigedemokraterna avsätter också medel för att bevara, vårda, levandegöra och sprida kunskap om fornlämningar, kulturlandskap och bebyggelse, bland annat genom ett </w:t>
      </w:r>
      <w:r w:rsidR="002D0057">
        <w:t>rot</w:t>
      </w:r>
      <w:r w:rsidRPr="006B7451">
        <w:t>avdrag öronmärkt för kulturhistoriska bebyggelsemiljöer. Framåt bör en samlad översyn av utbildningsbehoven inom byggnadsvårds- och kulturmiljöområdet i stort göras för att säkra kunskapsöverföring och rekryteringsbehov för framtiden.</w:t>
      </w:r>
    </w:p>
    <w:p w:rsidRPr="00D94667" w:rsidR="0080621D" w:rsidP="00D94667" w:rsidRDefault="0080621D" w14:paraId="6A67BAED" w14:textId="6B021FB1">
      <w:pPr>
        <w:pStyle w:val="Tabellrubrik"/>
      </w:pPr>
      <w:r w:rsidRPr="00D94667">
        <w:t xml:space="preserve">Tabell </w:t>
      </w:r>
      <w:r w:rsidR="00D94667">
        <w:t>17</w:t>
      </w:r>
      <w:r w:rsidRPr="00D94667">
        <w:t xml:space="preserve"> Satsningar för bevarandet av kulturarvet, miljarder kronor</w:t>
      </w:r>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968"/>
        <w:gridCol w:w="1420"/>
        <w:gridCol w:w="1561"/>
        <w:gridCol w:w="1555"/>
      </w:tblGrid>
      <w:tr w:rsidRPr="006B7451" w:rsidR="0080621D" w:rsidTr="00D94667" w14:paraId="221DBD06" w14:textId="77777777">
        <w:tc>
          <w:tcPr>
            <w:tcW w:w="2333" w:type="pct"/>
            <w:tcBorders>
              <w:top w:val="single" w:color="auto" w:sz="4" w:space="0"/>
              <w:bottom w:val="single" w:color="auto" w:sz="4" w:space="0"/>
            </w:tcBorders>
          </w:tcPr>
          <w:p w:rsidRPr="006B7451" w:rsidR="0080621D" w:rsidP="00D94667" w:rsidRDefault="0080621D" w14:paraId="27550AA4" w14:textId="77777777">
            <w:pPr>
              <w:spacing w:before="80" w:line="240" w:lineRule="exact"/>
              <w:ind w:firstLine="0"/>
              <w:rPr>
                <w:sz w:val="20"/>
                <w:szCs w:val="20"/>
              </w:rPr>
            </w:pPr>
          </w:p>
        </w:tc>
        <w:tc>
          <w:tcPr>
            <w:tcW w:w="835" w:type="pct"/>
            <w:tcBorders>
              <w:top w:val="single" w:color="auto" w:sz="4" w:space="0"/>
              <w:bottom w:val="single" w:color="auto" w:sz="4" w:space="0"/>
            </w:tcBorders>
          </w:tcPr>
          <w:p w:rsidRPr="006B7451" w:rsidR="0080621D" w:rsidP="00D94667" w:rsidRDefault="0080621D" w14:paraId="04860827" w14:textId="0ED905CC">
            <w:pPr>
              <w:spacing w:before="80" w:line="240" w:lineRule="exact"/>
              <w:ind w:firstLine="0"/>
              <w:jc w:val="right"/>
              <w:rPr>
                <w:b/>
                <w:sz w:val="20"/>
                <w:szCs w:val="20"/>
              </w:rPr>
            </w:pPr>
            <w:r w:rsidRPr="006B7451">
              <w:rPr>
                <w:b/>
                <w:sz w:val="20"/>
                <w:szCs w:val="20"/>
              </w:rPr>
              <w:t>2022</w:t>
            </w:r>
          </w:p>
        </w:tc>
        <w:tc>
          <w:tcPr>
            <w:tcW w:w="918" w:type="pct"/>
            <w:tcBorders>
              <w:top w:val="single" w:color="auto" w:sz="4" w:space="0"/>
              <w:bottom w:val="single" w:color="auto" w:sz="4" w:space="0"/>
            </w:tcBorders>
          </w:tcPr>
          <w:p w:rsidRPr="006B7451" w:rsidR="0080621D" w:rsidP="00D94667" w:rsidRDefault="0080621D" w14:paraId="24F37A17" w14:textId="346A663A">
            <w:pPr>
              <w:spacing w:before="80" w:line="240" w:lineRule="exact"/>
              <w:ind w:firstLine="0"/>
              <w:jc w:val="right"/>
              <w:rPr>
                <w:b/>
                <w:sz w:val="20"/>
                <w:szCs w:val="20"/>
              </w:rPr>
            </w:pPr>
            <w:r w:rsidRPr="006B7451">
              <w:rPr>
                <w:b/>
                <w:sz w:val="20"/>
                <w:szCs w:val="20"/>
              </w:rPr>
              <w:t>2023</w:t>
            </w:r>
          </w:p>
        </w:tc>
        <w:tc>
          <w:tcPr>
            <w:tcW w:w="914" w:type="pct"/>
            <w:tcBorders>
              <w:top w:val="single" w:color="auto" w:sz="4" w:space="0"/>
              <w:bottom w:val="single" w:color="auto" w:sz="4" w:space="0"/>
            </w:tcBorders>
          </w:tcPr>
          <w:p w:rsidRPr="006B7451" w:rsidR="0080621D" w:rsidP="00D94667" w:rsidRDefault="0080621D" w14:paraId="2B9F877E" w14:textId="69318B4D">
            <w:pPr>
              <w:spacing w:before="80" w:line="240" w:lineRule="exact"/>
              <w:ind w:firstLine="0"/>
              <w:jc w:val="right"/>
              <w:rPr>
                <w:b/>
                <w:sz w:val="20"/>
                <w:szCs w:val="20"/>
              </w:rPr>
            </w:pPr>
            <w:r w:rsidRPr="006B7451">
              <w:rPr>
                <w:b/>
                <w:sz w:val="20"/>
                <w:szCs w:val="20"/>
              </w:rPr>
              <w:t>2024</w:t>
            </w:r>
          </w:p>
        </w:tc>
      </w:tr>
      <w:tr w:rsidRPr="006B7451" w:rsidR="0080621D" w:rsidTr="00D94667" w14:paraId="795CAC53" w14:textId="77777777">
        <w:tc>
          <w:tcPr>
            <w:tcW w:w="2333" w:type="pct"/>
            <w:tcBorders>
              <w:top w:val="single" w:color="auto" w:sz="4" w:space="0"/>
            </w:tcBorders>
          </w:tcPr>
          <w:p w:rsidRPr="006B7451" w:rsidR="0080621D" w:rsidP="00D94667" w:rsidRDefault="0080621D" w14:paraId="69E95742" w14:textId="179E875C">
            <w:pPr>
              <w:spacing w:before="80" w:line="240" w:lineRule="exact"/>
              <w:ind w:firstLine="0"/>
              <w:rPr>
                <w:sz w:val="20"/>
                <w:szCs w:val="20"/>
              </w:rPr>
            </w:pPr>
            <w:r w:rsidRPr="006B7451">
              <w:rPr>
                <w:sz w:val="20"/>
                <w:szCs w:val="20"/>
              </w:rPr>
              <w:t>Kyrkoantikvarisk ersättning</w:t>
            </w:r>
          </w:p>
        </w:tc>
        <w:tc>
          <w:tcPr>
            <w:tcW w:w="835" w:type="pct"/>
            <w:tcBorders>
              <w:top w:val="single" w:color="auto" w:sz="4" w:space="0"/>
            </w:tcBorders>
          </w:tcPr>
          <w:p w:rsidRPr="006B7451" w:rsidR="0080621D" w:rsidP="00D94667" w:rsidRDefault="0080621D" w14:paraId="37C57524" w14:textId="12F05E31">
            <w:pPr>
              <w:spacing w:before="80" w:line="240" w:lineRule="exact"/>
              <w:ind w:firstLine="0"/>
              <w:jc w:val="right"/>
              <w:rPr>
                <w:sz w:val="20"/>
                <w:szCs w:val="20"/>
              </w:rPr>
            </w:pPr>
            <w:r w:rsidRPr="006B7451">
              <w:rPr>
                <w:sz w:val="20"/>
                <w:szCs w:val="20"/>
              </w:rPr>
              <w:t>0,25</w:t>
            </w:r>
          </w:p>
        </w:tc>
        <w:tc>
          <w:tcPr>
            <w:tcW w:w="918" w:type="pct"/>
            <w:tcBorders>
              <w:top w:val="single" w:color="auto" w:sz="4" w:space="0"/>
            </w:tcBorders>
          </w:tcPr>
          <w:p w:rsidRPr="006B7451" w:rsidR="0080621D" w:rsidP="00D94667" w:rsidRDefault="0080621D" w14:paraId="2D2BAAB7" w14:textId="4759E524">
            <w:pPr>
              <w:spacing w:before="80" w:line="240" w:lineRule="exact"/>
              <w:ind w:firstLine="0"/>
              <w:jc w:val="right"/>
              <w:rPr>
                <w:sz w:val="20"/>
                <w:szCs w:val="20"/>
              </w:rPr>
            </w:pPr>
            <w:r w:rsidRPr="006B7451">
              <w:rPr>
                <w:sz w:val="20"/>
                <w:szCs w:val="20"/>
              </w:rPr>
              <w:t>0,25</w:t>
            </w:r>
          </w:p>
        </w:tc>
        <w:tc>
          <w:tcPr>
            <w:tcW w:w="914" w:type="pct"/>
            <w:tcBorders>
              <w:top w:val="single" w:color="auto" w:sz="4" w:space="0"/>
            </w:tcBorders>
          </w:tcPr>
          <w:p w:rsidRPr="006B7451" w:rsidR="0080621D" w:rsidP="00D94667" w:rsidRDefault="0080621D" w14:paraId="7F40F0A3" w14:textId="4B694800">
            <w:pPr>
              <w:spacing w:before="80" w:line="240" w:lineRule="exact"/>
              <w:ind w:firstLine="0"/>
              <w:jc w:val="right"/>
              <w:rPr>
                <w:sz w:val="20"/>
                <w:szCs w:val="20"/>
              </w:rPr>
            </w:pPr>
            <w:r w:rsidRPr="006B7451">
              <w:rPr>
                <w:sz w:val="20"/>
                <w:szCs w:val="20"/>
              </w:rPr>
              <w:t>0,25</w:t>
            </w:r>
          </w:p>
        </w:tc>
      </w:tr>
      <w:tr w:rsidRPr="006B7451" w:rsidR="0080621D" w:rsidTr="00D94667" w14:paraId="2BC0B047" w14:textId="77777777">
        <w:tc>
          <w:tcPr>
            <w:tcW w:w="2333" w:type="pct"/>
          </w:tcPr>
          <w:p w:rsidRPr="006B7451" w:rsidR="0080621D" w:rsidP="00D94667" w:rsidRDefault="0080621D" w14:paraId="734BE9F4" w14:textId="61B87FB2">
            <w:pPr>
              <w:spacing w:before="80" w:line="240" w:lineRule="exact"/>
              <w:ind w:firstLine="0"/>
              <w:rPr>
                <w:sz w:val="20"/>
                <w:szCs w:val="20"/>
              </w:rPr>
            </w:pPr>
            <w:r w:rsidRPr="006B7451">
              <w:rPr>
                <w:sz w:val="20"/>
                <w:szCs w:val="20"/>
              </w:rPr>
              <w:t>Kulturreservat</w:t>
            </w:r>
          </w:p>
        </w:tc>
        <w:tc>
          <w:tcPr>
            <w:tcW w:w="835" w:type="pct"/>
          </w:tcPr>
          <w:p w:rsidRPr="006B7451" w:rsidR="0080621D" w:rsidP="00D94667" w:rsidRDefault="0080621D" w14:paraId="425B34F2" w14:textId="3E03F3C1">
            <w:pPr>
              <w:spacing w:before="80" w:line="240" w:lineRule="exact"/>
              <w:ind w:firstLine="0"/>
              <w:jc w:val="right"/>
              <w:rPr>
                <w:sz w:val="20"/>
                <w:szCs w:val="20"/>
              </w:rPr>
            </w:pPr>
            <w:r w:rsidRPr="006B7451">
              <w:rPr>
                <w:sz w:val="20"/>
                <w:szCs w:val="20"/>
              </w:rPr>
              <w:t>0,04</w:t>
            </w:r>
          </w:p>
        </w:tc>
        <w:tc>
          <w:tcPr>
            <w:tcW w:w="918" w:type="pct"/>
          </w:tcPr>
          <w:p w:rsidRPr="006B7451" w:rsidR="0080621D" w:rsidP="00D94667" w:rsidRDefault="0080621D" w14:paraId="400AF2C5" w14:textId="3C0FB574">
            <w:pPr>
              <w:spacing w:before="80" w:line="240" w:lineRule="exact"/>
              <w:ind w:firstLine="0"/>
              <w:jc w:val="right"/>
              <w:rPr>
                <w:sz w:val="20"/>
                <w:szCs w:val="20"/>
              </w:rPr>
            </w:pPr>
            <w:r w:rsidRPr="006B7451">
              <w:rPr>
                <w:sz w:val="20"/>
                <w:szCs w:val="20"/>
              </w:rPr>
              <w:t>0,04</w:t>
            </w:r>
          </w:p>
        </w:tc>
        <w:tc>
          <w:tcPr>
            <w:tcW w:w="914" w:type="pct"/>
          </w:tcPr>
          <w:p w:rsidRPr="006B7451" w:rsidR="0080621D" w:rsidP="00D94667" w:rsidRDefault="0080621D" w14:paraId="7F1034A6" w14:textId="350C351D">
            <w:pPr>
              <w:spacing w:before="80" w:line="240" w:lineRule="exact"/>
              <w:ind w:firstLine="0"/>
              <w:jc w:val="right"/>
              <w:rPr>
                <w:sz w:val="20"/>
                <w:szCs w:val="20"/>
              </w:rPr>
            </w:pPr>
            <w:r w:rsidRPr="006B7451">
              <w:rPr>
                <w:sz w:val="20"/>
                <w:szCs w:val="20"/>
              </w:rPr>
              <w:t>0,04</w:t>
            </w:r>
          </w:p>
        </w:tc>
      </w:tr>
      <w:tr w:rsidRPr="006B7451" w:rsidR="0080621D" w:rsidTr="00D94667" w14:paraId="2C439FFD" w14:textId="77777777">
        <w:tc>
          <w:tcPr>
            <w:tcW w:w="2333" w:type="pct"/>
          </w:tcPr>
          <w:p w:rsidRPr="006B7451" w:rsidR="0080621D" w:rsidP="00D94667" w:rsidRDefault="0080621D" w14:paraId="1A3763E5" w14:textId="794941CD">
            <w:pPr>
              <w:spacing w:before="80" w:line="240" w:lineRule="exact"/>
              <w:ind w:firstLine="0"/>
              <w:rPr>
                <w:sz w:val="20"/>
                <w:szCs w:val="20"/>
              </w:rPr>
            </w:pPr>
            <w:r w:rsidRPr="006B7451">
              <w:rPr>
                <w:sz w:val="20"/>
                <w:szCs w:val="20"/>
              </w:rPr>
              <w:t>Kulturarvs-ROT</w:t>
            </w:r>
          </w:p>
        </w:tc>
        <w:tc>
          <w:tcPr>
            <w:tcW w:w="835" w:type="pct"/>
          </w:tcPr>
          <w:p w:rsidRPr="006B7451" w:rsidR="0080621D" w:rsidP="00D94667" w:rsidRDefault="0080621D" w14:paraId="5A000256" w14:textId="6D3569C3">
            <w:pPr>
              <w:spacing w:before="80" w:line="240" w:lineRule="exact"/>
              <w:ind w:firstLine="0"/>
              <w:jc w:val="right"/>
              <w:rPr>
                <w:sz w:val="20"/>
                <w:szCs w:val="20"/>
              </w:rPr>
            </w:pPr>
            <w:r w:rsidRPr="006B7451">
              <w:rPr>
                <w:sz w:val="20"/>
                <w:szCs w:val="20"/>
              </w:rPr>
              <w:t>0,16</w:t>
            </w:r>
          </w:p>
        </w:tc>
        <w:tc>
          <w:tcPr>
            <w:tcW w:w="918" w:type="pct"/>
          </w:tcPr>
          <w:p w:rsidRPr="006B7451" w:rsidR="0080621D" w:rsidP="00D94667" w:rsidRDefault="0080621D" w14:paraId="4D667548" w14:textId="6CB1DC5C">
            <w:pPr>
              <w:spacing w:before="80" w:line="240" w:lineRule="exact"/>
              <w:ind w:firstLine="0"/>
              <w:jc w:val="right"/>
              <w:rPr>
                <w:sz w:val="20"/>
                <w:szCs w:val="20"/>
              </w:rPr>
            </w:pPr>
            <w:r w:rsidRPr="006B7451">
              <w:rPr>
                <w:sz w:val="20"/>
                <w:szCs w:val="20"/>
              </w:rPr>
              <w:t>0,16</w:t>
            </w:r>
          </w:p>
        </w:tc>
        <w:tc>
          <w:tcPr>
            <w:tcW w:w="914" w:type="pct"/>
          </w:tcPr>
          <w:p w:rsidRPr="006B7451" w:rsidR="0080621D" w:rsidP="00D94667" w:rsidRDefault="0080621D" w14:paraId="6EAE3567" w14:textId="2EA83F06">
            <w:pPr>
              <w:spacing w:before="80" w:line="240" w:lineRule="exact"/>
              <w:ind w:firstLine="0"/>
              <w:jc w:val="right"/>
              <w:rPr>
                <w:sz w:val="20"/>
                <w:szCs w:val="20"/>
              </w:rPr>
            </w:pPr>
            <w:r w:rsidRPr="006B7451">
              <w:rPr>
                <w:sz w:val="20"/>
                <w:szCs w:val="20"/>
              </w:rPr>
              <w:t>0,16</w:t>
            </w:r>
          </w:p>
        </w:tc>
      </w:tr>
      <w:tr w:rsidRPr="006B7451" w:rsidR="0080621D" w:rsidTr="00D94667" w14:paraId="3902731A" w14:textId="77777777">
        <w:tc>
          <w:tcPr>
            <w:tcW w:w="2333" w:type="pct"/>
          </w:tcPr>
          <w:p w:rsidRPr="006B7451" w:rsidR="0080621D" w:rsidP="00D94667" w:rsidRDefault="0080621D" w14:paraId="3F9B382E" w14:textId="577B584C">
            <w:pPr>
              <w:spacing w:before="80" w:line="240" w:lineRule="exact"/>
              <w:ind w:firstLine="0"/>
              <w:rPr>
                <w:sz w:val="20"/>
                <w:szCs w:val="20"/>
              </w:rPr>
            </w:pPr>
            <w:r w:rsidRPr="006B7451">
              <w:rPr>
                <w:sz w:val="20"/>
                <w:szCs w:val="20"/>
              </w:rPr>
              <w:t>Kulturarvsfond</w:t>
            </w:r>
          </w:p>
        </w:tc>
        <w:tc>
          <w:tcPr>
            <w:tcW w:w="835" w:type="pct"/>
          </w:tcPr>
          <w:p w:rsidRPr="006B7451" w:rsidR="0080621D" w:rsidP="00D94667" w:rsidRDefault="0080621D" w14:paraId="40C70A43" w14:textId="65E92E5B">
            <w:pPr>
              <w:spacing w:before="80" w:line="240" w:lineRule="exact"/>
              <w:ind w:firstLine="0"/>
              <w:jc w:val="right"/>
              <w:rPr>
                <w:sz w:val="20"/>
                <w:szCs w:val="20"/>
              </w:rPr>
            </w:pPr>
            <w:r w:rsidRPr="006B7451">
              <w:rPr>
                <w:sz w:val="20"/>
                <w:szCs w:val="20"/>
              </w:rPr>
              <w:t>0,10</w:t>
            </w:r>
          </w:p>
        </w:tc>
        <w:tc>
          <w:tcPr>
            <w:tcW w:w="918" w:type="pct"/>
          </w:tcPr>
          <w:p w:rsidRPr="006B7451" w:rsidR="0080621D" w:rsidP="00D94667" w:rsidRDefault="0080621D" w14:paraId="2EE1861B" w14:textId="21B28E8C">
            <w:pPr>
              <w:spacing w:before="80" w:line="240" w:lineRule="exact"/>
              <w:ind w:firstLine="0"/>
              <w:jc w:val="right"/>
              <w:rPr>
                <w:sz w:val="20"/>
                <w:szCs w:val="20"/>
              </w:rPr>
            </w:pPr>
            <w:r w:rsidRPr="006B7451">
              <w:rPr>
                <w:sz w:val="20"/>
                <w:szCs w:val="20"/>
              </w:rPr>
              <w:t>0,10</w:t>
            </w:r>
          </w:p>
        </w:tc>
        <w:tc>
          <w:tcPr>
            <w:tcW w:w="914" w:type="pct"/>
          </w:tcPr>
          <w:p w:rsidRPr="006B7451" w:rsidR="0080621D" w:rsidP="00D94667" w:rsidRDefault="0080621D" w14:paraId="1CE28484" w14:textId="559C3D51">
            <w:pPr>
              <w:spacing w:before="80" w:line="240" w:lineRule="exact"/>
              <w:ind w:firstLine="0"/>
              <w:jc w:val="right"/>
              <w:rPr>
                <w:sz w:val="20"/>
                <w:szCs w:val="20"/>
              </w:rPr>
            </w:pPr>
            <w:r w:rsidRPr="006B7451">
              <w:rPr>
                <w:sz w:val="20"/>
                <w:szCs w:val="20"/>
              </w:rPr>
              <w:t>0,10</w:t>
            </w:r>
          </w:p>
        </w:tc>
      </w:tr>
      <w:tr w:rsidRPr="006B7451" w:rsidR="003931CE" w:rsidTr="00D94667" w14:paraId="6C50D1BA" w14:textId="77777777">
        <w:tc>
          <w:tcPr>
            <w:tcW w:w="2333" w:type="pct"/>
          </w:tcPr>
          <w:p w:rsidRPr="006B7451" w:rsidR="003931CE" w:rsidP="00D94667" w:rsidRDefault="003931CE" w14:paraId="080C00EB" w14:textId="53CADBC1">
            <w:pPr>
              <w:spacing w:before="80" w:line="240" w:lineRule="exact"/>
              <w:ind w:firstLine="0"/>
              <w:rPr>
                <w:sz w:val="20"/>
                <w:szCs w:val="20"/>
              </w:rPr>
            </w:pPr>
            <w:r w:rsidRPr="006B7451">
              <w:rPr>
                <w:sz w:val="20"/>
                <w:szCs w:val="20"/>
              </w:rPr>
              <w:t>Stimulansbidrag kulturmiljökompetens</w:t>
            </w:r>
          </w:p>
        </w:tc>
        <w:tc>
          <w:tcPr>
            <w:tcW w:w="835" w:type="pct"/>
          </w:tcPr>
          <w:p w:rsidRPr="006B7451" w:rsidR="003931CE" w:rsidP="00D94667" w:rsidRDefault="003931CE" w14:paraId="4F8BE7D9" w14:textId="2B3818CB">
            <w:pPr>
              <w:spacing w:before="80" w:line="240" w:lineRule="exact"/>
              <w:ind w:firstLine="0"/>
              <w:jc w:val="right"/>
              <w:rPr>
                <w:sz w:val="20"/>
                <w:szCs w:val="20"/>
              </w:rPr>
            </w:pPr>
            <w:r w:rsidRPr="006B7451">
              <w:rPr>
                <w:sz w:val="20"/>
                <w:szCs w:val="20"/>
              </w:rPr>
              <w:t>0,05</w:t>
            </w:r>
          </w:p>
        </w:tc>
        <w:tc>
          <w:tcPr>
            <w:tcW w:w="918" w:type="pct"/>
          </w:tcPr>
          <w:p w:rsidRPr="006B7451" w:rsidR="003931CE" w:rsidP="00D94667" w:rsidRDefault="003931CE" w14:paraId="454A5DAD" w14:textId="2878C4B6">
            <w:pPr>
              <w:spacing w:before="80" w:line="240" w:lineRule="exact"/>
              <w:ind w:firstLine="0"/>
              <w:jc w:val="right"/>
              <w:rPr>
                <w:sz w:val="20"/>
                <w:szCs w:val="20"/>
              </w:rPr>
            </w:pPr>
            <w:r w:rsidRPr="006B7451">
              <w:rPr>
                <w:sz w:val="20"/>
                <w:szCs w:val="20"/>
              </w:rPr>
              <w:t>0,05</w:t>
            </w:r>
          </w:p>
        </w:tc>
        <w:tc>
          <w:tcPr>
            <w:tcW w:w="914" w:type="pct"/>
          </w:tcPr>
          <w:p w:rsidRPr="006B7451" w:rsidR="003931CE" w:rsidP="00D94667" w:rsidRDefault="003931CE" w14:paraId="50F89AA0" w14:textId="6C315449">
            <w:pPr>
              <w:spacing w:before="80" w:line="240" w:lineRule="exact"/>
              <w:ind w:firstLine="0"/>
              <w:jc w:val="right"/>
              <w:rPr>
                <w:sz w:val="20"/>
                <w:szCs w:val="20"/>
              </w:rPr>
            </w:pPr>
            <w:r w:rsidRPr="006B7451">
              <w:rPr>
                <w:sz w:val="20"/>
                <w:szCs w:val="20"/>
              </w:rPr>
              <w:t>0,05</w:t>
            </w:r>
          </w:p>
        </w:tc>
      </w:tr>
      <w:tr w:rsidRPr="006B7451" w:rsidR="003931CE" w:rsidTr="00D94667" w14:paraId="4833CA33" w14:textId="77777777">
        <w:tc>
          <w:tcPr>
            <w:tcW w:w="2333" w:type="pct"/>
          </w:tcPr>
          <w:p w:rsidRPr="006B7451" w:rsidR="003931CE" w:rsidP="00D94667" w:rsidRDefault="003931CE" w14:paraId="12B06115" w14:textId="37F88FF6">
            <w:pPr>
              <w:spacing w:before="80" w:line="240" w:lineRule="exact"/>
              <w:ind w:firstLine="0"/>
              <w:rPr>
                <w:sz w:val="20"/>
                <w:szCs w:val="20"/>
              </w:rPr>
            </w:pPr>
            <w:r w:rsidRPr="006B7451">
              <w:rPr>
                <w:sz w:val="20"/>
                <w:szCs w:val="20"/>
              </w:rPr>
              <w:t>Riksantikvarieämbetet</w:t>
            </w:r>
          </w:p>
        </w:tc>
        <w:tc>
          <w:tcPr>
            <w:tcW w:w="835" w:type="pct"/>
          </w:tcPr>
          <w:p w:rsidRPr="006B7451" w:rsidR="003931CE" w:rsidP="00D94667" w:rsidRDefault="003931CE" w14:paraId="13890D44" w14:textId="35C2DCC6">
            <w:pPr>
              <w:spacing w:before="80" w:line="240" w:lineRule="exact"/>
              <w:ind w:firstLine="0"/>
              <w:jc w:val="right"/>
              <w:rPr>
                <w:sz w:val="20"/>
                <w:szCs w:val="20"/>
              </w:rPr>
            </w:pPr>
            <w:r w:rsidRPr="006B7451">
              <w:rPr>
                <w:sz w:val="20"/>
                <w:szCs w:val="20"/>
              </w:rPr>
              <w:t>0,05</w:t>
            </w:r>
          </w:p>
        </w:tc>
        <w:tc>
          <w:tcPr>
            <w:tcW w:w="918" w:type="pct"/>
          </w:tcPr>
          <w:p w:rsidRPr="006B7451" w:rsidR="003931CE" w:rsidP="00D94667" w:rsidRDefault="003931CE" w14:paraId="0BCEAABF" w14:textId="1D51891E">
            <w:pPr>
              <w:spacing w:before="80" w:line="240" w:lineRule="exact"/>
              <w:ind w:firstLine="0"/>
              <w:jc w:val="right"/>
              <w:rPr>
                <w:sz w:val="20"/>
                <w:szCs w:val="20"/>
              </w:rPr>
            </w:pPr>
            <w:r w:rsidRPr="006B7451">
              <w:rPr>
                <w:sz w:val="20"/>
                <w:szCs w:val="20"/>
              </w:rPr>
              <w:t>0,05</w:t>
            </w:r>
          </w:p>
        </w:tc>
        <w:tc>
          <w:tcPr>
            <w:tcW w:w="914" w:type="pct"/>
          </w:tcPr>
          <w:p w:rsidRPr="006B7451" w:rsidR="003931CE" w:rsidP="00D94667" w:rsidRDefault="003931CE" w14:paraId="127907FA" w14:textId="1938170B">
            <w:pPr>
              <w:spacing w:before="80" w:line="240" w:lineRule="exact"/>
              <w:ind w:firstLine="0"/>
              <w:jc w:val="right"/>
              <w:rPr>
                <w:sz w:val="20"/>
                <w:szCs w:val="20"/>
              </w:rPr>
            </w:pPr>
            <w:r w:rsidRPr="006B7451">
              <w:rPr>
                <w:sz w:val="20"/>
                <w:szCs w:val="20"/>
              </w:rPr>
              <w:t>0,05</w:t>
            </w:r>
          </w:p>
        </w:tc>
      </w:tr>
      <w:tr w:rsidRPr="006B7451" w:rsidR="0080621D" w:rsidTr="00D94667" w14:paraId="0A51049E" w14:textId="77777777">
        <w:tc>
          <w:tcPr>
            <w:tcW w:w="2333" w:type="pct"/>
            <w:tcBorders>
              <w:bottom w:val="single" w:color="auto" w:sz="4" w:space="0"/>
            </w:tcBorders>
          </w:tcPr>
          <w:p w:rsidRPr="006B7451" w:rsidR="0080621D" w:rsidP="00D94667" w:rsidRDefault="0080621D" w14:paraId="74C8B441" w14:textId="76038C93">
            <w:pPr>
              <w:spacing w:before="80" w:line="240" w:lineRule="exact"/>
              <w:ind w:firstLine="0"/>
              <w:rPr>
                <w:b/>
                <w:sz w:val="20"/>
                <w:szCs w:val="20"/>
              </w:rPr>
            </w:pPr>
            <w:r w:rsidRPr="006B7451">
              <w:rPr>
                <w:b/>
                <w:sz w:val="20"/>
                <w:szCs w:val="20"/>
              </w:rPr>
              <w:t>Totalt</w:t>
            </w:r>
          </w:p>
        </w:tc>
        <w:tc>
          <w:tcPr>
            <w:tcW w:w="835" w:type="pct"/>
            <w:tcBorders>
              <w:bottom w:val="single" w:color="auto" w:sz="4" w:space="0"/>
            </w:tcBorders>
          </w:tcPr>
          <w:p w:rsidRPr="006B7451" w:rsidR="0080621D" w:rsidP="00D94667" w:rsidRDefault="0080621D" w14:paraId="52B8118E" w14:textId="6EDB3FC6">
            <w:pPr>
              <w:spacing w:before="80" w:line="240" w:lineRule="exact"/>
              <w:ind w:firstLine="0"/>
              <w:jc w:val="right"/>
              <w:rPr>
                <w:b/>
                <w:sz w:val="20"/>
                <w:szCs w:val="20"/>
              </w:rPr>
            </w:pPr>
            <w:r w:rsidRPr="006B7451">
              <w:rPr>
                <w:b/>
                <w:sz w:val="20"/>
                <w:szCs w:val="20"/>
              </w:rPr>
              <w:t>0,</w:t>
            </w:r>
            <w:r w:rsidRPr="006B7451" w:rsidR="003931CE">
              <w:rPr>
                <w:b/>
                <w:sz w:val="20"/>
                <w:szCs w:val="20"/>
              </w:rPr>
              <w:t>6</w:t>
            </w:r>
            <w:r w:rsidRPr="006B7451">
              <w:rPr>
                <w:b/>
                <w:sz w:val="20"/>
                <w:szCs w:val="20"/>
              </w:rPr>
              <w:t>5</w:t>
            </w:r>
          </w:p>
        </w:tc>
        <w:tc>
          <w:tcPr>
            <w:tcW w:w="918" w:type="pct"/>
            <w:tcBorders>
              <w:bottom w:val="single" w:color="auto" w:sz="4" w:space="0"/>
            </w:tcBorders>
          </w:tcPr>
          <w:p w:rsidRPr="006B7451" w:rsidR="0080621D" w:rsidP="00D94667" w:rsidRDefault="0080621D" w14:paraId="7A865CCF" w14:textId="365A8D57">
            <w:pPr>
              <w:spacing w:before="80" w:line="240" w:lineRule="exact"/>
              <w:ind w:firstLine="0"/>
              <w:jc w:val="right"/>
              <w:rPr>
                <w:b/>
                <w:sz w:val="20"/>
                <w:szCs w:val="20"/>
              </w:rPr>
            </w:pPr>
            <w:r w:rsidRPr="006B7451">
              <w:rPr>
                <w:b/>
                <w:sz w:val="20"/>
                <w:szCs w:val="20"/>
              </w:rPr>
              <w:t>0,</w:t>
            </w:r>
            <w:r w:rsidRPr="006B7451" w:rsidR="003931CE">
              <w:rPr>
                <w:b/>
                <w:sz w:val="20"/>
                <w:szCs w:val="20"/>
              </w:rPr>
              <w:t>6</w:t>
            </w:r>
            <w:r w:rsidRPr="006B7451">
              <w:rPr>
                <w:b/>
                <w:sz w:val="20"/>
                <w:szCs w:val="20"/>
              </w:rPr>
              <w:t>5</w:t>
            </w:r>
          </w:p>
        </w:tc>
        <w:tc>
          <w:tcPr>
            <w:tcW w:w="914" w:type="pct"/>
            <w:tcBorders>
              <w:bottom w:val="single" w:color="auto" w:sz="4" w:space="0"/>
            </w:tcBorders>
          </w:tcPr>
          <w:p w:rsidRPr="006B7451" w:rsidR="0080621D" w:rsidP="00D94667" w:rsidRDefault="0080621D" w14:paraId="0FA36471" w14:textId="04272193">
            <w:pPr>
              <w:spacing w:before="80" w:line="240" w:lineRule="exact"/>
              <w:ind w:firstLine="0"/>
              <w:jc w:val="right"/>
              <w:rPr>
                <w:b/>
                <w:sz w:val="20"/>
                <w:szCs w:val="20"/>
              </w:rPr>
            </w:pPr>
            <w:r w:rsidRPr="006B7451">
              <w:rPr>
                <w:b/>
                <w:sz w:val="20"/>
                <w:szCs w:val="20"/>
              </w:rPr>
              <w:t>0,</w:t>
            </w:r>
            <w:r w:rsidRPr="006B7451" w:rsidR="003931CE">
              <w:rPr>
                <w:b/>
                <w:sz w:val="20"/>
                <w:szCs w:val="20"/>
              </w:rPr>
              <w:t>6</w:t>
            </w:r>
            <w:r w:rsidRPr="006B7451">
              <w:rPr>
                <w:b/>
                <w:sz w:val="20"/>
                <w:szCs w:val="20"/>
              </w:rPr>
              <w:t>5</w:t>
            </w:r>
          </w:p>
        </w:tc>
      </w:tr>
    </w:tbl>
    <w:p w:rsidRPr="006B7451" w:rsidR="004D1A7F" w:rsidP="00ED5D60" w:rsidRDefault="004D1A7F" w14:paraId="1790FCF3" w14:textId="77777777">
      <w:pPr>
        <w:pStyle w:val="Rubrik2numrerat"/>
      </w:pPr>
      <w:bookmarkStart w:name="_Toc121752634" w:id="126"/>
      <w:r w:rsidRPr="006B7451">
        <w:t>Kulturlotsar och Sverigecenter</w:t>
      </w:r>
      <w:bookmarkEnd w:id="126"/>
    </w:p>
    <w:p w:rsidRPr="006B7451" w:rsidR="004D1A7F" w:rsidP="002E5D82" w:rsidRDefault="004D1A7F" w14:paraId="3044AEED" w14:textId="77777777">
      <w:pPr>
        <w:pStyle w:val="Normalutanindragellerluft"/>
      </w:pPr>
      <w:r w:rsidRPr="006B7451">
        <w:rPr>
          <w:b/>
        </w:rPr>
        <w:t>Sverigedemokraternas förslag</w:t>
      </w:r>
      <w:r w:rsidRPr="002E5D82">
        <w:t>:</w:t>
      </w:r>
      <w:r w:rsidRPr="006B7451">
        <w:t xml:space="preserve"> Kulturlotsar och Sverigecenter ska införas.</w:t>
      </w:r>
    </w:p>
    <w:p w:rsidRPr="006B7451" w:rsidR="004D1A7F" w:rsidP="002E5D82" w:rsidRDefault="004D1A7F" w14:paraId="55F779DC" w14:textId="7CBE496F">
      <w:pPr>
        <w:pStyle w:val="Normalutanindragellerluft"/>
        <w:spacing w:before="150"/>
      </w:pPr>
      <w:r w:rsidRPr="006B7451">
        <w:t xml:space="preserve">För att stärka integrationen i samhället, kommunernas utveckling, invånares relation till sitt lokala kulturarv och det sociala kapitalet föreslår Sverigedemokraterna kulturlotsar och Sverigecenter, en landsomfattande kulturpolitisk reform för sammanhållning och vitalisering av kulturlivet. Kulturlotsen är en funktion för samordning av kulturinsatser på både kommunal och nationell nivå. Lotsreformen utgör huvuddelen av denna </w:t>
      </w:r>
      <w:r w:rsidRPr="006B7451">
        <w:lastRenderedPageBreak/>
        <w:t>satsning. Sverigecentren, en form av pilotprojekt, är tänkta som en väg till deltagande i svensk kultur och samhällsorientering i landets särskilt utsatta områden.</w:t>
      </w:r>
    </w:p>
    <w:p w:rsidRPr="006B7451" w:rsidR="0080621D" w:rsidP="0080621D" w:rsidRDefault="0080621D" w14:paraId="2B1423B5" w14:textId="14E36AB1">
      <w:r w:rsidRPr="006B7451">
        <w:t>Förslaget beräknas öka utgifterna i statens budget med 0,30 miljarder kronor 2022.</w:t>
      </w:r>
    </w:p>
    <w:p w:rsidRPr="006B7451" w:rsidR="004D1A7F" w:rsidP="00ED5D60" w:rsidRDefault="004D1A7F" w14:paraId="120ADCDE" w14:textId="77777777">
      <w:pPr>
        <w:pStyle w:val="Rubrik2numrerat"/>
      </w:pPr>
      <w:bookmarkStart w:name="_Toc121752635" w:id="127"/>
      <w:r w:rsidRPr="006B7451">
        <w:t>Bibliotekssatsning</w:t>
      </w:r>
      <w:bookmarkEnd w:id="127"/>
    </w:p>
    <w:p w:rsidRPr="006B7451" w:rsidR="004D1A7F" w:rsidP="00E47FEC" w:rsidRDefault="004D1A7F" w14:paraId="45C7F25C" w14:textId="77777777">
      <w:pPr>
        <w:pStyle w:val="Normalutanindragellerluft"/>
      </w:pPr>
      <w:r w:rsidRPr="006B7451">
        <w:rPr>
          <w:b/>
        </w:rPr>
        <w:t>Sverigedemokraternas förslag</w:t>
      </w:r>
      <w:r w:rsidRPr="00E47FEC">
        <w:t>:</w:t>
      </w:r>
      <w:r w:rsidRPr="006B7451">
        <w:t xml:space="preserve"> Bibliotekstjänsterna och den tryckta litteraturskatten ska digitaliseras.</w:t>
      </w:r>
    </w:p>
    <w:p w:rsidRPr="006B7451" w:rsidR="004D1A7F" w:rsidP="00E47FEC" w:rsidRDefault="004D1A7F" w14:paraId="22A998BA" w14:textId="3944F5B5">
      <w:pPr>
        <w:pStyle w:val="Normalutanindragellerluft"/>
        <w:spacing w:before="150"/>
      </w:pPr>
      <w:r w:rsidRPr="006B7451">
        <w:t>Våra nordiska grannländer har i flera avseenden gjort betydande framsteg vad gäller digitaliseringen av bibliotekstjänster och har visat på möjligheter att utveckla biblioteken, de</w:t>
      </w:r>
      <w:r w:rsidR="00E13E5D">
        <w:t>ra</w:t>
      </w:r>
      <w:r w:rsidRPr="006B7451">
        <w:t>s uppdrag och samverkan. För ökat nordiskt erfarenhetsutbyte, ökad likvärdighet och bättre samordning bör det vara en uttalad ambition att Sverige under en tioårsperiod digitaliserar merparten av vad som har getts ut i landet.</w:t>
      </w:r>
    </w:p>
    <w:p w:rsidRPr="006B7451" w:rsidR="0080621D" w:rsidP="0080621D" w:rsidRDefault="0080621D" w14:paraId="44DF9F39" w14:textId="5D605818">
      <w:r w:rsidRPr="006B7451">
        <w:t>Förslaget beräknas öka utgifterna i statens budget med 0,10 miljarder kronor 2022.</w:t>
      </w:r>
    </w:p>
    <w:p w:rsidRPr="006B7451" w:rsidR="004D1A7F" w:rsidP="00ED5D60" w:rsidRDefault="004D1A7F" w14:paraId="5F54E139" w14:textId="3022ECBF">
      <w:pPr>
        <w:pStyle w:val="Rubrik2numrerat"/>
      </w:pPr>
      <w:bookmarkStart w:name="_Toc121752636" w:id="128"/>
      <w:r w:rsidRPr="006B7451">
        <w:t>Skansen</w:t>
      </w:r>
      <w:bookmarkEnd w:id="128"/>
    </w:p>
    <w:p w:rsidRPr="006B7451" w:rsidR="004D1A7F" w:rsidP="00E47FEC" w:rsidRDefault="00D420B6" w14:paraId="565136C0" w14:textId="77777777">
      <w:pPr>
        <w:pStyle w:val="Normalutanindragellerluft"/>
      </w:pPr>
      <w:r w:rsidRPr="006B7451">
        <w:rPr>
          <w:b/>
        </w:rPr>
        <w:t>Sverigedemokraternas förslag</w:t>
      </w:r>
      <w:r w:rsidRPr="00E47FEC">
        <w:t xml:space="preserve">: </w:t>
      </w:r>
      <w:r w:rsidRPr="006B7451">
        <w:t xml:space="preserve">Det statliga stödet till Skansen ska utökas. </w:t>
      </w:r>
    </w:p>
    <w:p w:rsidRPr="006B7451" w:rsidR="001645D9" w:rsidP="00E47FEC" w:rsidRDefault="001645D9" w14:paraId="04AE44F0" w14:textId="77777777">
      <w:pPr>
        <w:pStyle w:val="Normalutanindragellerluft"/>
        <w:spacing w:before="150"/>
      </w:pPr>
      <w:r w:rsidRPr="006B7451">
        <w:t xml:space="preserve">Friluftsmuseet Skansen i Stockholm är en nationalklenod och motor i den svenska kulturturismen. Samtidigt har Skansen de senaste åren larmat om att det saknats ekonomisk styrka att underhålla beståndet av kulturhistoriskt värdefulla fastigheter. Byggnaderna och föremålen i byggnaderna är en betydande del av Skansens samlingar, och det finns nu risk att både byggnaderna och föremålen förstörs. Det skulle innebära att oersättliga värden går förlorade. </w:t>
      </w:r>
    </w:p>
    <w:p w:rsidRPr="006B7451" w:rsidR="00D420B6" w:rsidP="001645D9" w:rsidRDefault="001645D9" w14:paraId="2C974EDB" w14:textId="0189AA09">
      <w:r w:rsidRPr="006B7451">
        <w:t>I och med att problemen inte åtgärdas blir problemen större i accelererande fart. För att inte riskera ett förfall av denna nationalklenod och för att undvika högre kostnader och en oöverstiglig vård- och underhållsskuld längre fram kraftsamlar vi i år för att möta Skansens behov. För att kunna åtgärda problemen har skansen äskat 400 miljoner kronor av regeringen, över en treårsperiod. Regeringen anslår endast 15 miljoner kronor för vård och underhåll av fastighetsbeståndet</w:t>
      </w:r>
      <w:r w:rsidR="00032006">
        <w:t xml:space="preserve"> –</w:t>
      </w:r>
      <w:r w:rsidRPr="006B7451">
        <w:t xml:space="preserve"> en symbolisk åtgärd</w:t>
      </w:r>
      <w:r w:rsidR="00032006">
        <w:t xml:space="preserve"> som</w:t>
      </w:r>
      <w:r w:rsidRPr="006B7451">
        <w:t xml:space="preserve"> inte</w:t>
      </w:r>
      <w:r w:rsidR="00032006">
        <w:t xml:space="preserve"> är</w:t>
      </w:r>
      <w:r w:rsidRPr="006B7451">
        <w:t xml:space="preserve"> särskilt verkningsfull, särskilt med tanke på att vårdbehoven och kostnaderna för att åtgärda dessa accelererar med tiden. Sverigedemokraterna anslår hela de efterfrågade medlen </w:t>
      </w:r>
      <w:r w:rsidR="00032006">
        <w:t xml:space="preserve">under </w:t>
      </w:r>
      <w:r w:rsidRPr="006B7451">
        <w:t>de kommande tre åren.</w:t>
      </w:r>
    </w:p>
    <w:p w:rsidRPr="006B7451" w:rsidR="0080621D" w:rsidP="001645D9" w:rsidRDefault="0080621D" w14:paraId="0EE4CD70" w14:textId="0DF499C7">
      <w:r w:rsidRPr="006B7451">
        <w:t>Förslaget beräknas</w:t>
      </w:r>
      <w:r w:rsidR="00032006">
        <w:t xml:space="preserve"> öka</w:t>
      </w:r>
      <w:r w:rsidRPr="006B7451">
        <w:t xml:space="preserve"> utgifterna i statens budget med 0,10 miljarder kronor 2022.</w:t>
      </w:r>
    </w:p>
    <w:p w:rsidRPr="006B7451" w:rsidR="004D1A7F" w:rsidP="00ED5D60" w:rsidRDefault="001645D9" w14:paraId="43B8ECB8" w14:textId="77777777">
      <w:pPr>
        <w:pStyle w:val="Rubrik2numrerat"/>
      </w:pPr>
      <w:bookmarkStart w:name="_Toc121752637" w:id="129"/>
      <w:r w:rsidRPr="006B7451">
        <w:t>Folkhälsolyft</w:t>
      </w:r>
      <w:bookmarkEnd w:id="129"/>
    </w:p>
    <w:p w:rsidRPr="006B7451" w:rsidR="00D420B6" w:rsidP="00E47FEC" w:rsidRDefault="00D420B6" w14:paraId="285E1B6C" w14:textId="77777777">
      <w:pPr>
        <w:pStyle w:val="Normalutanindragellerluft"/>
      </w:pPr>
      <w:r w:rsidRPr="006B7451">
        <w:rPr>
          <w:b/>
        </w:rPr>
        <w:t>Sverigedemokraternas förslag</w:t>
      </w:r>
      <w:r w:rsidRPr="00E47FEC">
        <w:t>:</w:t>
      </w:r>
      <w:r w:rsidRPr="006B7451">
        <w:t xml:space="preserve"> </w:t>
      </w:r>
      <w:r w:rsidRPr="006B7451" w:rsidR="001645D9">
        <w:t>Ett riktat stöd för en lokal- och anläggningsfond för att råda bot på den nationellt utbredda anläggningsbristen.</w:t>
      </w:r>
    </w:p>
    <w:p w:rsidRPr="006B7451" w:rsidR="002B6044" w:rsidP="00E47FEC" w:rsidRDefault="001645D9" w14:paraId="3D4ECA23" w14:textId="74F3D36F">
      <w:pPr>
        <w:pStyle w:val="Normalutanindragellerluft"/>
        <w:spacing w:before="150"/>
      </w:pPr>
      <w:r w:rsidRPr="006B7451">
        <w:t xml:space="preserve">Pandemin har utmanat såväl den fysiska som psykiska folkhälsan över hela vårt land och i flera grupper av befolkningen. Möjligheten att idrotta, särskilt i organiserad form, har varit kraftigt begränsad för att inte säga obefintlig i många fall. Det är något som nu måste tas igen, samtidigt som anläggningsbristen </w:t>
      </w:r>
      <w:r w:rsidR="00322651">
        <w:t>i</w:t>
      </w:r>
      <w:r w:rsidRPr="006B7451">
        <w:t xml:space="preserve"> landet är skriande. Fler har gett sig ut i friluftsliv under pandemin, vilket i många avseenden är glädjande, men det har skapat ett ökat tryck i känsliga naturmiljöer och behov av sanitära åtgärder. Samtidigt har </w:t>
      </w:r>
      <w:r w:rsidRPr="006B7451">
        <w:lastRenderedPageBreak/>
        <w:t>vandrarhem, fjällstationer och turistanläggningar lidit hårt av restriktionerna. I syfte att möta och åtgärda identifierade problem och resursbrist inom dessa områden och kraftsamla för en ökad folkhälsa i kölvattnen av pandemin</w:t>
      </w:r>
      <w:r w:rsidR="002E5922">
        <w:t xml:space="preserve"> </w:t>
      </w:r>
      <w:r w:rsidRPr="006B7451">
        <w:t>anslår vi ökade medel för såväl idrotten</w:t>
      </w:r>
      <w:r w:rsidR="002E5922">
        <w:t xml:space="preserve"> och</w:t>
      </w:r>
      <w:r w:rsidRPr="006B7451">
        <w:t xml:space="preserve"> friluftslivet </w:t>
      </w:r>
      <w:r w:rsidR="002E5922">
        <w:t>som</w:t>
      </w:r>
      <w:r w:rsidRPr="006B7451">
        <w:t xml:space="preserve"> kultur och friskvård i livets alla skeden samt ett riktat stöd för en lokal- och anläggningsfond för att råda bot på den nationellt utbredda anläggningsbristen.</w:t>
      </w:r>
    </w:p>
    <w:p w:rsidRPr="006B7451" w:rsidR="0080621D" w:rsidP="0080621D" w:rsidRDefault="0080621D" w14:paraId="69F7FE47" w14:textId="287E60C9">
      <w:r w:rsidRPr="006B7451">
        <w:t>Förslaget beräknas öka utgifterna i statens budget med 0,10 miljarder kronor 2022.</w:t>
      </w:r>
    </w:p>
    <w:p w:rsidRPr="006B7451" w:rsidR="002B6044" w:rsidP="00ED5D60" w:rsidRDefault="002B6044" w14:paraId="12AD7AA2" w14:textId="13358982">
      <w:pPr>
        <w:pStyle w:val="Rubrik2numrerat"/>
      </w:pPr>
      <w:bookmarkStart w:name="_Toc121752638" w:id="130"/>
      <w:r w:rsidRPr="006B7451">
        <w:t>Estetisk hållbarhet</w:t>
      </w:r>
      <w:bookmarkEnd w:id="130"/>
    </w:p>
    <w:p w:rsidRPr="006B7451" w:rsidR="002B6044" w:rsidP="00333B07" w:rsidRDefault="002B6044" w14:paraId="24464B21" w14:textId="77777777">
      <w:pPr>
        <w:pStyle w:val="Normalutanindragellerluft"/>
      </w:pPr>
      <w:r w:rsidRPr="006B7451">
        <w:rPr>
          <w:b/>
        </w:rPr>
        <w:t>Sverigedemokraternas förslag</w:t>
      </w:r>
      <w:r w:rsidRPr="00333B07">
        <w:t>:</w:t>
      </w:r>
      <w:r w:rsidRPr="006B7451">
        <w:t xml:space="preserve"> Ett särskilt anslag för ökad estetisk hållbarhet och kulturell planering i samhällsbyggnaden ska införas.</w:t>
      </w:r>
    </w:p>
    <w:p w:rsidRPr="006B7451" w:rsidR="001645D9" w:rsidP="00333B07" w:rsidRDefault="001645D9" w14:paraId="37BD0642" w14:textId="3A532F0C">
      <w:pPr>
        <w:pStyle w:val="Normalutanindragellerluft"/>
        <w:spacing w:before="150"/>
      </w:pPr>
      <w:r w:rsidRPr="006B7451">
        <w:t xml:space="preserve">Det byggs mycket i Sverige men i för låg grad med hänsyn till att det som byggs ska ses som estetiskt tilltalande av allmänheten över tid. Den modernistiska smaknorm som är rådande i arkitektkåren och ofta blir verklighet vid byggnation rimmar illa med vad människor i allmänhet föredrar, enligt undersökningar. God arkitektur kan påverka människor på ett positivt sätt, </w:t>
      </w:r>
      <w:r w:rsidR="00037776">
        <w:t xml:space="preserve">och </w:t>
      </w:r>
      <w:r w:rsidRPr="006B7451">
        <w:t>därför vill Sverigedemokraterna satsa på ökad estetisk hållbarhet i Sverige.</w:t>
      </w:r>
    </w:p>
    <w:p w:rsidRPr="006B7451" w:rsidR="002B6044" w:rsidP="001645D9" w:rsidRDefault="001645D9" w14:paraId="69A5E093" w14:textId="66D0F193">
      <w:r w:rsidRPr="006B7451">
        <w:t>På senare år har det förekommit olika former av statlig</w:t>
      </w:r>
      <w:r w:rsidR="00C82974">
        <w:t>a</w:t>
      </w:r>
      <w:r w:rsidRPr="006B7451">
        <w:t xml:space="preserve"> stöd för byggnation i Sverige, vilka har kunnat sökas av kommuner, kommunala bolag och andra aktörer. Sverigedemokraterna budgeterar för ett helt nytt särskilt statligt stöd som både kommu</w:t>
      </w:r>
      <w:r w:rsidR="006D28C8">
        <w:softHyphen/>
      </w:r>
      <w:r w:rsidRPr="006B7451">
        <w:t>nala och privata aktörer ska kunna söka, ett stöd vars syfte är att bidra till ökad estetisk hållbarhet vid byggnation. Stödet ska kunna gå till såväl ny- som ombyggnation och ska stimulera till byggande som ligger i linje med allmänhetens generella preferenser när det kommer till arkitektur. Genom förslaget kan fokus sättas på skönhetsvärden inte bara när det byggs nytt, utan incitamenten för att försköna redan befintliga byggnader skulle också öka med hjälp av stödet. Sverigedemokraterna bedömer att förslaget på ett bra sätt kan komplettera andra kulturpolitiska förslag från partiet, som exempelvis stimulans</w:t>
      </w:r>
      <w:r w:rsidR="006D28C8">
        <w:softHyphen/>
      </w:r>
      <w:r w:rsidRPr="006B7451">
        <w:t>bidraget för ökad kulturmiljökompetens.</w:t>
      </w:r>
    </w:p>
    <w:p w:rsidRPr="006B7451" w:rsidR="0080621D" w:rsidP="001645D9" w:rsidRDefault="0080621D" w14:paraId="0C3603D2" w14:textId="3107AB68">
      <w:r w:rsidRPr="006B7451">
        <w:t>Förslaget beräknas öka utgifterna i statens budget med 0,25 miljarder kronor 2022.</w:t>
      </w:r>
    </w:p>
    <w:p w:rsidRPr="006B7451" w:rsidR="004D1A7F" w:rsidP="00ED5D60" w:rsidRDefault="004D1A7F" w14:paraId="1BA55600" w14:textId="77777777">
      <w:pPr>
        <w:pStyle w:val="Rubrik2numrerat"/>
      </w:pPr>
      <w:bookmarkStart w:name="_Toc121752639" w:id="131"/>
      <w:r w:rsidRPr="006B7451">
        <w:t>Mediestöd</w:t>
      </w:r>
      <w:bookmarkEnd w:id="131"/>
    </w:p>
    <w:p w:rsidRPr="006B7451" w:rsidR="00D420B6" w:rsidP="00333B07" w:rsidRDefault="00D420B6" w14:paraId="30E0F560" w14:textId="77777777">
      <w:pPr>
        <w:pStyle w:val="Normalutanindragellerluft"/>
      </w:pPr>
      <w:r w:rsidRPr="006B7451">
        <w:rPr>
          <w:b/>
        </w:rPr>
        <w:t>Sverigedemokraternas förslag</w:t>
      </w:r>
      <w:r w:rsidRPr="00333B07">
        <w:t xml:space="preserve">: </w:t>
      </w:r>
      <w:r w:rsidRPr="006B7451" w:rsidR="002B6044">
        <w:t>Driftstödet till tidningar ska fasas ut under en period om fem år.</w:t>
      </w:r>
    </w:p>
    <w:p w:rsidRPr="006B7451" w:rsidR="004D1A7F" w:rsidP="00333B07" w:rsidRDefault="00D420B6" w14:paraId="41322044" w14:textId="78D074E8">
      <w:pPr>
        <w:pStyle w:val="Normalutanindragellerluft"/>
        <w:spacing w:before="150"/>
      </w:pPr>
      <w:r w:rsidRPr="006B7451">
        <w:t>Regeringen har i olika omgångar anfört att utbrottet av det nya coronaviruset inneburit att tidningsbranschens redan svåra ekonomiska situation har förvärrats genom kraftigt minskade annonsintäkter och att det är viktigt att distributionen av tidningar upprätthålls i hela landet bland annat för att nå en äldre målgrupp som inte i lika hög utsträckning läser nyhetstidningar digitalt. Man har kontinuerligt höjt mediestödet under en längre tid och dessutom gjort höjningarna permanenta. Det är visserligen sant att tidnings</w:t>
      </w:r>
      <w:r w:rsidR="006D28C8">
        <w:softHyphen/>
      </w:r>
      <w:r w:rsidRPr="006B7451">
        <w:t xml:space="preserve">branschen – som många andra – drabbats av coronavirusets följdverkningar och att det är viktigt att kunna täcka de så kallade vita fläckarna i landet. Sverigedemokraterna är därför inte negativa till att stödja den lokala journalistiken. Denna är emellertid bäst hjälpt genom att hitta nya tekniska lösningar och genom att media arbetar med att anpassa sitt utbud efter efterfrågan. Mediestödet i sin nuvarande form är otidsenligt. </w:t>
      </w:r>
      <w:r w:rsidRPr="006B7451">
        <w:lastRenderedPageBreak/>
        <w:t>Sverigedemokraterna föreslår därför att driftstödet trappas ned över en femårsperiod. Denna nedtrappning avser dock inte distributionsstödet och innovations- och utvecklingsstödet eller stödet for lokal journalistik.</w:t>
      </w:r>
    </w:p>
    <w:p w:rsidR="006D28C8" w:rsidP="0080621D" w:rsidRDefault="0080621D" w14:paraId="0A397E25" w14:textId="11CD6AEC">
      <w:r w:rsidRPr="006B7451">
        <w:t>Förslaget beräknas minska utgifterna i statens budget med 0,14 miljarder kronor 2022.</w:t>
      </w:r>
    </w:p>
    <w:p w:rsidR="006D28C8" w:rsidRDefault="006D28C8" w14:paraId="108B89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72478D86" w14:textId="7021E6AF">
      <w:pPr>
        <w:pStyle w:val="Rubrik1numrerat"/>
      </w:pPr>
      <w:bookmarkStart w:name="_Toc121752640" w:id="132"/>
      <w:bookmarkStart w:name="_Hlk82680085" w:id="133"/>
      <w:bookmarkEnd w:id="124"/>
      <w:r w:rsidRPr="006B7451">
        <w:lastRenderedPageBreak/>
        <w:t>Hela landet ska leva</w:t>
      </w:r>
      <w:bookmarkEnd w:id="132"/>
    </w:p>
    <w:p w:rsidRPr="006B7451" w:rsidR="004D1A7F" w:rsidP="006D28C8" w:rsidRDefault="004D1A7F" w14:paraId="3E0D487D" w14:textId="5C65C973">
      <w:pPr>
        <w:pStyle w:val="Normalutanindragellerluft"/>
      </w:pPr>
      <w:r w:rsidRPr="006B7451">
        <w:t>Svensk landsbygdspolitik under de senaste decennierna är ett enormt misslyckande, vilket har inneburit förlorad samhällsservice och förlorade arbetstillf</w:t>
      </w:r>
      <w:r w:rsidR="00790224">
        <w:t>ä</w:t>
      </w:r>
      <w:r w:rsidRPr="006B7451">
        <w:t>llen. Över tid har utflyttningen eroderat landsbygdens befolkningsunderlag och samtidigt bidragit till överhettade bostadsmarknader och överbelastad infrastruktur i storstäderna. En aktiv och konstruktiv landsbygdspolitik är alltså en nationell angelägenhet.</w:t>
      </w:r>
    </w:p>
    <w:p w:rsidRPr="006B7451" w:rsidR="004D1A7F" w:rsidP="004D1A7F" w:rsidRDefault="004D1A7F" w14:paraId="1EA2B22A" w14:textId="2D4B8B5A">
      <w:r w:rsidRPr="006B7451">
        <w:t>Det finns flera politiska aspekter på landsbygdsutveckling. Sänkta bränsleskatter, bevarat reseavdrag och skattelättnader för småföretag utgör breda reformer som gynnar både stad och landsbygd. Ett livskraftigt näringsliv genererar arbetstillf</w:t>
      </w:r>
      <w:r w:rsidR="00362CC8">
        <w:t>ä</w:t>
      </w:r>
      <w:r w:rsidRPr="006B7451">
        <w:t>llen och skatteintäkter över hela landet.</w:t>
      </w:r>
    </w:p>
    <w:p w:rsidRPr="006B7451" w:rsidR="004D1A7F" w:rsidP="004D1A7F" w:rsidRDefault="004D1A7F" w14:paraId="6299A50F" w14:textId="77777777">
      <w:r w:rsidRPr="006B7451">
        <w:t>De landsbygdsnära näringarna, framförallt jordbruk och skogsbruk, är med sina respektive långa förädlingskedjor av fundamental betydelse inte bara för landsbygden, utan för hela Sveriges ekonomi.</w:t>
      </w:r>
    </w:p>
    <w:p w:rsidRPr="006B7451" w:rsidR="004D1A7F" w:rsidP="004D1A7F" w:rsidRDefault="004D1A7F" w14:paraId="3B5E2C4E" w14:textId="4DC3F12D">
      <w:r w:rsidRPr="006B7451">
        <w:t>Trots relativt goda geografiska förutsättningar för ett både miljövänligt och högproduktivt jordbruk har den så kallade självförsörjningsgraden i Sverige sjunkit till omkring 50 procent. Räknat i kronor och ören producerar vi mindre än hälften av de livsmedel vi konsumerar, ett resultat av att politiker i decennier har negligerat lant</w:t>
      </w:r>
      <w:r w:rsidR="006D28C8">
        <w:softHyphen/>
      </w:r>
      <w:r w:rsidRPr="006B7451">
        <w:t xml:space="preserve">brukarnas villkor. Den senaste tidens utveckling understryker att livsmedel inte kan jämföras med vilken handelsvara som helst. I en krissituation måste Sverige kunna lita till egna resurser och beredskapslager för att under en period leverera de livsmedel som nationen behöver. Så är inte fallet i dag. </w:t>
      </w:r>
    </w:p>
    <w:p w:rsidRPr="006B7451" w:rsidR="004D1A7F" w:rsidP="00ED5D60" w:rsidRDefault="004D1A7F" w14:paraId="26D68FD8" w14:textId="77777777">
      <w:pPr>
        <w:pStyle w:val="Rubrik2numrerat"/>
      </w:pPr>
      <w:bookmarkStart w:name="_Toc121752641" w:id="134"/>
      <w:r w:rsidRPr="006B7451">
        <w:t>Satsning på areella näringar</w:t>
      </w:r>
      <w:bookmarkEnd w:id="134"/>
    </w:p>
    <w:p w:rsidRPr="006B7451" w:rsidR="004D1A7F" w:rsidP="007E2393" w:rsidRDefault="004D1A7F" w14:paraId="10590D57" w14:textId="70BFD991">
      <w:pPr>
        <w:pStyle w:val="Normalutanindragellerluft"/>
      </w:pPr>
      <w:r w:rsidRPr="006B7451">
        <w:rPr>
          <w:b/>
        </w:rPr>
        <w:t>Sverigedemokraternas förslag</w:t>
      </w:r>
      <w:r w:rsidRPr="007E2393">
        <w:t>:</w:t>
      </w:r>
      <w:r w:rsidRPr="006B7451">
        <w:t xml:space="preserve"> Anslaget för areella näringar, landsbygd och livsmedel ska höjas.</w:t>
      </w:r>
    </w:p>
    <w:p w:rsidRPr="006B7451" w:rsidR="004D1A7F" w:rsidP="007E2393" w:rsidRDefault="004D1A7F" w14:paraId="43617B1A" w14:textId="710824BC">
      <w:pPr>
        <w:pStyle w:val="Normalutanindragellerluft"/>
        <w:spacing w:before="150"/>
      </w:pPr>
      <w:r w:rsidRPr="006B7451">
        <w:t>Att det svenska skogsbruket även i framtiden ges ekonomiska förutsättningar för att vara konkurrenskraftigt och lönsamt är fundamentalt för Sveriges landsbygdsutveckling. Det är också en grundförutsättning för att skogsindustrin, en av landets viktigaste industri- och exportnäringar, ska kunna fortsätta att vara världsledande. Samhället ska därför, genom Skogsstyrelsen, verka för ett aktivt skogsbruk som bidrar till syssel</w:t>
      </w:r>
      <w:r w:rsidR="006D28C8">
        <w:softHyphen/>
      </w:r>
      <w:r w:rsidRPr="006B7451">
        <w:t>sättning, artbevarande och minskade koldioxidutsläpp.</w:t>
      </w:r>
    </w:p>
    <w:p w:rsidRPr="006B7451" w:rsidR="003B4CEA" w:rsidP="00A41807" w:rsidRDefault="004D1A7F" w14:paraId="0DBC6CA4" w14:textId="607634E2">
      <w:r w:rsidRPr="006B7451">
        <w:t>Sverigedemokraterna stärker finansieringen för hela utgiftsområde 23 Areella näringar, landsbygd och livsmedel. Detta inkluderar bland annat insatser för skogs</w:t>
      </w:r>
      <w:r w:rsidR="006D28C8">
        <w:softHyphen/>
      </w:r>
      <w:r w:rsidRPr="006B7451">
        <w:t xml:space="preserve">bruket, </w:t>
      </w:r>
      <w:r w:rsidRPr="006B7451" w:rsidR="003B4CEA">
        <w:t>djurskyddsfrämjande åtgärder samt forskning om ökad produktion i skog och bioekonomi.</w:t>
      </w:r>
    </w:p>
    <w:p w:rsidRPr="006B7451" w:rsidR="0080621D" w:rsidP="00A41807" w:rsidRDefault="0080621D" w14:paraId="4A405FD3" w14:textId="13409A2D">
      <w:r w:rsidRPr="006B7451">
        <w:t>Förslaget beräknas öka utgifterna i statens budget med 1,22 miljarder kronor 2022.</w:t>
      </w:r>
    </w:p>
    <w:p w:rsidRPr="006B7451" w:rsidR="004D1A7F" w:rsidP="00ED5D60" w:rsidRDefault="004D1A7F" w14:paraId="10A07B0A" w14:textId="77777777">
      <w:pPr>
        <w:pStyle w:val="Rubrik2numrerat"/>
      </w:pPr>
      <w:bookmarkStart w:name="_Toc121752642" w:id="135"/>
      <w:r w:rsidRPr="006B7451">
        <w:t>Prioritera svenskt jordbruk</w:t>
      </w:r>
      <w:bookmarkEnd w:id="135"/>
    </w:p>
    <w:p w:rsidRPr="006B7451" w:rsidR="004D1A7F" w:rsidP="007E2393" w:rsidRDefault="004D1A7F" w14:paraId="779CEF98" w14:textId="38680BEA">
      <w:pPr>
        <w:pStyle w:val="Normalutanindragellerluft"/>
      </w:pPr>
      <w:r w:rsidRPr="006B7451">
        <w:rPr>
          <w:b/>
        </w:rPr>
        <w:t>Sverigedemokraternas förslag</w:t>
      </w:r>
      <w:r w:rsidRPr="007E2393">
        <w:t>:</w:t>
      </w:r>
      <w:r w:rsidRPr="006B7451">
        <w:t xml:space="preserve"> Skatten på diesel för jord- och skogsbruksändamål ska sänkas till dansk nivå (10,2 öre per liter</w:t>
      </w:r>
      <w:r w:rsidRPr="006B7451" w:rsidR="00D86C1F">
        <w:t>)</w:t>
      </w:r>
      <w:r w:rsidRPr="006B7451">
        <w:t xml:space="preserve">. </w:t>
      </w:r>
    </w:p>
    <w:p w:rsidRPr="006B7451" w:rsidR="004D1A7F" w:rsidP="007E2393" w:rsidRDefault="004D1A7F" w14:paraId="5AA08690" w14:textId="21C8B83F">
      <w:pPr>
        <w:pStyle w:val="Normalutanindragellerluft"/>
        <w:spacing w:before="150"/>
      </w:pPr>
      <w:r w:rsidRPr="006B7451">
        <w:t>Det svenska lantbruket är inne i en negativ spiral och har stora och växande svårigheter. Den allra viktigaste målsättningen just nu är ökad lönsamhet i jordbruket, vilket skulle minska sårbarheten och öka handlingsutrymmet för lantbrukare. Ökad lönsamhet ska skapas genom att</w:t>
      </w:r>
      <w:r w:rsidR="00770743">
        <w:t xml:space="preserve"> man</w:t>
      </w:r>
      <w:r w:rsidRPr="006B7451">
        <w:t xml:space="preserve"> minska</w:t>
      </w:r>
      <w:r w:rsidR="00770743">
        <w:t>r</w:t>
      </w:r>
      <w:r w:rsidRPr="006B7451">
        <w:t xml:space="preserve"> omkostnader, öka</w:t>
      </w:r>
      <w:r w:rsidR="00770743">
        <w:t>r</w:t>
      </w:r>
      <w:r w:rsidRPr="006B7451">
        <w:t xml:space="preserve"> efterfrågan och skapa</w:t>
      </w:r>
      <w:r w:rsidR="00770743">
        <w:t>r</w:t>
      </w:r>
      <w:r w:rsidRPr="006B7451">
        <w:t xml:space="preserve"> och </w:t>
      </w:r>
      <w:r w:rsidRPr="006B7451">
        <w:lastRenderedPageBreak/>
        <w:t>tillhandahåll</w:t>
      </w:r>
      <w:r w:rsidR="00770743">
        <w:t>er</w:t>
      </w:r>
      <w:r w:rsidRPr="006B7451">
        <w:t xml:space="preserve"> förutsättningar för teknisk utveckling samt ge</w:t>
      </w:r>
      <w:r w:rsidR="00770743">
        <w:t>r</w:t>
      </w:r>
      <w:r w:rsidRPr="006B7451">
        <w:t xml:space="preserve"> kostnadsersättning för vissa svenska särkrav. Det är också viktigt att undanröja onödiga hinder genom minskad administration, förenklingar och en mer tillförlitlig myndighetsprövning och tillsyn.</w:t>
      </w:r>
    </w:p>
    <w:p w:rsidRPr="006B7451" w:rsidR="00AB67A5" w:rsidP="00A41807" w:rsidRDefault="004D1A7F" w14:paraId="5B573553" w14:textId="0D9C0E75">
      <w:r w:rsidRPr="006B7451">
        <w:t>Svenska bönder konkurrerar på̊ samma europeiska marknad som sina danska grannar och Sverigedemokraterna anser att det är rimligt att skattenivån gällande olika insatsvaror ska vara densamma. Därför bör återbetalningen av drivmedelsskatt för jord- och skogsbruk justeras, så att svenska bönder ligger på samma (låga) skattenivå som danska bönder. Samma skattesänkning ska omfatta även skogsbruket.</w:t>
      </w:r>
    </w:p>
    <w:p w:rsidRPr="006B7451" w:rsidR="0080621D" w:rsidP="00A41807" w:rsidRDefault="0080621D" w14:paraId="36E35534" w14:textId="582AB11D">
      <w:r w:rsidRPr="006B7451">
        <w:t>Förslaget beräknas minska statens skatteintäkter med 1,35 miljarder kronor 2022.</w:t>
      </w:r>
    </w:p>
    <w:p w:rsidRPr="006B7451" w:rsidR="00AB67A5" w:rsidP="00ED5D60" w:rsidRDefault="00AB67A5" w14:paraId="3BA5AA63" w14:textId="77777777">
      <w:pPr>
        <w:pStyle w:val="Rubrik2numrerat"/>
      </w:pPr>
      <w:bookmarkStart w:name="_Toc121752643" w:id="136"/>
      <w:r w:rsidRPr="006B7451">
        <w:t>Ansvarstagande för den nationella livsmedelsstrategin</w:t>
      </w:r>
      <w:bookmarkEnd w:id="136"/>
    </w:p>
    <w:p w:rsidRPr="006B7451" w:rsidR="00AB67A5" w:rsidP="007E2393" w:rsidRDefault="00A41807" w14:paraId="5D866DC2" w14:textId="77777777">
      <w:pPr>
        <w:pStyle w:val="Normalutanindragellerluft"/>
      </w:pPr>
      <w:r w:rsidRPr="006B7451">
        <w:rPr>
          <w:b/>
        </w:rPr>
        <w:t>Sverigedemokraternas förslag</w:t>
      </w:r>
      <w:r w:rsidRPr="007E2393">
        <w:t>:</w:t>
      </w:r>
      <w:r w:rsidRPr="006B7451">
        <w:t xml:space="preserve"> Livsmedelsstrategin ska finansieras fullt ut.</w:t>
      </w:r>
    </w:p>
    <w:p w:rsidRPr="006B7451" w:rsidR="00AB67A5" w:rsidP="007E2393" w:rsidRDefault="00AB67A5" w14:paraId="092D847F" w14:textId="42C2CAB8">
      <w:pPr>
        <w:pStyle w:val="Normalutanindragellerluft"/>
        <w:spacing w:before="150"/>
      </w:pPr>
      <w:r w:rsidRPr="006B7451">
        <w:t>Efter många år av ointresse för jordbrukets produktion och konkurrenskraft enades riksdagen om den s.k. Livsmedelsstrategin 2017. Enligt den ska konkurrenskraft</w:t>
      </w:r>
      <w:r w:rsidR="002106FB">
        <w:t>en</w:t>
      </w:r>
      <w:r w:rsidRPr="006B7451">
        <w:t xml:space="preserve"> och produktion</w:t>
      </w:r>
      <w:r w:rsidR="002106FB">
        <w:t>en</w:t>
      </w:r>
      <w:r w:rsidRPr="006B7451">
        <w:t xml:space="preserve"> öka genom en palett av satsningar inom jordbrukssektorn. En ökad svensk livsmedelsproduktion behövs för Sveriges självförsörjning, för landsbygden och för att de livsmedel vi äter ska vara hållbara.</w:t>
      </w:r>
    </w:p>
    <w:p w:rsidRPr="006B7451" w:rsidR="0080621D" w:rsidP="0080621D" w:rsidRDefault="00AB67A5" w14:paraId="12D250DC" w14:textId="58A42367">
      <w:r w:rsidRPr="006B7451">
        <w:t>Budgeten sätter ramarna för Livsmedelsstrategin. Jordbruksverket har beräknat att 6,6 miljarder kronor krävs i svensk nationell medfinansiering inom den gemensamma jordbrukspolitiken för att Livsmedelsstrategins mål ska nås, en strategi som alla partier har ställt sig bakom. Sverigedemokraterna lägger 0,9 miljarder i budgeten utöver de 5,7 miljarder som regeringen budgeterar för att nå upp till 6,6 miljarder. Sverigedemokraterna tar på så vis ansvar för Livsmedelsstrategins genomförande. Tillräckliga medel inom stödsystemen kommer att leda till ökade investeringar och ökad produktivitet inom jordbruket, vilket leder till ytterligare ökad lönsamhet på sikt.</w:t>
      </w:r>
    </w:p>
    <w:p w:rsidRPr="006B7451" w:rsidR="0080621D" w:rsidP="0080621D" w:rsidRDefault="0080621D" w14:paraId="2BEF16E3" w14:textId="02CB9199">
      <w:r w:rsidRPr="006B7451">
        <w:t>Förslaget beräknas öka utgifterna i statens budget med 0,90 miljarder kronor 2022.</w:t>
      </w:r>
    </w:p>
    <w:p w:rsidRPr="006B7451" w:rsidR="00254493" w:rsidP="00ED5D60" w:rsidRDefault="00254493" w14:paraId="756779AC" w14:textId="77777777">
      <w:pPr>
        <w:pStyle w:val="Rubrik2numrerat"/>
      </w:pPr>
      <w:bookmarkStart w:name="_Toc121752644" w:id="137"/>
      <w:r w:rsidRPr="006B7451">
        <w:t>Studieskuldsavdrag för lärare i glesbygd</w:t>
      </w:r>
      <w:bookmarkEnd w:id="137"/>
    </w:p>
    <w:p w:rsidRPr="006B7451" w:rsidR="00254493" w:rsidP="007E2393" w:rsidRDefault="00254493" w14:paraId="1DB3ABF4" w14:textId="77777777">
      <w:pPr>
        <w:pStyle w:val="Normalutanindragellerluft"/>
      </w:pPr>
      <w:r w:rsidRPr="006B7451">
        <w:rPr>
          <w:b/>
        </w:rPr>
        <w:t>Sverigedemokraternas förslag</w:t>
      </w:r>
      <w:r w:rsidRPr="007E2393">
        <w:t>:</w:t>
      </w:r>
      <w:r w:rsidRPr="006B7451">
        <w:t xml:space="preserve"> Lärare som tar anställning i glesbygdsområden ska få en årlig studieskuldsavskrivning.</w:t>
      </w:r>
    </w:p>
    <w:p w:rsidRPr="006B7451" w:rsidR="00254493" w:rsidP="007E2393" w:rsidRDefault="00254493" w14:paraId="10D87BD9" w14:textId="3B299452">
      <w:pPr>
        <w:pStyle w:val="Normalutanindragellerluft"/>
        <w:spacing w:before="150"/>
      </w:pPr>
      <w:r w:rsidRPr="006B7451">
        <w:t>Sverige ska vara ett land där människor kan bo, verka och ha barnen i skola även utanför de större orterna. Det råder lärarbrist i glesbygd, vilket behöver åtgärdas. Glesbygd avser de områden som Tillväxtverket klassar som landsbygdskommuner respektive glesa blandade kommuner. Det behöver vara attraktivt att arbeta i dessa områden och för att fler ska ta anställning där föreslår vi en årlig studieskulds</w:t>
      </w:r>
      <w:r w:rsidR="006D28C8">
        <w:softHyphen/>
      </w:r>
      <w:r w:rsidRPr="006B7451">
        <w:t>avskrivning om 15 procent för examinerade lärare som tar anställning i glesbygds</w:t>
      </w:r>
      <w:r w:rsidR="006D28C8">
        <w:softHyphen/>
      </w:r>
      <w:r w:rsidRPr="006B7451">
        <w:t xml:space="preserve">områden. </w:t>
      </w:r>
    </w:p>
    <w:p w:rsidR="00254493" w:rsidP="0080621D" w:rsidRDefault="0080621D" w14:paraId="5C13DCE4" w14:textId="2CE1537D">
      <w:r w:rsidRPr="006B7451">
        <w:t>Förslaget beräknas öka utgifterna i statens budget med 0,1 miljarder kronor 2022.</w:t>
      </w:r>
    </w:p>
    <w:p w:rsidR="00B0295A" w:rsidRDefault="00B0295A" w14:paraId="5B4CB5F4" w14:textId="4A2243A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602E90" w14:paraId="010E055A" w14:textId="3A527B05">
      <w:pPr>
        <w:pStyle w:val="Rubrik1numrerat"/>
      </w:pPr>
      <w:bookmarkStart w:name="_Toc121752645" w:id="138"/>
      <w:bookmarkStart w:name="_Hlk82680144" w:id="139"/>
      <w:bookmarkEnd w:id="133"/>
      <w:r w:rsidRPr="006B7451">
        <w:lastRenderedPageBreak/>
        <w:t>Kommunikationer</w:t>
      </w:r>
      <w:bookmarkEnd w:id="138"/>
    </w:p>
    <w:p w:rsidRPr="006B7451" w:rsidR="004D1A7F" w:rsidP="007E2393" w:rsidRDefault="008A348E" w14:paraId="11EFFE1A" w14:textId="77777777">
      <w:pPr>
        <w:pStyle w:val="Normalutanindragellerluft"/>
      </w:pPr>
      <w:r w:rsidRPr="006B7451">
        <w:t xml:space="preserve">Sverige är ett stort och avlångt land. Det finns ett behov av att kunna resa och även ett behov olika transportsätt. </w:t>
      </w:r>
      <w:r w:rsidRPr="006B7451" w:rsidR="004D1A7F">
        <w:t>Samtliga transportslag, inklusive bil och flyg, är viktiga för att samhället ska fungera. Att ensidigt beskatta vissa trafikslag slår onödigt hårt mot strävsamma människor i alla samhällsskikt, inte minst på landsbygden.</w:t>
      </w:r>
    </w:p>
    <w:p w:rsidRPr="006B7451" w:rsidR="004D1A7F" w:rsidP="004D1A7F" w:rsidRDefault="004D1A7F" w14:paraId="3EF3EBF6" w14:textId="77777777">
      <w:r w:rsidRPr="006B7451">
        <w:t>En politik för sänkt pris på bensin och diesel gynnar för det första en stor andel svenskar utanför stadskärnorna, som är beroende av bilen i sin vardag. Buss och tåg är också viktiga transportmedel och ska inte nedprioriteras, men Sverigedemokraterna förordar en transportvänlig politik för både stad och landsbygd.</w:t>
      </w:r>
    </w:p>
    <w:p w:rsidRPr="006B7451" w:rsidR="004D1A7F" w:rsidP="00431304" w:rsidRDefault="008A348E" w14:paraId="328C0542" w14:textId="77777777">
      <w:r w:rsidRPr="006B7451">
        <w:t>M</w:t>
      </w:r>
      <w:r w:rsidRPr="006B7451" w:rsidR="004D1A7F">
        <w:t>ånga transporter</w:t>
      </w:r>
      <w:r w:rsidRPr="006B7451">
        <w:t xml:space="preserve"> kan</w:t>
      </w:r>
      <w:r w:rsidRPr="006B7451" w:rsidR="004D1A7F">
        <w:t xml:space="preserve"> på sikt ställas om till exempelvis el- och vätgasdrift. Denna övergång ska dock genomföras i harmoni med vad som är tekniskt, ekonomiskt och även miljömässigt rimligt. Att alltför snabbt driva fram en extremt stor efterfrågan på exempelvis batterier kan få oönskade miljöeffekter i de områden där råvarorna bryts. Framförallt ska inte svensk landsbygd offras till förmån för orealistiska koldioxidmål.</w:t>
      </w:r>
    </w:p>
    <w:p w:rsidRPr="006B7451" w:rsidR="004D1A7F" w:rsidP="00ED5D60" w:rsidRDefault="004D1A7F" w14:paraId="40B287C6" w14:textId="77777777">
      <w:pPr>
        <w:pStyle w:val="Rubrik2numrerat"/>
      </w:pPr>
      <w:bookmarkStart w:name="_Toc121752646" w:id="140"/>
      <w:r w:rsidRPr="006B7451">
        <w:t>Sänkt skatt på bensin och diesel</w:t>
      </w:r>
      <w:bookmarkEnd w:id="140"/>
    </w:p>
    <w:p w:rsidRPr="006B7451" w:rsidR="004D1A7F" w:rsidP="007E2393" w:rsidRDefault="004D1A7F" w14:paraId="1C0F85C2" w14:textId="77777777">
      <w:pPr>
        <w:pStyle w:val="Normalutanindragellerluft"/>
      </w:pPr>
      <w:r w:rsidRPr="006B7451">
        <w:rPr>
          <w:b/>
        </w:rPr>
        <w:t>Sverigedemokraternas förslag</w:t>
      </w:r>
      <w:r w:rsidRPr="007E2393">
        <w:t>:</w:t>
      </w:r>
      <w:r w:rsidRPr="006B7451">
        <w:t xml:space="preserve"> Hela indexuppräkningen på bensin- och dieselskatten ska avskaffas.</w:t>
      </w:r>
    </w:p>
    <w:p w:rsidRPr="006B7451" w:rsidR="004D1A7F" w:rsidP="007E2393" w:rsidRDefault="004D1A7F" w14:paraId="1A8B1A40" w14:textId="6043A27D">
      <w:pPr>
        <w:pStyle w:val="Normalutanindragellerluft"/>
        <w:spacing w:before="150"/>
      </w:pPr>
      <w:r w:rsidRPr="006B7451">
        <w:t>Den nuvarande regeringen ökar bensinpriset varje år genom en indexering, baserad enbart på konsumentprisindex</w:t>
      </w:r>
      <w:r w:rsidRPr="006B7451" w:rsidR="002B4286">
        <w:t xml:space="preserve"> med ett påslag på två procentenheter. </w:t>
      </w:r>
      <w:r w:rsidRPr="006B7451">
        <w:t xml:space="preserve">Den sammantagna effekten av detta, även om </w:t>
      </w:r>
      <w:r w:rsidRPr="006B7451" w:rsidR="001D71AC">
        <w:t>regeringen tidigare</w:t>
      </w:r>
      <w:r w:rsidRPr="006B7451">
        <w:t xml:space="preserve"> kompensera</w:t>
      </w:r>
      <w:r w:rsidRPr="006B7451" w:rsidR="001D71AC">
        <w:t>t</w:t>
      </w:r>
      <w:r w:rsidRPr="006B7451">
        <w:t xml:space="preserve"> med en mindre </w:t>
      </w:r>
      <w:r w:rsidRPr="006B7451" w:rsidR="001D71AC">
        <w:t>för före</w:t>
      </w:r>
      <w:r w:rsidR="00EC62A3">
        <w:softHyphen/>
      </w:r>
      <w:r w:rsidRPr="006B7451" w:rsidR="001D71AC">
        <w:t>gående</w:t>
      </w:r>
      <w:r w:rsidRPr="006B7451">
        <w:t xml:space="preserve"> år, är att bensin- och dieselpriser byggs upp till skyhöga nivåer. Detta drabbar givetvis dem som har långt att pendla till jobb</w:t>
      </w:r>
      <w:r w:rsidR="0032550C">
        <w:t>e</w:t>
      </w:r>
      <w:r w:rsidRPr="006B7451">
        <w:t xml:space="preserve">t och dem som bor utanför </w:t>
      </w:r>
      <w:r w:rsidR="002F1469">
        <w:t xml:space="preserve">en </w:t>
      </w:r>
      <w:r w:rsidRPr="006B7451">
        <w:t xml:space="preserve">tätort utan rimliga kollektiva transportsätt. Effekten är mest kännbar för socioekonomiskt svagare grupper, vilket </w:t>
      </w:r>
      <w:r w:rsidRPr="006B7451" w:rsidR="002B4286">
        <w:t xml:space="preserve">innebär att </w:t>
      </w:r>
      <w:r w:rsidRPr="006B7451">
        <w:t xml:space="preserve">bilen </w:t>
      </w:r>
      <w:r w:rsidRPr="006B7451" w:rsidR="002B4286">
        <w:t xml:space="preserve">alltmer blir </w:t>
      </w:r>
      <w:r w:rsidRPr="006B7451">
        <w:t xml:space="preserve">till en klassfråga. </w:t>
      </w:r>
    </w:p>
    <w:p w:rsidRPr="006B7451" w:rsidR="004D1A7F" w:rsidP="00DF00C4" w:rsidRDefault="004D1A7F" w14:paraId="657ADA9F" w14:textId="34C37A04">
      <w:r w:rsidRPr="006B7451">
        <w:t>Sverigedemokraterna inser att stora delar av befolkningen är beroende av bilen samt att det måste finnas möjligheter att fortsatt använda bilen och motsätter sig därför varje höjning av skatten på bensin och diesel under budgetperioden.</w:t>
      </w:r>
    </w:p>
    <w:p w:rsidRPr="006B7451" w:rsidR="0080621D" w:rsidP="00DF00C4" w:rsidRDefault="0080621D" w14:paraId="4A2CBEA0" w14:textId="17393F6A">
      <w:r w:rsidRPr="006B7451">
        <w:t>Förslaget beräknas minska statens skatteintäkter med 1,35 miljarder kronor 2022.</w:t>
      </w:r>
    </w:p>
    <w:p w:rsidRPr="006B7451" w:rsidR="004D1A7F" w:rsidP="00ED5D60" w:rsidRDefault="004D1A7F" w14:paraId="3521E9A4" w14:textId="1DBD7EE9">
      <w:pPr>
        <w:pStyle w:val="Rubrik2numrerat"/>
      </w:pPr>
      <w:bookmarkStart w:name="_Toc121752647" w:id="141"/>
      <w:r w:rsidRPr="006B7451">
        <w:t>Nej till miljöskadlig biodiesel</w:t>
      </w:r>
      <w:bookmarkEnd w:id="141"/>
    </w:p>
    <w:p w:rsidRPr="006B7451" w:rsidR="004D1A7F" w:rsidP="007E2393" w:rsidRDefault="004D1A7F" w14:paraId="710D1749" w14:textId="77777777">
      <w:pPr>
        <w:pStyle w:val="Normalutanindragellerluft"/>
      </w:pPr>
      <w:r w:rsidRPr="006B7451">
        <w:rPr>
          <w:b/>
        </w:rPr>
        <w:t>Sverigedemokraternas förslag</w:t>
      </w:r>
      <w:r w:rsidRPr="007E2393">
        <w:t>:</w:t>
      </w:r>
      <w:r w:rsidRPr="006B7451">
        <w:t xml:space="preserve"> Reduktionsplikten ska sänkas till 5 procent för diesel och 2 procent för bensin. Beskattningen av MK3 och MK1 ska likställas. Alla kvarvarande skattelättnader på biodrivmedel ska avskaffas.</w:t>
      </w:r>
    </w:p>
    <w:p w:rsidRPr="006B7451" w:rsidR="004D1A7F" w:rsidP="007E2393" w:rsidRDefault="004D1A7F" w14:paraId="1E433C24" w14:textId="4D1E6C2C">
      <w:pPr>
        <w:pStyle w:val="Normalutanindragellerluft"/>
        <w:spacing w:before="150"/>
      </w:pPr>
      <w:r w:rsidRPr="006B7451">
        <w:t>Svenska regeringar, både</w:t>
      </w:r>
      <w:r w:rsidR="00C65A5E">
        <w:t xml:space="preserve"> i form av</w:t>
      </w:r>
      <w:r w:rsidRPr="006B7451">
        <w:t xml:space="preserve"> Alliansen och det rödgröna blocket, för sedan ett antal år en politik som går ut på en gradvis ökande inblandning av biodrivmedel i bränslemixen. Detta kan närmast tjäna som typexempel på en politik som möjligen kan se bra ut på pappret och som tillfredsställer politiska mål men som i verkligheten i bästa fall är ineffektiv och i värsta fall kontraproduktiv. Den är dessutom kostsam för konsumenter och skattebetalare.</w:t>
      </w:r>
    </w:p>
    <w:p w:rsidRPr="006B7451" w:rsidR="004D1A7F" w:rsidP="00DF00C4" w:rsidRDefault="004D1A7F" w14:paraId="1466E4DB" w14:textId="09BA80E5">
      <w:r w:rsidRPr="006B7451">
        <w:t>I denna diskussion bör man ha i åtanke att det finns drivmedel baserade på avfall och restprodukter, som har en acceptabel miljöprestanda, medan drivmedel baserade på jordbruksråvaror i ett större perspektiv snarare bidrar till högre nettoutsläpp av växt</w:t>
      </w:r>
      <w:r w:rsidR="00EC62A3">
        <w:softHyphen/>
      </w:r>
      <w:r w:rsidRPr="006B7451">
        <w:t xml:space="preserve">husgaser. Detta gäller i synnerhet om man tar hänsyn till så kallad förändrad </w:t>
      </w:r>
      <w:r w:rsidRPr="006B7451">
        <w:lastRenderedPageBreak/>
        <w:t xml:space="preserve">markanvändning, en slutsats som stöds av forskare vid Chalmers och Princeton University. </w:t>
      </w:r>
    </w:p>
    <w:p w:rsidRPr="006B7451" w:rsidR="004D1A7F" w:rsidP="00DF00C4" w:rsidRDefault="004D1A7F" w14:paraId="4A666CBD" w14:textId="1FB07FDE">
      <w:r w:rsidRPr="006B7451">
        <w:t>Sverigedemokraterna förespråkar en lägre reduktionsplikt, 5</w:t>
      </w:r>
      <w:r w:rsidR="00FA502A">
        <w:t xml:space="preserve"> </w:t>
      </w:r>
      <w:r w:rsidRPr="006B7451">
        <w:t>procent för diesel och 2</w:t>
      </w:r>
      <w:r w:rsidR="00FA502A">
        <w:t> </w:t>
      </w:r>
      <w:r w:rsidRPr="006B7451">
        <w:t xml:space="preserve">procent för bensin, jämfört med regeringens 26 procent för diesel och 6 procent för bensin. Detta banar väg för ett starkare miljöfokus med högre krav, så att man kan fortsätta att använda inhemskt producerade biodrivmedel med hög miljöprestanda, medan miljömässigt sämre, importerade alternativ kan exkluderas från den svenska drivmedelsmarknaden. Samtidigt slopas samtliga skattenedsättningar för biodrivmedel och beskattningen för </w:t>
      </w:r>
      <w:proofErr w:type="gramStart"/>
      <w:r w:rsidRPr="006B7451">
        <w:t>diesel miljöklass</w:t>
      </w:r>
      <w:proofErr w:type="gramEnd"/>
      <w:r w:rsidRPr="006B7451">
        <w:t xml:space="preserve"> 1 och diesel miljöklass 3 likställs, vilket är budgetförstärkande åtgärder. </w:t>
      </w:r>
    </w:p>
    <w:p w:rsidRPr="006B7451" w:rsidR="004D1A7F" w:rsidP="00DF00C4" w:rsidRDefault="004D1A7F" w14:paraId="56667DED" w14:textId="6DC1E8D8">
      <w:r w:rsidRPr="006B7451">
        <w:t>Det är svårt att exakt uppskatta effekten på drivmedelspriset vid pump av en reformerad reduktionsplikt, i synnerhet om man tar hänsyn till marknadseffekter. Men givet den uppenbart fördyrande effekten av inblandning, som krävs i dag, skulle Sverigedemokraternas förslag kunna sänka priset med ytterligare upp till en krona per liter.</w:t>
      </w:r>
    </w:p>
    <w:p w:rsidRPr="006B7451" w:rsidR="0080621D" w:rsidP="00DF00C4" w:rsidRDefault="0080621D" w14:paraId="430E86AD" w14:textId="76E20BB9">
      <w:r w:rsidRPr="006B7451">
        <w:t>Förslaget beräknas öka skatteintäkter</w:t>
      </w:r>
      <w:r w:rsidRPr="006B7451" w:rsidR="00D241F3">
        <w:t>na i statens budget</w:t>
      </w:r>
      <w:r w:rsidRPr="006B7451">
        <w:t xml:space="preserve"> med 2,96 miljarder kronor 2022.</w:t>
      </w:r>
    </w:p>
    <w:p w:rsidRPr="006B7451" w:rsidR="004D1A7F" w:rsidP="00ED5D60" w:rsidRDefault="004D1A7F" w14:paraId="34F9E330" w14:textId="679B3ABB">
      <w:pPr>
        <w:pStyle w:val="Rubrik2numrerat"/>
      </w:pPr>
      <w:bookmarkStart w:name="_Toc121752648" w:id="142"/>
      <w:r w:rsidRPr="006B7451">
        <w:t>Höjd milersättning</w:t>
      </w:r>
      <w:bookmarkEnd w:id="142"/>
    </w:p>
    <w:p w:rsidRPr="006B7451" w:rsidR="004D1A7F" w:rsidP="007E2393" w:rsidRDefault="004D1A7F" w14:paraId="718D661A" w14:textId="77777777">
      <w:pPr>
        <w:pStyle w:val="Normalutanindragellerluft"/>
      </w:pPr>
      <w:r w:rsidRPr="006B7451">
        <w:rPr>
          <w:b/>
        </w:rPr>
        <w:t>Sverigedemokraternas förslag</w:t>
      </w:r>
      <w:r w:rsidRPr="007E2393">
        <w:t>:</w:t>
      </w:r>
      <w:r w:rsidRPr="006B7451">
        <w:t xml:space="preserve"> Milersättningen ska höjas från 18,50 kronor per mil till 23,50 kronor per mil.</w:t>
      </w:r>
    </w:p>
    <w:p w:rsidRPr="006B7451" w:rsidR="004D1A7F" w:rsidP="002B4286" w:rsidRDefault="00E94A45" w14:paraId="5892E017" w14:textId="486A6A11">
      <w:pPr>
        <w:ind w:firstLine="0"/>
      </w:pPr>
      <w:r>
        <w:t>Den s</w:t>
      </w:r>
      <w:r w:rsidRPr="006B7451" w:rsidR="004D1A7F">
        <w:t>kattefri</w:t>
      </w:r>
      <w:r>
        <w:t>a</w:t>
      </w:r>
      <w:r w:rsidRPr="006B7451" w:rsidR="004D1A7F">
        <w:t xml:space="preserve"> milersättning</w:t>
      </w:r>
      <w:r>
        <w:t>en</w:t>
      </w:r>
      <w:r w:rsidRPr="006B7451" w:rsidR="004D1A7F">
        <w:t xml:space="preserve"> för privat bil i tjänsten ligger för närvarande på 18,50 kronor per mil. Denna ersättning avser att täcka kostnader för bensin och andra driv</w:t>
      </w:r>
      <w:r w:rsidR="00EC62A3">
        <w:softHyphen/>
      </w:r>
      <w:r w:rsidRPr="006B7451" w:rsidR="004D1A7F">
        <w:t>medel, slitage, underhåll och service. Ersättningen har legat på denna nivå sedan 2007, då de</w:t>
      </w:r>
      <w:r w:rsidR="00140321">
        <w:t>n</w:t>
      </w:r>
      <w:r w:rsidRPr="006B7451" w:rsidR="004D1A7F">
        <w:t xml:space="preserve"> ökade med femtio öre. Inflationen har sedan dess urholkat beloppet med mer än 10 procent. Dessutom har skatten på drivmedel ökat betydligt, vilket sammantaget innebär att milersättningen har urholkats över tid. Löntagare med stora avstånd till arbetsplatsen bör nu kompenseras för detta genom en avvägd höjning av miler</w:t>
      </w:r>
      <w:r w:rsidR="00EC62A3">
        <w:softHyphen/>
      </w:r>
      <w:r w:rsidRPr="006B7451" w:rsidR="004D1A7F">
        <w:t>sättningen.</w:t>
      </w:r>
    </w:p>
    <w:p w:rsidRPr="006B7451" w:rsidR="0080621D" w:rsidP="0080621D" w:rsidRDefault="0080621D" w14:paraId="1C0C8443" w14:textId="2A692E7A">
      <w:r w:rsidRPr="006B7451">
        <w:t>Förslaget beräknas öka</w:t>
      </w:r>
      <w:r w:rsidRPr="006B7451" w:rsidR="00D241F3">
        <w:t xml:space="preserve"> utgifterna i</w:t>
      </w:r>
      <w:r w:rsidRPr="006B7451">
        <w:t xml:space="preserve"> statens </w:t>
      </w:r>
      <w:r w:rsidRPr="006B7451" w:rsidR="00D241F3">
        <w:t>budget</w:t>
      </w:r>
      <w:r w:rsidRPr="006B7451">
        <w:t xml:space="preserve"> med 1,50 miljarder kronor 2022.</w:t>
      </w:r>
    </w:p>
    <w:p w:rsidRPr="006B7451" w:rsidR="004D1A7F" w:rsidP="00ED5D60" w:rsidRDefault="004D1A7F" w14:paraId="15ABBAE2" w14:textId="6707AC85">
      <w:pPr>
        <w:pStyle w:val="Rubrik2numrerat"/>
      </w:pPr>
      <w:bookmarkStart w:name="_Toc121752649" w:id="143"/>
      <w:r w:rsidRPr="006B7451">
        <w:t>Avskaffad bonus</w:t>
      </w:r>
      <w:r w:rsidR="002A44FA">
        <w:t xml:space="preserve"> </w:t>
      </w:r>
      <w:proofErr w:type="spellStart"/>
      <w:r w:rsidRPr="006B7451">
        <w:t>malus</w:t>
      </w:r>
      <w:bookmarkEnd w:id="143"/>
      <w:proofErr w:type="spellEnd"/>
      <w:r w:rsidRPr="006B7451">
        <w:t xml:space="preserve"> </w:t>
      </w:r>
    </w:p>
    <w:p w:rsidRPr="006B7451" w:rsidR="004D1A7F" w:rsidP="007E2393" w:rsidRDefault="004D1A7F" w14:paraId="782D327C" w14:textId="38E3CABA">
      <w:pPr>
        <w:pStyle w:val="Normalutanindragellerluft"/>
      </w:pPr>
      <w:r w:rsidRPr="006B7451">
        <w:rPr>
          <w:b/>
        </w:rPr>
        <w:t>Sverigedemokraternas förslag</w:t>
      </w:r>
      <w:r w:rsidRPr="007E2393">
        <w:rPr>
          <w:rStyle w:val="NormalutanindragellerluftChar"/>
        </w:rPr>
        <w:t>:</w:t>
      </w:r>
      <w:r w:rsidRPr="006B7451">
        <w:t xml:space="preserve"> Bonus</w:t>
      </w:r>
      <w:r w:rsidR="002A44FA">
        <w:t xml:space="preserve"> </w:t>
      </w:r>
      <w:proofErr w:type="spellStart"/>
      <w:r w:rsidRPr="006B7451">
        <w:t>malus</w:t>
      </w:r>
      <w:proofErr w:type="spellEnd"/>
      <w:r w:rsidRPr="006B7451">
        <w:t>-systemet för personbilar ska avskaffas.</w:t>
      </w:r>
    </w:p>
    <w:p w:rsidRPr="006B7451" w:rsidR="004D1A7F" w:rsidP="007E2393" w:rsidRDefault="004D1A7F" w14:paraId="78F6BCB3" w14:textId="64556A6D">
      <w:pPr>
        <w:pStyle w:val="Normalutanindragellerluft"/>
        <w:spacing w:before="150"/>
      </w:pPr>
      <w:r w:rsidRPr="006B7451">
        <w:t>Bonus</w:t>
      </w:r>
      <w:r w:rsidR="002A44FA">
        <w:t xml:space="preserve"> </w:t>
      </w:r>
      <w:proofErr w:type="spellStart"/>
      <w:r w:rsidRPr="006B7451">
        <w:t>malus</w:t>
      </w:r>
      <w:proofErr w:type="spellEnd"/>
      <w:r w:rsidRPr="006B7451">
        <w:t xml:space="preserve"> innebär i korthet att tyngre fordon beläggs med högre skatt, pengar som sedan subventionerar inköp av exklusiva miljöbilar. Inverkan på koldioxidutsläpp</w:t>
      </w:r>
      <w:r w:rsidR="003958F6">
        <w:t>en</w:t>
      </w:r>
      <w:r w:rsidRPr="006B7451">
        <w:t xml:space="preserve"> är begränsad och det bör framhållas att elektrifieringen av bilflottan fortgår även utan subventioner. I realiteten innebär bonus</w:t>
      </w:r>
      <w:r w:rsidR="002A44FA">
        <w:t xml:space="preserve"> </w:t>
      </w:r>
      <w:proofErr w:type="spellStart"/>
      <w:r w:rsidRPr="006B7451">
        <w:t>malus</w:t>
      </w:r>
      <w:proofErr w:type="spellEnd"/>
      <w:r w:rsidRPr="006B7451">
        <w:t xml:space="preserve"> att pengar överförs från familjer, ofta på landsbygden, som behöver något större fordon, till höginkomsttagare i tätort.</w:t>
      </w:r>
    </w:p>
    <w:p w:rsidRPr="006B7451" w:rsidR="004D1A7F" w:rsidP="00DF00C4" w:rsidRDefault="004D1A7F" w14:paraId="2CB21065" w14:textId="3A3CB6BC">
      <w:r w:rsidRPr="006B7451">
        <w:t>Problemet är att skattehöjningen för många bilägare blir högst kännbar</w:t>
      </w:r>
      <w:r w:rsidR="003958F6">
        <w:t>;</w:t>
      </w:r>
      <w:r w:rsidRPr="006B7451">
        <w:t xml:space="preserve"> det handlar om tusentals kronor per år, beroende på bilmodell. Bonus</w:t>
      </w:r>
      <w:r w:rsidR="002A44FA">
        <w:t xml:space="preserve"> </w:t>
      </w:r>
      <w:proofErr w:type="spellStart"/>
      <w:r w:rsidRPr="006B7451">
        <w:t>malus</w:t>
      </w:r>
      <w:proofErr w:type="spellEnd"/>
      <w:r w:rsidRPr="006B7451">
        <w:t xml:space="preserve"> ska ses i en större kontext, där regeringen konsekvent lägger allt större pålagor på bilister i glesbygd.</w:t>
      </w:r>
    </w:p>
    <w:p w:rsidRPr="006B7451" w:rsidR="0080621D" w:rsidP="00DF00C4" w:rsidRDefault="0080621D" w14:paraId="1C8907D7" w14:textId="2953364E">
      <w:r w:rsidRPr="006B7451">
        <w:t>Förslaget beräknas minska</w:t>
      </w:r>
      <w:r w:rsidRPr="006B7451" w:rsidR="00D241F3">
        <w:t xml:space="preserve"> utgifterna i</w:t>
      </w:r>
      <w:r w:rsidRPr="006B7451">
        <w:t xml:space="preserve"> statens </w:t>
      </w:r>
      <w:r w:rsidRPr="006B7451" w:rsidR="00D241F3">
        <w:t xml:space="preserve">budget </w:t>
      </w:r>
      <w:r w:rsidRPr="006B7451">
        <w:t>med 3,51 miljarder kronor och minska skatteintäkter</w:t>
      </w:r>
      <w:r w:rsidRPr="006B7451" w:rsidR="00D241F3">
        <w:t>na i statens budget</w:t>
      </w:r>
      <w:r w:rsidRPr="006B7451">
        <w:t xml:space="preserve"> med 4,29 miljarder kronor 2022.</w:t>
      </w:r>
    </w:p>
    <w:p w:rsidRPr="006B7451" w:rsidR="004D1A7F" w:rsidP="00ED5D60" w:rsidRDefault="004D1A7F" w14:paraId="462BC5C9" w14:textId="77777777">
      <w:pPr>
        <w:pStyle w:val="Rubrik2numrerat"/>
      </w:pPr>
      <w:bookmarkStart w:name="_Toc121752650" w:id="144"/>
      <w:r w:rsidRPr="006B7451">
        <w:lastRenderedPageBreak/>
        <w:t>Satsningar på infrastruktur</w:t>
      </w:r>
      <w:bookmarkEnd w:id="144"/>
    </w:p>
    <w:p w:rsidRPr="006B7451" w:rsidR="002B4286" w:rsidP="007E2393" w:rsidRDefault="004D1A7F" w14:paraId="184F9AB8" w14:textId="77777777">
      <w:pPr>
        <w:pStyle w:val="Normalutanindragellerluft"/>
      </w:pPr>
      <w:r w:rsidRPr="006B7451">
        <w:rPr>
          <w:b/>
        </w:rPr>
        <w:t>Sverigedemokraternas förslag</w:t>
      </w:r>
      <w:r w:rsidRPr="007E2393">
        <w:t>:</w:t>
      </w:r>
      <w:r w:rsidRPr="006B7451">
        <w:t xml:space="preserve"> </w:t>
      </w:r>
      <w:r w:rsidRPr="006B7451" w:rsidR="002B4286">
        <w:t>Anslagen för vidmakthållande och utvecklande av statens infrastruktur ska utökas.</w:t>
      </w:r>
    </w:p>
    <w:p w:rsidRPr="006B7451" w:rsidR="004D1A7F" w:rsidP="007E2393" w:rsidRDefault="004D1A7F" w14:paraId="40EF517F" w14:textId="77777777">
      <w:pPr>
        <w:pStyle w:val="Normalutanindragellerluft"/>
        <w:spacing w:before="150"/>
      </w:pPr>
      <w:r w:rsidRPr="006B7451">
        <w:t>Sverigedemokraternas strategi för en heltäckande infrastruktur omfattar samtliga trafikslag. Tyvärr har infrastrukturen i Sverige under en längre tid använts som budgetregulator och behoven av underhåll och nya satsningar är betydande. Som första parti i riksdagen markerade Sverigedemokraterna att denna situation inte motiverar en extremt dyr satsning på snabbjärnvägar, ett olönsamt prestigeprojekt som saknar underlag i form av resenärer och som riskerar att tränga undan nödvändigt underhåll på de befintliga väg- och järnvägsnäten.</w:t>
      </w:r>
    </w:p>
    <w:p w:rsidRPr="006B7451" w:rsidR="004D1A7F" w:rsidP="00DF00C4" w:rsidRDefault="004D1A7F" w14:paraId="38164802" w14:textId="3573F6C7">
      <w:r w:rsidRPr="006B7451">
        <w:t>Järnvägsunderhållet i Sverige har under en längre tid varit underfinansierat. Trafikverkets kostnader</w:t>
      </w:r>
      <w:r w:rsidRPr="006B7451" w:rsidR="001D71AC">
        <w:t xml:space="preserve"> </w:t>
      </w:r>
      <w:r w:rsidRPr="006B7451">
        <w:t xml:space="preserve">för </w:t>
      </w:r>
      <w:r w:rsidRPr="006B7451" w:rsidR="001D71AC">
        <w:t>den egna</w:t>
      </w:r>
      <w:r w:rsidRPr="006B7451">
        <w:t xml:space="preserve"> administration</w:t>
      </w:r>
      <w:r w:rsidRPr="006B7451" w:rsidR="001D71AC">
        <w:t>en har ökat</w:t>
      </w:r>
      <w:r w:rsidRPr="006B7451">
        <w:t xml:space="preserve"> då antalet anställda </w:t>
      </w:r>
      <w:r w:rsidRPr="006B7451" w:rsidR="001D71AC">
        <w:t>har stigit</w:t>
      </w:r>
      <w:r w:rsidRPr="006B7451">
        <w:t>. Dessutom utgörs en alltför stor del av arbetet av akuta åtgärder i stället för före</w:t>
      </w:r>
      <w:r w:rsidR="00EC62A3">
        <w:softHyphen/>
      </w:r>
      <w:r w:rsidRPr="006B7451">
        <w:t>byggande underhåll, mycket på grund av att infrastrukturen under lång tid använts som en budgetregulator. Det finns även ett flertal prioriterade sträckningar som behöver byggas</w:t>
      </w:r>
      <w:r w:rsidR="00E069BF">
        <w:t xml:space="preserve"> eller</w:t>
      </w:r>
      <w:r w:rsidRPr="006B7451">
        <w:t xml:space="preserve"> utökas till dubbelspår eller </w:t>
      </w:r>
      <w:proofErr w:type="spellStart"/>
      <w:r w:rsidRPr="006B7451">
        <w:t>fyrspår</w:t>
      </w:r>
      <w:proofErr w:type="spellEnd"/>
      <w:r w:rsidRPr="006B7451">
        <w:t xml:space="preserve">. Det finns </w:t>
      </w:r>
      <w:r w:rsidRPr="006B7451" w:rsidR="002B4286">
        <w:t>vidare</w:t>
      </w:r>
      <w:r w:rsidRPr="006B7451">
        <w:t xml:space="preserve"> en vinning av att öka hastigheten till 250</w:t>
      </w:r>
      <w:r w:rsidR="00E069BF">
        <w:t> </w:t>
      </w:r>
      <w:r w:rsidRPr="006B7451">
        <w:t>km/h på flera sträckor samt möjliggöra längre och tyngre godståg så att större mängder gods kan flyttas över från väg till järnväg, särskilt för den tunga basindustrin.</w:t>
      </w:r>
    </w:p>
    <w:p w:rsidRPr="006B7451" w:rsidR="004D1A7F" w:rsidP="00DF00C4" w:rsidRDefault="004D1A7F" w14:paraId="49D54A85" w14:textId="2BFCE83A">
      <w:r w:rsidRPr="006B7451">
        <w:t>I takt med att trafiken ökar så ökar också behovet av ny eller utbyggd infrastruktur. Listan över projekt för att utveckla vägnätet är lång och anslagen har under många år varit för låga. Samtidigt har medel saknats till att underhålla det statliga vägnätet. I synnerhet de mindre vägarna har drabbats av bristande underhåll. Om underhåll brister en längre tid kan detta leda till skenande kostnader om själva vägkroppen skadas. Med de medel som regeringen anslår kommer vi att få se en fortsatt negativ utveckling av vägunderhållet. Likt det statliga järnvägsnätet har även vägnätet en underhållsskuld som behöver täckas. Sverigedemokraterna satsar därför för kraftiga förstärkningar inom området.</w:t>
      </w:r>
    </w:p>
    <w:p w:rsidRPr="006B7451" w:rsidR="0080621D" w:rsidP="00DF00C4" w:rsidRDefault="0080621D" w14:paraId="2065CDAB" w14:textId="7857069B">
      <w:r w:rsidRPr="006B7451">
        <w:t>Förslaget beräknas öka utgifterna i statens budget med 1,0</w:t>
      </w:r>
      <w:r w:rsidRPr="006B7451" w:rsidR="00D241F3">
        <w:t>0</w:t>
      </w:r>
      <w:r w:rsidRPr="006B7451">
        <w:t xml:space="preserve"> miljarder kronor.</w:t>
      </w:r>
    </w:p>
    <w:p w:rsidRPr="006B7451" w:rsidR="004D1A7F" w:rsidP="00ED5D60" w:rsidRDefault="00DF00C4" w14:paraId="1698A956" w14:textId="77777777">
      <w:pPr>
        <w:pStyle w:val="Rubrik2numrerat"/>
      </w:pPr>
      <w:bookmarkStart w:name="_Toc121752651" w:id="145"/>
      <w:r w:rsidRPr="006B7451">
        <w:t>Avskaffad</w:t>
      </w:r>
      <w:r w:rsidRPr="006B7451" w:rsidR="004D1A7F">
        <w:t xml:space="preserve"> trängselskatt</w:t>
      </w:r>
      <w:bookmarkEnd w:id="145"/>
    </w:p>
    <w:p w:rsidRPr="006B7451" w:rsidR="004D1A7F" w:rsidP="007E2393" w:rsidRDefault="004D1A7F" w14:paraId="79A4F39F" w14:textId="77777777">
      <w:pPr>
        <w:pStyle w:val="Normalutanindragellerluft"/>
      </w:pPr>
      <w:r w:rsidRPr="006B7451">
        <w:rPr>
          <w:b/>
        </w:rPr>
        <w:t>Sverigedemokraternas förslag</w:t>
      </w:r>
      <w:r w:rsidRPr="007E2393">
        <w:t>:</w:t>
      </w:r>
      <w:r w:rsidRPr="006B7451">
        <w:t xml:space="preserve"> </w:t>
      </w:r>
      <w:r w:rsidRPr="006B7451" w:rsidR="002B4286">
        <w:t>Ett avskaffande av trängselskatten ska utredas.</w:t>
      </w:r>
    </w:p>
    <w:p w:rsidR="000830F1" w:rsidP="007E2393" w:rsidRDefault="004D1A7F" w14:paraId="4823217C" w14:textId="618A81E8">
      <w:pPr>
        <w:pStyle w:val="Normalutanindragellerluft"/>
        <w:spacing w:before="150"/>
      </w:pPr>
      <w:r w:rsidRPr="006B7451">
        <w:t>Under pandemin har det varit ett högt tryck på kollektivtrafiken. Att skydda medborgare från att sitta på överfulla bussar och tunnelbanor, för att ta sig till jobbet, genom att möjliggöra för fler resvägar är värdefullt, både för resenärerna men även för all personal som jobbar inom kollektivtrafiken. För att öka incitamenten att välja ett annat färdmedel föresl</w:t>
      </w:r>
      <w:r w:rsidRPr="006B7451" w:rsidR="002B4286">
        <w:t>og</w:t>
      </w:r>
      <w:r w:rsidRPr="006B7451">
        <w:t xml:space="preserve"> Sverigedemokraterna</w:t>
      </w:r>
      <w:r w:rsidRPr="006B7451" w:rsidR="002B4286">
        <w:t xml:space="preserve"> under våren 2021</w:t>
      </w:r>
      <w:r w:rsidRPr="006B7451">
        <w:t xml:space="preserve"> att </w:t>
      </w:r>
      <w:r w:rsidRPr="006B7451" w:rsidR="002B4286">
        <w:t xml:space="preserve">trängselskatten skulle avskaffas tillfälligt och att staten skulle stå för inkomstbortfallet. På längre sikt bör trängselskatten avskaffas permanent och Sverigedemokraterna föreslår därför att det tillsätts en utredning för hur detta kan </w:t>
      </w:r>
      <w:r w:rsidRPr="006B7451" w:rsidR="00D018F3">
        <w:t>åstadkommas och vilka effekter det medför för berörda regioner och infrastrukturprojekt.</w:t>
      </w:r>
    </w:p>
    <w:p w:rsidR="000830F1" w:rsidRDefault="000830F1" w14:paraId="19A68B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D1A7F" w:rsidP="00ED5D60" w:rsidRDefault="004D1A7F" w14:paraId="06C85C4E" w14:textId="2D8A2472">
      <w:pPr>
        <w:pStyle w:val="Rubrik2numrerat"/>
      </w:pPr>
      <w:bookmarkStart w:name="_Toc121752652" w:id="146"/>
      <w:r w:rsidRPr="006B7451">
        <w:lastRenderedPageBreak/>
        <w:t>Avskaffad flygskatt</w:t>
      </w:r>
      <w:bookmarkEnd w:id="146"/>
    </w:p>
    <w:p w:rsidRPr="00271469" w:rsidR="00271469" w:rsidP="00271469" w:rsidRDefault="00271469" w14:paraId="55F5F299" w14:textId="3A172912">
      <w:pPr>
        <w:pStyle w:val="Normalutanindragellerluft"/>
      </w:pPr>
      <w:r w:rsidRPr="00271469">
        <w:rPr>
          <w:b/>
          <w:bCs/>
        </w:rPr>
        <w:t>Sverigedemokraternas förslag</w:t>
      </w:r>
      <w:r w:rsidRPr="00271469">
        <w:t>: Flygskatten ska avskaffas.</w:t>
      </w:r>
    </w:p>
    <w:p w:rsidRPr="006B7451" w:rsidR="004D1A7F" w:rsidP="00271469" w:rsidRDefault="004D1A7F" w14:paraId="74FECFD8" w14:textId="617DB684">
      <w:pPr>
        <w:pStyle w:val="Normalutanindragellerluft"/>
        <w:spacing w:before="150"/>
      </w:pPr>
      <w:r w:rsidRPr="006B7451">
        <w:t>Sverige är ett stort och avlångt land. Vi är beroende av flygtrafiken när det kommer till privata resor och för att möta näringslivets behov av kommunikationer men även för att upprätthålla samhällsnödvändiga transporter såsom brandflyg, ambulansflyg, polis och försvar. Att det finns flygplatser utspri</w:t>
      </w:r>
      <w:r w:rsidR="00B16754">
        <w:t>dda</w:t>
      </w:r>
      <w:r w:rsidRPr="006B7451">
        <w:t xml:space="preserve"> över landet är av vikt för Sveriges tillväxt, för vår säkerhet och för vårt välbefinnande.</w:t>
      </w:r>
    </w:p>
    <w:p w:rsidRPr="006B7451" w:rsidR="004D1A7F" w:rsidP="00DF00C4" w:rsidRDefault="004D1A7F" w14:paraId="6E7884DB" w14:textId="2BBC4C46">
      <w:r w:rsidRPr="006B7451">
        <w:t xml:space="preserve">Under coronapandemin har branschen drabbats hårt, vilket bland annat har resulterat i att staten behövt delta i en </w:t>
      </w:r>
      <w:proofErr w:type="spellStart"/>
      <w:r w:rsidRPr="006B7451">
        <w:t>rekapitalisering</w:t>
      </w:r>
      <w:proofErr w:type="spellEnd"/>
      <w:r w:rsidRPr="006B7451">
        <w:t xml:space="preserve"> av SAS AB och </w:t>
      </w:r>
      <w:proofErr w:type="spellStart"/>
      <w:r w:rsidRPr="006B7451">
        <w:t>Swedavia</w:t>
      </w:r>
      <w:proofErr w:type="spellEnd"/>
      <w:r w:rsidRPr="006B7451">
        <w:t xml:space="preserve"> AB under 2020 – en nödvändig åtgärd. Den svenska flygindustrin behöver dock förutsättningar för att överleva och utvecklas på lång sikt, vilket försvåras av regeringens otydliga hållning och tvära kast om framtidens flyg. För att detta ska kunna uppnås i en bransch som kännetecknas av långsiktiga och kostsamma investeringar måste det råda absolut klarhet om att svensk flygindustri ska konkurrera på marknadsmässiga villkor. Av denna anledning anser Sverigedemokraterna att flygskatten ska avskaffas.</w:t>
      </w:r>
    </w:p>
    <w:p w:rsidRPr="006B7451" w:rsidR="0080621D" w:rsidP="00DF00C4" w:rsidRDefault="0080621D" w14:paraId="71C6F297" w14:textId="6571C0E2">
      <w:r w:rsidRPr="006B7451">
        <w:t>Förslaget beräknas minska skatteintäkter</w:t>
      </w:r>
      <w:r w:rsidRPr="006B7451" w:rsidR="00D241F3">
        <w:t>na i statens budget</w:t>
      </w:r>
      <w:r w:rsidRPr="006B7451">
        <w:t xml:space="preserve"> med 0,7</w:t>
      </w:r>
      <w:r w:rsidRPr="006B7451" w:rsidR="00D241F3">
        <w:t>0</w:t>
      </w:r>
      <w:r w:rsidRPr="006B7451">
        <w:t xml:space="preserve"> miljarder kronor 2022.</w:t>
      </w:r>
    </w:p>
    <w:bookmarkEnd w:id="139"/>
    <w:p w:rsidR="000830F1" w:rsidRDefault="000830F1" w14:paraId="208DBB46" w14:textId="2BE1CC0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0E472B" w:rsidP="00ED5D60" w:rsidRDefault="000E472B" w14:paraId="78562DB0" w14:textId="252F8A85">
      <w:pPr>
        <w:pStyle w:val="Rubrik1numrerat"/>
      </w:pPr>
      <w:bookmarkStart w:name="_Toc121752653" w:id="147"/>
      <w:bookmarkStart w:name="_Hlk82680232" w:id="148"/>
      <w:r w:rsidRPr="006B7451">
        <w:lastRenderedPageBreak/>
        <w:t>Energi</w:t>
      </w:r>
      <w:r w:rsidRPr="006B7451" w:rsidR="00072C5F">
        <w:t>, miljö och klimat</w:t>
      </w:r>
      <w:bookmarkEnd w:id="147"/>
    </w:p>
    <w:p w:rsidRPr="006B7451" w:rsidR="00DF00C4" w:rsidP="00170FE5" w:rsidRDefault="00DF00C4" w14:paraId="1D23C129" w14:textId="414BC2CA">
      <w:pPr>
        <w:pStyle w:val="Normalutanindragellerluft"/>
      </w:pPr>
      <w:r w:rsidRPr="006B7451">
        <w:t>Naturen ska bevaras och förvaltas på ett sätt som balanserar och tar hänsyn till sam</w:t>
      </w:r>
      <w:r w:rsidR="005D79A3">
        <w:softHyphen/>
      </w:r>
      <w:r w:rsidRPr="006B7451">
        <w:t xml:space="preserve">hällets olika intressen. Sverigedemokraterna lyfter fram människors hälsa, bevarande av ekosystem, biologisk mångfald och bevarandet av ett varierat kulturlandskap, liksom möjligheterna att bo och verka på landsbygden. Allt hänger ihop. Sveriges natur och växlande geografi rymmer omistliga naturvärden som i många fall behöver skyddas från mänsklig påverkan, i andra fall är det just samspelet mellan natur och människa som upprätthåller det svenska kulturlandskapet. </w:t>
      </w:r>
    </w:p>
    <w:p w:rsidRPr="006B7451" w:rsidR="00DF00C4" w:rsidP="00DF00C4" w:rsidRDefault="00DF00C4" w14:paraId="7FB5FE0F" w14:textId="77777777">
      <w:r w:rsidRPr="006B7451">
        <w:t>Sverigedemokratisk politik går i princip inte ut på att separera människan från naturen, snarare tvärtom. Vidare tyder ingenting på att fria människor avstår från resor och god levnadsstandard, det bör inte heller vara politikens strävan, men vetenskaplig utveckling banar väg för modern miljöteknik som minskar människans miljöpåverkan.</w:t>
      </w:r>
    </w:p>
    <w:p w:rsidRPr="006B7451" w:rsidR="000B7CDF" w:rsidP="000B7CDF" w:rsidRDefault="00DF00C4" w14:paraId="03E08030" w14:textId="05257ECE">
      <w:r w:rsidRPr="006B7451">
        <w:t xml:space="preserve">Regeringen lägger stora pengar på symbolprojekt, vars nytta ofta </w:t>
      </w:r>
      <w:r w:rsidRPr="006B7451" w:rsidR="007F0D45">
        <w:t xml:space="preserve">kan </w:t>
      </w:r>
      <w:r w:rsidRPr="006B7451">
        <w:t xml:space="preserve">beskrivas som obetydlig eller direkt obefintlig. Utgiftsområde 20 Allmän miljö och naturvård har ökat mycket kraftigt sedan 2015, från 5,3 miljarder kronor till </w:t>
      </w:r>
      <w:r w:rsidRPr="006B7451" w:rsidR="00FC6910">
        <w:t>21</w:t>
      </w:r>
      <w:r w:rsidRPr="006B7451">
        <w:t>,</w:t>
      </w:r>
      <w:r w:rsidRPr="006B7451" w:rsidR="00FC6910">
        <w:t>9</w:t>
      </w:r>
      <w:r w:rsidRPr="006B7451">
        <w:t xml:space="preserve"> miljarder kronor i det som regeringen nu föreslår. Att ifrågasätta denna oseriösa hantering av skattemedel handlar absolut inte om brist på omsorg om miljön, utan om att avvisa ineffektiv symbolpolitik till förmån för andra miljösatsningar och andra behov i samhället.</w:t>
      </w:r>
    </w:p>
    <w:p w:rsidRPr="006B7451" w:rsidR="0043036C" w:rsidP="0043036C" w:rsidRDefault="0043036C" w14:paraId="56A252EE" w14:textId="127C976D">
      <w:r w:rsidRPr="006B7451">
        <w:t xml:space="preserve">Sverigedemokraterna står upp för en ansvarsfull och effektiv </w:t>
      </w:r>
      <w:proofErr w:type="spellStart"/>
      <w:r w:rsidRPr="006B7451">
        <w:t>klimatpolitik</w:t>
      </w:r>
      <w:proofErr w:type="spellEnd"/>
      <w:r w:rsidRPr="006B7451">
        <w:t xml:space="preserve"> där det globala perspektivet ges en central plats. Det globala perspektivet kommer dock i skymundan i </w:t>
      </w:r>
      <w:r w:rsidR="0010642A">
        <w:t xml:space="preserve">den </w:t>
      </w:r>
      <w:r w:rsidRPr="006B7451">
        <w:t>rådande svenska klimatpolitik</w:t>
      </w:r>
      <w:r w:rsidR="0010642A">
        <w:t>en</w:t>
      </w:r>
      <w:r w:rsidRPr="006B7451">
        <w:t>. Det saknas på många håll en grundläggande insikt om att Sverige eller EU på egen hand inte kan styra de globala koldioxidutsläppen i betydande utsträckning. Sverige kan däremot bidra mer effektivt än i dag till det globala klimatarbetet genom att säkerställa en effektiv och handlings</w:t>
      </w:r>
      <w:r w:rsidR="005D79A3">
        <w:softHyphen/>
      </w:r>
      <w:r w:rsidRPr="006B7451">
        <w:t xml:space="preserve">kraftig </w:t>
      </w:r>
      <w:proofErr w:type="spellStart"/>
      <w:r w:rsidRPr="006B7451">
        <w:t>klimatpolitik</w:t>
      </w:r>
      <w:proofErr w:type="spellEnd"/>
      <w:r w:rsidRPr="006B7451">
        <w:t xml:space="preserve"> som gör skillnad på riktigt.</w:t>
      </w:r>
    </w:p>
    <w:p w:rsidRPr="006B7451" w:rsidR="0043036C" w:rsidP="0043036C" w:rsidRDefault="0043036C" w14:paraId="2C5455B8" w14:textId="7BF11935">
      <w:r w:rsidRPr="006B7451">
        <w:t xml:space="preserve">En politik baserad på humanism där alla världens människor har en okränkbar rätt till en bättre morgondag ska eftersträvas. Därvidlag kan man inte blunda för att all miljö- och </w:t>
      </w:r>
      <w:proofErr w:type="spellStart"/>
      <w:r w:rsidRPr="006B7451">
        <w:t>klimatpolitik</w:t>
      </w:r>
      <w:proofErr w:type="spellEnd"/>
      <w:r w:rsidRPr="006B7451">
        <w:t xml:space="preserve"> måste föras inom ramarna för de ekonomiska förutsättningarna. En seriös diskussion kring klimatåtgärder som uppfyller rimliga krav på effektivitet förordas. Vidare avhåller vi oss från domedagsprofetior och lägger fokus på realistiska lösningar på verkliga problem.</w:t>
      </w:r>
    </w:p>
    <w:p w:rsidRPr="006B7451" w:rsidR="000B7CDF" w:rsidP="003931CE" w:rsidRDefault="000B7CDF" w14:paraId="3A6944D8" w14:textId="50C9F47B">
      <w:pPr>
        <w:pStyle w:val="Rubrik3"/>
      </w:pPr>
      <w:bookmarkStart w:name="_Toc121752654" w:id="149"/>
      <w:r w:rsidRPr="006B7451">
        <w:t>Utveckling</w:t>
      </w:r>
      <w:r w:rsidRPr="006B7451" w:rsidR="00605A11">
        <w:t xml:space="preserve"> av</w:t>
      </w:r>
      <w:r w:rsidRPr="006B7451">
        <w:t xml:space="preserve"> koldioxidutsläpp</w:t>
      </w:r>
      <w:bookmarkEnd w:id="149"/>
    </w:p>
    <w:p w:rsidRPr="006B7451" w:rsidR="00087AED" w:rsidP="005D6986" w:rsidRDefault="00087AED" w14:paraId="7382D381" w14:textId="040D4005">
      <w:pPr>
        <w:pStyle w:val="Normalutanindragellerluft"/>
      </w:pPr>
      <w:r w:rsidRPr="006B7451">
        <w:t>Det totala utsläppet av koldioxid uppgick 2019 till 38 miljarder ton, vilket motsvarar en ökning på cirka 1</w:t>
      </w:r>
      <w:r w:rsidR="00DD394E">
        <w:t> </w:t>
      </w:r>
      <w:r w:rsidRPr="006B7451">
        <w:t>procent jämfört med föregående år</w:t>
      </w:r>
      <w:r w:rsidR="008A2D4C">
        <w:t>,</w:t>
      </w:r>
      <w:r w:rsidRPr="006B7451">
        <w:t xml:space="preserve"> och drivs främst av ökade utsläpp i utvecklingsekonomier.</w:t>
      </w:r>
      <w:r w:rsidRPr="006B7451" w:rsidR="00BB6F78">
        <w:t xml:space="preserve"> </w:t>
      </w:r>
      <w:r w:rsidRPr="006B7451" w:rsidR="00686181">
        <w:t xml:space="preserve">Coronapandemin innebar minskad produktion och en låg efterfrågan på olja, vilket resulterade i en historisk minskning av utsläpp på cirka två miljarder ton. </w:t>
      </w:r>
      <w:r w:rsidRPr="006B7451">
        <w:t>Medan de globala utsläppen har fördubblats sedan 1970 har de minskat med cirka 21 procent inom EU och med 54 procent i Sverige. För svensk del kan nedgången förklaras med utbyggnationen av kärnkraft och en ökad användning av biobränslen.</w:t>
      </w:r>
    </w:p>
    <w:p w:rsidRPr="00215D92" w:rsidR="00966000" w:rsidP="005D79A3" w:rsidRDefault="00966000" w14:paraId="7CF8EF2D" w14:textId="74745497">
      <w:pPr>
        <w:pStyle w:val="Tabellrubrik"/>
        <w:keepNext/>
      </w:pPr>
      <w:r w:rsidRPr="00215D92">
        <w:lastRenderedPageBreak/>
        <w:t xml:space="preserve">Figur </w:t>
      </w:r>
      <w:r w:rsidR="00215D92">
        <w:t>22</w:t>
      </w:r>
      <w:r w:rsidRPr="00215D92">
        <w:t xml:space="preserve"> Världens koldioxidutsläpp</w:t>
      </w:r>
      <w:r w:rsidRPr="00215D92" w:rsidR="00E8764B">
        <w:t>, miljarder ton,</w:t>
      </w:r>
      <w:r w:rsidRPr="00215D92">
        <w:t xml:space="preserve"> 1970–2019</w:t>
      </w:r>
    </w:p>
    <w:p w:rsidRPr="006B7451" w:rsidR="00966000" w:rsidP="00966000" w:rsidRDefault="00966000" w14:paraId="74FC802A" w14:textId="77777777">
      <w:pPr>
        <w:ind w:firstLine="0"/>
      </w:pPr>
      <w:r w:rsidRPr="006B7451">
        <w:rPr>
          <w:noProof/>
          <w14:numSpacing w14:val="default"/>
        </w:rPr>
        <w:drawing>
          <wp:inline distT="0" distB="0" distL="0" distR="0" wp14:anchorId="31A6CD77" wp14:editId="3EDAC88B">
            <wp:extent cx="5400040" cy="4919345"/>
            <wp:effectExtent l="0" t="0" r="0" b="0"/>
            <wp:docPr id="12" name="Diagram 12" descr="">
              <a:extLst xmlns:a="http://schemas.openxmlformats.org/drawingml/2006/main">
                <a:ext uri="{FF2B5EF4-FFF2-40B4-BE49-F238E27FC236}">
                  <a16:creationId xmlns:a16="http://schemas.microsoft.com/office/drawing/2014/main" id="{D3ABA2BE-173B-44EA-A118-1C898B37BA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B47DE0" w:rsidR="00966000" w:rsidP="00B47DE0" w:rsidRDefault="00966000" w14:paraId="15CDBDFA" w14:textId="5FD29CD2">
      <w:pPr>
        <w:pStyle w:val="Klla"/>
      </w:pPr>
      <w:r w:rsidRPr="00B47DE0">
        <w:t>Källa: EDGAR 2019</w:t>
      </w:r>
      <w:r w:rsidR="00B47DE0">
        <w:t>.</w:t>
      </w:r>
    </w:p>
    <w:p w:rsidRPr="0067314B" w:rsidR="0067314B" w:rsidP="0067314B" w:rsidRDefault="00605A11" w14:paraId="3936AA53" w14:textId="77777777">
      <w:pPr>
        <w:pStyle w:val="Tabellrubrik"/>
        <w:keepNext/>
      </w:pPr>
      <w:r w:rsidRPr="0067314B">
        <w:t xml:space="preserve">Figur </w:t>
      </w:r>
      <w:r w:rsidRPr="0067314B" w:rsidR="00B47DE0">
        <w:t>23</w:t>
      </w:r>
      <w:r w:rsidRPr="0067314B">
        <w:t xml:space="preserve"> Utveckling av koldioxidutsläpp i Sverige och världen, 1900–2019, index år 1970 = 100</w:t>
      </w:r>
    </w:p>
    <w:p w:rsidRPr="00B47DE0" w:rsidR="00605A11" w:rsidP="0067314B" w:rsidRDefault="00E8764B" w14:paraId="7529D612" w14:textId="3F08371A">
      <w:pPr>
        <w:pStyle w:val="Normalutanindragellerluft"/>
      </w:pPr>
      <w:r w:rsidRPr="00B47DE0">
        <w:rPr>
          <w:noProof/>
        </w:rPr>
        <w:drawing>
          <wp:inline distT="0" distB="0" distL="0" distR="0" wp14:anchorId="471F516D" wp14:editId="0E37E821">
            <wp:extent cx="5400000" cy="2743200"/>
            <wp:effectExtent l="0" t="0" r="0" b="0"/>
            <wp:docPr id="40" name="Diagram 40" descr="">
              <a:extLst xmlns:a="http://schemas.openxmlformats.org/drawingml/2006/main">
                <a:ext uri="{FF2B5EF4-FFF2-40B4-BE49-F238E27FC236}">
                  <a16:creationId xmlns:a16="http://schemas.microsoft.com/office/drawing/2014/main" id="{642CA512-D35B-49CD-9B57-4DADC002B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C30B71" w:rsidR="0043036C" w:rsidP="00C30B71" w:rsidRDefault="00605A11" w14:paraId="4E28C5E4" w14:textId="0D6EDC83">
      <w:pPr>
        <w:pStyle w:val="Klla"/>
      </w:pPr>
      <w:r w:rsidRPr="00C30B71">
        <w:t>Källa: CDIAC och EDGAR 2019</w:t>
      </w:r>
      <w:r w:rsidRPr="00C30B71" w:rsidR="003931CE">
        <w:t>.</w:t>
      </w:r>
    </w:p>
    <w:p w:rsidRPr="006B7451" w:rsidR="00605A11" w:rsidP="0067314B" w:rsidRDefault="0043036C" w14:paraId="7DF6C248" w14:textId="7610D709">
      <w:pPr>
        <w:pStyle w:val="Normalutanindragellerluft"/>
        <w:spacing w:before="150"/>
      </w:pPr>
      <w:r w:rsidRPr="006B7451">
        <w:t xml:space="preserve">Global samverkan är en förutsättning för en effektiv </w:t>
      </w:r>
      <w:proofErr w:type="spellStart"/>
      <w:r w:rsidRPr="006B7451">
        <w:t>klimatpolitik</w:t>
      </w:r>
      <w:proofErr w:type="spellEnd"/>
      <w:r w:rsidRPr="006B7451">
        <w:t xml:space="preserve">. Klimatavtalet från Paris och de preciseringar av miljökvalitetsmålet Begränsad klimatpåverkan som </w:t>
      </w:r>
      <w:r w:rsidRPr="006B7451">
        <w:lastRenderedPageBreak/>
        <w:t>riksdagen beslutat med anledning av det nya klimatavtalet är positiva. För att på kort och lång sikt kunna driva industri</w:t>
      </w:r>
      <w:r w:rsidR="00FA3C6D">
        <w:t xml:space="preserve"> och</w:t>
      </w:r>
      <w:r w:rsidRPr="006B7451">
        <w:t xml:space="preserve"> handel</w:t>
      </w:r>
      <w:r w:rsidR="00662789">
        <w:t>,</w:t>
      </w:r>
      <w:r w:rsidRPr="006B7451">
        <w:t xml:space="preserve"> och därmed i förlängningen lyckas få till jobb och välfärd, måste det som faktiskt släpps ut i Sverige i förhållande till det andra släpper ut tas med i beräkningen då beslut fattas om Sveriges utsläppsminskningar. I Sverige fasades stora delar av användningen av fossila bränslen ut på 70- och 80-talet, bland annat genom en omställning inom uppvärmning. Detta har tillsammans med en nära koldioxidfri elproduktion resulterat i att Sverige i princip har den industrialiserade världens lägsta utsläpp per capita, trots betydande behov av uppvärmning till följd av vårt kalla klimat. Sverige står för endast drygt en promille av världens totala utsläpp av växthusgaser, i paritet med andelen av världens befolkning. Sveriges andel är ännu lägre om hänsyn tas till förändrad markanvändning. Därför är det inte rimligt att Sverige utan vidare ska ta på sig betydligt större utsläppsminskningar än andra länder. Sveriges linje vid förhandlingar i EU och på global nivå måste vara att de nationer som släpper ut mest också ska ha de största åtagandena att minska sina utsläpp när det kommer till </w:t>
      </w:r>
      <w:proofErr w:type="spellStart"/>
      <w:r w:rsidRPr="006B7451">
        <w:t>bördefördelningen</w:t>
      </w:r>
      <w:proofErr w:type="spellEnd"/>
      <w:r w:rsidRPr="006B7451">
        <w:t xml:space="preserve"> inom EU och globalt.</w:t>
      </w:r>
    </w:p>
    <w:p w:rsidRPr="0067314B" w:rsidR="007A7185" w:rsidP="005D79A3" w:rsidRDefault="007A7185" w14:paraId="74EDB4FA" w14:textId="7C81845A">
      <w:pPr>
        <w:pStyle w:val="Tabellrubrik"/>
        <w:keepNext/>
      </w:pPr>
      <w:r w:rsidRPr="0067314B">
        <w:t xml:space="preserve">Figur </w:t>
      </w:r>
      <w:r w:rsidR="0067314B">
        <w:t>24</w:t>
      </w:r>
      <w:r w:rsidRPr="0067314B">
        <w:t xml:space="preserve"> Jämförelse av elproduktion, 2020</w:t>
      </w:r>
    </w:p>
    <w:p w:rsidRPr="006B7451" w:rsidR="00D017CA" w:rsidP="00E92113" w:rsidRDefault="00D017CA" w14:paraId="64A871AB" w14:textId="01C1762A">
      <w:pPr>
        <w:ind w:firstLine="0"/>
        <w:rPr>
          <w:b/>
        </w:rPr>
      </w:pPr>
      <w:r w:rsidRPr="006B7451">
        <w:rPr>
          <w:noProof/>
          <w14:numSpacing w14:val="default"/>
        </w:rPr>
        <w:drawing>
          <wp:inline distT="0" distB="0" distL="0" distR="0" wp14:anchorId="41E56593" wp14:editId="560465C7">
            <wp:extent cx="5400000" cy="2743200"/>
            <wp:effectExtent l="0" t="0" r="0" b="0"/>
            <wp:docPr id="41" name="Diagram 41" descr="">
              <a:extLst xmlns:a="http://schemas.openxmlformats.org/drawingml/2006/main">
                <a:ext uri="{FF2B5EF4-FFF2-40B4-BE49-F238E27FC236}">
                  <a16:creationId xmlns:a16="http://schemas.microsoft.com/office/drawing/2014/main" id="{25D0279F-AEBE-4FC8-9737-C5AF4EA7F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D46AAC" w:rsidR="00011447" w:rsidP="00D46AAC" w:rsidRDefault="00D017CA" w14:paraId="5D1597B4" w14:textId="00B4E7A2">
      <w:pPr>
        <w:pStyle w:val="Klla"/>
      </w:pPr>
      <w:r w:rsidRPr="00D46AAC">
        <w:t xml:space="preserve">Källa: BP </w:t>
      </w:r>
      <w:proofErr w:type="spellStart"/>
      <w:r w:rsidRPr="00D46AAC">
        <w:t>Statistical</w:t>
      </w:r>
      <w:proofErr w:type="spellEnd"/>
      <w:r w:rsidRPr="00D46AAC">
        <w:t xml:space="preserve"> </w:t>
      </w:r>
      <w:proofErr w:type="spellStart"/>
      <w:r w:rsidRPr="00D46AAC">
        <w:t>review</w:t>
      </w:r>
      <w:proofErr w:type="spellEnd"/>
      <w:r w:rsidRPr="00D46AAC">
        <w:t xml:space="preserve"> </w:t>
      </w:r>
      <w:proofErr w:type="spellStart"/>
      <w:r w:rsidRPr="00D46AAC" w:rsidR="007A7185">
        <w:t>of</w:t>
      </w:r>
      <w:proofErr w:type="spellEnd"/>
      <w:r w:rsidRPr="00D46AAC" w:rsidR="007A7185">
        <w:t xml:space="preserve"> World Energy and </w:t>
      </w:r>
      <w:proofErr w:type="spellStart"/>
      <w:r w:rsidRPr="00D46AAC" w:rsidR="007A7185">
        <w:t>Ember</w:t>
      </w:r>
      <w:proofErr w:type="spellEnd"/>
      <w:r w:rsidRPr="00D46AAC" w:rsidR="007A7185">
        <w:t>.</w:t>
      </w:r>
    </w:p>
    <w:p w:rsidRPr="006B7451" w:rsidR="00054CAF" w:rsidP="00D46AAC" w:rsidRDefault="00054CAF" w14:paraId="2069BFFD" w14:textId="388DCCC2">
      <w:pPr>
        <w:pStyle w:val="Normalutanindragellerluft"/>
        <w:spacing w:before="150"/>
      </w:pPr>
      <w:r w:rsidRPr="006B7451">
        <w:t>Driften för svensk elproduktion är nästintill fri från koldioxidutsläpp. Däremot uppstår det utsläpp vid utvinning av naturresurser, byggnation, hantering av restprodukter och nedmontering av kraftverken. Den energiproduktion som sammantaget har lägst koldioxidutsläpp är kärnkraft följt av vattenkraft på 2,5 gram respektive 4 gram koldioxidekvivalenter p</w:t>
      </w:r>
      <w:r w:rsidR="00BD3EDB">
        <w:t>er</w:t>
      </w:r>
      <w:r w:rsidRPr="006B7451">
        <w:t xml:space="preserve"> kWh. Detta kan jämföras med </w:t>
      </w:r>
      <w:r w:rsidRPr="006B7451" w:rsidR="00FB4F28">
        <w:t>kolkraft på 740–910 gram koldioxidekvivalenter per kWh.</w:t>
      </w:r>
    </w:p>
    <w:p w:rsidRPr="00D46AAC" w:rsidR="00AE1A87" w:rsidP="005D79A3" w:rsidRDefault="00AE1A87" w14:paraId="13F72075" w14:textId="71FC61CD">
      <w:pPr>
        <w:pStyle w:val="Tabellrubrik"/>
        <w:keepNext/>
      </w:pPr>
      <w:r w:rsidRPr="00D46AAC">
        <w:lastRenderedPageBreak/>
        <w:t xml:space="preserve">Figur </w:t>
      </w:r>
      <w:r w:rsidR="00D46AAC">
        <w:t>25</w:t>
      </w:r>
      <w:r w:rsidRPr="00D46AAC">
        <w:t xml:space="preserve"> </w:t>
      </w:r>
      <w:r w:rsidRPr="00D46AAC" w:rsidR="009038AB">
        <w:t>Livscykelutsläpp</w:t>
      </w:r>
      <w:r w:rsidRPr="00D46AAC">
        <w:t xml:space="preserve"> </w:t>
      </w:r>
      <w:r w:rsidRPr="00D46AAC" w:rsidR="00C4042E">
        <w:t xml:space="preserve">för </w:t>
      </w:r>
      <w:r w:rsidRPr="00D46AAC" w:rsidR="006636AC">
        <w:t>fossilfria</w:t>
      </w:r>
      <w:r w:rsidRPr="00D46AAC" w:rsidR="00C4042E">
        <w:t xml:space="preserve"> energislag, CO</w:t>
      </w:r>
      <w:r w:rsidRPr="00D46AAC" w:rsidR="00C4042E">
        <w:rPr>
          <w:vertAlign w:val="subscript"/>
        </w:rPr>
        <w:t>2</w:t>
      </w:r>
      <w:r w:rsidRPr="00D46AAC" w:rsidR="00C4042E">
        <w:t xml:space="preserve"> g/kWh</w:t>
      </w:r>
    </w:p>
    <w:p w:rsidRPr="006B7451" w:rsidR="00AE1A87" w:rsidP="00AE1A87" w:rsidRDefault="00AE1A87" w14:paraId="0AA4F04A" w14:textId="77777777">
      <w:pPr>
        <w:ind w:firstLine="0"/>
      </w:pPr>
      <w:r w:rsidRPr="006B7451">
        <w:rPr>
          <w:noProof/>
          <w14:numSpacing w14:val="default"/>
        </w:rPr>
        <w:drawing>
          <wp:inline distT="0" distB="0" distL="0" distR="0" wp14:anchorId="5B66EF4A" wp14:editId="0179DD22">
            <wp:extent cx="5400000" cy="2743200"/>
            <wp:effectExtent l="0" t="0" r="0" b="0"/>
            <wp:docPr id="17" name="Diagram 17" descr="">
              <a:extLst xmlns:a="http://schemas.openxmlformats.org/drawingml/2006/main">
                <a:ext uri="{FF2B5EF4-FFF2-40B4-BE49-F238E27FC236}">
                  <a16:creationId xmlns:a16="http://schemas.microsoft.com/office/drawing/2014/main" id="{D0030867-BDEF-4F95-AA2D-11D3D9E11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F3099C" w:rsidR="00907E37" w:rsidP="00F3099C" w:rsidRDefault="00C4042E" w14:paraId="74A2FACE" w14:textId="56138F47">
      <w:pPr>
        <w:pStyle w:val="Klla"/>
      </w:pPr>
      <w:r w:rsidRPr="00F3099C">
        <w:t>Källa: Vattenfall</w:t>
      </w:r>
      <w:r w:rsidR="00F3099C">
        <w:t>.</w:t>
      </w:r>
    </w:p>
    <w:p w:rsidRPr="006B7451" w:rsidR="00BB21AB" w:rsidP="00F3099C" w:rsidRDefault="009038AB" w14:paraId="2B7CAC52" w14:textId="22C6549A">
      <w:pPr>
        <w:pStyle w:val="Normalutanindragellerluft"/>
        <w:spacing w:before="150"/>
      </w:pPr>
      <w:r w:rsidRPr="006B7451">
        <w:t>Det är dock inte enbart en fråga om utsläpp utan även om resursåtgång per producera</w:t>
      </w:r>
      <w:r w:rsidR="00011F06">
        <w:t>d</w:t>
      </w:r>
      <w:r w:rsidRPr="006B7451">
        <w:t xml:space="preserve"> enhet el. För att bygga ett vindkraftverk på 2</w:t>
      </w:r>
      <w:r w:rsidR="005F7C75">
        <w:t>,</w:t>
      </w:r>
      <w:r w:rsidRPr="006B7451">
        <w:t>0 MW går det exempelvis åt 250 ton stål och järn, 750 ton betong och 29 ton glasfibermaterial och plaster. Resursanvändningen är en viktig faktor vid en utbyggnad av elproduktionen, där val av energislag påverkar mängden betong som kommer att behövas samt förberedelser för hantering av avfall som inte kan återvinnas, exempelvis glasfiberkomposit.</w:t>
      </w:r>
    </w:p>
    <w:p w:rsidRPr="00941EA9" w:rsidR="00907E37" w:rsidP="00026FE5" w:rsidRDefault="00907E37" w14:paraId="68EB8673" w14:textId="74E7F31E">
      <w:pPr>
        <w:pStyle w:val="Tabellrubrik"/>
        <w:keepNext/>
      </w:pPr>
      <w:r w:rsidRPr="00941EA9">
        <w:t xml:space="preserve">Figur </w:t>
      </w:r>
      <w:r w:rsidRPr="00941EA9" w:rsidR="00941EA9">
        <w:t>26</w:t>
      </w:r>
      <w:r w:rsidRPr="00941EA9">
        <w:t xml:space="preserve"> Resursåtgång för olika energislag, ton per TW</w:t>
      </w:r>
      <w:r w:rsidRPr="00941EA9" w:rsidR="003931CE">
        <w:t>h</w:t>
      </w:r>
    </w:p>
    <w:p w:rsidRPr="006B7451" w:rsidR="00907E37" w:rsidP="00907E37" w:rsidRDefault="00907E37" w14:paraId="2E91E09D" w14:textId="77777777">
      <w:pPr>
        <w:ind w:firstLine="0"/>
        <w:rPr>
          <w:b/>
        </w:rPr>
      </w:pPr>
      <w:r w:rsidRPr="006B7451">
        <w:rPr>
          <w:noProof/>
          <w14:numSpacing w14:val="default"/>
        </w:rPr>
        <w:drawing>
          <wp:inline distT="0" distB="0" distL="0" distR="0" wp14:anchorId="17A7B4E0" wp14:editId="42EA6AD2">
            <wp:extent cx="5400000" cy="2343150"/>
            <wp:effectExtent l="0" t="0" r="0" b="0"/>
            <wp:docPr id="18" name="Diagram 18" descr="">
              <a:extLst xmlns:a="http://schemas.openxmlformats.org/drawingml/2006/main">
                <a:ext uri="{FF2B5EF4-FFF2-40B4-BE49-F238E27FC236}">
                  <a16:creationId xmlns:a16="http://schemas.microsoft.com/office/drawing/2014/main" id="{6C047FF0-0FE1-42BF-9F65-0BC3C05C4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941EA9" w:rsidR="00907E37" w:rsidP="00941EA9" w:rsidRDefault="00907E37" w14:paraId="4106DD9E" w14:textId="3726DB96">
      <w:pPr>
        <w:pStyle w:val="Klla"/>
      </w:pPr>
      <w:r w:rsidRPr="00941EA9">
        <w:t>Källa: USA:s energidepartement, 2015.</w:t>
      </w:r>
      <w:r w:rsidRPr="00941EA9" w:rsidR="004773BF">
        <w:t xml:space="preserve"> </w:t>
      </w:r>
    </w:p>
    <w:p w:rsidRPr="006B7451" w:rsidR="0043036C" w:rsidP="00941EA9" w:rsidRDefault="0043036C" w14:paraId="62EF287D" w14:textId="40831102">
      <w:pPr>
        <w:pStyle w:val="Normalutanindragellerluft"/>
        <w:spacing w:before="150"/>
      </w:pPr>
      <w:r w:rsidRPr="006B7451">
        <w:t>För att på kort och lång sikt kunna driva industri</w:t>
      </w:r>
      <w:r w:rsidR="005F7C75">
        <w:t xml:space="preserve"> och</w:t>
      </w:r>
      <w:r w:rsidRPr="006B7451">
        <w:t xml:space="preserve"> handel</w:t>
      </w:r>
      <w:r w:rsidR="005F7C75">
        <w:t>,</w:t>
      </w:r>
      <w:r w:rsidRPr="006B7451">
        <w:t xml:space="preserve"> och därmed i förläng</w:t>
      </w:r>
      <w:r w:rsidR="00026FE5">
        <w:softHyphen/>
      </w:r>
      <w:r w:rsidRPr="006B7451">
        <w:t xml:space="preserve">ningen lyckas få till jobb och välfärd, måste det som faktiskt släpps ut i Sverige i förhållande till det </w:t>
      </w:r>
      <w:r w:rsidRPr="006B7451" w:rsidR="001D71AC">
        <w:t xml:space="preserve">som </w:t>
      </w:r>
      <w:r w:rsidRPr="006B7451">
        <w:t>andra släpper ut tas med i beräkningen då beslut fattas om Sveriges utsläppsminskningar. I Sverige fasades stora delar av användningen av fossila bränslen ut på 70- och 80-talet, bland annat genom en omställning inom uppvärmning. Detta har tillsammans med en nära koldioxidfri elproduktion resulterat i att Sverige i princip har den industrialiserade världens lägsta utsläpp per capita, trots betydande behov av uppvärmning till följd av vårt kalla klimat.</w:t>
      </w:r>
    </w:p>
    <w:p w:rsidRPr="006B7451" w:rsidR="0043036C" w:rsidP="003931CE" w:rsidRDefault="0043036C" w14:paraId="0BF13B13" w14:textId="77777777">
      <w:pPr>
        <w:pStyle w:val="Rubrik3"/>
      </w:pPr>
      <w:bookmarkStart w:name="_Toc121752655" w:id="150"/>
      <w:r w:rsidRPr="006B7451">
        <w:lastRenderedPageBreak/>
        <w:t>Strategi för klimatförändringar</w:t>
      </w:r>
      <w:bookmarkEnd w:id="150"/>
    </w:p>
    <w:p w:rsidRPr="006B7451" w:rsidR="0043036C" w:rsidP="00941EA9" w:rsidRDefault="0043036C" w14:paraId="4073FE73" w14:textId="2B8D1A82">
      <w:pPr>
        <w:pStyle w:val="Normalutanindragellerluft"/>
      </w:pPr>
      <w:r w:rsidRPr="006B7451">
        <w:t xml:space="preserve">Sverigedemokraterna har ett stort engagemang för miljön, både nationellt, regionalt och globalt, och vi ser allvarligt på de ökade utsläppen av växthusgaser i världen och de effekter </w:t>
      </w:r>
      <w:r w:rsidR="002961F4">
        <w:t xml:space="preserve">som </w:t>
      </w:r>
      <w:r w:rsidRPr="006B7451">
        <w:t>detta kan få.</w:t>
      </w:r>
    </w:p>
    <w:p w:rsidRPr="006B7451" w:rsidR="0043036C" w:rsidP="0043036C" w:rsidRDefault="0043036C" w14:paraId="3CF5649C" w14:textId="41A5E24C">
      <w:r w:rsidRPr="006B7451">
        <w:t xml:space="preserve">Det är samtidigt viktigt att klimatarbetet bygger på en nyttokostnadsanalys. Det är fullt möjligt att världen står inför betydande temperaturökningar och följderna av detta måste tas på stort allvar. Samtidigt är debatten bland forskarna levande kring vilka konsekvenser olika nivåer av temperaturökning får </w:t>
      </w:r>
      <w:r w:rsidRPr="006B7451" w:rsidR="001D71AC">
        <w:t>(</w:t>
      </w:r>
      <w:r w:rsidRPr="006B7451">
        <w:t>vilket bland annat kan noteras av slutsatserna som dragits av 2018 års vinnare av Sveriges Riksbanks pris i ekonomisk vetenskap till Alfred Nobels minne</w:t>
      </w:r>
      <w:r w:rsidRPr="006B7451" w:rsidR="001D71AC">
        <w:t>)</w:t>
      </w:r>
      <w:r w:rsidRPr="006B7451">
        <w:t>.</w:t>
      </w:r>
    </w:p>
    <w:p w:rsidRPr="006B7451" w:rsidR="0043036C" w:rsidP="0043036C" w:rsidRDefault="0043036C" w14:paraId="2D217E8D" w14:textId="77777777">
      <w:r w:rsidRPr="006B7451">
        <w:t>I en oklar situation förhåller sig Sverigedemokraterna till ett mer pessimistiskt scenario, att utsläppen av växthusgaser är negativa för den globala utvecklingen och att Sverige bör bidra till att lösa, dämpa eller på annat sätt motverka effekterna av denna problematik. Här intar ekonomisk utveckling en viktig roll, eftersom brist på resurser gör länder mer sårbara för klimatets nycker.</w:t>
      </w:r>
    </w:p>
    <w:p w:rsidRPr="006B7451" w:rsidR="0043036C" w:rsidP="0043036C" w:rsidRDefault="0043036C" w14:paraId="7900C4CE" w14:textId="77777777">
      <w:r w:rsidRPr="006B7451">
        <w:t>Vi kan också vara tämligen säkra på att klimatet kommer att variera och att Sverige och andra länder kommer att ställas inför utmaningar till följd av extremväderhändelser, detta oavsett vilken den bakomliggande orsaken är och oavsett hur många miljarder vi väljer att lägga på olika klimatsatsningar.</w:t>
      </w:r>
    </w:p>
    <w:p w:rsidRPr="006B7451" w:rsidR="0043036C" w:rsidP="0043036C" w:rsidRDefault="0043036C" w14:paraId="2D8B0E05" w14:textId="3AA37495">
      <w:r w:rsidRPr="006B7451">
        <w:t>Sveriges nationella beredskap för klimatförändringar bör förstärkas. Detta berör allt från livsmedelsförsörjning och infrastruktur till andra aspekter på beredskap inför exempelvis skogsbränder och översvämningar</w:t>
      </w:r>
      <w:r w:rsidRPr="006B7451" w:rsidR="0080621D">
        <w:t>.</w:t>
      </w:r>
    </w:p>
    <w:p w:rsidRPr="006B7451" w:rsidR="00DF00C4" w:rsidP="00ED5D60" w:rsidRDefault="00DF00C4" w14:paraId="4AA5A0F8" w14:textId="77777777">
      <w:pPr>
        <w:pStyle w:val="Rubrik2numrerat"/>
      </w:pPr>
      <w:bookmarkStart w:name="_Toc121752656" w:id="151"/>
      <w:r w:rsidRPr="006B7451">
        <w:t>Fossilfri elproduktion</w:t>
      </w:r>
      <w:bookmarkEnd w:id="151"/>
    </w:p>
    <w:p w:rsidRPr="006B7451" w:rsidR="00DF00C4" w:rsidP="00941EA9" w:rsidRDefault="00DF00C4" w14:paraId="4F1D2B0D" w14:textId="77777777">
      <w:pPr>
        <w:pStyle w:val="Normalutanindragellerluft"/>
      </w:pPr>
      <w:r w:rsidRPr="006B7451">
        <w:rPr>
          <w:b/>
        </w:rPr>
        <w:t>Sverigedemokraternas förslag</w:t>
      </w:r>
      <w:r w:rsidRPr="00941EA9">
        <w:t>:</w:t>
      </w:r>
      <w:r w:rsidRPr="006B7451">
        <w:t xml:space="preserve"> En forskningsreaktor för fjärde generationens kärnkraft ska upprättas.</w:t>
      </w:r>
    </w:p>
    <w:p w:rsidRPr="006B7451" w:rsidR="00DF00C4" w:rsidP="00941EA9" w:rsidRDefault="00DF00C4" w14:paraId="2D096D36" w14:textId="35F70DA8">
      <w:pPr>
        <w:pStyle w:val="Normalutanindragellerluft"/>
        <w:spacing w:before="150"/>
      </w:pPr>
      <w:r w:rsidRPr="006B7451">
        <w:t xml:space="preserve">Kärnkraften utgör ett besynnerligt kapitel i den svenska klimatdebatten. Medan de mest obetydliga och ineffektiva åtgärder lyfts fram som en fråga om liv och död så förhåller man sig väldigt kallsinnigt till kärnkraften, som står för ca 40 procent av den svenska elproduktionen. Nedläggningen av två reaktorer </w:t>
      </w:r>
      <w:r w:rsidR="002D5B8F">
        <w:t>vid</w:t>
      </w:r>
      <w:r w:rsidRPr="006B7451">
        <w:t xml:space="preserve"> Ringhals är högst aktuell, vilket regeringen </w:t>
      </w:r>
      <w:r w:rsidRPr="006B7451" w:rsidR="001D71AC">
        <w:t>har behandlat</w:t>
      </w:r>
      <w:r w:rsidRPr="006B7451">
        <w:t xml:space="preserve"> som om diskussionen om växthusgaser inte fanns.</w:t>
      </w:r>
    </w:p>
    <w:p w:rsidRPr="006B7451" w:rsidR="00DF00C4" w:rsidP="00026FE5" w:rsidRDefault="00DF00C4" w14:paraId="5DAF8223" w14:textId="7F3062FF">
      <w:r w:rsidRPr="006B7451">
        <w:t xml:space="preserve">Sverigedemokraterna driver </w:t>
      </w:r>
      <w:r w:rsidR="00125A4E">
        <w:t xml:space="preserve">en </w:t>
      </w:r>
      <w:r w:rsidRPr="006B7451">
        <w:t>motsatt linje och förordar att kärnkraften inte bara ska bevaras, utan också utvecklas. Sverige kan genom att finansiera en forsknings</w:t>
      </w:r>
      <w:r w:rsidR="00026FE5">
        <w:softHyphen/>
      </w:r>
      <w:r w:rsidRPr="006B7451">
        <w:t>reaktor bidra till utvecklingen av fjärde generationens kärnkraft, som skulle tillåta ett radikalt bättre nyttjande av kärnbränsle och samtidigt minska produktionen av kärnavfall.</w:t>
      </w:r>
    </w:p>
    <w:p w:rsidRPr="006B7451" w:rsidR="00E25713" w:rsidP="00E25713" w:rsidRDefault="00E25713" w14:paraId="140C79BC" w14:textId="2881AAAF">
      <w:r w:rsidRPr="006B7451">
        <w:t xml:space="preserve">Förslaget beräknas öka </w:t>
      </w:r>
      <w:r w:rsidRPr="006B7451" w:rsidR="00D241F3">
        <w:t>utgifterna</w:t>
      </w:r>
      <w:r w:rsidRPr="006B7451">
        <w:t xml:space="preserve"> i statens budget med 0,15 miljarder kronor 2022.</w:t>
      </w:r>
    </w:p>
    <w:p w:rsidRPr="006B7451" w:rsidR="00DF00C4" w:rsidP="00ED5D60" w:rsidRDefault="00DF00C4" w14:paraId="31206A88" w14:textId="0DDCE106">
      <w:pPr>
        <w:pStyle w:val="Rubrik2numrerat"/>
      </w:pPr>
      <w:bookmarkStart w:name="_Toc121752657" w:id="152"/>
      <w:r w:rsidRPr="006B7451">
        <w:t>Internationella klimatinvesteringar</w:t>
      </w:r>
      <w:r w:rsidRPr="006B7451" w:rsidR="00E25713">
        <w:t xml:space="preserve"> och bio-CCS</w:t>
      </w:r>
      <w:bookmarkEnd w:id="152"/>
    </w:p>
    <w:p w:rsidRPr="006B7451" w:rsidR="00DF00C4" w:rsidP="00941EA9" w:rsidRDefault="005077E1" w14:paraId="43A3B9E0" w14:textId="36EEB390">
      <w:pPr>
        <w:pStyle w:val="Normalutanindragellerluft"/>
      </w:pPr>
      <w:r w:rsidRPr="006B7451">
        <w:rPr>
          <w:b/>
        </w:rPr>
        <w:t>Sverigedemokraternas förslag</w:t>
      </w:r>
      <w:r w:rsidRPr="00941EA9">
        <w:t>:</w:t>
      </w:r>
      <w:r w:rsidRPr="006B7451">
        <w:t xml:space="preserve"> </w:t>
      </w:r>
      <w:r w:rsidRPr="006B7451" w:rsidR="00D018F3">
        <w:t xml:space="preserve">Anslaget för internationella klimatinvesteringar </w:t>
      </w:r>
      <w:r w:rsidRPr="006B7451" w:rsidR="00E25713">
        <w:t>och driftstöd för bio-CCS ska utökas.</w:t>
      </w:r>
    </w:p>
    <w:p w:rsidRPr="006B7451" w:rsidR="005077E1" w:rsidP="00941EA9" w:rsidRDefault="005077E1" w14:paraId="7B1E9160" w14:textId="77777777">
      <w:pPr>
        <w:pStyle w:val="Normalutanindragellerluft"/>
        <w:spacing w:before="150"/>
      </w:pPr>
      <w:r w:rsidRPr="006B7451">
        <w:t xml:space="preserve">Ett ökat fokus behövs på klimatfrågans internationella dimension. Beräkningar visar tydligt att internationellt samarbete, genom exempelvis CDM (Clean </w:t>
      </w:r>
      <w:proofErr w:type="spellStart"/>
      <w:r w:rsidRPr="006B7451">
        <w:t>Development</w:t>
      </w:r>
      <w:proofErr w:type="spellEnd"/>
      <w:r w:rsidRPr="006B7451">
        <w:t xml:space="preserve"> </w:t>
      </w:r>
      <w:proofErr w:type="spellStart"/>
      <w:r w:rsidRPr="006B7451">
        <w:t>Mechanism</w:t>
      </w:r>
      <w:proofErr w:type="spellEnd"/>
      <w:r w:rsidRPr="006B7451">
        <w:t xml:space="preserve">), utgör lågt hängande frukter för utsläppsminskningar i ett globalt </w:t>
      </w:r>
      <w:r w:rsidRPr="006B7451">
        <w:lastRenderedPageBreak/>
        <w:t>perspektiv. Här kan utsläppsminskningar göras till en kostnad av 60 kronor per ton att jämföra med regeringens Klimatklivet där beräkningar just nu talar om en kostnad på 400 kronor per ton. Satsningarna på internationella klimatinvesteringar bör ökas på bekostnad av ineffektiva åtgärder i Sverige. Det är positivt att arbete pågår med nya internationella samarbetsformer utifrån artikel 6 i klimatavtalet från Paris. Sverige bör inom ramen för det globala klimatarbetet högre prioritera arbetet med att snabbt sjösätta nya internationella samarbetsformer för verkningsfulla internationella insatser för utsläppsminskningar.</w:t>
      </w:r>
    </w:p>
    <w:p w:rsidRPr="006B7451" w:rsidR="005077E1" w:rsidP="005077E1" w:rsidRDefault="005077E1" w14:paraId="5EBC0942" w14:textId="5BCDDBFE">
      <w:r w:rsidRPr="006B7451">
        <w:t xml:space="preserve">Sverigedemokraternas </w:t>
      </w:r>
      <w:proofErr w:type="spellStart"/>
      <w:r w:rsidRPr="006B7451">
        <w:t>klimatpolitik</w:t>
      </w:r>
      <w:proofErr w:type="spellEnd"/>
      <w:r w:rsidRPr="006B7451">
        <w:t xml:space="preserve"> har som utgångspunkt att Sverige har ett av västvärldens allra lägsta utsläpp per capita samt att oljeberoende och utsläpp av växthusgaser i högsta grad är globala frågeställningar. Det ter sig därför naturligt att vidta åtgärder så att satsningar på detta område görs i en internationell kontext, varför vi förordar en ökning av regeringens anslag. Exempel på hur Sverige kan bidra till såväl lägre användning av fossila bränslen som till utveckling är stöd till utbyggnad av vattenkraft, solenergi och annan förnybar energiteknik. Vi vill även bidra internationellt till att bevara och utveckla skogar som hotas att överföras till annan markanvändning, såsom exempelvis i Sydostasien till oljepalmsplanteringar eller i Sydamerika till jordbruks- och betesmarker. Eftersom internationella klimatinvesteringar har visat sig ha en väldigt hög kostnadseffektivitet, föreslås en ökning av anslaget med </w:t>
      </w:r>
      <w:r w:rsidRPr="006B7451" w:rsidR="00FC6910">
        <w:t>50</w:t>
      </w:r>
      <w:r w:rsidRPr="006B7451">
        <w:t xml:space="preserve"> miljoner kronor per år jämfört med regeringens budget.</w:t>
      </w:r>
    </w:p>
    <w:p w:rsidRPr="006B7451" w:rsidR="00E25713" w:rsidP="005077E1" w:rsidRDefault="00E25713" w14:paraId="009579E1" w14:textId="541FEE37">
      <w:r w:rsidRPr="006B7451">
        <w:t xml:space="preserve">Bio-CCS-tekniken kan vidare komma att spela en avgörande betydelse för att vi ska kunna inte bara bromsa </w:t>
      </w:r>
      <w:r w:rsidR="006A0E1B">
        <w:t>utan</w:t>
      </w:r>
      <w:r w:rsidRPr="006B7451">
        <w:t xml:space="preserve"> även sänka halten koldioxid i vår atmosfär. Regeringen har anslagit 10 miljoner per år under tre år för att bygga upp formerna för framtidens handelssystem med CCS. Detta bör ske i en snabbare takt och därför anslås extra medel.</w:t>
      </w:r>
    </w:p>
    <w:p w:rsidRPr="006B7451" w:rsidR="00E25713" w:rsidP="005077E1" w:rsidRDefault="00E25713" w14:paraId="1752C45E" w14:textId="2C268690">
      <w:r w:rsidRPr="006B7451">
        <w:t xml:space="preserve">Förslaget beräknas </w:t>
      </w:r>
      <w:r w:rsidRPr="006B7451" w:rsidR="00D241F3">
        <w:t>öka</w:t>
      </w:r>
      <w:r w:rsidRPr="006B7451">
        <w:t xml:space="preserve"> utgifterna i statens budget med 0,3</w:t>
      </w:r>
      <w:r w:rsidRPr="006B7451" w:rsidR="00D241F3">
        <w:t>0</w:t>
      </w:r>
      <w:r w:rsidRPr="006B7451">
        <w:t xml:space="preserve"> miljarder kronor 2022.</w:t>
      </w:r>
    </w:p>
    <w:p w:rsidRPr="006B7451" w:rsidR="00DF00C4" w:rsidP="00ED5D60" w:rsidRDefault="00DF00C4" w14:paraId="6EBC0CB4" w14:textId="77777777">
      <w:pPr>
        <w:pStyle w:val="Rubrik2numrerat"/>
      </w:pPr>
      <w:bookmarkStart w:name="_Toc121752658" w:id="153"/>
      <w:r w:rsidRPr="006B7451">
        <w:t>Laddinfrastruktur</w:t>
      </w:r>
      <w:bookmarkEnd w:id="153"/>
    </w:p>
    <w:p w:rsidRPr="006B7451" w:rsidR="005077E1" w:rsidP="00941EA9" w:rsidRDefault="005077E1" w14:paraId="3F404C87" w14:textId="12599C25">
      <w:pPr>
        <w:pStyle w:val="Normalutanindragellerluft"/>
      </w:pPr>
      <w:r w:rsidRPr="006B7451">
        <w:rPr>
          <w:b/>
        </w:rPr>
        <w:t>Sverigedemokraternas förslag:</w:t>
      </w:r>
      <w:r w:rsidRPr="006B7451">
        <w:t xml:space="preserve"> </w:t>
      </w:r>
      <w:r w:rsidRPr="006B7451" w:rsidR="00D018F3">
        <w:t xml:space="preserve">Ett riktat stöd för </w:t>
      </w:r>
      <w:proofErr w:type="spellStart"/>
      <w:r w:rsidRPr="006B7451" w:rsidR="00D018F3">
        <w:t>laddinfrastruktur</w:t>
      </w:r>
      <w:proofErr w:type="spellEnd"/>
      <w:r w:rsidRPr="006B7451" w:rsidR="00D018F3">
        <w:t xml:space="preserve"> ska införas.</w:t>
      </w:r>
    </w:p>
    <w:p w:rsidRPr="006B7451" w:rsidR="00E25713" w:rsidP="00941EA9" w:rsidRDefault="005077E1" w14:paraId="640935BF" w14:textId="1FEB8C36">
      <w:pPr>
        <w:pStyle w:val="Normalutanindragellerluft"/>
        <w:spacing w:before="150"/>
      </w:pPr>
      <w:r w:rsidRPr="006B7451">
        <w:t xml:space="preserve">Det är positivt med en ökad elektrifiering av fordonsflottan och det är statens roll att möjliggöra denna elektrifiering genom att stödja byggandet av den </w:t>
      </w:r>
      <w:proofErr w:type="spellStart"/>
      <w:r w:rsidRPr="006B7451">
        <w:t>laddinfrastruktur</w:t>
      </w:r>
      <w:proofErr w:type="spellEnd"/>
      <w:r w:rsidRPr="006B7451">
        <w:t xml:space="preserve"> som krävs. Därför inrättas ett anslag om </w:t>
      </w:r>
      <w:r w:rsidRPr="006B7451" w:rsidR="00D018F3">
        <w:t>3</w:t>
      </w:r>
      <w:r w:rsidRPr="006B7451">
        <w:t xml:space="preserve">50 miljoner kronor årligen, som riktat stöd för utbyggnad av </w:t>
      </w:r>
      <w:proofErr w:type="spellStart"/>
      <w:r w:rsidRPr="006B7451">
        <w:t>laddinfrastrukturen</w:t>
      </w:r>
      <w:proofErr w:type="spellEnd"/>
      <w:r w:rsidRPr="006B7451">
        <w:t xml:space="preserve"> för elfordon vid hem och i andra lokala miljöer. Detta anslag bör särskilt riktas mot de regioner där utbyggnaden i</w:t>
      </w:r>
      <w:r w:rsidRPr="006B7451" w:rsidR="00D018F3">
        <w:t xml:space="preserve"> </w:t>
      </w:r>
      <w:r w:rsidRPr="006B7451">
        <w:t xml:space="preserve">dag går långsamt, det vill säga, framför allt </w:t>
      </w:r>
      <w:r w:rsidR="008A0E93">
        <w:t>mot</w:t>
      </w:r>
      <w:r w:rsidRPr="006B7451">
        <w:t xml:space="preserve"> mindre befolkningstäta områden</w:t>
      </w:r>
      <w:r w:rsidRPr="006B7451" w:rsidR="00E25713">
        <w:t>.</w:t>
      </w:r>
    </w:p>
    <w:p w:rsidRPr="006B7451" w:rsidR="00E25713" w:rsidP="00E25713" w:rsidRDefault="00E25713" w14:paraId="6805E85F" w14:textId="72809447">
      <w:r w:rsidRPr="006B7451">
        <w:t>Förslaget beräknas öka utgifterna i statens budget med 0,35 miljarder kronor 2022.</w:t>
      </w:r>
    </w:p>
    <w:p w:rsidRPr="006B7451" w:rsidR="00DF00C4" w:rsidP="00ED5D60" w:rsidRDefault="00DF00C4" w14:paraId="33AEAC31" w14:textId="77777777">
      <w:pPr>
        <w:pStyle w:val="Rubrik2numrerat"/>
      </w:pPr>
      <w:bookmarkStart w:name="_Toc121752659" w:id="154"/>
      <w:r w:rsidRPr="006B7451">
        <w:t>Ökade forskningsanslag för miljöteknik och bioekonomi</w:t>
      </w:r>
      <w:bookmarkEnd w:id="154"/>
    </w:p>
    <w:p w:rsidRPr="006B7451" w:rsidR="00B93C9C" w:rsidP="00D005E7" w:rsidRDefault="00FC6910" w14:paraId="4F1092D1" w14:textId="77777777">
      <w:pPr>
        <w:pStyle w:val="Normalutanindragellerluft"/>
      </w:pPr>
      <w:r w:rsidRPr="006B7451">
        <w:rPr>
          <w:b/>
        </w:rPr>
        <w:t>Sverigedemokraternas förslag</w:t>
      </w:r>
      <w:r w:rsidRPr="00D005E7">
        <w:t xml:space="preserve">: </w:t>
      </w:r>
      <w:r w:rsidRPr="006B7451">
        <w:t>Forskningen inom miljöteknik och bioekonomi ska stärkas.</w:t>
      </w:r>
    </w:p>
    <w:p w:rsidRPr="006B7451" w:rsidR="00DF00C4" w:rsidP="00D005E7" w:rsidRDefault="00FC6910" w14:paraId="49DD2C8C" w14:textId="78906F21">
      <w:pPr>
        <w:pStyle w:val="Normalutanindragellerluft"/>
        <w:spacing w:before="150"/>
      </w:pPr>
      <w:r w:rsidRPr="006B7451">
        <w:t xml:space="preserve">Inom ramen för det som brukar kallas bioekonomi finns en stor potential för ökat utnyttjande av skogens och jordbrukets resurser. Sverige har en fantastisk resurs i form av kunskap och erfarenhet, särskilt inom skogsbruk och utveckling av skogsprodukter. Detta ska bevaras. Det behöver förbli ekonomiskt lönsamt att bruka skogen. Skogen kan leverera råvaran till nya produkter såsom flytande bränslen, textilier och plaster. Inom </w:t>
      </w:r>
      <w:r w:rsidRPr="006B7451">
        <w:lastRenderedPageBreak/>
        <w:t>jordbruket kan nya växtförädlingsmetoder inom bland annat gentekniken skapa nya möjligheter att exempelvis få fram nya sorter som kräver mindre bekämpningsmedel genom resistens mot olika skadegörare. Vi ser behov av en ny modell för EU</w:t>
      </w:r>
      <w:r w:rsidR="00724A63">
        <w:noBreakHyphen/>
      </w:r>
      <w:r w:rsidRPr="006B7451">
        <w:t>lagstiftning som främjar viktig teknikutveckling. Svensk växtförädling bör få förutsättningar att vara i genomredigeringsteknikens framkant. En utvecklad bioekonomi leder till arbetstillfällen och skatteintäkter längs hela förädlingskedjan. Därför behöver forskningen inom miljöteknik och bioenergi ges ökade resurser</w:t>
      </w:r>
      <w:r w:rsidR="00402187">
        <w:t>.</w:t>
      </w:r>
    </w:p>
    <w:p w:rsidRPr="006B7451" w:rsidR="00E25713" w:rsidP="00E25713" w:rsidRDefault="00E25713" w14:paraId="2B06BB01" w14:textId="5D051C4D">
      <w:r w:rsidRPr="006B7451">
        <w:t>Förslaget beräknas öka utgifterna i statens budget med 0,1</w:t>
      </w:r>
      <w:r w:rsidRPr="006B7451" w:rsidR="00D241F3">
        <w:t>0</w:t>
      </w:r>
      <w:r w:rsidRPr="006B7451">
        <w:t xml:space="preserve"> miljarder kronor 2022.</w:t>
      </w:r>
    </w:p>
    <w:p w:rsidRPr="006B7451" w:rsidR="00DF00C4" w:rsidP="00ED5D60" w:rsidRDefault="00D018F3" w14:paraId="4502E1C8" w14:textId="77777777">
      <w:pPr>
        <w:pStyle w:val="Rubrik2numrerat"/>
      </w:pPr>
      <w:bookmarkStart w:name="_Toc121752660" w:id="155"/>
      <w:r w:rsidRPr="006B7451">
        <w:t>Renare närområden</w:t>
      </w:r>
      <w:bookmarkEnd w:id="155"/>
    </w:p>
    <w:p w:rsidRPr="006B7451" w:rsidR="00D018F3" w:rsidP="00F05827" w:rsidRDefault="00D018F3" w14:paraId="1A9C9737" w14:textId="77777777">
      <w:pPr>
        <w:pStyle w:val="Normalutanindragellerluft"/>
      </w:pPr>
      <w:r w:rsidRPr="006B7451">
        <w:rPr>
          <w:b/>
        </w:rPr>
        <w:t>Sverigedemokraternas förslag</w:t>
      </w:r>
      <w:r w:rsidRPr="004608D8">
        <w:t>:</w:t>
      </w:r>
      <w:r w:rsidRPr="006B7451">
        <w:t xml:space="preserve"> Åtgärder för havs- och vattenmiljö samt för sanering och återställning av förorenade områden ska stärkas.</w:t>
      </w:r>
    </w:p>
    <w:p w:rsidRPr="006B7451" w:rsidR="00D018F3" w:rsidP="00F05827" w:rsidRDefault="005077E1" w14:paraId="38B885F7" w14:textId="6E6B66E2">
      <w:pPr>
        <w:pStyle w:val="Normalutanindragellerluft"/>
        <w:spacing w:before="150"/>
      </w:pPr>
      <w:r w:rsidRPr="006B7451">
        <w:t>Havs</w:t>
      </w:r>
      <w:r w:rsidRPr="006B7451" w:rsidR="001D71AC">
        <w:t>-</w:t>
      </w:r>
      <w:r w:rsidRPr="006B7451">
        <w:t xml:space="preserve"> och vattenpolitiken står inför svåra utmaningar. Tillståndet i våra vatten i</w:t>
      </w:r>
      <w:r w:rsidRPr="006B7451" w:rsidR="0074331A">
        <w:t xml:space="preserve"> </w:t>
      </w:r>
      <w:r w:rsidRPr="006B7451">
        <w:t>allmänhet och Östersjön</w:t>
      </w:r>
      <w:r w:rsidRPr="006B7451" w:rsidR="001D71AC">
        <w:t xml:space="preserve"> i</w:t>
      </w:r>
      <w:r w:rsidRPr="006B7451">
        <w:t xml:space="preserve"> synnerhet är allvarlig</w:t>
      </w:r>
      <w:r w:rsidR="00714C6B">
        <w:t>t</w:t>
      </w:r>
      <w:r w:rsidRPr="006B7451">
        <w:t>. Sverigedemokraterna välkomnar de</w:t>
      </w:r>
      <w:r w:rsidRPr="006B7451" w:rsidR="0074331A">
        <w:t xml:space="preserve"> </w:t>
      </w:r>
      <w:r w:rsidRPr="006B7451">
        <w:t>anslagsökningar som genomförts de senaste åren men ser samtidigt ökade behov. Med</w:t>
      </w:r>
      <w:r w:rsidRPr="006B7451" w:rsidR="00D018F3">
        <w:t xml:space="preserve"> </w:t>
      </w:r>
      <w:r w:rsidRPr="006B7451">
        <w:t>ökade resurser finn</w:t>
      </w:r>
      <w:r w:rsidRPr="006B7451" w:rsidR="008B37F0">
        <w:t>s</w:t>
      </w:r>
      <w:r w:rsidRPr="006B7451">
        <w:t xml:space="preserve"> möjlighet att satsa mer på strandstädning samt kartläggning av</w:t>
      </w:r>
      <w:r w:rsidRPr="006B7451" w:rsidR="00D018F3">
        <w:t xml:space="preserve"> </w:t>
      </w:r>
      <w:r w:rsidRPr="006B7451">
        <w:t>färjetrafikens miljöpåverkan i Östersjön.</w:t>
      </w:r>
    </w:p>
    <w:p w:rsidRPr="006B7451" w:rsidR="00D018F3" w:rsidP="00D018F3" w:rsidRDefault="00D018F3" w14:paraId="19F83564" w14:textId="36901CC7">
      <w:r w:rsidRPr="006B7451">
        <w:t>Vidare har Sverige omkring 80</w:t>
      </w:r>
      <w:r w:rsidR="00315437">
        <w:t> </w:t>
      </w:r>
      <w:r w:rsidRPr="006B7451">
        <w:t>000 förorenade områden och saneringen av dessa är mycket eftersatt. Sanering av förorenade områden är ett miljömål som anses svårt att uppnå i tid samtidigt som det är ett miljömål som vi har mycket goda möjligheter att påverka. I detta arbete bör strandstädning ingå, inte minst i svårtillgängliga kust- och skärgårdsområden.</w:t>
      </w:r>
    </w:p>
    <w:p w:rsidRPr="006B7451" w:rsidR="00D018F3" w:rsidP="00E25713" w:rsidRDefault="00E25713" w14:paraId="6224FCF1" w14:textId="44066DCA">
      <w:r w:rsidRPr="006B7451">
        <w:t xml:space="preserve">Förslaget beräknas öka utgifterna i statens budget med 0,08 miljarder kronor </w:t>
      </w:r>
      <w:r w:rsidRPr="006B7451" w:rsidR="00D241F3">
        <w:t>2022</w:t>
      </w:r>
      <w:r w:rsidRPr="006B7451">
        <w:t>.</w:t>
      </w:r>
    </w:p>
    <w:p w:rsidRPr="006B7451" w:rsidR="00DF00C4" w:rsidP="00ED5D60" w:rsidRDefault="00DF00C4" w14:paraId="40088B8F" w14:textId="77777777">
      <w:pPr>
        <w:pStyle w:val="Rubrik2numrerat"/>
      </w:pPr>
      <w:bookmarkStart w:name="_Toc121752661" w:id="156"/>
      <w:r w:rsidRPr="006B7451">
        <w:t>Avskaffa</w:t>
      </w:r>
      <w:r w:rsidRPr="006B7451" w:rsidR="008A348E">
        <w:t>d</w:t>
      </w:r>
      <w:r w:rsidRPr="006B7451">
        <w:t xml:space="preserve"> skatt på avfallsförbränning</w:t>
      </w:r>
      <w:bookmarkEnd w:id="156"/>
    </w:p>
    <w:p w:rsidRPr="006B7451" w:rsidR="00DF00C4" w:rsidP="004608D8" w:rsidRDefault="00DF00C4" w14:paraId="22DEB6E8" w14:textId="77777777">
      <w:pPr>
        <w:pStyle w:val="Normalutanindragellerluft"/>
      </w:pPr>
      <w:r w:rsidRPr="006B7451">
        <w:rPr>
          <w:b/>
        </w:rPr>
        <w:t>Sverigedemokraternas förslag</w:t>
      </w:r>
      <w:r w:rsidRPr="004608D8">
        <w:t>:</w:t>
      </w:r>
      <w:r w:rsidRPr="006B7451">
        <w:t xml:space="preserve"> Den särskilda punktskatten på avfallsförbränning ska avskaffas.</w:t>
      </w:r>
    </w:p>
    <w:p w:rsidRPr="006B7451" w:rsidR="00DF00C4" w:rsidP="004608D8" w:rsidRDefault="00DF00C4" w14:paraId="551BA079" w14:textId="77777777">
      <w:pPr>
        <w:pStyle w:val="Normalutanindragellerluft"/>
        <w:spacing w:before="150"/>
      </w:pPr>
      <w:r w:rsidRPr="006B7451">
        <w:t xml:space="preserve">Sverigedemokraterna motsätter sig en skatt på avfallsförbränning, främst för att den inte på vare sig ett kostnadseffektivt eller verkningsfullt sätt styr mot en mer resurseffektiv och giftfri avfallshantering. Skatter på avfallsförbränning har inte gett de effekter som varit önskvärda utan i praktiken endast renderat i ytterligare en pålaga på hushållen. </w:t>
      </w:r>
    </w:p>
    <w:p w:rsidRPr="006B7451" w:rsidR="00DF00C4" w:rsidP="00DF00C4" w:rsidRDefault="00DF00C4" w14:paraId="1FE812A8" w14:textId="7591337D">
      <w:r w:rsidRPr="006B7451">
        <w:t xml:space="preserve">Den utredning som tidigare lagts fram i frågan avstyrkte också förslaget om att införa denna skatt, samtidigt som samtliga berörda myndigheter också avstyrkte det, liksom Sveriges </w:t>
      </w:r>
      <w:r w:rsidR="000A70E8">
        <w:t>K</w:t>
      </w:r>
      <w:r w:rsidRPr="006B7451">
        <w:t xml:space="preserve">ommuner och </w:t>
      </w:r>
      <w:r w:rsidR="000A70E8">
        <w:t>L</w:t>
      </w:r>
      <w:r w:rsidRPr="006B7451">
        <w:t xml:space="preserve">andsting. </w:t>
      </w:r>
    </w:p>
    <w:p w:rsidRPr="006B7451" w:rsidR="00DF00C4" w:rsidP="00DF00C4" w:rsidRDefault="00DF00C4" w14:paraId="25208290" w14:textId="5EBFB0C8">
      <w:r w:rsidRPr="006B7451">
        <w:t>Denna skatt försämrar lönsamheten för de verk som eldar avfall och där regeringens skattepolitik redan har haft en mycket negativ inverkan på konkurrenskraften för kraftvärmen i Sverige. Den föreslagna skatten bör därmed avskaffas.</w:t>
      </w:r>
    </w:p>
    <w:p w:rsidRPr="006B7451" w:rsidR="00E25713" w:rsidP="00DF00C4" w:rsidRDefault="00E25713" w14:paraId="7AEDC27E" w14:textId="469046AD">
      <w:r w:rsidRPr="006B7451">
        <w:t>Förslaget beräknas minska</w:t>
      </w:r>
      <w:r w:rsidRPr="006B7451" w:rsidR="00D241F3">
        <w:t xml:space="preserve"> skatteintäkterna i</w:t>
      </w:r>
      <w:r w:rsidRPr="006B7451">
        <w:t xml:space="preserve"> statens </w:t>
      </w:r>
      <w:r w:rsidRPr="006B7451" w:rsidR="00D241F3">
        <w:t>budget</w:t>
      </w:r>
      <w:r w:rsidRPr="006B7451">
        <w:t xml:space="preserve"> med 0,51 miljarder kronor 2022.</w:t>
      </w:r>
    </w:p>
    <w:bookmarkEnd w:id="148"/>
    <w:p w:rsidR="002044DC" w:rsidRDefault="002044DC" w14:paraId="6B3D8562" w14:textId="267969D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F875FD" w:rsidP="00ED5D60" w:rsidRDefault="00F875FD" w14:paraId="3232EDD9" w14:textId="74240FA7">
      <w:pPr>
        <w:pStyle w:val="Rubrik1numrerat"/>
      </w:pPr>
      <w:bookmarkStart w:name="_Toc121752662" w:id="157"/>
      <w:r w:rsidRPr="006B7451">
        <w:lastRenderedPageBreak/>
        <w:t>Bostäder</w:t>
      </w:r>
      <w:bookmarkEnd w:id="157"/>
    </w:p>
    <w:p w:rsidRPr="006B7451" w:rsidR="00C20428" w:rsidP="004608D8" w:rsidRDefault="00C20428" w14:paraId="66DB7160" w14:textId="565B811A">
      <w:pPr>
        <w:pStyle w:val="Normalutanindragellerluft"/>
      </w:pPr>
      <w:r w:rsidRPr="006B7451">
        <w:t>Antalet otrygga och socialt utsatta områden i Sverige har ökat. Samtidigt tilltar trångboddheten i många bostadsområden och segregationen breder ut sig i samhället. Under lång tid har framförhållning saknats i bostadspolitiken. Detta har lett till den allvarliga situation vi i dag ser med bostadsbrist och trångboddhet i de flesta av landets kommuner. Boverket har bedömt att det behöver byggas 574</w:t>
      </w:r>
      <w:r w:rsidR="00465E0E">
        <w:t> </w:t>
      </w:r>
      <w:r w:rsidRPr="006B7451">
        <w:t>000 bostäder fram till och med 2029, vilket innebär ett årligt genomsnittligt byggbehov på 64</w:t>
      </w:r>
      <w:r w:rsidR="00465E0E">
        <w:t> </w:t>
      </w:r>
      <w:r w:rsidRPr="006B7451">
        <w:t>000 bostäder</w:t>
      </w:r>
      <w:r w:rsidR="001F2507">
        <w:t>. D</w:t>
      </w:r>
      <w:r w:rsidRPr="006B7451">
        <w:t>etta ska ställas mot prognosen som pekar mot 60</w:t>
      </w:r>
      <w:r w:rsidR="00465E0E">
        <w:t> </w:t>
      </w:r>
      <w:r w:rsidRPr="006B7451">
        <w:t xml:space="preserve">000 påbörjade bostäder under år 2021. </w:t>
      </w:r>
    </w:p>
    <w:p w:rsidRPr="006B7451" w:rsidR="00C20428" w:rsidP="00C20428" w:rsidRDefault="00C20428" w14:paraId="0B995E06" w14:textId="75C1CDFE">
      <w:r w:rsidRPr="006B7451">
        <w:t>Behov finns av en mer långsiktig planering för tillgång på bostäder, regelförenk</w:t>
      </w:r>
      <w:r w:rsidR="002044DC">
        <w:softHyphen/>
      </w:r>
      <w:r w:rsidRPr="006B7451">
        <w:t>lingar inom byggprocessen och ett bättre samspel med infrastrukturen i det regionala bostadsplaneringsstödet. Bostadsbyggandet kan, genom en minskad byråkrati vid nya byggprojekt och en kompetensförstärkning i kommunen för byggprocessen, ske i en snabbare takt än i dag.</w:t>
      </w:r>
    </w:p>
    <w:p w:rsidRPr="006B7451" w:rsidR="00022F1A" w:rsidP="00C20428" w:rsidRDefault="00C20428" w14:paraId="15B8C01C" w14:textId="77777777">
      <w:r w:rsidRPr="006B7451">
        <w:t>En ökad konkurrens mellan byggbolagen och finansiella möjligheter för fler byggbolag att anta byggprojekt, ska hjälpa till att minska byggkostnaderna. Därmed kan boendekostnaderna minskas, vilket är av största vikt för att fler ska kunna efterfråga de bostäder som byggs och skapa förutsättningar för att få till en bättre flyttkedja.</w:t>
      </w:r>
    </w:p>
    <w:p w:rsidRPr="006B7451" w:rsidR="002B6044" w:rsidP="00ED5D60" w:rsidRDefault="002B6044" w14:paraId="6BAEA0ED" w14:textId="77777777">
      <w:pPr>
        <w:pStyle w:val="Rubrik2numrerat"/>
      </w:pPr>
      <w:bookmarkStart w:name="_Toc121752663" w:id="158"/>
      <w:r w:rsidRPr="006B7451">
        <w:t>Bosparande</w:t>
      </w:r>
      <w:r w:rsidRPr="006B7451" w:rsidR="001E055F">
        <w:t xml:space="preserve"> och bolån</w:t>
      </w:r>
      <w:r w:rsidRPr="006B7451">
        <w:t xml:space="preserve"> för unga</w:t>
      </w:r>
      <w:bookmarkEnd w:id="158"/>
    </w:p>
    <w:p w:rsidRPr="006B7451" w:rsidR="00C20428" w:rsidP="004F4518" w:rsidRDefault="00C20428" w14:paraId="25608B20" w14:textId="10B26E8F">
      <w:pPr>
        <w:pStyle w:val="Normalutanindragellerluft"/>
      </w:pPr>
      <w:r w:rsidRPr="006B7451">
        <w:rPr>
          <w:b/>
        </w:rPr>
        <w:t>Sverigedemokraternas förslag</w:t>
      </w:r>
      <w:r w:rsidRPr="004F4518">
        <w:t>:</w:t>
      </w:r>
      <w:r w:rsidRPr="006B7451">
        <w:t xml:space="preserve"> </w:t>
      </w:r>
      <w:r w:rsidRPr="006B7451" w:rsidR="00686181">
        <w:t>Möjligheter till bosparande och bolån för unga personer ska införas.</w:t>
      </w:r>
    </w:p>
    <w:p w:rsidRPr="006B7451" w:rsidR="00C20428" w:rsidP="004F4518" w:rsidRDefault="001E055F" w14:paraId="03C61B2D" w14:textId="6100102E">
      <w:pPr>
        <w:pStyle w:val="Normalutanindragellerluft"/>
        <w:spacing w:before="150"/>
      </w:pPr>
      <w:r w:rsidRPr="006B7451">
        <w:t xml:space="preserve">Unga har svårt att erhålla </w:t>
      </w:r>
      <w:r w:rsidR="00C176A9">
        <w:t xml:space="preserve">en </w:t>
      </w:r>
      <w:r w:rsidRPr="006B7451">
        <w:t xml:space="preserve">bostad på grund av bostadsbrist samt att det är svårt att finansiera </w:t>
      </w:r>
      <w:r w:rsidR="00C176A9">
        <w:t xml:space="preserve">en </w:t>
      </w:r>
      <w:r w:rsidRPr="006B7451">
        <w:t xml:space="preserve">bostad. Kraven på </w:t>
      </w:r>
      <w:r w:rsidR="00311594">
        <w:t xml:space="preserve">en </w:t>
      </w:r>
      <w:r w:rsidRPr="006B7451">
        <w:t>kontantinsats, bolånetak och skärpta amorteringskrav fungerar som en hög tröskel för många</w:t>
      </w:r>
      <w:r w:rsidR="0085565E">
        <w:t xml:space="preserve">, </w:t>
      </w:r>
      <w:r w:rsidRPr="006B7451" w:rsidR="00686181">
        <w:t xml:space="preserve">även ifall </w:t>
      </w:r>
      <w:r w:rsidR="0085565E">
        <w:t xml:space="preserve">de har </w:t>
      </w:r>
      <w:r w:rsidRPr="006B7451">
        <w:t xml:space="preserve">fast anställning med </w:t>
      </w:r>
      <w:r w:rsidR="0085565E">
        <w:t xml:space="preserve">en </w:t>
      </w:r>
      <w:r w:rsidRPr="006B7451">
        <w:t>relativt god lön. Möjligheter till bosparande och bolån för unga skulle förbättra förutsätt</w:t>
      </w:r>
      <w:r w:rsidR="002044DC">
        <w:softHyphen/>
      </w:r>
      <w:r w:rsidRPr="006B7451">
        <w:t>ningarna. År 2020 bodde cirka en tredjedel av</w:t>
      </w:r>
      <w:r w:rsidR="00851FB4">
        <w:t xml:space="preserve"> de</w:t>
      </w:r>
      <w:r w:rsidRPr="006B7451">
        <w:t xml:space="preserve"> unga vuxna kvar hemma men uppg</w:t>
      </w:r>
      <w:r w:rsidRPr="006B7451" w:rsidR="00686181">
        <w:t>av</w:t>
      </w:r>
      <w:r w:rsidRPr="006B7451">
        <w:t xml:space="preserve"> att de helst skulle vilja ha egen bostad. Det innebär en stor ökning</w:t>
      </w:r>
      <w:r w:rsidR="00AC3779">
        <w:t>;</w:t>
      </w:r>
      <w:r w:rsidRPr="006B7451">
        <w:t xml:space="preserve"> exempelvis bodde endast cirka 15 procent av</w:t>
      </w:r>
      <w:r w:rsidR="00AC3779">
        <w:t xml:space="preserve"> de</w:t>
      </w:r>
      <w:r w:rsidRPr="006B7451">
        <w:t xml:space="preserve"> unga vuxna år 1997 kvar hos föräldrarna. Undersökningar visar att många personer vill äga sitt boende. Det finns behov av hyresrätter, men en mångfald av boendeformer och att kunna köpa sin bostad är avgörande för att alla </w:t>
      </w:r>
      <w:r w:rsidR="00425398">
        <w:t xml:space="preserve">ska </w:t>
      </w:r>
      <w:r w:rsidRPr="006B7451">
        <w:t>få en bostad och för att människor ska ha en större frihet i sitt liv samt kunna välja boende</w:t>
      </w:r>
      <w:r w:rsidR="002044DC">
        <w:softHyphen/>
      </w:r>
      <w:r w:rsidRPr="006B7451">
        <w:t>form. På så sätt hänvisas de inte till att endast konkurrera om bostäder inom hyresrätts</w:t>
      </w:r>
      <w:r w:rsidR="002044DC">
        <w:softHyphen/>
      </w:r>
      <w:r w:rsidRPr="006B7451">
        <w:t xml:space="preserve">beståndet. Möjligheten till avdragsgillt bosparande uppmuntrar till att spara till sitt boende. Detta kombinerat med ett </w:t>
      </w:r>
      <w:r w:rsidRPr="006B7451" w:rsidR="007A0609">
        <w:t xml:space="preserve">särskilt </w:t>
      </w:r>
      <w:r w:rsidRPr="006B7451">
        <w:t>bostadslån skulle ge större möjligheter för unga att komma in på bostadsmarknaden. På så sätt är unga vuxna inte hänvisade till att endast konkurrera om bostäder inom hyresrättsbeståndet.</w:t>
      </w:r>
    </w:p>
    <w:p w:rsidRPr="006B7451" w:rsidR="00E25713" w:rsidP="00E25713" w:rsidRDefault="00E25713" w14:paraId="6F41B8E2" w14:textId="33625766">
      <w:r w:rsidRPr="006B7451">
        <w:t>Förslaget beräknas öka utgifterna i statens budget med 1,08 miljarder kronor 2022.</w:t>
      </w:r>
    </w:p>
    <w:p w:rsidRPr="006B7451" w:rsidR="002B6044" w:rsidP="00ED5D60" w:rsidRDefault="002B6044" w14:paraId="2F9334B7" w14:textId="77777777">
      <w:pPr>
        <w:pStyle w:val="Rubrik2numrerat"/>
      </w:pPr>
      <w:bookmarkStart w:name="_Toc121752664" w:id="159"/>
      <w:r w:rsidRPr="006B7451">
        <w:t>Klassificera studentbostäder som elevhem</w:t>
      </w:r>
      <w:bookmarkEnd w:id="159"/>
    </w:p>
    <w:p w:rsidRPr="006B7451" w:rsidR="00DF6D05" w:rsidP="004F4518" w:rsidRDefault="00DF6D05" w14:paraId="3D5A21B4" w14:textId="77777777">
      <w:pPr>
        <w:pStyle w:val="Normalutanindragellerluft"/>
      </w:pPr>
      <w:r w:rsidRPr="006B7451">
        <w:rPr>
          <w:b/>
        </w:rPr>
        <w:t>Sverigedemokraternas förslag</w:t>
      </w:r>
      <w:r w:rsidRPr="004F4518">
        <w:t>:</w:t>
      </w:r>
      <w:r w:rsidRPr="006B7451">
        <w:t xml:space="preserve"> Fastighetsavgiften för studentbostäder ska sänkas.</w:t>
      </w:r>
    </w:p>
    <w:p w:rsidRPr="006B7451" w:rsidR="00C20428" w:rsidP="004F4518" w:rsidRDefault="00C20428" w14:paraId="45CBCC55" w14:textId="77777777">
      <w:pPr>
        <w:pStyle w:val="Normalutanindragellerluft"/>
        <w:spacing w:before="150"/>
      </w:pPr>
      <w:r w:rsidRPr="006B7451">
        <w:t xml:space="preserve">Satsningar på studentbostäder är nödvändiga utifrån en studiesocial kontext. Rent praktiskt och ekonomiskt fyller de en viktig funktion för kunskapsbildningen i samhället. Det är även av särskild vikt att åtgärder tas fram för att komma ofta ekonomiskt pressade studerande till del. Att betala samma fastighetsavgift för en </w:t>
      </w:r>
      <w:r w:rsidRPr="006B7451">
        <w:lastRenderedPageBreak/>
        <w:t>studentbostad, ofta bestående av ett enkelt så kallat korridorrum, som för en attraktiv bostadsrätt i samma storlek är inte rimligt.</w:t>
      </w:r>
    </w:p>
    <w:p w:rsidRPr="006B7451" w:rsidR="005B3982" w:rsidP="005B3982" w:rsidRDefault="00B451C3" w14:paraId="366ABFD5" w14:textId="048C86D4">
      <w:r>
        <w:t xml:space="preserve">Som </w:t>
      </w:r>
      <w:r w:rsidRPr="006B7451" w:rsidR="00C20428">
        <w:t xml:space="preserve">ett led </w:t>
      </w:r>
      <w:r>
        <w:t xml:space="preserve">i </w:t>
      </w:r>
      <w:r w:rsidRPr="006B7451" w:rsidR="00C20428">
        <w:t xml:space="preserve">att minska kostnaderna för studenter bör därför alla studentbostäder i stället klassificeras som elevhem. Genom att klassificeringen </w:t>
      </w:r>
      <w:r w:rsidRPr="006B7451" w:rsidR="00292F33">
        <w:t>förändra</w:t>
      </w:r>
      <w:r w:rsidR="00292F33">
        <w:t>s</w:t>
      </w:r>
      <w:r w:rsidRPr="006B7451" w:rsidR="00292F33">
        <w:t xml:space="preserve"> </w:t>
      </w:r>
      <w:r w:rsidRPr="006B7451" w:rsidR="00C20428">
        <w:t>kan student</w:t>
      </w:r>
      <w:r w:rsidR="002044DC">
        <w:softHyphen/>
      </w:r>
      <w:r w:rsidRPr="006B7451" w:rsidR="00C20428">
        <w:t>bostäderna ges undantag i fastighetstaxeringslagen och därmed undvika fastighets</w:t>
      </w:r>
      <w:r w:rsidR="002044DC">
        <w:softHyphen/>
      </w:r>
      <w:r w:rsidRPr="006B7451" w:rsidR="00C20428">
        <w:t>avgiften som följd. Det är ett självklart steg att ta i och med att studentbostäderna, i lagens mening, inte alltid lever upp till kraven på en fullvärdig bostad. Det finns sammantaget flera skäl för att klassificera</w:t>
      </w:r>
      <w:r w:rsidR="00292F33">
        <w:t xml:space="preserve"> </w:t>
      </w:r>
      <w:r w:rsidRPr="006B7451" w:rsidR="00292F33">
        <w:t>studentbostäder</w:t>
      </w:r>
      <w:r w:rsidRPr="006B7451" w:rsidR="00C20428">
        <w:t xml:space="preserve"> som elevhem</w:t>
      </w:r>
      <w:r w:rsidRPr="006B7451" w:rsidR="00DF6D05">
        <w:t>.</w:t>
      </w:r>
    </w:p>
    <w:p w:rsidRPr="006B7451" w:rsidR="00E25713" w:rsidP="005B3982" w:rsidRDefault="00E25713" w14:paraId="6B62DC59" w14:textId="1E27588E">
      <w:r w:rsidRPr="006B7451">
        <w:t>Förslaget beräknas minska skatteintäkter</w:t>
      </w:r>
      <w:r w:rsidRPr="006B7451" w:rsidR="00197BAD">
        <w:t>na i statens budget</w:t>
      </w:r>
      <w:r w:rsidRPr="006B7451">
        <w:t xml:space="preserve"> med 0,20 miljarder kronor 2022.</w:t>
      </w:r>
    </w:p>
    <w:p w:rsidRPr="006B7451" w:rsidR="005B3982" w:rsidP="00ED5D60" w:rsidRDefault="005B3982" w14:paraId="384E17E2" w14:textId="2DF585C8">
      <w:pPr>
        <w:pStyle w:val="Rubrik2numrerat"/>
      </w:pPr>
      <w:bookmarkStart w:name="_Toc121752665" w:id="160"/>
      <w:bookmarkStart w:name="_Hlk82765190" w:id="161"/>
      <w:r w:rsidRPr="006B7451">
        <w:t xml:space="preserve">Höjt schablonavdrag vid uthyrning av </w:t>
      </w:r>
      <w:r w:rsidR="00126707">
        <w:t xml:space="preserve">en </w:t>
      </w:r>
      <w:r w:rsidRPr="006B7451">
        <w:t>bostad</w:t>
      </w:r>
      <w:bookmarkEnd w:id="160"/>
    </w:p>
    <w:p w:rsidRPr="006B7451" w:rsidR="005B3982" w:rsidP="00690927" w:rsidRDefault="005B3982" w14:paraId="26F71A36" w14:textId="63CCA79B">
      <w:pPr>
        <w:pStyle w:val="Normalutanindragellerluft"/>
      </w:pPr>
      <w:r w:rsidRPr="006B7451">
        <w:rPr>
          <w:b/>
        </w:rPr>
        <w:t>Sverigedemokraternas förslag</w:t>
      </w:r>
      <w:r w:rsidRPr="00690927">
        <w:t>:</w:t>
      </w:r>
      <w:r w:rsidRPr="006B7451">
        <w:t xml:space="preserve"> Schablonavdraget vid uthyrning av </w:t>
      </w:r>
      <w:r w:rsidR="00126707">
        <w:t xml:space="preserve">en </w:t>
      </w:r>
      <w:r w:rsidRPr="006B7451">
        <w:t>privatbostad ska höjas från 40 000 kronor per år till 60 000 kronor per år.</w:t>
      </w:r>
    </w:p>
    <w:p w:rsidRPr="006B7451" w:rsidR="005B3982" w:rsidP="00690927" w:rsidRDefault="005B3982" w14:paraId="70B54CAD" w14:textId="3D6B8CC9">
      <w:pPr>
        <w:pStyle w:val="Normalutanindragellerluft"/>
        <w:spacing w:before="150"/>
      </w:pPr>
      <w:r w:rsidRPr="006B7451">
        <w:t xml:space="preserve">När stor bostadsbrist råder tenderar informella andrahandsmarknader och mer eller mindre tvivelaktiga överenskommelser uppstå, vilka myndigheterna inte har insyn i. Laglig andrahandsuthyrning är då att föredra, vilket kan stimuleras genom att det </w:t>
      </w:r>
      <w:r w:rsidRPr="006B7451" w:rsidR="008A3399">
        <w:t>gör</w:t>
      </w:r>
      <w:r w:rsidR="008A3399">
        <w:t>s mer</w:t>
      </w:r>
      <w:r w:rsidRPr="006B7451" w:rsidR="008A3399">
        <w:t xml:space="preserve"> </w:t>
      </w:r>
      <w:r w:rsidRPr="006B7451">
        <w:t>skattemässigt attraktivt.</w:t>
      </w:r>
    </w:p>
    <w:p w:rsidRPr="006B7451" w:rsidR="005B3982" w:rsidP="005B3982" w:rsidRDefault="005B3982" w14:paraId="764B787D" w14:textId="1E1D30D5">
      <w:r w:rsidRPr="006B7451">
        <w:t>Ersättningar vid uthyrning av privatbostadsfastigheter, privatbostäder eller delar av sådana beskattas som inkomst av kapital.</w:t>
      </w:r>
      <w:r w:rsidRPr="006B7451" w:rsidR="00023762">
        <w:t xml:space="preserve"> </w:t>
      </w:r>
      <w:r w:rsidRPr="006B7451">
        <w:t>Den som hyr ut har rätt att göra ett schablon</w:t>
      </w:r>
      <w:r w:rsidR="002044DC">
        <w:softHyphen/>
      </w:r>
      <w:r w:rsidRPr="006B7451">
        <w:t>avdrag. Sverigedemokraterna föreslår att det schablonavdraget ökas för att stärka utbudet av tillgängliga lägenheter</w:t>
      </w:r>
      <w:r w:rsidRPr="006B7451" w:rsidR="00E25713">
        <w:t>.</w:t>
      </w:r>
    </w:p>
    <w:p w:rsidRPr="006B7451" w:rsidR="00E25713" w:rsidP="005B3982" w:rsidRDefault="00E25713" w14:paraId="201B1359" w14:textId="0FAD25F8">
      <w:r w:rsidRPr="006B7451">
        <w:t>Förslaget beräknas minska skatteintäkter</w:t>
      </w:r>
      <w:r w:rsidRPr="006B7451" w:rsidR="00197BAD">
        <w:t>na i statens budget</w:t>
      </w:r>
      <w:r w:rsidRPr="006B7451">
        <w:t xml:space="preserve"> med 0,30 miljarder kronor 2022.</w:t>
      </w:r>
    </w:p>
    <w:p w:rsidRPr="006B7451" w:rsidR="005B3982" w:rsidP="00ED5D60" w:rsidRDefault="005B3982" w14:paraId="485A4620" w14:textId="1844CD77">
      <w:pPr>
        <w:pStyle w:val="Rubrik2numrerat"/>
      </w:pPr>
      <w:bookmarkStart w:name="_Toc121752666" w:id="162"/>
      <w:r w:rsidRPr="006B7451">
        <w:t xml:space="preserve">Sänkt </w:t>
      </w:r>
      <w:r w:rsidRPr="006B7451" w:rsidR="005844EF">
        <w:t xml:space="preserve">avgiftstak i </w:t>
      </w:r>
      <w:r w:rsidR="004752FB">
        <w:t xml:space="preserve">fråga om </w:t>
      </w:r>
      <w:r w:rsidRPr="006B7451" w:rsidR="005844EF">
        <w:t>skattereduktion för fastighetsavgift</w:t>
      </w:r>
      <w:bookmarkEnd w:id="162"/>
    </w:p>
    <w:p w:rsidRPr="006B7451" w:rsidR="005B3982" w:rsidP="00C86AE2" w:rsidRDefault="005B3982" w14:paraId="4A41170F" w14:textId="77777777">
      <w:pPr>
        <w:pStyle w:val="Normalutanindragellerluft"/>
      </w:pPr>
      <w:r w:rsidRPr="006B7451">
        <w:rPr>
          <w:b/>
        </w:rPr>
        <w:t>Sverigedemokraternas förslag</w:t>
      </w:r>
      <w:r w:rsidRPr="00C86AE2">
        <w:t>:</w:t>
      </w:r>
      <w:r w:rsidRPr="006B7451">
        <w:t xml:space="preserve"> Taket på fastighetsavgiften för småhus avseende pensionärer och utsatta grupper ska sänkas från 4 procent till 3 procent av inkomsten.</w:t>
      </w:r>
    </w:p>
    <w:p w:rsidRPr="006B7451" w:rsidR="005B3982" w:rsidP="00C86AE2" w:rsidRDefault="005B3982" w14:paraId="3E1E87B2" w14:textId="1A614870">
      <w:pPr>
        <w:pStyle w:val="Normalutanindragellerluft"/>
        <w:spacing w:before="150"/>
      </w:pPr>
      <w:r w:rsidRPr="006B7451">
        <w:t xml:space="preserve">Fastighetsavgiften på småhus som används som permanentbostad är begränsad för grupper som är ekonomiskt utsatta. Pensionärer eller de som uppbär sjuk- eller aktivitetsersättning har en takbegränsning </w:t>
      </w:r>
      <w:r w:rsidR="004752FB">
        <w:t>i fråga om</w:t>
      </w:r>
      <w:r w:rsidRPr="006B7451">
        <w:t xml:space="preserve"> hur mycket av </w:t>
      </w:r>
      <w:r w:rsidR="004752FB">
        <w:t xml:space="preserve">deras </w:t>
      </w:r>
      <w:r w:rsidRPr="006B7451">
        <w:t xml:space="preserve">inkomst </w:t>
      </w:r>
      <w:r w:rsidR="004752FB">
        <w:t xml:space="preserve">de </w:t>
      </w:r>
      <w:r w:rsidRPr="006B7451">
        <w:t>ska behöva betala i fastighetsavgift.</w:t>
      </w:r>
    </w:p>
    <w:p w:rsidRPr="006B7451" w:rsidR="005B3982" w:rsidP="005B3982" w:rsidRDefault="005B3982" w14:paraId="34488B0F" w14:textId="3856CF00">
      <w:r w:rsidRPr="006B7451">
        <w:t>Sverigedemokraterna ser positivt på denna begränsningsregel och vill ytterligare sänka nivån för hur mycket fastighetsavgiften maximalt ska kunna belasta utsatta grupper i samhället.</w:t>
      </w:r>
    </w:p>
    <w:p w:rsidRPr="006B7451" w:rsidR="00293AC7" w:rsidP="00197BAD" w:rsidRDefault="00E25713" w14:paraId="098FB72B" w14:textId="7F66D9D3">
      <w:r w:rsidRPr="006B7451">
        <w:t>Förslaget beräknas minska</w:t>
      </w:r>
      <w:r w:rsidRPr="006B7451" w:rsidR="00197BAD">
        <w:t xml:space="preserve"> </w:t>
      </w:r>
      <w:r w:rsidRPr="006B7451">
        <w:t>skatteintäkter</w:t>
      </w:r>
      <w:r w:rsidRPr="006B7451" w:rsidR="00197BAD">
        <w:t>na i statens budget</w:t>
      </w:r>
      <w:r w:rsidRPr="006B7451">
        <w:t xml:space="preserve"> med 0,20 miljarder kronor 2022.</w:t>
      </w:r>
    </w:p>
    <w:p w:rsidRPr="006B7451" w:rsidR="00022F1A" w:rsidP="00ED5D60" w:rsidRDefault="00022F1A" w14:paraId="5E0B9EA8" w14:textId="77777777">
      <w:pPr>
        <w:pStyle w:val="Rubrik2numrerat"/>
      </w:pPr>
      <w:bookmarkStart w:name="_Toc121752667" w:id="163"/>
      <w:bookmarkEnd w:id="161"/>
      <w:r w:rsidRPr="006B7451">
        <w:t>Ökad trygghet i utsatta områden</w:t>
      </w:r>
      <w:bookmarkEnd w:id="163"/>
    </w:p>
    <w:p w:rsidRPr="006B7451" w:rsidR="00022F1A" w:rsidP="00C86AE2" w:rsidRDefault="00022F1A" w14:paraId="7ED2758F" w14:textId="7A112C12">
      <w:pPr>
        <w:pStyle w:val="Normalutanindragellerluft"/>
      </w:pPr>
      <w:r w:rsidRPr="006B7451">
        <w:rPr>
          <w:b/>
        </w:rPr>
        <w:t>Sverigedemokraternas förslag</w:t>
      </w:r>
      <w:r w:rsidRPr="00C86AE2">
        <w:t>:</w:t>
      </w:r>
      <w:r w:rsidRPr="006B7451">
        <w:t xml:space="preserve"> Ett nytt anslag för att stärka samhällsplaneringen</w:t>
      </w:r>
      <w:r w:rsidRPr="006B7451" w:rsidR="007A0609">
        <w:t xml:space="preserve"> och insatserna </w:t>
      </w:r>
      <w:r w:rsidRPr="006B7451">
        <w:t>i utsatta områden ska införas.</w:t>
      </w:r>
    </w:p>
    <w:p w:rsidRPr="006B7451" w:rsidR="00022F1A" w:rsidP="00C86AE2" w:rsidRDefault="00C20428" w14:paraId="6AF4E9AE" w14:textId="79831461">
      <w:pPr>
        <w:pStyle w:val="Normalutanindragellerluft"/>
        <w:spacing w:before="150"/>
      </w:pPr>
      <w:r w:rsidRPr="006B7451">
        <w:lastRenderedPageBreak/>
        <w:t>Säkerheten och tryggheten i många av landets bostadsområden och stadsdelar har försämrats, framför allt i de så kallade utsatta områdena. Det är ett problem som behöver åtgärdas med fler repressiva åtgärder men även genom bättre förutsättningar för en trygghetsskapande samhällsplanering, exempelvis genom ökad belysning och upp</w:t>
      </w:r>
      <w:r w:rsidR="004A082A">
        <w:softHyphen/>
      </w:r>
      <w:r w:rsidRPr="006B7451">
        <w:t>öppnande av områden mellan byggnader. Vidare behövs en utvecklad organiserad sam</w:t>
      </w:r>
      <w:r w:rsidR="004A082A">
        <w:softHyphen/>
      </w:r>
      <w:r w:rsidRPr="006B7451">
        <w:t>verkan där polisen, andra offentliga aktörer</w:t>
      </w:r>
      <w:r w:rsidR="002F00BD">
        <w:t xml:space="preserve"> och</w:t>
      </w:r>
      <w:r w:rsidRPr="006B7451">
        <w:t xml:space="preserve"> fastighetsägare med flera intressenter deltar. Metoder som använts och givit goda resultat både nationellt och internationellt är exempelvis BID-samverkan (Business </w:t>
      </w:r>
      <w:proofErr w:type="spellStart"/>
      <w:r w:rsidRPr="006B7451">
        <w:t>Improved</w:t>
      </w:r>
      <w:proofErr w:type="spellEnd"/>
      <w:r w:rsidRPr="006B7451">
        <w:t xml:space="preserve"> </w:t>
      </w:r>
      <w:proofErr w:type="spellStart"/>
      <w:r w:rsidRPr="006B7451">
        <w:t>Districts</w:t>
      </w:r>
      <w:proofErr w:type="spellEnd"/>
      <w:r w:rsidRPr="006B7451">
        <w:t>) och CPTED (</w:t>
      </w:r>
      <w:proofErr w:type="spellStart"/>
      <w:r w:rsidRPr="006B7451">
        <w:t>Crime</w:t>
      </w:r>
      <w:proofErr w:type="spellEnd"/>
      <w:r w:rsidRPr="006B7451">
        <w:t xml:space="preserve"> Prevention </w:t>
      </w:r>
      <w:proofErr w:type="spellStart"/>
      <w:r w:rsidRPr="006B7451">
        <w:t>Through</w:t>
      </w:r>
      <w:proofErr w:type="spellEnd"/>
      <w:r w:rsidRPr="006B7451">
        <w:t xml:space="preserve"> </w:t>
      </w:r>
      <w:proofErr w:type="spellStart"/>
      <w:r w:rsidRPr="006B7451">
        <w:t>Environmental</w:t>
      </w:r>
      <w:proofErr w:type="spellEnd"/>
      <w:r w:rsidRPr="006B7451">
        <w:t xml:space="preserve"> Design). Metoderna kan med fördel på ett mer organiserat sätt utvecklas och implementeras i Sverige</w:t>
      </w:r>
      <w:r w:rsidRPr="006B7451" w:rsidR="00022F1A">
        <w:t>.</w:t>
      </w:r>
    </w:p>
    <w:p w:rsidR="0030528A" w:rsidP="00293AC7" w:rsidRDefault="00293AC7" w14:paraId="6DFA94EC" w14:textId="304DC4FA">
      <w:r w:rsidRPr="006B7451">
        <w:t>Förslaget beräknas öka utgifterna i statens budget med 0,75 miljarder kronor 2022.</w:t>
      </w:r>
    </w:p>
    <w:p w:rsidR="0030528A" w:rsidRDefault="0030528A" w14:paraId="328A656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D27185" w:rsidP="00ED5D60" w:rsidRDefault="004B7595" w14:paraId="50B5A66E" w14:textId="5098175A">
      <w:pPr>
        <w:pStyle w:val="Rubrik1numrerat"/>
      </w:pPr>
      <w:bookmarkStart w:name="_Toc121752668" w:id="164"/>
      <w:r w:rsidRPr="006B7451">
        <w:lastRenderedPageBreak/>
        <w:t>Skatter</w:t>
      </w:r>
      <w:bookmarkEnd w:id="164"/>
    </w:p>
    <w:p w:rsidRPr="006B7451" w:rsidR="00B216BC" w:rsidP="00CE2DDF" w:rsidRDefault="00B216BC" w14:paraId="63BEAB4A" w14:textId="68AC0E15">
      <w:pPr>
        <w:pStyle w:val="Normalutanindragellerluft"/>
      </w:pPr>
      <w:r w:rsidRPr="006B7451">
        <w:t>Sverigedemokraterna är ett tillväxt- och välfärdsvänligt parti. Välstånd genereras genom arbete, vilket stimuleras genom ett dämpat skattetryck. Samtidigt har samhället stora gemensamma behov, vilket kräver finansiering. Debatten om skattenivåer i en inrikes</w:t>
      </w:r>
      <w:r w:rsidR="004A082A">
        <w:softHyphen/>
      </w:r>
      <w:r w:rsidRPr="006B7451">
        <w:t>politisk, svensk kontext har ofta varit mer polariserad än de sakpolitiska skillnaderna. Även om höger och vänster har olika ideologiska utgångspunkter är inte skillnaden i förd politik enorm.</w:t>
      </w:r>
    </w:p>
    <w:p w:rsidRPr="006B7451" w:rsidR="00B216BC" w:rsidP="00B216BC" w:rsidRDefault="00B216BC" w14:paraId="24BE3437" w14:textId="0AD20746">
      <w:r w:rsidRPr="006B7451">
        <w:t>Partiets ideologiska profil handlar i första hand om vad pengarna ska användas till, nationens och medborgarnas bästa. Det är viktigt att upprätthålla skattebetalarnas respekt för den offentliga ekonomin</w:t>
      </w:r>
      <w:r w:rsidR="00D0500F">
        <w:t>;</w:t>
      </w:r>
      <w:r w:rsidRPr="006B7451">
        <w:t xml:space="preserve"> om skattemedel förslösas blir effekten den motsatta.</w:t>
      </w:r>
    </w:p>
    <w:p w:rsidRPr="006B7451" w:rsidR="00B216BC" w:rsidP="00B216BC" w:rsidRDefault="00B216BC" w14:paraId="2FE5DEE6" w14:textId="130B4B48">
      <w:r w:rsidRPr="006B7451">
        <w:t>Sverigedemokraterna står för en pragmatisk, avvägd skattepolitik som understryker solidaritet och nationell sammanhållning, samtidigt som den som arbetar ska kunna känna en trygghet i att inte bli beskattad me</w:t>
      </w:r>
      <w:r w:rsidR="006268BE">
        <w:t>r</w:t>
      </w:r>
      <w:r w:rsidRPr="006B7451">
        <w:t xml:space="preserve"> än vad som verkligen behövs.</w:t>
      </w:r>
    </w:p>
    <w:p w:rsidRPr="006B7451" w:rsidR="00B216BC" w:rsidP="00ED5D60" w:rsidRDefault="00B216BC" w14:paraId="20A4EAE2" w14:textId="77777777">
      <w:pPr>
        <w:pStyle w:val="Rubrik2numrerat"/>
      </w:pPr>
      <w:bookmarkStart w:name="_Toc121752669" w:id="165"/>
      <w:r w:rsidRPr="006B7451">
        <w:t>Återställd SINK-skatt</w:t>
      </w:r>
      <w:bookmarkEnd w:id="165"/>
    </w:p>
    <w:p w:rsidRPr="006B7451" w:rsidR="00B216BC" w:rsidP="00CE2DDF" w:rsidRDefault="00B216BC" w14:paraId="71D3A4F5" w14:textId="77777777">
      <w:pPr>
        <w:pStyle w:val="Normalutanindragellerluft"/>
      </w:pPr>
      <w:r w:rsidRPr="006B7451">
        <w:rPr>
          <w:b/>
        </w:rPr>
        <w:t>Sverigedemokraternas förslag</w:t>
      </w:r>
      <w:r w:rsidRPr="00CE2DDF">
        <w:t>:</w:t>
      </w:r>
      <w:r w:rsidRPr="006B7451">
        <w:t xml:space="preserve"> Återställ den särskilda inkomstskatten för utomlands bosatta (SINK) från 25 procent till tidigare 20 procent. </w:t>
      </w:r>
    </w:p>
    <w:p w:rsidRPr="006B7451" w:rsidR="00B216BC" w:rsidP="00CE2DDF" w:rsidRDefault="00B216BC" w14:paraId="5F6C486F" w14:textId="1DF8F886">
      <w:pPr>
        <w:pStyle w:val="Normalutanindragellerluft"/>
        <w:spacing w:before="150"/>
      </w:pPr>
      <w:r w:rsidRPr="006B7451">
        <w:t>Boende i utlandet som är skattskyldiga i Sverige behöver ofta betala privat vårdförsäkring, beroende på vilket land de bor i, samtidigt som de inte nyttjar svensk välfärd i någon större utsträckning. Därför är det rimligt att utlandsboende betalar 20</w:t>
      </w:r>
      <w:r w:rsidR="00EF3512">
        <w:t> </w:t>
      </w:r>
      <w:r w:rsidRPr="006B7451">
        <w:t xml:space="preserve">procent i skatt på sina inkomster, vilket tidigare var fallet innan regeringen höjde </w:t>
      </w:r>
      <w:r w:rsidR="00C35487">
        <w:t>skatt</w:t>
      </w:r>
      <w:r w:rsidRPr="006B7451">
        <w:t>en till 25 procent.</w:t>
      </w:r>
    </w:p>
    <w:p w:rsidRPr="006B7451" w:rsidR="00293AC7" w:rsidP="00293AC7" w:rsidRDefault="00293AC7" w14:paraId="2750E65C" w14:textId="33C67454">
      <w:r w:rsidRPr="006B7451">
        <w:t>Förslaget beräknas minska skatteintäkterna i statens budget med 0,50 miljarder kronor 2022.</w:t>
      </w:r>
    </w:p>
    <w:p w:rsidRPr="006B7451" w:rsidR="00B216BC" w:rsidP="00ED5D60" w:rsidRDefault="00B216BC" w14:paraId="5823A6DC" w14:textId="77777777">
      <w:pPr>
        <w:pStyle w:val="Rubrik2numrerat"/>
      </w:pPr>
      <w:bookmarkStart w:name="_Toc121752670" w:id="166"/>
      <w:proofErr w:type="spellStart"/>
      <w:r w:rsidRPr="006B7451">
        <w:t>Utfasade</w:t>
      </w:r>
      <w:proofErr w:type="spellEnd"/>
      <w:r w:rsidRPr="006B7451">
        <w:t xml:space="preserve"> ränteavdrag</w:t>
      </w:r>
      <w:bookmarkEnd w:id="166"/>
    </w:p>
    <w:p w:rsidRPr="006B7451" w:rsidR="00B216BC" w:rsidP="00CE2DDF" w:rsidRDefault="00B216BC" w14:paraId="6AC52C46" w14:textId="2209DC7C">
      <w:pPr>
        <w:pStyle w:val="Normalutanindragellerluft"/>
      </w:pPr>
      <w:r w:rsidRPr="006B7451">
        <w:rPr>
          <w:b/>
        </w:rPr>
        <w:t>Sverigedemokraternas förslag</w:t>
      </w:r>
      <w:r w:rsidRPr="00CE2DDF">
        <w:t>:</w:t>
      </w:r>
      <w:r w:rsidRPr="006B7451">
        <w:t xml:space="preserve"> Påbörja en utfasning av ränteavdragen med 1</w:t>
      </w:r>
      <w:r w:rsidR="008A57E0">
        <w:t> </w:t>
      </w:r>
      <w:r w:rsidRPr="006B7451">
        <w:t>procentenhet per år under fem års tid, 202</w:t>
      </w:r>
      <w:r w:rsidRPr="006B7451" w:rsidR="008B37F0">
        <w:t>2</w:t>
      </w:r>
      <w:r w:rsidRPr="006B7451">
        <w:t>–202</w:t>
      </w:r>
      <w:r w:rsidRPr="006B7451" w:rsidR="008B37F0">
        <w:t>6</w:t>
      </w:r>
      <w:r w:rsidRPr="006B7451">
        <w:t xml:space="preserve">. </w:t>
      </w:r>
    </w:p>
    <w:p w:rsidRPr="006B7451" w:rsidR="00B216BC" w:rsidP="00A24C63" w:rsidRDefault="00B216BC" w14:paraId="294057EA" w14:textId="65F1FC85">
      <w:pPr>
        <w:pStyle w:val="Normalutanindragellerluft"/>
        <w:spacing w:before="150"/>
      </w:pPr>
      <w:r w:rsidRPr="006B7451">
        <w:t xml:space="preserve">Ränteavdragen är problematiska då staten subventionerar lånande samtidigt </w:t>
      </w:r>
      <w:r w:rsidRPr="006B7451" w:rsidR="008B37F0">
        <w:t>som beskattningen</w:t>
      </w:r>
      <w:r w:rsidRPr="006B7451">
        <w:t xml:space="preserve"> </w:t>
      </w:r>
      <w:r w:rsidRPr="006B7451" w:rsidR="008B37F0">
        <w:t>på</w:t>
      </w:r>
      <w:r w:rsidRPr="006B7451">
        <w:t xml:space="preserve"> sparande</w:t>
      </w:r>
      <w:r w:rsidRPr="006B7451" w:rsidR="008B37F0">
        <w:t xml:space="preserve"> höjts</w:t>
      </w:r>
      <w:r w:rsidRPr="006B7451">
        <w:t xml:space="preserve"> i två steg. Samtidigt bidrar ränteavdragen till att </w:t>
      </w:r>
      <w:r w:rsidRPr="006B7451" w:rsidR="008B37F0">
        <w:t>minska</w:t>
      </w:r>
      <w:r w:rsidRPr="006B7451">
        <w:t xml:space="preserve"> den finansiella stabiliteten eftersom det allt annat lika blir mer förmånligt att låna. Ränteavdragen behöver därför successivt avvecklas. För att inte skapa en finansiell kris och med respekt för att hushållen agerar utifrån de regelverk som sätts upp bör en utfasning ske oerhört långsamt.</w:t>
      </w:r>
    </w:p>
    <w:p w:rsidRPr="006B7451" w:rsidR="00293AC7" w:rsidP="00293AC7" w:rsidRDefault="00293AC7" w14:paraId="0F7174E7" w14:textId="50F1B13A">
      <w:r w:rsidRPr="006B7451">
        <w:t>Förslaget beräknas öka skatteintäkter</w:t>
      </w:r>
      <w:r w:rsidRPr="006B7451" w:rsidR="00197BAD">
        <w:t>na i statens budget</w:t>
      </w:r>
      <w:r w:rsidRPr="006B7451">
        <w:t xml:space="preserve"> med 0,80 miljarder kronor 2022.</w:t>
      </w:r>
    </w:p>
    <w:p w:rsidRPr="006B7451" w:rsidR="00B216BC" w:rsidP="005D2BD6" w:rsidRDefault="00B216BC" w14:paraId="247987CC" w14:textId="77777777">
      <w:pPr>
        <w:pStyle w:val="Rubrik2numrerat"/>
        <w:ind w:left="652" w:hanging="652"/>
      </w:pPr>
      <w:bookmarkStart w:name="_Toc121752671" w:id="167"/>
      <w:r w:rsidRPr="006B7451">
        <w:lastRenderedPageBreak/>
        <w:t>Sänkt skatt på investeringssparkonton och kapitalförsäkringar</w:t>
      </w:r>
      <w:bookmarkEnd w:id="167"/>
    </w:p>
    <w:p w:rsidRPr="006B7451" w:rsidR="00B216BC" w:rsidP="00CE2DDF" w:rsidRDefault="00B216BC" w14:paraId="655B6424" w14:textId="74AA5D2D">
      <w:pPr>
        <w:pStyle w:val="Normalutanindragellerluft"/>
      </w:pPr>
      <w:r w:rsidRPr="006B7451">
        <w:rPr>
          <w:b/>
        </w:rPr>
        <w:t>Sverigedemokraternas förslag</w:t>
      </w:r>
      <w:r w:rsidRPr="00CE2DDF">
        <w:t>:</w:t>
      </w:r>
      <w:r w:rsidRPr="006B7451">
        <w:t xml:space="preserve"> Schablonintäkten som underlag för avkastningsskatten på investeringssparkontot och kapitalförsäkringar ska sänkas från 1,0 procent plus statslåneräntan till 0,75 procent plus statslåneräntan.</w:t>
      </w:r>
    </w:p>
    <w:p w:rsidRPr="006B7451" w:rsidR="00293AC7" w:rsidP="007F50A2" w:rsidRDefault="00293AC7" w14:paraId="2D7E18C1" w14:textId="51424BBF">
      <w:pPr>
        <w:pStyle w:val="Normalutanindragellerluft"/>
        <w:spacing w:before="150"/>
      </w:pPr>
      <w:r w:rsidRPr="006B7451">
        <w:t xml:space="preserve">Se avsnitt </w:t>
      </w:r>
      <w:r w:rsidRPr="006B7451" w:rsidR="0074331A">
        <w:t>8</w:t>
      </w:r>
      <w:r w:rsidRPr="006B7451">
        <w:t>.</w:t>
      </w:r>
      <w:r w:rsidRPr="006B7451" w:rsidR="0074331A">
        <w:t>5</w:t>
      </w:r>
      <w:r w:rsidRPr="006B7451">
        <w:t>.</w:t>
      </w:r>
    </w:p>
    <w:p w:rsidRPr="006B7451" w:rsidR="00B216BC" w:rsidP="00ED5D60" w:rsidRDefault="00B216BC" w14:paraId="7E1D9A68" w14:textId="77777777">
      <w:pPr>
        <w:pStyle w:val="Rubrik2numrerat"/>
      </w:pPr>
      <w:bookmarkStart w:name="_Toc121752672" w:id="168"/>
      <w:r w:rsidRPr="006B7451">
        <w:t>Lägre skatt på bensin och diesel</w:t>
      </w:r>
      <w:bookmarkEnd w:id="168"/>
    </w:p>
    <w:p w:rsidRPr="006B7451" w:rsidR="00B216BC" w:rsidP="007F50A2" w:rsidRDefault="00B216BC" w14:paraId="50B9861C" w14:textId="2BE46273">
      <w:pPr>
        <w:pStyle w:val="Normalutanindragellerluft"/>
      </w:pPr>
      <w:r w:rsidRPr="006B7451">
        <w:rPr>
          <w:b/>
        </w:rPr>
        <w:t>Sverigedemokraternas förslag</w:t>
      </w:r>
      <w:r w:rsidRPr="007F50A2">
        <w:t>:</w:t>
      </w:r>
      <w:r w:rsidRPr="006B7451">
        <w:t xml:space="preserve"> </w:t>
      </w:r>
      <w:r w:rsidRPr="006B7451" w:rsidR="0074331A">
        <w:t xml:space="preserve">Hela indexuppräkningen på bensin- och dieselskatten ska avskaffas. </w:t>
      </w:r>
      <w:r w:rsidRPr="006B7451">
        <w:t>Reduktionsplikten ska sänkas till 5</w:t>
      </w:r>
      <w:r w:rsidR="00AB652A">
        <w:t> </w:t>
      </w:r>
      <w:r w:rsidRPr="006B7451">
        <w:t>procent för diesel och 2</w:t>
      </w:r>
      <w:r w:rsidR="00AB652A">
        <w:t> </w:t>
      </w:r>
      <w:r w:rsidRPr="006B7451">
        <w:t>procent för bensin. Beskattningen av MK3 och MK1 ska likställas. Alla kvarvarande skattelättnader på biodrivmedel ska avskaffas.</w:t>
      </w:r>
    </w:p>
    <w:p w:rsidRPr="006B7451" w:rsidR="00293AC7" w:rsidP="007F50A2" w:rsidRDefault="00293AC7" w14:paraId="666D680D" w14:textId="0F3326B9">
      <w:pPr>
        <w:pStyle w:val="Normalutanindragellerluft"/>
        <w:spacing w:before="150"/>
      </w:pPr>
      <w:r w:rsidRPr="006B7451">
        <w:t xml:space="preserve">Se avsnitt </w:t>
      </w:r>
      <w:r w:rsidRPr="006B7451" w:rsidR="0074331A">
        <w:t>18.1–18.2.</w:t>
      </w:r>
    </w:p>
    <w:p w:rsidRPr="006B7451" w:rsidR="00B216BC" w:rsidP="00ED5D60" w:rsidRDefault="00B216BC" w14:paraId="785AC399" w14:textId="77777777">
      <w:pPr>
        <w:pStyle w:val="Rubrik2numrerat"/>
      </w:pPr>
      <w:bookmarkStart w:name="_Toc121752673" w:id="169"/>
      <w:r w:rsidRPr="006B7451">
        <w:t>Avskaffad flygskatt</w:t>
      </w:r>
      <w:bookmarkEnd w:id="169"/>
    </w:p>
    <w:p w:rsidRPr="006B7451" w:rsidR="00B216BC" w:rsidP="007F50A2" w:rsidRDefault="00B216BC" w14:paraId="4D0EC635" w14:textId="527A1E46">
      <w:pPr>
        <w:pStyle w:val="Normalutanindragellerluft"/>
      </w:pPr>
      <w:r w:rsidRPr="007F50A2">
        <w:rPr>
          <w:b/>
          <w:bCs/>
        </w:rPr>
        <w:t>Sverigedemokraternas förslag</w:t>
      </w:r>
      <w:r w:rsidRPr="006B7451">
        <w:t xml:space="preserve">: Flygskatten ska avskaffas. </w:t>
      </w:r>
    </w:p>
    <w:p w:rsidRPr="006B7451" w:rsidR="00293AC7" w:rsidP="007F50A2" w:rsidRDefault="00293AC7" w14:paraId="31E839F9" w14:textId="452B9D64">
      <w:pPr>
        <w:pStyle w:val="Normalutanindragellerluft"/>
        <w:spacing w:before="150"/>
      </w:pPr>
      <w:r w:rsidRPr="006B7451">
        <w:t xml:space="preserve">Se avsnitt </w:t>
      </w:r>
      <w:r w:rsidRPr="006B7451" w:rsidR="0074331A">
        <w:t>18.7.</w:t>
      </w:r>
    </w:p>
    <w:p w:rsidRPr="006B7451" w:rsidR="00B216BC" w:rsidP="00ED5D60" w:rsidRDefault="00B216BC" w14:paraId="4AD6C262" w14:textId="77777777">
      <w:pPr>
        <w:pStyle w:val="Rubrik2numrerat"/>
      </w:pPr>
      <w:bookmarkStart w:name="_Toc121752674" w:id="170"/>
      <w:r w:rsidRPr="006B7451">
        <w:t>Avskaffad kemikalieskatt</w:t>
      </w:r>
      <w:bookmarkEnd w:id="170"/>
    </w:p>
    <w:p w:rsidRPr="006B7451" w:rsidR="00B216BC" w:rsidP="007F50A2" w:rsidRDefault="00B216BC" w14:paraId="2BEC0F5B" w14:textId="77777777">
      <w:pPr>
        <w:pStyle w:val="Normalutanindragellerluft"/>
      </w:pPr>
      <w:r w:rsidRPr="006B7451">
        <w:rPr>
          <w:b/>
        </w:rPr>
        <w:t>Sverigedemokraternas förslag</w:t>
      </w:r>
      <w:r w:rsidRPr="007F50A2">
        <w:t>:</w:t>
      </w:r>
      <w:r w:rsidRPr="006B7451">
        <w:t xml:space="preserve"> Den så kallade kemikalieskatten, det vill säga den särskilda punktskatten på elektronikprodukter, ska avskaffas.</w:t>
      </w:r>
    </w:p>
    <w:p w:rsidRPr="006B7451" w:rsidR="00B216BC" w:rsidP="007F50A2" w:rsidRDefault="00B216BC" w14:paraId="1A15E32A" w14:textId="71CC53E5">
      <w:pPr>
        <w:pStyle w:val="Normalutanindragellerluft"/>
        <w:spacing w:before="150"/>
      </w:pPr>
      <w:r w:rsidRPr="006B7451">
        <w:t>Undersökningar visar att kemikalieskatten har slagit hårt mot svensk handel. Kemikalieskatten har medfört att var</w:t>
      </w:r>
      <w:r w:rsidR="00CD2617">
        <w:t>t</w:t>
      </w:r>
      <w:r w:rsidRPr="006B7451">
        <w:t xml:space="preserve"> tionde köp har flyttats från svenska butiker till utländska hemsidor. Kemikalieskatten är alltså skadlig för näringslivet och leder till lägre intäkter och svagare förutsä</w:t>
      </w:r>
      <w:r w:rsidRPr="006B7451" w:rsidR="00274C89">
        <w:t>t</w:t>
      </w:r>
      <w:r w:rsidRPr="006B7451">
        <w:t xml:space="preserve">tningar för industriell utveckling och detaljhandel i Sverige. Företagens anpassning till det nya läget har medfört att de har förflyttat delar av sin verksamhet bort från Sverige, </w:t>
      </w:r>
      <w:r w:rsidR="00A86A44">
        <w:t xml:space="preserve">vilket lett till </w:t>
      </w:r>
      <w:r w:rsidRPr="006B7451">
        <w:t>färre svenska arbetstillfällen och i förlängningen till mindre resurser till offentlig sektor.</w:t>
      </w:r>
    </w:p>
    <w:p w:rsidRPr="006B7451" w:rsidR="00293AC7" w:rsidP="00293AC7" w:rsidRDefault="00293AC7" w14:paraId="0C63F3D1" w14:textId="6BE51C32">
      <w:r w:rsidRPr="006B7451">
        <w:t>Förslaget beräknas minska</w:t>
      </w:r>
      <w:r w:rsidRPr="006B7451" w:rsidR="00197BAD">
        <w:t xml:space="preserve"> skatteintäkterna i statens budget</w:t>
      </w:r>
      <w:r w:rsidRPr="006B7451">
        <w:t xml:space="preserve"> med 1,88 miljarder kronor</w:t>
      </w:r>
      <w:r w:rsidRPr="006B7451" w:rsidR="00197BAD">
        <w:t xml:space="preserve"> 2022.</w:t>
      </w:r>
    </w:p>
    <w:p w:rsidRPr="006B7451" w:rsidR="00B216BC" w:rsidP="00ED5D60" w:rsidRDefault="00B216BC" w14:paraId="54B87236" w14:textId="77777777">
      <w:pPr>
        <w:pStyle w:val="Rubrik2numrerat"/>
      </w:pPr>
      <w:bookmarkStart w:name="_Toc121752675" w:id="171"/>
      <w:r w:rsidRPr="006B7451">
        <w:t>Avskaffad skatt på plastpåsar</w:t>
      </w:r>
      <w:bookmarkEnd w:id="171"/>
    </w:p>
    <w:p w:rsidRPr="006B7451" w:rsidR="00B216BC" w:rsidP="0001091A" w:rsidRDefault="00B216BC" w14:paraId="4302650C" w14:textId="77777777">
      <w:pPr>
        <w:pStyle w:val="Normalutanindragellerluft"/>
      </w:pPr>
      <w:r w:rsidRPr="006B7451">
        <w:rPr>
          <w:b/>
        </w:rPr>
        <w:t>Sverigedemokraternas förslag</w:t>
      </w:r>
      <w:r w:rsidRPr="0001091A">
        <w:t>:</w:t>
      </w:r>
      <w:r w:rsidRPr="006B7451">
        <w:t xml:space="preserve"> Den särskilda punktskatten på plastpåsar ska avskaffas. </w:t>
      </w:r>
    </w:p>
    <w:p w:rsidRPr="006B7451" w:rsidR="00B216BC" w:rsidP="0001091A" w:rsidRDefault="00B216BC" w14:paraId="4DEB589F" w14:textId="708B411D">
      <w:pPr>
        <w:pStyle w:val="Normalutanindragellerluft"/>
        <w:spacing w:before="150"/>
      </w:pPr>
      <w:r w:rsidRPr="006B7451">
        <w:t>Sverigedemokraterna var kritiska mot plastpåseskatten vid införandet i maj 2020. Kritiken bestod främst av att skatten inte innebär någon miljönytta – svenska plastpåsar återvinns till ny plast och/eller energi och en utfasning av dem innebär således ingen minskad miljö- eller klimatpåverkan. Sedan skatten infördes har det skett en kraftig minskning av beskattade plastbärkassar och parallellt en ökning av icke-beskattade avfallspåsar av plast och papperspåsar – produkter som är sämre ur miljösynpunkt.</w:t>
      </w:r>
    </w:p>
    <w:p w:rsidRPr="006B7451" w:rsidR="00B216BC" w:rsidP="00B216BC" w:rsidRDefault="00B216BC" w14:paraId="58B3AEBE" w14:textId="7D4473C0">
      <w:r w:rsidRPr="006B7451">
        <w:lastRenderedPageBreak/>
        <w:t xml:space="preserve">När regeringen införde skatten hävdades </w:t>
      </w:r>
      <w:r w:rsidR="0033295C">
        <w:t xml:space="preserve">det </w:t>
      </w:r>
      <w:r w:rsidRPr="006B7451">
        <w:t xml:space="preserve">vidare att intäkterna skulle gå till att rensa upp i naturen, </w:t>
      </w:r>
      <w:r w:rsidR="0033295C">
        <w:t xml:space="preserve">men </w:t>
      </w:r>
      <w:r w:rsidRPr="006B7451">
        <w:t>även här får regeringen bakläxa efter att det visat sig att skatteutfallet är långt från prognosen. Sverigedemokraterna föreslår därför att skatten avskaffas.</w:t>
      </w:r>
    </w:p>
    <w:p w:rsidRPr="006B7451" w:rsidR="00293AC7" w:rsidP="00B216BC" w:rsidRDefault="00293AC7" w14:paraId="7EAA52AE" w14:textId="58FFB860">
      <w:r w:rsidRPr="006B7451">
        <w:t>Förslaget beräknas minska skatteintäkter</w:t>
      </w:r>
      <w:r w:rsidRPr="006B7451" w:rsidR="00197BAD">
        <w:t>na i statens budget</w:t>
      </w:r>
      <w:r w:rsidRPr="006B7451">
        <w:t xml:space="preserve"> med 0,37 miljarder kronor 2022.</w:t>
      </w:r>
    </w:p>
    <w:p w:rsidRPr="006B7451" w:rsidR="00B216BC" w:rsidP="00ED5D60" w:rsidRDefault="00B216BC" w14:paraId="004386D8" w14:textId="77777777">
      <w:pPr>
        <w:pStyle w:val="Rubrik2numrerat"/>
      </w:pPr>
      <w:bookmarkStart w:name="_Toc121752676" w:id="172"/>
      <w:r w:rsidRPr="006B7451">
        <w:t>Avskaffad skatt på avfallsförbränning</w:t>
      </w:r>
      <w:bookmarkEnd w:id="172"/>
    </w:p>
    <w:p w:rsidRPr="006B7451" w:rsidR="00B216BC" w:rsidP="0001091A" w:rsidRDefault="00B216BC" w14:paraId="3998BB73" w14:textId="40C89B07">
      <w:pPr>
        <w:pStyle w:val="Normalutanindragellerluft"/>
      </w:pPr>
      <w:r w:rsidRPr="006B7451">
        <w:rPr>
          <w:b/>
        </w:rPr>
        <w:t>Sverigedemokraternas förslag</w:t>
      </w:r>
      <w:r w:rsidRPr="0001091A">
        <w:t>:</w:t>
      </w:r>
      <w:r w:rsidRPr="006B7451">
        <w:t xml:space="preserve"> Den särskilda punktskatten på avfallsförbränning ska avskaffas. </w:t>
      </w:r>
    </w:p>
    <w:p w:rsidRPr="006B7451" w:rsidR="00293AC7" w:rsidP="0001091A" w:rsidRDefault="00293AC7" w14:paraId="011EC07D" w14:textId="712C9728">
      <w:pPr>
        <w:pStyle w:val="Normalutanindragellerluft"/>
        <w:spacing w:before="150"/>
      </w:pPr>
      <w:r w:rsidRPr="006B7451">
        <w:t xml:space="preserve">Se avsnitt </w:t>
      </w:r>
      <w:r w:rsidRPr="006B7451" w:rsidR="0074331A">
        <w:t>19.6.</w:t>
      </w:r>
    </w:p>
    <w:p w:rsidRPr="006B7451" w:rsidR="00B216BC" w:rsidP="00ED5D60" w:rsidRDefault="00B216BC" w14:paraId="335C0059" w14:textId="463DB5DD">
      <w:pPr>
        <w:pStyle w:val="Rubrik2numrerat"/>
      </w:pPr>
      <w:bookmarkStart w:name="_Toc121752677" w:id="173"/>
      <w:r w:rsidRPr="006B7451">
        <w:t>Avskaffad bonus</w:t>
      </w:r>
      <w:r w:rsidR="002A44FA">
        <w:t xml:space="preserve"> </w:t>
      </w:r>
      <w:proofErr w:type="spellStart"/>
      <w:r w:rsidRPr="006B7451">
        <w:t>malus</w:t>
      </w:r>
      <w:bookmarkEnd w:id="173"/>
      <w:proofErr w:type="spellEnd"/>
    </w:p>
    <w:p w:rsidRPr="006B7451" w:rsidR="00B216BC" w:rsidP="0001091A" w:rsidRDefault="00B216BC" w14:paraId="6B8628D3" w14:textId="0ED534C0">
      <w:pPr>
        <w:pStyle w:val="Normalutanindragellerluft"/>
      </w:pPr>
      <w:r w:rsidRPr="006B7451">
        <w:rPr>
          <w:b/>
        </w:rPr>
        <w:t>Sverigedemokraternas förslag</w:t>
      </w:r>
      <w:r w:rsidRPr="0001091A">
        <w:t>:</w:t>
      </w:r>
      <w:r w:rsidRPr="006B7451">
        <w:t xml:space="preserve"> Bonus</w:t>
      </w:r>
      <w:r w:rsidR="002A44FA">
        <w:t xml:space="preserve"> </w:t>
      </w:r>
      <w:proofErr w:type="spellStart"/>
      <w:r w:rsidRPr="006B7451">
        <w:t>malus</w:t>
      </w:r>
      <w:proofErr w:type="spellEnd"/>
      <w:r w:rsidRPr="006B7451">
        <w:t>-systemet för personbilar ska avskaffas.</w:t>
      </w:r>
    </w:p>
    <w:p w:rsidRPr="006B7451" w:rsidR="00293AC7" w:rsidP="0001091A" w:rsidRDefault="00293AC7" w14:paraId="4E366F6B" w14:textId="47B285F0">
      <w:pPr>
        <w:pStyle w:val="Normalutanindragellerluft"/>
        <w:spacing w:before="150"/>
      </w:pPr>
      <w:r w:rsidRPr="006B7451">
        <w:t xml:space="preserve">Se avsnitt </w:t>
      </w:r>
      <w:r w:rsidRPr="006B7451" w:rsidR="0074331A">
        <w:t>18.4.</w:t>
      </w:r>
    </w:p>
    <w:p w:rsidRPr="006B7451" w:rsidR="00B216BC" w:rsidP="00ED5D60" w:rsidRDefault="00B216BC" w14:paraId="14D92655" w14:textId="21CB609D">
      <w:pPr>
        <w:pStyle w:val="Rubrik2numrerat"/>
      </w:pPr>
      <w:bookmarkStart w:name="_Toc121752678" w:id="174"/>
      <w:r w:rsidRPr="006B7451">
        <w:t>Nej till justerad förmånsbeskattning av tjänstebil</w:t>
      </w:r>
      <w:r w:rsidR="00FD18BB">
        <w:t>ar</w:t>
      </w:r>
      <w:bookmarkEnd w:id="174"/>
    </w:p>
    <w:p w:rsidRPr="006B7451" w:rsidR="00B216BC" w:rsidP="0001091A" w:rsidRDefault="00B216BC" w14:paraId="69A05222" w14:textId="0FC52F70">
      <w:pPr>
        <w:pStyle w:val="Normalutanindragellerluft"/>
      </w:pPr>
      <w:r w:rsidRPr="006B7451">
        <w:rPr>
          <w:b/>
        </w:rPr>
        <w:t>Sverigedemokraternas förslag</w:t>
      </w:r>
      <w:r w:rsidRPr="0001091A">
        <w:t>:</w:t>
      </w:r>
      <w:r w:rsidRPr="006B7451">
        <w:t xml:space="preserve"> Förmånsbeskattningen av tjänstebil</w:t>
      </w:r>
      <w:r w:rsidR="00FC59D6">
        <w:t>ar</w:t>
      </w:r>
      <w:r w:rsidRPr="006B7451">
        <w:t xml:space="preserve"> ska inte justeras.</w:t>
      </w:r>
    </w:p>
    <w:p w:rsidRPr="006B7451" w:rsidR="00B216BC" w:rsidP="0001091A" w:rsidRDefault="00B216BC" w14:paraId="467BD897" w14:textId="18D7A8E7">
      <w:pPr>
        <w:pStyle w:val="Normalutanindragellerluft"/>
        <w:spacing w:before="150"/>
      </w:pPr>
      <w:r w:rsidRPr="006B7451">
        <w:t xml:space="preserve">En del arbetsgivare erbjuder anställda möjligheten att växla lön mot </w:t>
      </w:r>
      <w:r w:rsidR="008B20E2">
        <w:t xml:space="preserve">en </w:t>
      </w:r>
      <w:r w:rsidRPr="006B7451">
        <w:t>tjänstebil, vilket innebär att bilen leasas av arbetsgivaren mot att arbetstagaren får lägre lön. Därefter förmånsbeskattas arbetstagaren för bilen som löneförmån. Regeringens förslag om ett kraftigt ökat förmånsvärde innebär att ett antal arbetstagare, som i många fall är beroende av bilen, får en kraftigt höjd skatt. Sverigedemokraternas förslag är att förmånsvärdet inte ska uppjusteras.</w:t>
      </w:r>
    </w:p>
    <w:p w:rsidRPr="006B7451" w:rsidR="00B216BC" w:rsidP="00ED5D60" w:rsidRDefault="00B216BC" w14:paraId="1830E476" w14:textId="77777777">
      <w:pPr>
        <w:pStyle w:val="Rubrik2numrerat"/>
      </w:pPr>
      <w:bookmarkStart w:name="_Toc121752679" w:id="175"/>
      <w:r w:rsidRPr="006B7451">
        <w:t>Återställda momssatser</w:t>
      </w:r>
      <w:bookmarkEnd w:id="175"/>
    </w:p>
    <w:p w:rsidRPr="006B7451" w:rsidR="00B216BC" w:rsidP="00DD7216" w:rsidRDefault="00B216BC" w14:paraId="26B940E9" w14:textId="597AA97F">
      <w:pPr>
        <w:pStyle w:val="Normalutanindragellerluft"/>
      </w:pPr>
      <w:r w:rsidRPr="006B7451">
        <w:rPr>
          <w:b/>
        </w:rPr>
        <w:t>Sverigedemokraternas förslag</w:t>
      </w:r>
      <w:r w:rsidRPr="00DD7216">
        <w:t>:</w:t>
      </w:r>
      <w:r w:rsidRPr="006B7451">
        <w:t xml:space="preserve"> Återställ momsen på restaurang- och cateringtjänster, på burkar och flaskor samt på </w:t>
      </w:r>
      <w:proofErr w:type="spellStart"/>
      <w:r w:rsidRPr="006B7451">
        <w:t>hämtmat</w:t>
      </w:r>
      <w:proofErr w:type="spellEnd"/>
      <w:r w:rsidRPr="006B7451">
        <w:t xml:space="preserve"> till </w:t>
      </w:r>
      <w:r w:rsidR="00B54697">
        <w:t xml:space="preserve">den </w:t>
      </w:r>
      <w:r w:rsidRPr="006B7451">
        <w:t>ordinarie momssats</w:t>
      </w:r>
      <w:r w:rsidR="00B54697">
        <w:t>en</w:t>
      </w:r>
      <w:r w:rsidRPr="006B7451">
        <w:t xml:space="preserve"> om 25 procent</w:t>
      </w:r>
      <w:r w:rsidRPr="006B7451" w:rsidR="003F6690">
        <w:t xml:space="preserve"> år 2024.</w:t>
      </w:r>
    </w:p>
    <w:p w:rsidRPr="006B7451" w:rsidR="00B216BC" w:rsidP="00DD7216" w:rsidRDefault="00B54697" w14:paraId="2BFBED68" w14:textId="6EDA3805">
      <w:pPr>
        <w:pStyle w:val="Normalutanindragellerluft"/>
        <w:spacing w:before="150"/>
      </w:pPr>
      <w:r>
        <w:t>Den o</w:t>
      </w:r>
      <w:r w:rsidRPr="006B7451" w:rsidR="00B216BC">
        <w:t>rdinarie momssats</w:t>
      </w:r>
      <w:r>
        <w:t>en</w:t>
      </w:r>
      <w:r w:rsidRPr="006B7451" w:rsidR="00B216BC">
        <w:t xml:space="preserve"> i Sverige är 25 procent, men flertalet varor och tjänster har nedsatta momssatser, till antingen 12 eller 6 procent. Därtill är vissa varor och tjänster helt momsbefriade. Många momsnedsättningar verkar som ett riktat branschstöd</w:t>
      </w:r>
      <w:r w:rsidR="00D11130">
        <w:t>,</w:t>
      </w:r>
      <w:r w:rsidRPr="006B7451" w:rsidR="00B216BC">
        <w:t xml:space="preserve"> vilket är negativt ur perspektiven samhällsekonomisk effektivitet och rättvisa. Ett exempel är den nedsatta momsen på restaurang- och cateringtjänster samt på </w:t>
      </w:r>
      <w:proofErr w:type="spellStart"/>
      <w:r w:rsidRPr="006B7451" w:rsidR="00B216BC">
        <w:t>hämtmat</w:t>
      </w:r>
      <w:proofErr w:type="spellEnd"/>
      <w:r w:rsidRPr="006B7451" w:rsidR="00B216BC">
        <w:t>. De önskade effekterna har inte uppfyllts. Utvärderingar har gjort gällande att så lite som 1</w:t>
      </w:r>
      <w:r w:rsidR="004C205D">
        <w:t> </w:t>
      </w:r>
      <w:r w:rsidRPr="006B7451" w:rsidR="00B216BC">
        <w:t>000 nya jobb har skapats, till en kostnad om närmare 6</w:t>
      </w:r>
      <w:r w:rsidR="004C205D">
        <w:t> </w:t>
      </w:r>
      <w:r w:rsidRPr="006B7451" w:rsidR="00B216BC">
        <w:t>miljarder kronor.</w:t>
      </w:r>
    </w:p>
    <w:p w:rsidRPr="006B7451" w:rsidR="00B216BC" w:rsidP="00B216BC" w:rsidRDefault="00B216BC" w14:paraId="7ACF828C" w14:textId="3064A264">
      <w:r w:rsidRPr="006B7451">
        <w:t xml:space="preserve">I denna budget återställer Sverigedemokraterna dessa båda momssatser. Tillika höjs momsen på flaskor och burkar till ordinarie 25 procent. I ett längre perspektiv bör en </w:t>
      </w:r>
      <w:r w:rsidRPr="006B7451" w:rsidR="008B37F0">
        <w:t>enhetlig moms</w:t>
      </w:r>
      <w:r w:rsidRPr="006B7451">
        <w:t xml:space="preserve"> utredas, eftersom sysselsättningseffekten blir mer påtaglig av sänkta inkomstskatter. En sådan utredning bör även ta sikte på fördelningspolitiska effekter av en skatteväxling.</w:t>
      </w:r>
    </w:p>
    <w:p w:rsidR="00A24C63" w:rsidRDefault="00A24C63" w14:paraId="266B45A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lastRenderedPageBreak/>
        <w:br w:type="page"/>
      </w:r>
    </w:p>
    <w:p w:rsidRPr="00DD7216" w:rsidR="00987E6D" w:rsidP="00A24C63" w:rsidRDefault="00987E6D" w14:paraId="3EF31ECC" w14:textId="12461A4A">
      <w:pPr>
        <w:pStyle w:val="Tabellrubrik"/>
        <w:keepNext/>
      </w:pPr>
      <w:r w:rsidRPr="00DD7216">
        <w:lastRenderedPageBreak/>
        <w:t xml:space="preserve">Tabell </w:t>
      </w:r>
      <w:r w:rsidR="00DD7216">
        <w:t>18</w:t>
      </w:r>
      <w:r w:rsidRPr="00DD7216">
        <w:t xml:space="preserve"> Offentligfinansiella effekter av att avskaffa mervärdesskatten på alkoholfria drycker, dricksvatten och liknande i flaska, restaurang- och cateringtjänster inklusive </w:t>
      </w:r>
      <w:proofErr w:type="spellStart"/>
      <w:r w:rsidRPr="00DD7216">
        <w:t>hämtmat</w:t>
      </w:r>
      <w:proofErr w:type="spellEnd"/>
      <w:r w:rsidRPr="00DD7216">
        <w:t>, miljarder kronor</w:t>
      </w:r>
    </w:p>
    <w:tbl>
      <w:tblPr>
        <w:tblStyle w:val="Tabellrutnt"/>
        <w:tblW w:w="0" w:type="auto"/>
        <w:tblBorders>
          <w:left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123"/>
        <w:gridCol w:w="2123"/>
        <w:gridCol w:w="2124"/>
        <w:gridCol w:w="2124"/>
      </w:tblGrid>
      <w:tr w:rsidRPr="006B7451" w:rsidR="004E5AE2" w:rsidTr="00B85073" w14:paraId="3D54DA3E" w14:textId="77777777">
        <w:trPr>
          <w:cantSplit/>
        </w:trPr>
        <w:tc>
          <w:tcPr>
            <w:tcW w:w="2123" w:type="dxa"/>
            <w:tcBorders>
              <w:top w:val="single" w:color="auto" w:sz="4" w:space="0"/>
              <w:bottom w:val="single" w:color="auto" w:sz="4" w:space="0"/>
            </w:tcBorders>
          </w:tcPr>
          <w:p w:rsidRPr="006B7451" w:rsidR="004E5AE2" w:rsidP="00B85073" w:rsidRDefault="004E5AE2" w14:paraId="2585A30C" w14:textId="77777777">
            <w:pPr>
              <w:spacing w:before="80" w:line="240" w:lineRule="exact"/>
              <w:ind w:firstLine="0"/>
              <w:rPr>
                <w:sz w:val="20"/>
                <w:szCs w:val="20"/>
              </w:rPr>
            </w:pPr>
          </w:p>
        </w:tc>
        <w:tc>
          <w:tcPr>
            <w:tcW w:w="2123" w:type="dxa"/>
            <w:tcBorders>
              <w:top w:val="single" w:color="auto" w:sz="4" w:space="0"/>
              <w:bottom w:val="single" w:color="auto" w:sz="4" w:space="0"/>
            </w:tcBorders>
          </w:tcPr>
          <w:p w:rsidRPr="006B7451" w:rsidR="004E5AE2" w:rsidP="00B85073" w:rsidRDefault="004E5AE2" w14:paraId="12CCD901" w14:textId="2E373CE1">
            <w:pPr>
              <w:spacing w:before="80" w:line="240" w:lineRule="exact"/>
              <w:ind w:firstLine="0"/>
              <w:jc w:val="right"/>
              <w:rPr>
                <w:b/>
                <w:sz w:val="20"/>
                <w:szCs w:val="20"/>
              </w:rPr>
            </w:pPr>
            <w:r w:rsidRPr="006B7451">
              <w:rPr>
                <w:b/>
                <w:sz w:val="20"/>
                <w:szCs w:val="20"/>
              </w:rPr>
              <w:t>2022</w:t>
            </w:r>
          </w:p>
        </w:tc>
        <w:tc>
          <w:tcPr>
            <w:tcW w:w="2124" w:type="dxa"/>
            <w:tcBorders>
              <w:top w:val="single" w:color="auto" w:sz="4" w:space="0"/>
              <w:bottom w:val="single" w:color="auto" w:sz="4" w:space="0"/>
            </w:tcBorders>
          </w:tcPr>
          <w:p w:rsidRPr="006B7451" w:rsidR="004E5AE2" w:rsidP="00B85073" w:rsidRDefault="004E5AE2" w14:paraId="57ADC671" w14:textId="7087A5AE">
            <w:pPr>
              <w:spacing w:before="80" w:line="240" w:lineRule="exact"/>
              <w:ind w:firstLine="0"/>
              <w:jc w:val="right"/>
              <w:rPr>
                <w:b/>
                <w:sz w:val="20"/>
                <w:szCs w:val="20"/>
              </w:rPr>
            </w:pPr>
            <w:r w:rsidRPr="006B7451">
              <w:rPr>
                <w:b/>
                <w:sz w:val="20"/>
                <w:szCs w:val="20"/>
              </w:rPr>
              <w:t>2023</w:t>
            </w:r>
          </w:p>
        </w:tc>
        <w:tc>
          <w:tcPr>
            <w:tcW w:w="2124" w:type="dxa"/>
            <w:tcBorders>
              <w:top w:val="single" w:color="auto" w:sz="4" w:space="0"/>
              <w:bottom w:val="single" w:color="auto" w:sz="4" w:space="0"/>
            </w:tcBorders>
          </w:tcPr>
          <w:p w:rsidRPr="006B7451" w:rsidR="004E5AE2" w:rsidP="00B85073" w:rsidRDefault="004E5AE2" w14:paraId="40A2B70A" w14:textId="2D08106E">
            <w:pPr>
              <w:spacing w:before="80" w:line="240" w:lineRule="exact"/>
              <w:ind w:firstLine="0"/>
              <w:jc w:val="right"/>
              <w:rPr>
                <w:b/>
                <w:sz w:val="20"/>
                <w:szCs w:val="20"/>
              </w:rPr>
            </w:pPr>
            <w:r w:rsidRPr="006B7451">
              <w:rPr>
                <w:b/>
                <w:sz w:val="20"/>
                <w:szCs w:val="20"/>
              </w:rPr>
              <w:t>2024</w:t>
            </w:r>
          </w:p>
        </w:tc>
      </w:tr>
      <w:tr w:rsidRPr="006B7451" w:rsidR="004E5AE2" w:rsidTr="00B85073" w14:paraId="377A789A" w14:textId="77777777">
        <w:trPr>
          <w:cantSplit/>
        </w:trPr>
        <w:tc>
          <w:tcPr>
            <w:tcW w:w="2123" w:type="dxa"/>
            <w:tcBorders>
              <w:top w:val="single" w:color="auto" w:sz="4" w:space="0"/>
            </w:tcBorders>
          </w:tcPr>
          <w:p w:rsidRPr="006B7451" w:rsidR="004E5AE2" w:rsidP="00B85073" w:rsidRDefault="00987E6D" w14:paraId="7B454DAB" w14:textId="63301B1D">
            <w:pPr>
              <w:spacing w:before="80" w:line="240" w:lineRule="exact"/>
              <w:ind w:firstLine="0"/>
              <w:rPr>
                <w:sz w:val="20"/>
                <w:szCs w:val="20"/>
              </w:rPr>
            </w:pPr>
            <w:r w:rsidRPr="006B7451">
              <w:rPr>
                <w:sz w:val="20"/>
                <w:szCs w:val="20"/>
              </w:rPr>
              <w:t>Staten</w:t>
            </w:r>
          </w:p>
        </w:tc>
        <w:tc>
          <w:tcPr>
            <w:tcW w:w="2123" w:type="dxa"/>
            <w:tcBorders>
              <w:top w:val="single" w:color="auto" w:sz="4" w:space="0"/>
            </w:tcBorders>
          </w:tcPr>
          <w:p w:rsidRPr="006B7451" w:rsidR="004E5AE2" w:rsidP="00B85073" w:rsidRDefault="004E5AE2" w14:paraId="2CC18E76" w14:textId="77777777">
            <w:pPr>
              <w:spacing w:before="80" w:line="240" w:lineRule="exact"/>
              <w:ind w:firstLine="0"/>
              <w:jc w:val="right"/>
              <w:rPr>
                <w:sz w:val="20"/>
                <w:szCs w:val="20"/>
              </w:rPr>
            </w:pPr>
          </w:p>
        </w:tc>
        <w:tc>
          <w:tcPr>
            <w:tcW w:w="2124" w:type="dxa"/>
            <w:tcBorders>
              <w:top w:val="single" w:color="auto" w:sz="4" w:space="0"/>
            </w:tcBorders>
          </w:tcPr>
          <w:p w:rsidRPr="006B7451" w:rsidR="004E5AE2" w:rsidP="00B85073" w:rsidRDefault="004E5AE2" w14:paraId="188309BB" w14:textId="77777777">
            <w:pPr>
              <w:spacing w:before="80" w:line="240" w:lineRule="exact"/>
              <w:ind w:firstLine="0"/>
              <w:jc w:val="right"/>
              <w:rPr>
                <w:sz w:val="20"/>
                <w:szCs w:val="20"/>
              </w:rPr>
            </w:pPr>
          </w:p>
        </w:tc>
        <w:tc>
          <w:tcPr>
            <w:tcW w:w="2124" w:type="dxa"/>
            <w:tcBorders>
              <w:top w:val="single" w:color="auto" w:sz="4" w:space="0"/>
            </w:tcBorders>
          </w:tcPr>
          <w:p w:rsidRPr="006B7451" w:rsidR="004E5AE2" w:rsidP="00B85073" w:rsidRDefault="00987E6D" w14:paraId="7618FBA2" w14:textId="487303FE">
            <w:pPr>
              <w:spacing w:before="80" w:line="240" w:lineRule="exact"/>
              <w:ind w:firstLine="0"/>
              <w:jc w:val="right"/>
              <w:rPr>
                <w:sz w:val="20"/>
                <w:szCs w:val="20"/>
              </w:rPr>
            </w:pPr>
            <w:r w:rsidRPr="006B7451">
              <w:rPr>
                <w:sz w:val="20"/>
                <w:szCs w:val="20"/>
              </w:rPr>
              <w:t>12,70</w:t>
            </w:r>
          </w:p>
        </w:tc>
      </w:tr>
    </w:tbl>
    <w:p w:rsidRPr="006B7451" w:rsidR="00B216BC" w:rsidP="00ED5D60" w:rsidRDefault="00B216BC" w14:paraId="05D037EA" w14:textId="114D3878">
      <w:pPr>
        <w:pStyle w:val="Rubrik2numrerat"/>
      </w:pPr>
      <w:bookmarkStart w:name="_Toc121752680" w:id="176"/>
      <w:r w:rsidRPr="006B7451">
        <w:t>Slopad förmånsbeskattning av sjukvård</w:t>
      </w:r>
      <w:bookmarkEnd w:id="176"/>
    </w:p>
    <w:p w:rsidRPr="006B7451" w:rsidR="00B216BC" w:rsidP="00FF7B80" w:rsidRDefault="00B216BC" w14:paraId="1FFDB3A6" w14:textId="77777777">
      <w:pPr>
        <w:pStyle w:val="Normalutanindragellerluft"/>
      </w:pPr>
      <w:r w:rsidRPr="006B7451">
        <w:rPr>
          <w:b/>
        </w:rPr>
        <w:t>Sverigedemokraternas förslag</w:t>
      </w:r>
      <w:r w:rsidRPr="00FF7B80">
        <w:t>:</w:t>
      </w:r>
      <w:r w:rsidRPr="006B7451">
        <w:t xml:space="preserve"> Avskaffa förmånsbeskattningen av privata sjukvårdsförsäkringar.</w:t>
      </w:r>
    </w:p>
    <w:p w:rsidRPr="006B7451" w:rsidR="00B216BC" w:rsidP="00FF7B80" w:rsidRDefault="00B216BC" w14:paraId="62E19E27" w14:textId="1F3458C1">
      <w:pPr>
        <w:pStyle w:val="Normalutanindragellerluft"/>
        <w:spacing w:before="150"/>
      </w:pPr>
      <w:r w:rsidRPr="006B7451">
        <w:t xml:space="preserve">Svensk sjukvård är överbelastad och har långa köer. Privata sjukvårdsförsäkringar som ger tillgång till privat sjukvård vid sidan av den ordinarie offentliga vården har medfört en avlastning från vårdköerna och från regionerna i den nu rådande situationen. En ökad beskattning </w:t>
      </w:r>
      <w:r w:rsidR="00C93F4F">
        <w:t>av</w:t>
      </w:r>
      <w:r w:rsidRPr="006B7451">
        <w:t xml:space="preserve"> privat sjukvård kan medföra att allt fler väljer att ställa sig i de ordinarie vårdköerna och på så sätt ytterligare belasta den redan problemfyllda offentliga vården med längre väntetider. Sverigedemokraterna motsätter sig därför sjukvårdsskatten som inte leder till samhällsekonomisk nytta eller leder till mer jämlik vård.</w:t>
      </w:r>
    </w:p>
    <w:p w:rsidRPr="006B7451" w:rsidR="004E5AE2" w:rsidP="004E5AE2" w:rsidRDefault="004E5AE2" w14:paraId="1ADE0935" w14:textId="16D97B87">
      <w:r w:rsidRPr="006B7451">
        <w:t>Förslaget beräknas minska skatteintäkterna i statens budget med 0,20 miljarder kronor 2022.</w:t>
      </w:r>
    </w:p>
    <w:p w:rsidR="00A24C63" w:rsidRDefault="00A24C63" w14:paraId="047D1683" w14:textId="64951EC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6E7E74" w:rsidP="00ED5D60" w:rsidRDefault="006E7E74" w14:paraId="4DD558FC" w14:textId="5A7C1096">
      <w:pPr>
        <w:pStyle w:val="Rubrik1numrerat"/>
      </w:pPr>
      <w:bookmarkStart w:name="_Toc121752681" w:id="177"/>
      <w:r w:rsidRPr="006B7451">
        <w:lastRenderedPageBreak/>
        <w:t>Tabeller per utgiftsområde</w:t>
      </w:r>
      <w:bookmarkEnd w:id="177"/>
    </w:p>
    <w:p w:rsidRPr="006B7451" w:rsidR="006E7E74" w:rsidP="00682536" w:rsidRDefault="006E7E74" w14:paraId="0CC39AA2" w14:textId="77777777">
      <w:pPr>
        <w:pStyle w:val="Rubrik2numrerat"/>
        <w:spacing w:before="440"/>
      </w:pPr>
      <w:bookmarkStart w:name="_Toc121752682" w:id="178"/>
      <w:r w:rsidRPr="006B7451">
        <w:t>Utgiftsområde 1 Rikets styrelse</w:t>
      </w:r>
      <w:bookmarkEnd w:id="178"/>
    </w:p>
    <w:p w:rsidRPr="00FF7B80" w:rsidR="00C02DED" w:rsidP="00FF7B80" w:rsidRDefault="00C02DED" w14:paraId="470FFF95" w14:textId="77777777">
      <w:pPr>
        <w:pStyle w:val="Tabellrubrik"/>
      </w:pPr>
      <w:r w:rsidRPr="00FF7B80">
        <w:t>Anslagsförslag 2022 för utgiftsområde 1 Rikets styrelse</w:t>
      </w:r>
    </w:p>
    <w:p w:rsidRPr="00FF7B80" w:rsidR="00C02DED" w:rsidP="00FF7B80" w:rsidRDefault="00C02DED" w14:paraId="0E2B6CBB" w14:textId="77777777">
      <w:pPr>
        <w:pStyle w:val="Tabellunderrubrik"/>
      </w:pPr>
      <w:r w:rsidRPr="00FF7B80">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53DE442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32F6F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8624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C689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06A588C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0E91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8F1B7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6B7451" w:rsidR="00C02DED" w:rsidP="00C02DED" w:rsidRDefault="00C02DED" w14:paraId="4C07B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149 157</w:t>
            </w:r>
          </w:p>
        </w:tc>
        <w:tc>
          <w:tcPr>
            <w:tcW w:w="1418" w:type="dxa"/>
            <w:shd w:val="clear" w:color="auto" w:fill="FFFFFF"/>
            <w:tcMar>
              <w:top w:w="68" w:type="dxa"/>
              <w:left w:w="28" w:type="dxa"/>
              <w:bottom w:w="0" w:type="dxa"/>
              <w:right w:w="28" w:type="dxa"/>
            </w:tcMar>
            <w:hideMark/>
          </w:tcPr>
          <w:p w:rsidRPr="006B7451" w:rsidR="00C02DED" w:rsidP="00C02DED" w:rsidRDefault="00C02DED" w14:paraId="5E83F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r>
      <w:tr w:rsidRPr="006B7451" w:rsidR="00C02DED" w:rsidTr="00C02DED" w14:paraId="31D4160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77CB1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5A4F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6B7451" w:rsidR="00C02DED" w:rsidP="00C02DED" w:rsidRDefault="00C02DED" w14:paraId="44EC0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981 205</w:t>
            </w:r>
          </w:p>
        </w:tc>
        <w:tc>
          <w:tcPr>
            <w:tcW w:w="1418" w:type="dxa"/>
            <w:shd w:val="clear" w:color="auto" w:fill="FFFFFF"/>
            <w:tcMar>
              <w:top w:w="68" w:type="dxa"/>
              <w:left w:w="28" w:type="dxa"/>
              <w:bottom w:w="0" w:type="dxa"/>
              <w:right w:w="28" w:type="dxa"/>
            </w:tcMar>
            <w:hideMark/>
          </w:tcPr>
          <w:p w:rsidRPr="006B7451" w:rsidR="00C02DED" w:rsidP="00C02DED" w:rsidRDefault="00C02DED" w14:paraId="2E955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9E9394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05D5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FC1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6B7451" w:rsidR="00C02DED" w:rsidP="00C02DED" w:rsidRDefault="00C02DED" w14:paraId="0F860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984 675</w:t>
            </w:r>
          </w:p>
        </w:tc>
        <w:tc>
          <w:tcPr>
            <w:tcW w:w="1418" w:type="dxa"/>
            <w:shd w:val="clear" w:color="auto" w:fill="FFFFFF"/>
            <w:tcMar>
              <w:top w:w="68" w:type="dxa"/>
              <w:left w:w="28" w:type="dxa"/>
              <w:bottom w:w="0" w:type="dxa"/>
              <w:right w:w="28" w:type="dxa"/>
            </w:tcMar>
            <w:hideMark/>
          </w:tcPr>
          <w:p w:rsidRPr="006B7451" w:rsidR="00C02DED" w:rsidP="00C02DED" w:rsidRDefault="00C02DED" w14:paraId="23255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154AB9E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34689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41C4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6B7451" w:rsidR="00C02DED" w:rsidP="00C02DED" w:rsidRDefault="00C02DED" w14:paraId="3BBC2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hideMark/>
          </w:tcPr>
          <w:p w:rsidRPr="006B7451" w:rsidR="00C02DED" w:rsidP="00C02DED" w:rsidRDefault="00C02DED" w14:paraId="3C6F4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5D6ED8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EC972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14BF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6B7451" w:rsidR="00C02DED" w:rsidP="00C02DED" w:rsidRDefault="00C02DED" w14:paraId="1B531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123 577</w:t>
            </w:r>
          </w:p>
        </w:tc>
        <w:tc>
          <w:tcPr>
            <w:tcW w:w="1418" w:type="dxa"/>
            <w:shd w:val="clear" w:color="auto" w:fill="FFFFFF"/>
            <w:tcMar>
              <w:top w:w="68" w:type="dxa"/>
              <w:left w:w="28" w:type="dxa"/>
              <w:bottom w:w="0" w:type="dxa"/>
              <w:right w:w="28" w:type="dxa"/>
            </w:tcMar>
            <w:hideMark/>
          </w:tcPr>
          <w:p w:rsidRPr="006B7451" w:rsidR="00C02DED" w:rsidP="00C02DED" w:rsidRDefault="00C02DED" w14:paraId="5E95D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3D8223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1627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88FA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6B7451" w:rsidR="00C02DED" w:rsidP="00C02DED" w:rsidRDefault="00C02DED" w14:paraId="0B3BD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355 822</w:t>
            </w:r>
          </w:p>
        </w:tc>
        <w:tc>
          <w:tcPr>
            <w:tcW w:w="1418" w:type="dxa"/>
            <w:shd w:val="clear" w:color="auto" w:fill="FFFFFF"/>
            <w:tcMar>
              <w:top w:w="68" w:type="dxa"/>
              <w:left w:w="28" w:type="dxa"/>
              <w:bottom w:w="0" w:type="dxa"/>
              <w:right w:w="28" w:type="dxa"/>
            </w:tcMar>
            <w:hideMark/>
          </w:tcPr>
          <w:p w:rsidRPr="006B7451" w:rsidR="00C02DED" w:rsidP="00C02DED" w:rsidRDefault="00C02DED" w14:paraId="11214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BC7B89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5A60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B25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6B7451" w:rsidR="00C02DED" w:rsidP="00C02DED" w:rsidRDefault="00C02DED" w14:paraId="41BE7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61 800</w:t>
            </w:r>
          </w:p>
        </w:tc>
        <w:tc>
          <w:tcPr>
            <w:tcW w:w="1418" w:type="dxa"/>
            <w:shd w:val="clear" w:color="auto" w:fill="FFFFFF"/>
            <w:tcMar>
              <w:top w:w="68" w:type="dxa"/>
              <w:left w:w="28" w:type="dxa"/>
              <w:bottom w:w="0" w:type="dxa"/>
              <w:right w:w="28" w:type="dxa"/>
            </w:tcMar>
            <w:hideMark/>
          </w:tcPr>
          <w:p w:rsidRPr="006B7451" w:rsidR="00C02DED" w:rsidP="00C02DED" w:rsidRDefault="00C02DED" w14:paraId="42268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r>
      <w:tr w:rsidRPr="006B7451" w:rsidR="00C02DED" w:rsidTr="00C02DED" w14:paraId="4E5D8CC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8007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3D6E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6B7451" w:rsidR="00C02DED" w:rsidP="00C02DED" w:rsidRDefault="00C02DED" w14:paraId="47B0A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8 441 101</w:t>
            </w:r>
          </w:p>
        </w:tc>
        <w:tc>
          <w:tcPr>
            <w:tcW w:w="1418" w:type="dxa"/>
            <w:shd w:val="clear" w:color="auto" w:fill="FFFFFF"/>
            <w:tcMar>
              <w:top w:w="68" w:type="dxa"/>
              <w:left w:w="28" w:type="dxa"/>
              <w:bottom w:w="0" w:type="dxa"/>
              <w:right w:w="28" w:type="dxa"/>
            </w:tcMar>
            <w:hideMark/>
          </w:tcPr>
          <w:p w:rsidRPr="006B7451" w:rsidR="00C02DED" w:rsidP="00C02DED" w:rsidRDefault="00C02DED" w14:paraId="5EC53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−25 000</w:t>
            </w:r>
          </w:p>
        </w:tc>
      </w:tr>
      <w:tr w:rsidRPr="006B7451" w:rsidR="00C02DED" w:rsidTr="00C02DED" w14:paraId="2CC83B7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5EFA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56C2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6B7451" w:rsidR="00C02DED" w:rsidP="00C02DED" w:rsidRDefault="00C02DED" w14:paraId="21568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3 573 121</w:t>
            </w:r>
          </w:p>
        </w:tc>
        <w:tc>
          <w:tcPr>
            <w:tcW w:w="1418" w:type="dxa"/>
            <w:shd w:val="clear" w:color="auto" w:fill="FFFFFF"/>
            <w:tcMar>
              <w:top w:w="68" w:type="dxa"/>
              <w:left w:w="28" w:type="dxa"/>
              <w:bottom w:w="0" w:type="dxa"/>
              <w:right w:w="28" w:type="dxa"/>
            </w:tcMar>
            <w:hideMark/>
          </w:tcPr>
          <w:p w:rsidRPr="006B7451" w:rsidR="00C02DED" w:rsidP="00C02DED" w:rsidRDefault="00C02DED" w14:paraId="10D09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r>
      <w:tr w:rsidRPr="006B7451" w:rsidR="00C02DED" w:rsidTr="00C02DED" w14:paraId="39FEFD2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89E7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145B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6B7451" w:rsidR="00C02DED" w:rsidP="00C02DED" w:rsidRDefault="00C02DED" w14:paraId="3B573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695 140</w:t>
            </w:r>
          </w:p>
        </w:tc>
        <w:tc>
          <w:tcPr>
            <w:tcW w:w="1418" w:type="dxa"/>
            <w:shd w:val="clear" w:color="auto" w:fill="FFFFFF"/>
            <w:tcMar>
              <w:top w:w="68" w:type="dxa"/>
              <w:left w:w="28" w:type="dxa"/>
              <w:bottom w:w="0" w:type="dxa"/>
              <w:right w:w="28" w:type="dxa"/>
            </w:tcMar>
            <w:hideMark/>
          </w:tcPr>
          <w:p w:rsidRPr="006B7451" w:rsidR="00C02DED" w:rsidP="00C02DED" w:rsidRDefault="00C02DED" w14:paraId="1B9B9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855C8D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643B8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EF80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6B7451" w:rsidR="00C02DED" w:rsidP="00C02DED" w:rsidRDefault="00C02DED" w14:paraId="3B5C33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55 726</w:t>
            </w:r>
          </w:p>
        </w:tc>
        <w:tc>
          <w:tcPr>
            <w:tcW w:w="1418" w:type="dxa"/>
            <w:shd w:val="clear" w:color="auto" w:fill="FFFFFF"/>
            <w:tcMar>
              <w:top w:w="68" w:type="dxa"/>
              <w:left w:w="28" w:type="dxa"/>
              <w:bottom w:w="0" w:type="dxa"/>
              <w:right w:w="28" w:type="dxa"/>
            </w:tcMar>
            <w:hideMark/>
          </w:tcPr>
          <w:p w:rsidRPr="006B7451" w:rsidR="00C02DED" w:rsidP="00C02DED" w:rsidRDefault="00C02DED" w14:paraId="5B319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66D352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E078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1F367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21CAE1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124 792</w:t>
            </w:r>
          </w:p>
        </w:tc>
        <w:tc>
          <w:tcPr>
            <w:tcW w:w="1418" w:type="dxa"/>
            <w:shd w:val="clear" w:color="auto" w:fill="FFFFFF"/>
            <w:tcMar>
              <w:top w:w="68" w:type="dxa"/>
              <w:left w:w="28" w:type="dxa"/>
              <w:bottom w:w="0" w:type="dxa"/>
              <w:right w:w="28" w:type="dxa"/>
            </w:tcMar>
            <w:hideMark/>
          </w:tcPr>
          <w:p w:rsidRPr="006B7451" w:rsidR="00C02DED" w:rsidP="00C02DED" w:rsidRDefault="00C02DED" w14:paraId="7F36D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647CCAA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69C6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A54C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31C70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6B7451" w:rsidR="00C02DED" w:rsidP="00C02DED" w:rsidRDefault="00C02DED" w14:paraId="3C2B4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F701BD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2763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C0C9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6B7451" w:rsidR="00C02DED" w:rsidP="00C02DED" w:rsidRDefault="00C02DED" w14:paraId="79DE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6B7451" w:rsidR="00C02DED" w:rsidP="00C02DED" w:rsidRDefault="00C02DED" w14:paraId="786B8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−19 000</w:t>
            </w:r>
          </w:p>
        </w:tc>
      </w:tr>
      <w:tr w:rsidRPr="006B7451" w:rsidR="00C02DED" w:rsidTr="00C02DED" w14:paraId="11CE5F8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AE85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EDFD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6B7451" w:rsidR="00C02DED" w:rsidP="00C02DED" w:rsidRDefault="00C02DED" w14:paraId="4D4EF1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6B7451" w:rsidR="00C02DED" w:rsidP="00C02DED" w:rsidRDefault="00C02DED" w14:paraId="688A0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743550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5348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B7B8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6B7451" w:rsidR="00C02DED" w:rsidP="00C02DED" w:rsidRDefault="00C02DED" w14:paraId="0D7C2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hideMark/>
          </w:tcPr>
          <w:p w:rsidRPr="006B7451" w:rsidR="00C02DED" w:rsidP="00C02DED" w:rsidRDefault="00C02DED" w14:paraId="6EB23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B512ED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D20D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FA06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6B7451" w:rsidR="00C02DED" w:rsidP="00C02DED" w:rsidRDefault="00C02DED" w14:paraId="78B29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15 500</w:t>
            </w:r>
          </w:p>
        </w:tc>
        <w:tc>
          <w:tcPr>
            <w:tcW w:w="1418" w:type="dxa"/>
            <w:shd w:val="clear" w:color="auto" w:fill="FFFFFF"/>
            <w:tcMar>
              <w:top w:w="68" w:type="dxa"/>
              <w:left w:w="28" w:type="dxa"/>
              <w:bottom w:w="0" w:type="dxa"/>
              <w:right w:w="28" w:type="dxa"/>
            </w:tcMar>
            <w:hideMark/>
          </w:tcPr>
          <w:p w:rsidRPr="006B7451" w:rsidR="00C02DED" w:rsidP="00C02DED" w:rsidRDefault="00C02DED" w14:paraId="75F1E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BFA934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47EBB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CE67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6B7451" w:rsidR="00C02DED" w:rsidP="00C02DED" w:rsidRDefault="00C02DED" w14:paraId="5055B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1 055 519</w:t>
            </w:r>
          </w:p>
        </w:tc>
        <w:tc>
          <w:tcPr>
            <w:tcW w:w="1418" w:type="dxa"/>
            <w:shd w:val="clear" w:color="auto" w:fill="FFFFFF"/>
            <w:tcMar>
              <w:top w:w="68" w:type="dxa"/>
              <w:left w:w="28" w:type="dxa"/>
              <w:bottom w:w="0" w:type="dxa"/>
              <w:right w:w="28" w:type="dxa"/>
            </w:tcMar>
            <w:hideMark/>
          </w:tcPr>
          <w:p w:rsidRPr="006B7451" w:rsidR="00C02DED" w:rsidP="00C02DED" w:rsidRDefault="00C02DED" w14:paraId="033D9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−140 000</w:t>
            </w:r>
          </w:p>
        </w:tc>
      </w:tr>
      <w:tr w:rsidRPr="006B7451" w:rsidR="00C02DED" w:rsidTr="00C02DED" w14:paraId="1535F46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6F0D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1C52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hideMark/>
          </w:tcPr>
          <w:p w:rsidRPr="006B7451" w:rsidR="00C02DED" w:rsidP="00C02DED" w:rsidRDefault="00C02DED" w14:paraId="64361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45 682</w:t>
            </w:r>
          </w:p>
        </w:tc>
        <w:tc>
          <w:tcPr>
            <w:tcW w:w="1418" w:type="dxa"/>
            <w:shd w:val="clear" w:color="auto" w:fill="FFFFFF"/>
            <w:tcMar>
              <w:top w:w="68" w:type="dxa"/>
              <w:left w:w="28" w:type="dxa"/>
              <w:bottom w:w="0" w:type="dxa"/>
              <w:right w:w="28" w:type="dxa"/>
            </w:tcMar>
            <w:hideMark/>
          </w:tcPr>
          <w:p w:rsidRPr="006B7451" w:rsidR="00C02DED" w:rsidP="00C02DED" w:rsidRDefault="00C02DED" w14:paraId="0B5D4B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494B04" w14:paraId="2CE9B69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1EEB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E0AB136" w14:textId="62824D7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Svenska institutet för europapolitiska studier samt EU</w:t>
            </w:r>
            <w:r w:rsidR="00EF2A6A">
              <w:rPr>
                <w:rFonts w:ascii="Times New Roman" w:hAnsi="Times New Roman" w:eastAsia="Times New Roman" w:cs="Times New Roman"/>
                <w:color w:val="000000"/>
                <w:kern w:val="0"/>
                <w:sz w:val="20"/>
                <w:szCs w:val="20"/>
                <w:lang w:eastAsia="sv-SE"/>
                <w14:numSpacing w14:val="default"/>
              </w:rPr>
              <w:noBreakHyphen/>
            </w:r>
            <w:r w:rsidRPr="006B7451">
              <w:rPr>
                <w:rFonts w:ascii="Times New Roman" w:hAnsi="Times New Roman" w:eastAsia="Times New Roman" w:cs="Times New Roman"/>
                <w:color w:val="000000"/>
                <w:kern w:val="0"/>
                <w:sz w:val="20"/>
                <w:szCs w:val="20"/>
                <w:lang w:eastAsia="sv-SE"/>
                <w14:numSpacing w14:val="default"/>
              </w:rPr>
              <w:t>information</w:t>
            </w:r>
          </w:p>
        </w:tc>
        <w:tc>
          <w:tcPr>
            <w:tcW w:w="1418" w:type="dxa"/>
            <w:shd w:val="clear" w:color="auto" w:fill="FFFFFF"/>
            <w:tcMar>
              <w:top w:w="68" w:type="dxa"/>
              <w:left w:w="28" w:type="dxa"/>
              <w:bottom w:w="0" w:type="dxa"/>
              <w:right w:w="28" w:type="dxa"/>
            </w:tcMar>
            <w:vAlign w:val="bottom"/>
            <w:hideMark/>
          </w:tcPr>
          <w:p w:rsidRPr="006B7451" w:rsidR="00C02DED" w:rsidP="00FF7B80" w:rsidRDefault="00C02DED" w14:paraId="0B3D3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31 550</w:t>
            </w:r>
          </w:p>
        </w:tc>
        <w:tc>
          <w:tcPr>
            <w:tcW w:w="1418" w:type="dxa"/>
            <w:shd w:val="clear" w:color="auto" w:fill="FFFFFF"/>
            <w:tcMar>
              <w:top w:w="68" w:type="dxa"/>
              <w:left w:w="28" w:type="dxa"/>
              <w:bottom w:w="0" w:type="dxa"/>
              <w:right w:w="28" w:type="dxa"/>
            </w:tcMar>
            <w:vAlign w:val="bottom"/>
            <w:hideMark/>
          </w:tcPr>
          <w:p w:rsidRPr="006B7451" w:rsidR="00C02DED" w:rsidP="00FF7B80" w:rsidRDefault="00C02DED" w14:paraId="460AF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−19 000</w:t>
            </w:r>
          </w:p>
        </w:tc>
      </w:tr>
      <w:tr w:rsidRPr="006B7451" w:rsidR="00C02DED" w:rsidTr="00494B04" w14:paraId="53501CD0" w14:textId="77777777">
        <w:trPr>
          <w:trHeight w:val="170"/>
        </w:trPr>
        <w:tc>
          <w:tcPr>
            <w:tcW w:w="4139"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1D0F4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C02DED" w:rsidP="00C02DED" w:rsidRDefault="00C02DED" w14:paraId="6D22F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17 268 338</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C02DED" w:rsidP="00C02DED" w:rsidRDefault="00C02DED" w14:paraId="711F2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−169 000</w:t>
            </w:r>
          </w:p>
        </w:tc>
      </w:tr>
    </w:tbl>
    <w:p w:rsidR="00494B04" w:rsidP="00C02DED" w:rsidRDefault="00494B04" w14:paraId="722E9B1A" w14:textId="32C666B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p>
    <w:p w:rsidR="00494B04" w:rsidRDefault="00494B04" w14:paraId="005FD6A9" w14:textId="5490D011">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br w:type="page"/>
      </w:r>
    </w:p>
    <w:p w:rsidRPr="006B7451" w:rsidR="006E7E74" w:rsidP="00ED5D60" w:rsidRDefault="006E7E74" w14:paraId="79246327" w14:textId="77BACE7F">
      <w:pPr>
        <w:pStyle w:val="Rubrik2numrerat"/>
      </w:pPr>
      <w:bookmarkStart w:name="_Toc121752683" w:id="179"/>
      <w:r w:rsidRPr="006B7451">
        <w:lastRenderedPageBreak/>
        <w:t>Utgiftsområde 2 Samhällsekonomi och finansförvaltning</w:t>
      </w:r>
      <w:bookmarkEnd w:id="179"/>
    </w:p>
    <w:p w:rsidRPr="00EB25EF" w:rsidR="00C02DED" w:rsidP="00EB25EF" w:rsidRDefault="00C02DED" w14:paraId="03FCB573" w14:textId="77777777">
      <w:pPr>
        <w:pStyle w:val="Tabellrubrik"/>
      </w:pPr>
      <w:r w:rsidRPr="00EB25EF">
        <w:t>Anslagsförslag 2022 för utgiftsområde 2 Samhällsekonomi och finansförvaltning</w:t>
      </w:r>
    </w:p>
    <w:p w:rsidRPr="00EB25EF" w:rsidR="00C02DED" w:rsidP="00EB25EF" w:rsidRDefault="00C02DED" w14:paraId="2425432B" w14:textId="77777777">
      <w:pPr>
        <w:pStyle w:val="Tabellunderrubrik"/>
      </w:pPr>
      <w:r w:rsidRPr="00EB25E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56B605F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448E84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2A720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4AE1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373DDA5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0108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5896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hideMark/>
          </w:tcPr>
          <w:p w:rsidRPr="006B7451" w:rsidR="00C02DED" w:rsidP="00C02DED" w:rsidRDefault="00C02DED" w14:paraId="744F8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104 034</w:t>
            </w:r>
          </w:p>
        </w:tc>
        <w:tc>
          <w:tcPr>
            <w:tcW w:w="1418" w:type="dxa"/>
            <w:shd w:val="clear" w:color="auto" w:fill="FFFFFF"/>
            <w:tcMar>
              <w:top w:w="68" w:type="dxa"/>
              <w:left w:w="28" w:type="dxa"/>
              <w:bottom w:w="0" w:type="dxa"/>
              <w:right w:w="28" w:type="dxa"/>
            </w:tcMar>
            <w:hideMark/>
          </w:tcPr>
          <w:p w:rsidRPr="006B7451" w:rsidR="00C02DED" w:rsidP="00C02DED" w:rsidRDefault="00C02DED" w14:paraId="2A090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725F1F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AED08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2617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hideMark/>
          </w:tcPr>
          <w:p w:rsidRPr="006B7451" w:rsidR="00C02DED" w:rsidP="00C02DED" w:rsidRDefault="00C02DED" w14:paraId="00625C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114 574</w:t>
            </w:r>
          </w:p>
        </w:tc>
        <w:tc>
          <w:tcPr>
            <w:tcW w:w="1418" w:type="dxa"/>
            <w:shd w:val="clear" w:color="auto" w:fill="FFFFFF"/>
            <w:tcMar>
              <w:top w:w="68" w:type="dxa"/>
              <w:left w:w="28" w:type="dxa"/>
              <w:bottom w:w="0" w:type="dxa"/>
              <w:right w:w="28" w:type="dxa"/>
            </w:tcMar>
            <w:hideMark/>
          </w:tcPr>
          <w:p w:rsidRPr="006B7451" w:rsidR="00C02DED" w:rsidP="00C02DED" w:rsidRDefault="00C02DED" w14:paraId="58790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AF71BA" w14:paraId="05392C3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5C08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A4B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6B7451" w:rsidR="00C02DED" w:rsidP="00AF71BA" w:rsidRDefault="00C02DED" w14:paraId="78E388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25 150</w:t>
            </w:r>
          </w:p>
        </w:tc>
        <w:tc>
          <w:tcPr>
            <w:tcW w:w="1418" w:type="dxa"/>
            <w:shd w:val="clear" w:color="auto" w:fill="FFFFFF"/>
            <w:tcMar>
              <w:top w:w="68" w:type="dxa"/>
              <w:left w:w="28" w:type="dxa"/>
              <w:bottom w:w="0" w:type="dxa"/>
              <w:right w:w="28" w:type="dxa"/>
            </w:tcMar>
            <w:vAlign w:val="bottom"/>
            <w:hideMark/>
          </w:tcPr>
          <w:p w:rsidRPr="006B7451" w:rsidR="00C02DED" w:rsidP="00AF71BA" w:rsidRDefault="00C02DED" w14:paraId="4BE75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9D2A3F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D610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DC8A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hideMark/>
          </w:tcPr>
          <w:p w:rsidRPr="006B7451" w:rsidR="00C02DED" w:rsidP="00C02DED" w:rsidRDefault="00C02DED" w14:paraId="65C7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1 693</w:t>
            </w:r>
          </w:p>
        </w:tc>
        <w:tc>
          <w:tcPr>
            <w:tcW w:w="1418" w:type="dxa"/>
            <w:shd w:val="clear" w:color="auto" w:fill="FFFFFF"/>
            <w:tcMar>
              <w:top w:w="68" w:type="dxa"/>
              <w:left w:w="28" w:type="dxa"/>
              <w:bottom w:w="0" w:type="dxa"/>
              <w:right w:w="28" w:type="dxa"/>
            </w:tcMar>
            <w:hideMark/>
          </w:tcPr>
          <w:p w:rsidRPr="006B7451" w:rsidR="00C02DED" w:rsidP="00C02DED" w:rsidRDefault="00C02DED" w14:paraId="3B7D1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5AC621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0EA4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76E7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hideMark/>
          </w:tcPr>
          <w:p w:rsidRPr="006B7451" w:rsidR="00C02DED" w:rsidP="00C02DED" w:rsidRDefault="00C02DED" w14:paraId="54CC2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14 094 000</w:t>
            </w:r>
          </w:p>
        </w:tc>
        <w:tc>
          <w:tcPr>
            <w:tcW w:w="1418" w:type="dxa"/>
            <w:shd w:val="clear" w:color="auto" w:fill="FFFFFF"/>
            <w:tcMar>
              <w:top w:w="68" w:type="dxa"/>
              <w:left w:w="28" w:type="dxa"/>
              <w:bottom w:w="0" w:type="dxa"/>
              <w:right w:w="28" w:type="dxa"/>
            </w:tcMar>
            <w:hideMark/>
          </w:tcPr>
          <w:p w:rsidRPr="006B7451" w:rsidR="00C02DED" w:rsidP="00C02DED" w:rsidRDefault="00C02DED" w14:paraId="36BC6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7EC856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13B2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4F16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hideMark/>
          </w:tcPr>
          <w:p w:rsidRPr="006B7451" w:rsidR="00C02DED" w:rsidP="00C02DED" w:rsidRDefault="00C02DED" w14:paraId="3CD66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10 936</w:t>
            </w:r>
          </w:p>
        </w:tc>
        <w:tc>
          <w:tcPr>
            <w:tcW w:w="1418" w:type="dxa"/>
            <w:shd w:val="clear" w:color="auto" w:fill="FFFFFF"/>
            <w:tcMar>
              <w:top w:w="68" w:type="dxa"/>
              <w:left w:w="28" w:type="dxa"/>
              <w:bottom w:w="0" w:type="dxa"/>
              <w:right w:w="28" w:type="dxa"/>
            </w:tcMar>
            <w:hideMark/>
          </w:tcPr>
          <w:p w:rsidRPr="006B7451" w:rsidR="00C02DED" w:rsidP="00C02DED" w:rsidRDefault="00C02DED" w14:paraId="08CCE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DCE786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7C61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5192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hideMark/>
          </w:tcPr>
          <w:p w:rsidRPr="006B7451" w:rsidR="00C02DED" w:rsidP="00C02DED" w:rsidRDefault="00C02DED" w14:paraId="4205B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67 682</w:t>
            </w:r>
          </w:p>
        </w:tc>
        <w:tc>
          <w:tcPr>
            <w:tcW w:w="1418" w:type="dxa"/>
            <w:shd w:val="clear" w:color="auto" w:fill="FFFFFF"/>
            <w:tcMar>
              <w:top w:w="68" w:type="dxa"/>
              <w:left w:w="28" w:type="dxa"/>
              <w:bottom w:w="0" w:type="dxa"/>
              <w:right w:w="28" w:type="dxa"/>
            </w:tcMar>
            <w:hideMark/>
          </w:tcPr>
          <w:p w:rsidRPr="006B7451" w:rsidR="00C02DED" w:rsidP="00C02DED" w:rsidRDefault="00C02DED" w14:paraId="700DD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F20FAE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4EDC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080A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2253F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210 340</w:t>
            </w:r>
          </w:p>
        </w:tc>
        <w:tc>
          <w:tcPr>
            <w:tcW w:w="1418" w:type="dxa"/>
            <w:shd w:val="clear" w:color="auto" w:fill="FFFFFF"/>
            <w:tcMar>
              <w:top w:w="68" w:type="dxa"/>
              <w:left w:w="28" w:type="dxa"/>
              <w:bottom w:w="0" w:type="dxa"/>
              <w:right w:w="28" w:type="dxa"/>
            </w:tcMar>
            <w:hideMark/>
          </w:tcPr>
          <w:p w:rsidRPr="006B7451" w:rsidR="00C02DED" w:rsidP="00C02DED" w:rsidRDefault="00C02DED" w14:paraId="0B596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362080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F478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5976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hideMark/>
          </w:tcPr>
          <w:p w:rsidRPr="006B7451" w:rsidR="00C02DED" w:rsidP="00C02DED" w:rsidRDefault="00C02DED" w14:paraId="7CFBF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592 901</w:t>
            </w:r>
          </w:p>
        </w:tc>
        <w:tc>
          <w:tcPr>
            <w:tcW w:w="1418" w:type="dxa"/>
            <w:shd w:val="clear" w:color="auto" w:fill="FFFFFF"/>
            <w:tcMar>
              <w:top w:w="68" w:type="dxa"/>
              <w:left w:w="28" w:type="dxa"/>
              <w:bottom w:w="0" w:type="dxa"/>
              <w:right w:w="28" w:type="dxa"/>
            </w:tcMar>
            <w:hideMark/>
          </w:tcPr>
          <w:p w:rsidRPr="006B7451" w:rsidR="00C02DED" w:rsidP="00C02DED" w:rsidRDefault="00C02DED" w14:paraId="69F41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0D07D3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2DA9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7309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hideMark/>
          </w:tcPr>
          <w:p w:rsidRPr="006B7451" w:rsidR="00C02DED" w:rsidP="00C02DED" w:rsidRDefault="00C02DED" w14:paraId="2D8CD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330 000</w:t>
            </w:r>
          </w:p>
        </w:tc>
        <w:tc>
          <w:tcPr>
            <w:tcW w:w="1418" w:type="dxa"/>
            <w:shd w:val="clear" w:color="auto" w:fill="FFFFFF"/>
            <w:tcMar>
              <w:top w:w="68" w:type="dxa"/>
              <w:left w:w="28" w:type="dxa"/>
              <w:bottom w:w="0" w:type="dxa"/>
              <w:right w:w="28" w:type="dxa"/>
            </w:tcMar>
            <w:hideMark/>
          </w:tcPr>
          <w:p w:rsidRPr="006B7451" w:rsidR="00C02DED" w:rsidP="00C02DED" w:rsidRDefault="00C02DED" w14:paraId="0F85F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9167B7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9617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BC9F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hideMark/>
          </w:tcPr>
          <w:p w:rsidRPr="006B7451" w:rsidR="00C02DED" w:rsidP="00C02DED" w:rsidRDefault="00C02DED" w14:paraId="7E705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733 787</w:t>
            </w:r>
          </w:p>
        </w:tc>
        <w:tc>
          <w:tcPr>
            <w:tcW w:w="1418" w:type="dxa"/>
            <w:shd w:val="clear" w:color="auto" w:fill="FFFFFF"/>
            <w:tcMar>
              <w:top w:w="68" w:type="dxa"/>
              <w:left w:w="28" w:type="dxa"/>
              <w:bottom w:w="0" w:type="dxa"/>
              <w:right w:w="28" w:type="dxa"/>
            </w:tcMar>
            <w:hideMark/>
          </w:tcPr>
          <w:p w:rsidRPr="006B7451" w:rsidR="00C02DED" w:rsidP="00C02DED" w:rsidRDefault="00C02DED" w14:paraId="36F0A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7C5D4A1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E8BB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154AC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hideMark/>
          </w:tcPr>
          <w:p w:rsidRPr="006B7451" w:rsidR="00C02DED" w:rsidP="00C02DED" w:rsidRDefault="00C02DED" w14:paraId="386CE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338 983</w:t>
            </w:r>
          </w:p>
        </w:tc>
        <w:tc>
          <w:tcPr>
            <w:tcW w:w="1418" w:type="dxa"/>
            <w:shd w:val="clear" w:color="auto" w:fill="FFFFFF"/>
            <w:tcMar>
              <w:top w:w="68" w:type="dxa"/>
              <w:left w:w="28" w:type="dxa"/>
              <w:bottom w:w="0" w:type="dxa"/>
              <w:right w:w="28" w:type="dxa"/>
            </w:tcMar>
            <w:hideMark/>
          </w:tcPr>
          <w:p w:rsidRPr="006B7451" w:rsidR="00C02DED" w:rsidP="00C02DED" w:rsidRDefault="00C02DED" w14:paraId="459EE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392E85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1F02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5A7A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hideMark/>
          </w:tcPr>
          <w:p w:rsidRPr="006B7451" w:rsidR="00C02DED" w:rsidP="00C02DED" w:rsidRDefault="00C02DED" w14:paraId="5C76D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13 907</w:t>
            </w:r>
          </w:p>
        </w:tc>
        <w:tc>
          <w:tcPr>
            <w:tcW w:w="1418" w:type="dxa"/>
            <w:shd w:val="clear" w:color="auto" w:fill="FFFFFF"/>
            <w:tcMar>
              <w:top w:w="68" w:type="dxa"/>
              <w:left w:w="28" w:type="dxa"/>
              <w:bottom w:w="0" w:type="dxa"/>
              <w:right w:w="28" w:type="dxa"/>
            </w:tcMar>
            <w:hideMark/>
          </w:tcPr>
          <w:p w:rsidRPr="006B7451" w:rsidR="00C02DED" w:rsidP="00C02DED" w:rsidRDefault="00C02DED" w14:paraId="574DE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28F6D4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5E75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7F0E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hideMark/>
          </w:tcPr>
          <w:p w:rsidRPr="006B7451" w:rsidR="00C02DED" w:rsidP="00C02DED" w:rsidRDefault="00C02DED" w14:paraId="204D8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290 116</w:t>
            </w:r>
          </w:p>
        </w:tc>
        <w:tc>
          <w:tcPr>
            <w:tcW w:w="1418" w:type="dxa"/>
            <w:shd w:val="clear" w:color="auto" w:fill="FFFFFF"/>
            <w:tcMar>
              <w:top w:w="68" w:type="dxa"/>
              <w:left w:w="28" w:type="dxa"/>
              <w:bottom w:w="0" w:type="dxa"/>
              <w:right w:w="28" w:type="dxa"/>
            </w:tcMar>
            <w:hideMark/>
          </w:tcPr>
          <w:p w:rsidRPr="006B7451" w:rsidR="00C02DED" w:rsidP="00C02DED" w:rsidRDefault="00C02DED" w14:paraId="583EF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3481B7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360A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DF43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hideMark/>
          </w:tcPr>
          <w:p w:rsidRPr="006B7451" w:rsidR="00C02DED" w:rsidP="00C02DED" w:rsidRDefault="00C02DED" w14:paraId="5DE11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882 068</w:t>
            </w:r>
          </w:p>
        </w:tc>
        <w:tc>
          <w:tcPr>
            <w:tcW w:w="1418" w:type="dxa"/>
            <w:shd w:val="clear" w:color="auto" w:fill="FFFFFF"/>
            <w:tcMar>
              <w:top w:w="68" w:type="dxa"/>
              <w:left w:w="28" w:type="dxa"/>
              <w:bottom w:w="0" w:type="dxa"/>
              <w:right w:w="28" w:type="dxa"/>
            </w:tcMar>
            <w:hideMark/>
          </w:tcPr>
          <w:p w:rsidRPr="006B7451" w:rsidR="00C02DED" w:rsidP="00C02DED" w:rsidRDefault="00C02DED" w14:paraId="1F246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53C195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051A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8D78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hideMark/>
          </w:tcPr>
          <w:p w:rsidRPr="006B7451" w:rsidR="00C02DED" w:rsidP="00C02DED" w:rsidRDefault="00C02DED" w14:paraId="706EE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49 933</w:t>
            </w:r>
          </w:p>
        </w:tc>
        <w:tc>
          <w:tcPr>
            <w:tcW w:w="1418" w:type="dxa"/>
            <w:shd w:val="clear" w:color="auto" w:fill="FFFFFF"/>
            <w:tcMar>
              <w:top w:w="68" w:type="dxa"/>
              <w:left w:w="28" w:type="dxa"/>
              <w:bottom w:w="0" w:type="dxa"/>
              <w:right w:w="28" w:type="dxa"/>
            </w:tcMar>
            <w:hideMark/>
          </w:tcPr>
          <w:p w:rsidRPr="006B7451" w:rsidR="00C02DED" w:rsidP="00C02DED" w:rsidRDefault="00C02DED" w14:paraId="6A0BE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CF8465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DA5C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BF37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76752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111 079</w:t>
            </w:r>
          </w:p>
        </w:tc>
        <w:tc>
          <w:tcPr>
            <w:tcW w:w="1418" w:type="dxa"/>
            <w:shd w:val="clear" w:color="auto" w:fill="FFFFFF"/>
            <w:tcMar>
              <w:top w:w="68" w:type="dxa"/>
              <w:left w:w="28" w:type="dxa"/>
              <w:bottom w:w="0" w:type="dxa"/>
              <w:right w:w="28" w:type="dxa"/>
            </w:tcMar>
            <w:hideMark/>
          </w:tcPr>
          <w:p w:rsidRPr="006B7451" w:rsidR="00C02DED" w:rsidP="00C02DED" w:rsidRDefault="00C02DED" w14:paraId="06E4A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E4C277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BAF1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6576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17 971 183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113F2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5 000</w:t>
            </w:r>
          </w:p>
        </w:tc>
      </w:tr>
    </w:tbl>
    <w:p w:rsidRPr="00C71030" w:rsidR="00B216BC" w:rsidP="00ED5D60" w:rsidRDefault="006E7E74" w14:paraId="46DA59DD" w14:textId="36FE80E0">
      <w:pPr>
        <w:pStyle w:val="Rubrik2numrerat"/>
      </w:pPr>
      <w:bookmarkStart w:name="_Toc121752684" w:id="180"/>
      <w:r w:rsidRPr="00C71030">
        <w:t>Utgiftsområde 3 Skatt, tull och exekution</w:t>
      </w:r>
      <w:bookmarkEnd w:id="180"/>
    </w:p>
    <w:p w:rsidRPr="00C1341D" w:rsidR="00C02DED" w:rsidP="00C1341D" w:rsidRDefault="00C02DED" w14:paraId="41B641BC" w14:textId="77777777">
      <w:pPr>
        <w:pStyle w:val="Tabellrubrik"/>
      </w:pPr>
      <w:r w:rsidRPr="00C1341D">
        <w:t>Anslagsförslag 2022 för utgiftsområde 3 Skatt, tull och exekution</w:t>
      </w:r>
    </w:p>
    <w:p w:rsidRPr="00C1341D" w:rsidR="00C02DED" w:rsidP="00C1341D" w:rsidRDefault="00C02DED" w14:paraId="35F8DB9E" w14:textId="77777777">
      <w:pPr>
        <w:pStyle w:val="Tabellunderrubrik"/>
      </w:pPr>
      <w:r w:rsidRPr="00C1341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329878E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70E1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63B145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2CD2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5E6D10D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E62B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BBBD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Skatteverket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7FCB95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8 202 898</w:t>
            </w:r>
          </w:p>
        </w:tc>
        <w:tc>
          <w:tcPr>
            <w:tcW w:w="1418" w:type="dxa"/>
            <w:shd w:val="clear" w:color="auto" w:fill="FFFFFF"/>
            <w:tcMar>
              <w:top w:w="68" w:type="dxa"/>
              <w:left w:w="28" w:type="dxa"/>
              <w:bottom w:w="0" w:type="dxa"/>
              <w:right w:w="28" w:type="dxa"/>
            </w:tcMar>
            <w:hideMark/>
          </w:tcPr>
          <w:p w:rsidRPr="006B7451" w:rsidR="00C02DED" w:rsidP="00C02DED" w:rsidRDefault="00C02DED" w14:paraId="40217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415 000</w:t>
            </w:r>
          </w:p>
        </w:tc>
      </w:tr>
      <w:tr w:rsidRPr="006B7451" w:rsidR="00C02DED" w:rsidTr="00C02DED" w14:paraId="1EE503B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92B58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EE1A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Tullverket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20D3F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2 381 672</w:t>
            </w:r>
          </w:p>
        </w:tc>
        <w:tc>
          <w:tcPr>
            <w:tcW w:w="1418" w:type="dxa"/>
            <w:shd w:val="clear" w:color="auto" w:fill="FFFFFF"/>
            <w:tcMar>
              <w:top w:w="68" w:type="dxa"/>
              <w:left w:w="28" w:type="dxa"/>
              <w:bottom w:w="0" w:type="dxa"/>
              <w:right w:w="28" w:type="dxa"/>
            </w:tcMar>
            <w:hideMark/>
          </w:tcPr>
          <w:p w:rsidRPr="006B7451" w:rsidR="00C02DED" w:rsidP="00C02DED" w:rsidRDefault="00C02DED" w14:paraId="7DCF9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90 000</w:t>
            </w:r>
          </w:p>
        </w:tc>
      </w:tr>
      <w:tr w:rsidRPr="006B7451" w:rsidR="00C02DED" w:rsidTr="00C02DED" w14:paraId="7BA7798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2CB39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95A5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Kronofogdemyndigheten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7AA82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2 145 164</w:t>
            </w:r>
          </w:p>
        </w:tc>
        <w:tc>
          <w:tcPr>
            <w:tcW w:w="1418" w:type="dxa"/>
            <w:shd w:val="clear" w:color="auto" w:fill="FFFFFF"/>
            <w:tcMar>
              <w:top w:w="68" w:type="dxa"/>
              <w:left w:w="28" w:type="dxa"/>
              <w:bottom w:w="0" w:type="dxa"/>
              <w:right w:w="28" w:type="dxa"/>
            </w:tcMar>
            <w:hideMark/>
          </w:tcPr>
          <w:p w:rsidRPr="006B7451" w:rsidR="00C02DED" w:rsidP="00C02DED" w:rsidRDefault="00C02DED" w14:paraId="21134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3661FC" w14:paraId="7370281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2EF4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1156B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Folkräkning</w:t>
            </w:r>
          </w:p>
        </w:tc>
        <w:tc>
          <w:tcPr>
            <w:tcW w:w="1418" w:type="dxa"/>
            <w:shd w:val="clear" w:color="auto" w:fill="FFFFFF"/>
            <w:tcMar>
              <w:top w:w="68" w:type="dxa"/>
              <w:left w:w="28" w:type="dxa"/>
              <w:bottom w:w="0" w:type="dxa"/>
              <w:right w:w="28" w:type="dxa"/>
            </w:tcMar>
            <w:hideMark/>
          </w:tcPr>
          <w:p w:rsidRPr="006B7451" w:rsidR="00C02DED" w:rsidP="00C02DED" w:rsidRDefault="00C02DED" w14:paraId="7DB782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0420A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C02DED" w:rsidTr="003661FC" w14:paraId="02A07CE0" w14:textId="77777777">
        <w:trPr>
          <w:trHeight w:val="170"/>
        </w:trPr>
        <w:tc>
          <w:tcPr>
            <w:tcW w:w="4139"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30BF0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C02DED" w:rsidP="00C02DED" w:rsidRDefault="00C02DED" w14:paraId="2AC16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12 729 734</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C02DED" w:rsidP="00C02DED" w:rsidRDefault="00C02DED" w14:paraId="583BA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1 055 000</w:t>
            </w:r>
          </w:p>
        </w:tc>
      </w:tr>
    </w:tbl>
    <w:p w:rsidRPr="006B7451" w:rsidR="003661FC" w:rsidP="003661FC" w:rsidRDefault="003661FC" w14:paraId="300EE7DE" w14:textId="77777777">
      <w:pPr>
        <w:pStyle w:val="Normalutanindragellerluft"/>
        <w:rPr>
          <w:rFonts w:eastAsia="Times New Roman"/>
          <w:lang w:eastAsia="sv-SE"/>
        </w:rPr>
      </w:pPr>
    </w:p>
    <w:p w:rsidR="003661FC" w:rsidRDefault="003661FC" w14:paraId="46E1EE23" w14:textId="4A39B908">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6B7451" w:rsidR="006E7E74" w:rsidP="00ED5D60" w:rsidRDefault="006E7E74" w14:paraId="6AB554F1" w14:textId="292D4EEE">
      <w:pPr>
        <w:pStyle w:val="Rubrik2numrerat"/>
      </w:pPr>
      <w:bookmarkStart w:name="_Toc121752685" w:id="181"/>
      <w:r w:rsidRPr="006B7451">
        <w:lastRenderedPageBreak/>
        <w:t>Utgiftsområde 4 Rättsväsendet</w:t>
      </w:r>
      <w:bookmarkEnd w:id="181"/>
    </w:p>
    <w:p w:rsidRPr="00C1341D" w:rsidR="00C02DED" w:rsidP="0009421F" w:rsidRDefault="00C02DED" w14:paraId="498896D0" w14:textId="77777777">
      <w:pPr>
        <w:pStyle w:val="Tabellrubrik"/>
        <w:keepNext/>
      </w:pPr>
      <w:r w:rsidRPr="00C1341D">
        <w:t>Anslagsförslag 2022 för utgiftsområde 4 Rättsväsendet</w:t>
      </w:r>
    </w:p>
    <w:p w:rsidRPr="00C1341D" w:rsidR="00C02DED" w:rsidP="00C1341D" w:rsidRDefault="00C02DED" w14:paraId="015DA660" w14:textId="77777777">
      <w:pPr>
        <w:pStyle w:val="Tabellunderrubrik"/>
      </w:pPr>
      <w:r w:rsidRPr="00C1341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02C032B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0C46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ADA3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6F7F5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298E139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265C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52DB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35647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32 985 967</w:t>
            </w:r>
          </w:p>
        </w:tc>
        <w:tc>
          <w:tcPr>
            <w:tcW w:w="1418" w:type="dxa"/>
            <w:shd w:val="clear" w:color="auto" w:fill="FFFFFF"/>
            <w:tcMar>
              <w:top w:w="68" w:type="dxa"/>
              <w:left w:w="28" w:type="dxa"/>
              <w:bottom w:w="0" w:type="dxa"/>
              <w:right w:w="28" w:type="dxa"/>
            </w:tcMar>
            <w:hideMark/>
          </w:tcPr>
          <w:p w:rsidRPr="006B7451" w:rsidR="00C02DED" w:rsidP="00C02DED" w:rsidRDefault="00C02DED" w14:paraId="6B1F4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3 145 000</w:t>
            </w:r>
          </w:p>
        </w:tc>
      </w:tr>
      <w:tr w:rsidRPr="006B7451" w:rsidR="00C02DED" w:rsidTr="00C02DED" w14:paraId="500ED16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A92C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CA10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6B7451" w:rsidR="00C02DED" w:rsidP="00C02DED" w:rsidRDefault="00C02DED" w14:paraId="482B6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1 828 382</w:t>
            </w:r>
          </w:p>
        </w:tc>
        <w:tc>
          <w:tcPr>
            <w:tcW w:w="1418" w:type="dxa"/>
            <w:shd w:val="clear" w:color="auto" w:fill="FFFFFF"/>
            <w:tcMar>
              <w:top w:w="68" w:type="dxa"/>
              <w:left w:w="28" w:type="dxa"/>
              <w:bottom w:w="0" w:type="dxa"/>
              <w:right w:w="28" w:type="dxa"/>
            </w:tcMar>
            <w:hideMark/>
          </w:tcPr>
          <w:p w:rsidRPr="006B7451" w:rsidR="00C02DED" w:rsidP="00C02DED" w:rsidRDefault="00C02DED" w14:paraId="432DD3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210 000</w:t>
            </w:r>
          </w:p>
        </w:tc>
      </w:tr>
      <w:tr w:rsidRPr="006B7451" w:rsidR="00C02DED" w:rsidTr="00C02DED" w14:paraId="6E9779E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3839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B0C5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346D7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1 942 249</w:t>
            </w:r>
          </w:p>
        </w:tc>
        <w:tc>
          <w:tcPr>
            <w:tcW w:w="1418" w:type="dxa"/>
            <w:shd w:val="clear" w:color="auto" w:fill="FFFFFF"/>
            <w:tcMar>
              <w:top w:w="68" w:type="dxa"/>
              <w:left w:w="28" w:type="dxa"/>
              <w:bottom w:w="0" w:type="dxa"/>
              <w:right w:w="28" w:type="dxa"/>
            </w:tcMar>
            <w:hideMark/>
          </w:tcPr>
          <w:p w:rsidRPr="006B7451" w:rsidR="00C02DED" w:rsidP="00C02DED" w:rsidRDefault="00C02DED" w14:paraId="65A7B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25 000</w:t>
            </w:r>
          </w:p>
        </w:tc>
      </w:tr>
      <w:tr w:rsidRPr="006B7451" w:rsidR="00C02DED" w:rsidTr="00C02DED" w14:paraId="079071D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42D5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974B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2DA7F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855 674</w:t>
            </w:r>
          </w:p>
        </w:tc>
        <w:tc>
          <w:tcPr>
            <w:tcW w:w="1418" w:type="dxa"/>
            <w:shd w:val="clear" w:color="auto" w:fill="FFFFFF"/>
            <w:tcMar>
              <w:top w:w="68" w:type="dxa"/>
              <w:left w:w="28" w:type="dxa"/>
              <w:bottom w:w="0" w:type="dxa"/>
              <w:right w:w="28" w:type="dxa"/>
            </w:tcMar>
            <w:hideMark/>
          </w:tcPr>
          <w:p w:rsidRPr="006B7451" w:rsidR="00C02DED" w:rsidP="00C02DED" w:rsidRDefault="00C02DED" w14:paraId="1F61D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35 000</w:t>
            </w:r>
          </w:p>
        </w:tc>
      </w:tr>
      <w:tr w:rsidRPr="006B7451" w:rsidR="00C02DED" w:rsidTr="00C02DED" w14:paraId="2732C3C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B6D0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172E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6B7451" w:rsidR="00C02DED" w:rsidP="00C02DED" w:rsidRDefault="00C02DED" w14:paraId="1F6440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6 632 674</w:t>
            </w:r>
          </w:p>
        </w:tc>
        <w:tc>
          <w:tcPr>
            <w:tcW w:w="1418" w:type="dxa"/>
            <w:shd w:val="clear" w:color="auto" w:fill="FFFFFF"/>
            <w:tcMar>
              <w:top w:w="68" w:type="dxa"/>
              <w:left w:w="28" w:type="dxa"/>
              <w:bottom w:w="0" w:type="dxa"/>
              <w:right w:w="28" w:type="dxa"/>
            </w:tcMar>
            <w:hideMark/>
          </w:tcPr>
          <w:p w:rsidRPr="006B7451" w:rsidR="00C02DED" w:rsidP="00C02DED" w:rsidRDefault="00C02DED" w14:paraId="641C2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95 000</w:t>
            </w:r>
          </w:p>
        </w:tc>
      </w:tr>
      <w:tr w:rsidRPr="006B7451" w:rsidR="00C02DED" w:rsidTr="00C02DED" w14:paraId="50C2680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18D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2B79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6B7451" w:rsidR="00C02DED" w:rsidP="00C02DED" w:rsidRDefault="00C02DED" w14:paraId="58189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12 162 399</w:t>
            </w:r>
          </w:p>
        </w:tc>
        <w:tc>
          <w:tcPr>
            <w:tcW w:w="1418" w:type="dxa"/>
            <w:shd w:val="clear" w:color="auto" w:fill="FFFFFF"/>
            <w:tcMar>
              <w:top w:w="68" w:type="dxa"/>
              <w:left w:w="28" w:type="dxa"/>
              <w:bottom w:w="0" w:type="dxa"/>
              <w:right w:w="28" w:type="dxa"/>
            </w:tcMar>
            <w:hideMark/>
          </w:tcPr>
          <w:p w:rsidRPr="006B7451" w:rsidR="00C02DED" w:rsidP="00C02DED" w:rsidRDefault="00C02DED" w14:paraId="43709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717 000</w:t>
            </w:r>
          </w:p>
        </w:tc>
      </w:tr>
      <w:tr w:rsidRPr="006B7451" w:rsidR="00C02DED" w:rsidTr="00C02DED" w14:paraId="6336BC7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D1E3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B9D2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6B7451" w:rsidR="00C02DED" w:rsidP="00C02DED" w:rsidRDefault="00C02DED" w14:paraId="76DE9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177 371</w:t>
            </w:r>
          </w:p>
        </w:tc>
        <w:tc>
          <w:tcPr>
            <w:tcW w:w="1418" w:type="dxa"/>
            <w:shd w:val="clear" w:color="auto" w:fill="FFFFFF"/>
            <w:tcMar>
              <w:top w:w="68" w:type="dxa"/>
              <w:left w:w="28" w:type="dxa"/>
              <w:bottom w:w="0" w:type="dxa"/>
              <w:right w:w="28" w:type="dxa"/>
            </w:tcMar>
            <w:hideMark/>
          </w:tcPr>
          <w:p w:rsidRPr="006B7451" w:rsidR="00C02DED" w:rsidP="00C02DED" w:rsidRDefault="00C02DED" w14:paraId="54873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4185E2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5E99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E71F9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65701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552 653</w:t>
            </w:r>
          </w:p>
        </w:tc>
        <w:tc>
          <w:tcPr>
            <w:tcW w:w="1418" w:type="dxa"/>
            <w:shd w:val="clear" w:color="auto" w:fill="FFFFFF"/>
            <w:tcMar>
              <w:top w:w="68" w:type="dxa"/>
              <w:left w:w="28" w:type="dxa"/>
              <w:bottom w:w="0" w:type="dxa"/>
              <w:right w:w="28" w:type="dxa"/>
            </w:tcMar>
            <w:hideMark/>
          </w:tcPr>
          <w:p w:rsidRPr="006B7451" w:rsidR="00C02DED" w:rsidP="00C02DED" w:rsidRDefault="00C02DED" w14:paraId="18DD7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ECEA55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5E19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BB53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63138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43 962</w:t>
            </w:r>
          </w:p>
        </w:tc>
        <w:tc>
          <w:tcPr>
            <w:tcW w:w="1418" w:type="dxa"/>
            <w:shd w:val="clear" w:color="auto" w:fill="FFFFFF"/>
            <w:tcMar>
              <w:top w:w="68" w:type="dxa"/>
              <w:left w:w="28" w:type="dxa"/>
              <w:bottom w:w="0" w:type="dxa"/>
              <w:right w:w="28" w:type="dxa"/>
            </w:tcMar>
            <w:hideMark/>
          </w:tcPr>
          <w:p w:rsidRPr="006B7451" w:rsidR="00C02DED" w:rsidP="00C02DED" w:rsidRDefault="00C02DED" w14:paraId="001B9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942F71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8A9A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F436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6B7451" w:rsidR="00C02DED" w:rsidP="00C02DED" w:rsidRDefault="00C02DED" w14:paraId="1851E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200 953</w:t>
            </w:r>
          </w:p>
        </w:tc>
        <w:tc>
          <w:tcPr>
            <w:tcW w:w="1418" w:type="dxa"/>
            <w:shd w:val="clear" w:color="auto" w:fill="FFFFFF"/>
            <w:tcMar>
              <w:top w:w="68" w:type="dxa"/>
              <w:left w:w="28" w:type="dxa"/>
              <w:bottom w:w="0" w:type="dxa"/>
              <w:right w:w="28" w:type="dxa"/>
            </w:tcMar>
            <w:hideMark/>
          </w:tcPr>
          <w:p w:rsidRPr="006B7451" w:rsidR="00C02DED" w:rsidP="00C02DED" w:rsidRDefault="00C02DED" w14:paraId="18ED0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175 000</w:t>
            </w:r>
          </w:p>
        </w:tc>
      </w:tr>
      <w:tr w:rsidRPr="006B7451" w:rsidR="00C02DED" w:rsidTr="00C02DED" w14:paraId="21A2E46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90D8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7487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6B7451" w:rsidR="00C02DED" w:rsidP="00C02DED" w:rsidRDefault="00C02DED" w14:paraId="51B8B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3 915 857</w:t>
            </w:r>
          </w:p>
        </w:tc>
        <w:tc>
          <w:tcPr>
            <w:tcW w:w="1418" w:type="dxa"/>
            <w:shd w:val="clear" w:color="auto" w:fill="FFFFFF"/>
            <w:tcMar>
              <w:top w:w="68" w:type="dxa"/>
              <w:left w:w="28" w:type="dxa"/>
              <w:bottom w:w="0" w:type="dxa"/>
              <w:right w:w="28" w:type="dxa"/>
            </w:tcMar>
            <w:hideMark/>
          </w:tcPr>
          <w:p w:rsidRPr="006B7451" w:rsidR="00C02DED" w:rsidP="00C02DED" w:rsidRDefault="00C02DED" w14:paraId="36B03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4D06AAC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120B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E5AD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6B7451" w:rsidR="00C02DED" w:rsidP="00C02DED" w:rsidRDefault="00C02DED" w14:paraId="5E1256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39 987</w:t>
            </w:r>
          </w:p>
        </w:tc>
        <w:tc>
          <w:tcPr>
            <w:tcW w:w="1418" w:type="dxa"/>
            <w:shd w:val="clear" w:color="auto" w:fill="FFFFFF"/>
            <w:tcMar>
              <w:top w:w="68" w:type="dxa"/>
              <w:left w:w="28" w:type="dxa"/>
              <w:bottom w:w="0" w:type="dxa"/>
              <w:right w:w="28" w:type="dxa"/>
            </w:tcMar>
            <w:hideMark/>
          </w:tcPr>
          <w:p w:rsidRPr="006B7451" w:rsidR="00C02DED" w:rsidP="00C02DED" w:rsidRDefault="00C02DED" w14:paraId="008017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060781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3D1C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2BC6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6B7451" w:rsidR="00C02DED" w:rsidP="00C02DED" w:rsidRDefault="00C02DED" w14:paraId="3FE7D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6B7451" w:rsidR="00C02DED" w:rsidP="00C02DED" w:rsidRDefault="00C02DED" w14:paraId="3C6A9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27161B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FECE3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DE82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hideMark/>
          </w:tcPr>
          <w:p w:rsidRPr="006B7451" w:rsidR="00C02DED" w:rsidP="00C02DED" w:rsidRDefault="00C02DED" w14:paraId="7EC02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70 157</w:t>
            </w:r>
          </w:p>
        </w:tc>
        <w:tc>
          <w:tcPr>
            <w:tcW w:w="1418" w:type="dxa"/>
            <w:shd w:val="clear" w:color="auto" w:fill="FFFFFF"/>
            <w:tcMar>
              <w:top w:w="68" w:type="dxa"/>
              <w:left w:w="28" w:type="dxa"/>
              <w:bottom w:w="0" w:type="dxa"/>
              <w:right w:w="28" w:type="dxa"/>
            </w:tcMar>
            <w:hideMark/>
          </w:tcPr>
          <w:p w:rsidRPr="006B7451" w:rsidR="00C02DED" w:rsidP="00C02DED" w:rsidRDefault="00C02DED" w14:paraId="2BCA14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1261DB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2BF7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5393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6B7451" w:rsidR="00C02DED" w:rsidP="00C02DED" w:rsidRDefault="00C02DED" w14:paraId="4F6FF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24 804</w:t>
            </w:r>
          </w:p>
        </w:tc>
        <w:tc>
          <w:tcPr>
            <w:tcW w:w="1418" w:type="dxa"/>
            <w:shd w:val="clear" w:color="auto" w:fill="FFFFFF"/>
            <w:tcMar>
              <w:top w:w="68" w:type="dxa"/>
              <w:left w:w="28" w:type="dxa"/>
              <w:bottom w:w="0" w:type="dxa"/>
              <w:right w:w="28" w:type="dxa"/>
            </w:tcMar>
            <w:hideMark/>
          </w:tcPr>
          <w:p w:rsidRPr="006B7451" w:rsidR="00C02DED" w:rsidP="00C02DED" w:rsidRDefault="00C02DED" w14:paraId="15380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837B4E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E4F8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ABE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6B7451" w:rsidR="00C02DED" w:rsidP="00C02DED" w:rsidRDefault="00C02DED" w14:paraId="4A285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9 823</w:t>
            </w:r>
          </w:p>
        </w:tc>
        <w:tc>
          <w:tcPr>
            <w:tcW w:w="1418" w:type="dxa"/>
            <w:shd w:val="clear" w:color="auto" w:fill="FFFFFF"/>
            <w:tcMar>
              <w:top w:w="68" w:type="dxa"/>
              <w:left w:w="28" w:type="dxa"/>
              <w:bottom w:w="0" w:type="dxa"/>
              <w:right w:w="28" w:type="dxa"/>
            </w:tcMar>
            <w:hideMark/>
          </w:tcPr>
          <w:p w:rsidRPr="006B7451" w:rsidR="00C02DED" w:rsidP="00C02DED" w:rsidRDefault="00C02DED" w14:paraId="0864A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BE2A0F" w14:paraId="5E5A766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C24E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E442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6B7451" w:rsidR="00C02DED" w:rsidP="00BE2A0F" w:rsidRDefault="00C02DED" w14:paraId="3841F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226 900</w:t>
            </w:r>
          </w:p>
        </w:tc>
        <w:tc>
          <w:tcPr>
            <w:tcW w:w="1418" w:type="dxa"/>
            <w:shd w:val="clear" w:color="auto" w:fill="FFFFFF"/>
            <w:tcMar>
              <w:top w:w="68" w:type="dxa"/>
              <w:left w:w="28" w:type="dxa"/>
              <w:bottom w:w="0" w:type="dxa"/>
              <w:right w:w="28" w:type="dxa"/>
            </w:tcMar>
            <w:vAlign w:val="bottom"/>
            <w:hideMark/>
          </w:tcPr>
          <w:p w:rsidRPr="006B7451" w:rsidR="00C02DED" w:rsidP="00BE2A0F" w:rsidRDefault="00C02DED" w14:paraId="55F62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540F8F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4F7DE1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2B503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61 688 986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07A77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4 452 000</w:t>
            </w:r>
          </w:p>
        </w:tc>
      </w:tr>
    </w:tbl>
    <w:p w:rsidRPr="006B7451" w:rsidR="006E7E74" w:rsidP="00ED5D60" w:rsidRDefault="006E7E74" w14:paraId="48F6CD0D" w14:textId="77777777">
      <w:pPr>
        <w:pStyle w:val="Rubrik2numrerat"/>
      </w:pPr>
      <w:bookmarkStart w:name="_Toc121752686" w:id="182"/>
      <w:r w:rsidRPr="006B7451">
        <w:t>Utgiftsområde 5 Internationell samverkan</w:t>
      </w:r>
      <w:bookmarkEnd w:id="182"/>
    </w:p>
    <w:p w:rsidRPr="00F5651A" w:rsidR="00C02DED" w:rsidP="0009421F" w:rsidRDefault="00C02DED" w14:paraId="3F253E72" w14:textId="77777777">
      <w:pPr>
        <w:pStyle w:val="Tabellrubrik"/>
        <w:keepNext/>
      </w:pPr>
      <w:r w:rsidRPr="00F5651A">
        <w:t>Anslagsförslag 2022 för utgiftsområde 5 Internationell samverkan</w:t>
      </w:r>
    </w:p>
    <w:p w:rsidRPr="00F5651A" w:rsidR="00C02DED" w:rsidP="00F5651A" w:rsidRDefault="00C02DED" w14:paraId="38C22F53" w14:textId="77777777">
      <w:pPr>
        <w:pStyle w:val="Tabellunderrubrik"/>
      </w:pPr>
      <w:r w:rsidRPr="00F5651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561884A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C9E54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10F1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BE04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5795A40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5A526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BC3B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0F3DEA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1 533 554</w:t>
            </w:r>
          </w:p>
        </w:tc>
        <w:tc>
          <w:tcPr>
            <w:tcW w:w="1418" w:type="dxa"/>
            <w:shd w:val="clear" w:color="auto" w:fill="FFFFFF"/>
            <w:tcMar>
              <w:top w:w="68" w:type="dxa"/>
              <w:left w:w="28" w:type="dxa"/>
              <w:bottom w:w="0" w:type="dxa"/>
              <w:right w:w="28" w:type="dxa"/>
            </w:tcMar>
            <w:hideMark/>
          </w:tcPr>
          <w:p w:rsidRPr="006B7451" w:rsidR="00C02DED" w:rsidP="00C02DED" w:rsidRDefault="00C02DED" w14:paraId="55667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BB5A04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2C24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3018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3BF04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181 848</w:t>
            </w:r>
          </w:p>
        </w:tc>
        <w:tc>
          <w:tcPr>
            <w:tcW w:w="1418" w:type="dxa"/>
            <w:shd w:val="clear" w:color="auto" w:fill="FFFFFF"/>
            <w:tcMar>
              <w:top w:w="68" w:type="dxa"/>
              <w:left w:w="28" w:type="dxa"/>
              <w:bottom w:w="0" w:type="dxa"/>
              <w:right w:w="28" w:type="dxa"/>
            </w:tcMar>
            <w:hideMark/>
          </w:tcPr>
          <w:p w:rsidRPr="006B7451" w:rsidR="00C02DED" w:rsidP="00C02DED" w:rsidRDefault="00C02DED" w14:paraId="0B38C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7DE1FF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1D189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EA3F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Nordiskt samarbete</w:t>
            </w:r>
          </w:p>
        </w:tc>
        <w:tc>
          <w:tcPr>
            <w:tcW w:w="1418" w:type="dxa"/>
            <w:shd w:val="clear" w:color="auto" w:fill="FFFFFF"/>
            <w:tcMar>
              <w:top w:w="68" w:type="dxa"/>
              <w:left w:w="28" w:type="dxa"/>
              <w:bottom w:w="0" w:type="dxa"/>
              <w:right w:w="28" w:type="dxa"/>
            </w:tcMar>
            <w:hideMark/>
          </w:tcPr>
          <w:p w:rsidRPr="006B7451" w:rsidR="00C02DED" w:rsidP="00C02DED" w:rsidRDefault="00C02DED" w14:paraId="743EB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13 595</w:t>
            </w:r>
          </w:p>
        </w:tc>
        <w:tc>
          <w:tcPr>
            <w:tcW w:w="1418" w:type="dxa"/>
            <w:shd w:val="clear" w:color="auto" w:fill="FFFFFF"/>
            <w:tcMar>
              <w:top w:w="68" w:type="dxa"/>
              <w:left w:w="28" w:type="dxa"/>
              <w:bottom w:w="0" w:type="dxa"/>
              <w:right w:w="28" w:type="dxa"/>
            </w:tcMar>
            <w:hideMark/>
          </w:tcPr>
          <w:p w:rsidRPr="006B7451" w:rsidR="00C02DED" w:rsidP="00C02DED" w:rsidRDefault="00C02DED" w14:paraId="25F5F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C5491" w14:paraId="1CE32A5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F7E5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DEA8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418" w:type="dxa"/>
            <w:shd w:val="clear" w:color="auto" w:fill="FFFFFF"/>
            <w:tcMar>
              <w:top w:w="68" w:type="dxa"/>
              <w:left w:w="28" w:type="dxa"/>
              <w:bottom w:w="0" w:type="dxa"/>
              <w:right w:w="28" w:type="dxa"/>
            </w:tcMar>
            <w:vAlign w:val="bottom"/>
            <w:hideMark/>
          </w:tcPr>
          <w:p w:rsidRPr="006B7451" w:rsidR="00C02DED" w:rsidP="00CC5491" w:rsidRDefault="00C02DED" w14:paraId="6A737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4 826</w:t>
            </w:r>
          </w:p>
        </w:tc>
        <w:tc>
          <w:tcPr>
            <w:tcW w:w="1418" w:type="dxa"/>
            <w:shd w:val="clear" w:color="auto" w:fill="FFFFFF"/>
            <w:tcMar>
              <w:top w:w="68" w:type="dxa"/>
              <w:left w:w="28" w:type="dxa"/>
              <w:bottom w:w="0" w:type="dxa"/>
              <w:right w:w="28" w:type="dxa"/>
            </w:tcMar>
            <w:vAlign w:val="bottom"/>
            <w:hideMark/>
          </w:tcPr>
          <w:p w:rsidRPr="006B7451" w:rsidR="00C02DED" w:rsidP="00CC5491" w:rsidRDefault="00C02DED" w14:paraId="6B725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C2E063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1DBA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3CC2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6B7451" w:rsidR="00C02DED" w:rsidP="00C02DED" w:rsidRDefault="00C02DED" w14:paraId="79B1E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52 040</w:t>
            </w:r>
          </w:p>
        </w:tc>
        <w:tc>
          <w:tcPr>
            <w:tcW w:w="1418" w:type="dxa"/>
            <w:shd w:val="clear" w:color="auto" w:fill="FFFFFF"/>
            <w:tcMar>
              <w:top w:w="68" w:type="dxa"/>
              <w:left w:w="28" w:type="dxa"/>
              <w:bottom w:w="0" w:type="dxa"/>
              <w:right w:w="28" w:type="dxa"/>
            </w:tcMar>
            <w:hideMark/>
          </w:tcPr>
          <w:p w:rsidRPr="006B7451" w:rsidR="00C02DED" w:rsidP="00C02DED" w:rsidRDefault="00C02DED" w14:paraId="3980C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r>
      <w:tr w:rsidRPr="006B7451" w:rsidR="00C02DED" w:rsidTr="00CC5491" w14:paraId="53B81F5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CB1A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6271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418" w:type="dxa"/>
            <w:shd w:val="clear" w:color="auto" w:fill="FFFFFF"/>
            <w:tcMar>
              <w:top w:w="68" w:type="dxa"/>
              <w:left w:w="28" w:type="dxa"/>
              <w:bottom w:w="0" w:type="dxa"/>
              <w:right w:w="28" w:type="dxa"/>
            </w:tcMar>
            <w:vAlign w:val="bottom"/>
            <w:hideMark/>
          </w:tcPr>
          <w:p w:rsidRPr="006B7451" w:rsidR="00C02DED" w:rsidP="00CC5491" w:rsidRDefault="00C02DED" w14:paraId="147C9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79 358</w:t>
            </w:r>
          </w:p>
        </w:tc>
        <w:tc>
          <w:tcPr>
            <w:tcW w:w="1418" w:type="dxa"/>
            <w:shd w:val="clear" w:color="auto" w:fill="FFFFFF"/>
            <w:tcMar>
              <w:top w:w="68" w:type="dxa"/>
              <w:left w:w="28" w:type="dxa"/>
              <w:bottom w:w="0" w:type="dxa"/>
              <w:right w:w="28" w:type="dxa"/>
            </w:tcMar>
            <w:vAlign w:val="bottom"/>
            <w:hideMark/>
          </w:tcPr>
          <w:p w:rsidRPr="006B7451" w:rsidR="00C02DED" w:rsidP="00CC5491" w:rsidRDefault="00C02DED" w14:paraId="0BF1B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C5491" w14:paraId="4113175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978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679F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418" w:type="dxa"/>
            <w:shd w:val="clear" w:color="auto" w:fill="FFFFFF"/>
            <w:tcMar>
              <w:top w:w="68" w:type="dxa"/>
              <w:left w:w="28" w:type="dxa"/>
              <w:bottom w:w="0" w:type="dxa"/>
              <w:right w:w="28" w:type="dxa"/>
            </w:tcMar>
            <w:vAlign w:val="bottom"/>
            <w:hideMark/>
          </w:tcPr>
          <w:p w:rsidRPr="006B7451" w:rsidR="00C02DED" w:rsidP="00CC5491" w:rsidRDefault="00C02DED" w14:paraId="31384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28 402</w:t>
            </w:r>
          </w:p>
        </w:tc>
        <w:tc>
          <w:tcPr>
            <w:tcW w:w="1418" w:type="dxa"/>
            <w:shd w:val="clear" w:color="auto" w:fill="FFFFFF"/>
            <w:tcMar>
              <w:top w:w="68" w:type="dxa"/>
              <w:left w:w="28" w:type="dxa"/>
              <w:bottom w:w="0" w:type="dxa"/>
              <w:right w:w="28" w:type="dxa"/>
            </w:tcMar>
            <w:vAlign w:val="bottom"/>
            <w:hideMark/>
          </w:tcPr>
          <w:p w:rsidRPr="006B7451" w:rsidR="00C02DED" w:rsidP="00CC5491" w:rsidRDefault="00C02DED" w14:paraId="57D92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30A67B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4724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E2D4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418" w:type="dxa"/>
            <w:shd w:val="clear" w:color="auto" w:fill="FFFFFF"/>
            <w:tcMar>
              <w:top w:w="68" w:type="dxa"/>
              <w:left w:w="28" w:type="dxa"/>
              <w:bottom w:w="0" w:type="dxa"/>
              <w:right w:w="28" w:type="dxa"/>
            </w:tcMar>
            <w:hideMark/>
          </w:tcPr>
          <w:p w:rsidRPr="006B7451" w:rsidR="00C02DED" w:rsidP="00C02DED" w:rsidRDefault="00C02DED" w14:paraId="296A9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19 175</w:t>
            </w:r>
          </w:p>
        </w:tc>
        <w:tc>
          <w:tcPr>
            <w:tcW w:w="1418" w:type="dxa"/>
            <w:shd w:val="clear" w:color="auto" w:fill="FFFFFF"/>
            <w:tcMar>
              <w:top w:w="68" w:type="dxa"/>
              <w:left w:w="28" w:type="dxa"/>
              <w:bottom w:w="0" w:type="dxa"/>
              <w:right w:w="28" w:type="dxa"/>
            </w:tcMar>
            <w:hideMark/>
          </w:tcPr>
          <w:p w:rsidRPr="006B7451" w:rsidR="00C02DED" w:rsidP="00C02DED" w:rsidRDefault="00C02DED" w14:paraId="791C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785B7F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139C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1AFB6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6B7451" w:rsidR="00C02DED" w:rsidP="00C02DED" w:rsidRDefault="00C02DED" w14:paraId="6CF0C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131 629</w:t>
            </w:r>
          </w:p>
        </w:tc>
        <w:tc>
          <w:tcPr>
            <w:tcW w:w="1418" w:type="dxa"/>
            <w:shd w:val="clear" w:color="auto" w:fill="FFFFFF"/>
            <w:tcMar>
              <w:top w:w="68" w:type="dxa"/>
              <w:left w:w="28" w:type="dxa"/>
              <w:bottom w:w="0" w:type="dxa"/>
              <w:right w:w="28" w:type="dxa"/>
            </w:tcMar>
            <w:hideMark/>
          </w:tcPr>
          <w:p w:rsidRPr="006B7451" w:rsidR="00C02DED" w:rsidP="00C02DED" w:rsidRDefault="00C02DED" w14:paraId="6D155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377FB2B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FF0A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EFD6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Information om Sverige i utlandet</w:t>
            </w:r>
          </w:p>
        </w:tc>
        <w:tc>
          <w:tcPr>
            <w:tcW w:w="1418" w:type="dxa"/>
            <w:shd w:val="clear" w:color="auto" w:fill="FFFFFF"/>
            <w:tcMar>
              <w:top w:w="68" w:type="dxa"/>
              <w:left w:w="28" w:type="dxa"/>
              <w:bottom w:w="0" w:type="dxa"/>
              <w:right w:w="28" w:type="dxa"/>
            </w:tcMar>
            <w:hideMark/>
          </w:tcPr>
          <w:p w:rsidRPr="006B7451" w:rsidR="00C02DED" w:rsidP="00C02DED" w:rsidRDefault="00C02DED" w14:paraId="7983D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15 475</w:t>
            </w:r>
          </w:p>
        </w:tc>
        <w:tc>
          <w:tcPr>
            <w:tcW w:w="1418" w:type="dxa"/>
            <w:shd w:val="clear" w:color="auto" w:fill="FFFFFF"/>
            <w:tcMar>
              <w:top w:w="68" w:type="dxa"/>
              <w:left w:w="28" w:type="dxa"/>
              <w:bottom w:w="0" w:type="dxa"/>
              <w:right w:w="28" w:type="dxa"/>
            </w:tcMar>
            <w:hideMark/>
          </w:tcPr>
          <w:p w:rsidRPr="006B7451" w:rsidR="00C02DED" w:rsidP="00C02DED" w:rsidRDefault="00C02DED" w14:paraId="512C9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009ECA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8F79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D0A0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Samarbete inom Östersjöregionen</w:t>
            </w:r>
          </w:p>
        </w:tc>
        <w:tc>
          <w:tcPr>
            <w:tcW w:w="1418" w:type="dxa"/>
            <w:shd w:val="clear" w:color="auto" w:fill="FFFFFF"/>
            <w:tcMar>
              <w:top w:w="68" w:type="dxa"/>
              <w:left w:w="28" w:type="dxa"/>
              <w:bottom w:w="0" w:type="dxa"/>
              <w:right w:w="28" w:type="dxa"/>
            </w:tcMar>
            <w:hideMark/>
          </w:tcPr>
          <w:p w:rsidRPr="006B7451" w:rsidR="00C02DED" w:rsidP="00C02DED" w:rsidRDefault="00C02DED" w14:paraId="552A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175 215</w:t>
            </w:r>
          </w:p>
        </w:tc>
        <w:tc>
          <w:tcPr>
            <w:tcW w:w="1418" w:type="dxa"/>
            <w:shd w:val="clear" w:color="auto" w:fill="FFFFFF"/>
            <w:tcMar>
              <w:top w:w="68" w:type="dxa"/>
              <w:left w:w="28" w:type="dxa"/>
              <w:bottom w:w="0" w:type="dxa"/>
              <w:right w:w="28" w:type="dxa"/>
            </w:tcMar>
            <w:hideMark/>
          </w:tcPr>
          <w:p w:rsidRPr="006B7451" w:rsidR="00C02DED" w:rsidP="00C02DED" w:rsidRDefault="00C02DED" w14:paraId="4A2F3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AB879B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67C78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6B9AA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2 235 117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266DB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21 000</w:t>
            </w:r>
          </w:p>
        </w:tc>
      </w:tr>
    </w:tbl>
    <w:p w:rsidRPr="00226C39" w:rsidR="00B216BC" w:rsidP="00ED5D60" w:rsidRDefault="006E7E74" w14:paraId="0B3577D4" w14:textId="676DA903">
      <w:pPr>
        <w:pStyle w:val="Rubrik2numrerat"/>
      </w:pPr>
      <w:bookmarkStart w:name="_Toc121752687" w:id="183"/>
      <w:r w:rsidRPr="00226C39">
        <w:lastRenderedPageBreak/>
        <w:t>Försvar och samhällets krisberedskap</w:t>
      </w:r>
      <w:bookmarkEnd w:id="183"/>
    </w:p>
    <w:p w:rsidRPr="00226C39" w:rsidR="00C02DED" w:rsidP="0009421F" w:rsidRDefault="00C02DED" w14:paraId="1D42C6C0" w14:textId="77777777">
      <w:pPr>
        <w:pStyle w:val="Tabellrubrik"/>
        <w:keepNext/>
      </w:pPr>
      <w:r w:rsidRPr="00226C39">
        <w:t>Anslagsförslag 2022 för utgiftsområde 6 Försvar och samhällets krisberedskap</w:t>
      </w:r>
    </w:p>
    <w:p w:rsidRPr="00226C39" w:rsidR="00C02DED" w:rsidP="00226C39" w:rsidRDefault="00C02DED" w14:paraId="2369CEB5" w14:textId="77777777">
      <w:pPr>
        <w:pStyle w:val="Tabellunderrubrik"/>
      </w:pPr>
      <w:r w:rsidRPr="00226C3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7177D73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D2BB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038C0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1C39D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3A31F82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D897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CA88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6B7451" w:rsidR="00C02DED" w:rsidP="00C02DED" w:rsidRDefault="00C02DED" w14:paraId="29A75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44 207 502</w:t>
            </w:r>
          </w:p>
        </w:tc>
        <w:tc>
          <w:tcPr>
            <w:tcW w:w="1418" w:type="dxa"/>
            <w:shd w:val="clear" w:color="auto" w:fill="FFFFFF"/>
            <w:tcMar>
              <w:top w:w="68" w:type="dxa"/>
              <w:left w:w="28" w:type="dxa"/>
              <w:bottom w:w="0" w:type="dxa"/>
              <w:right w:w="28" w:type="dxa"/>
            </w:tcMar>
            <w:hideMark/>
          </w:tcPr>
          <w:p w:rsidRPr="006B7451" w:rsidR="00C02DED" w:rsidP="00C02DED" w:rsidRDefault="00C02DED" w14:paraId="143E6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1 156 000</w:t>
            </w:r>
          </w:p>
        </w:tc>
      </w:tr>
      <w:tr w:rsidRPr="006B7451" w:rsidR="00C02DED" w:rsidTr="00C02DED" w14:paraId="3F61C1F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A09A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06FF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6B7451" w:rsidR="00C02DED" w:rsidP="00C02DED" w:rsidRDefault="00C02DED" w14:paraId="71609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1 476 513</w:t>
            </w:r>
          </w:p>
        </w:tc>
        <w:tc>
          <w:tcPr>
            <w:tcW w:w="1418" w:type="dxa"/>
            <w:shd w:val="clear" w:color="auto" w:fill="FFFFFF"/>
            <w:tcMar>
              <w:top w:w="68" w:type="dxa"/>
              <w:left w:w="28" w:type="dxa"/>
              <w:bottom w:w="0" w:type="dxa"/>
              <w:right w:w="28" w:type="dxa"/>
            </w:tcMar>
            <w:hideMark/>
          </w:tcPr>
          <w:p w:rsidRPr="006B7451" w:rsidR="00C02DED" w:rsidP="00C02DED" w:rsidRDefault="00C02DED" w14:paraId="2189D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38C259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45A7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E827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6B7451" w:rsidR="00C02DED" w:rsidP="00C02DED" w:rsidRDefault="00C02DED" w14:paraId="2F051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19 802 213</w:t>
            </w:r>
          </w:p>
        </w:tc>
        <w:tc>
          <w:tcPr>
            <w:tcW w:w="1418" w:type="dxa"/>
            <w:shd w:val="clear" w:color="auto" w:fill="FFFFFF"/>
            <w:tcMar>
              <w:top w:w="68" w:type="dxa"/>
              <w:left w:w="28" w:type="dxa"/>
              <w:bottom w:w="0" w:type="dxa"/>
              <w:right w:w="28" w:type="dxa"/>
            </w:tcMar>
            <w:hideMark/>
          </w:tcPr>
          <w:p w:rsidRPr="006B7451" w:rsidR="00C02DED" w:rsidP="00C02DED" w:rsidRDefault="00C02DED" w14:paraId="70540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1 287 000</w:t>
            </w:r>
          </w:p>
        </w:tc>
      </w:tr>
      <w:tr w:rsidRPr="006B7451" w:rsidR="00C02DED" w:rsidTr="00C02DED" w14:paraId="5CEDC55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289E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F901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6B7451" w:rsidR="00C02DED" w:rsidP="00C02DED" w:rsidRDefault="00C02DED" w14:paraId="66D58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831 905</w:t>
            </w:r>
          </w:p>
        </w:tc>
        <w:tc>
          <w:tcPr>
            <w:tcW w:w="1418" w:type="dxa"/>
            <w:shd w:val="clear" w:color="auto" w:fill="FFFFFF"/>
            <w:tcMar>
              <w:top w:w="68" w:type="dxa"/>
              <w:left w:w="28" w:type="dxa"/>
              <w:bottom w:w="0" w:type="dxa"/>
              <w:right w:w="28" w:type="dxa"/>
            </w:tcMar>
            <w:hideMark/>
          </w:tcPr>
          <w:p w:rsidRPr="006B7451" w:rsidR="00C02DED" w:rsidP="00C02DED" w:rsidRDefault="00C02DED" w14:paraId="28EE6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6120FC" w14:paraId="7A7519D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8B881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9439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6B7451" w:rsidR="00C02DED" w:rsidP="006120FC" w:rsidRDefault="00C02DED" w14:paraId="40B6D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11 463</w:t>
            </w:r>
          </w:p>
        </w:tc>
        <w:tc>
          <w:tcPr>
            <w:tcW w:w="1418" w:type="dxa"/>
            <w:shd w:val="clear" w:color="auto" w:fill="FFFFFF"/>
            <w:tcMar>
              <w:top w:w="68" w:type="dxa"/>
              <w:left w:w="28" w:type="dxa"/>
              <w:bottom w:w="0" w:type="dxa"/>
              <w:right w:w="28" w:type="dxa"/>
            </w:tcMar>
            <w:vAlign w:val="bottom"/>
            <w:hideMark/>
          </w:tcPr>
          <w:p w:rsidRPr="006B7451" w:rsidR="00C02DED" w:rsidP="006120FC" w:rsidRDefault="00C02DED" w14:paraId="42B02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31D2FB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96E2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2896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6B7451" w:rsidR="00C02DED" w:rsidP="00C02DED" w:rsidRDefault="00C02DED" w14:paraId="3B7C4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333 842</w:t>
            </w:r>
          </w:p>
        </w:tc>
        <w:tc>
          <w:tcPr>
            <w:tcW w:w="1418" w:type="dxa"/>
            <w:shd w:val="clear" w:color="auto" w:fill="FFFFFF"/>
            <w:tcMar>
              <w:top w:w="68" w:type="dxa"/>
              <w:left w:w="28" w:type="dxa"/>
              <w:bottom w:w="0" w:type="dxa"/>
              <w:right w:w="28" w:type="dxa"/>
            </w:tcMar>
            <w:hideMark/>
          </w:tcPr>
          <w:p w:rsidRPr="006B7451" w:rsidR="00C02DED" w:rsidP="00C02DED" w:rsidRDefault="00C02DED" w14:paraId="2A44F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E7B115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1BCD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5CC29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6B7451" w:rsidR="00C02DED" w:rsidP="00C02DED" w:rsidRDefault="00C02DED" w14:paraId="445B6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262 289</w:t>
            </w:r>
          </w:p>
        </w:tc>
        <w:tc>
          <w:tcPr>
            <w:tcW w:w="1418" w:type="dxa"/>
            <w:shd w:val="clear" w:color="auto" w:fill="FFFFFF"/>
            <w:tcMar>
              <w:top w:w="68" w:type="dxa"/>
              <w:left w:w="28" w:type="dxa"/>
              <w:bottom w:w="0" w:type="dxa"/>
              <w:right w:w="28" w:type="dxa"/>
            </w:tcMar>
            <w:hideMark/>
          </w:tcPr>
          <w:p w:rsidRPr="006B7451" w:rsidR="00C02DED" w:rsidP="00C02DED" w:rsidRDefault="00C02DED" w14:paraId="00ECFB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AFF1CA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254E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DC1E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6B7451" w:rsidR="00C02DED" w:rsidP="00C02DED" w:rsidRDefault="00C02DED" w14:paraId="53FB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1 551 762</w:t>
            </w:r>
          </w:p>
        </w:tc>
        <w:tc>
          <w:tcPr>
            <w:tcW w:w="1418" w:type="dxa"/>
            <w:shd w:val="clear" w:color="auto" w:fill="FFFFFF"/>
            <w:tcMar>
              <w:top w:w="68" w:type="dxa"/>
              <w:left w:w="28" w:type="dxa"/>
              <w:bottom w:w="0" w:type="dxa"/>
              <w:right w:w="28" w:type="dxa"/>
            </w:tcMar>
            <w:hideMark/>
          </w:tcPr>
          <w:p w:rsidRPr="006B7451" w:rsidR="00C02DED" w:rsidP="00C02DED" w:rsidRDefault="00C02DED" w14:paraId="6EB54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C02DED" w:rsidTr="00C02DED" w14:paraId="7A50241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7FB0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515E9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6B7451" w:rsidR="00C02DED" w:rsidP="00C02DED" w:rsidRDefault="00C02DED" w14:paraId="549E8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241 697</w:t>
            </w:r>
          </w:p>
        </w:tc>
        <w:tc>
          <w:tcPr>
            <w:tcW w:w="1418" w:type="dxa"/>
            <w:shd w:val="clear" w:color="auto" w:fill="FFFFFF"/>
            <w:tcMar>
              <w:top w:w="68" w:type="dxa"/>
              <w:left w:w="28" w:type="dxa"/>
              <w:bottom w:w="0" w:type="dxa"/>
              <w:right w:w="28" w:type="dxa"/>
            </w:tcMar>
            <w:hideMark/>
          </w:tcPr>
          <w:p w:rsidRPr="006B7451" w:rsidR="00C02DED" w:rsidP="00C02DED" w:rsidRDefault="00C02DED" w14:paraId="606769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06C850F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F857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EE16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6B7451" w:rsidR="00C02DED" w:rsidP="00C02DED" w:rsidRDefault="00C02DED" w14:paraId="5744F8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6 986</w:t>
            </w:r>
          </w:p>
        </w:tc>
        <w:tc>
          <w:tcPr>
            <w:tcW w:w="1418" w:type="dxa"/>
            <w:shd w:val="clear" w:color="auto" w:fill="FFFFFF"/>
            <w:tcMar>
              <w:top w:w="68" w:type="dxa"/>
              <w:left w:w="28" w:type="dxa"/>
              <w:bottom w:w="0" w:type="dxa"/>
              <w:right w:w="28" w:type="dxa"/>
            </w:tcMar>
            <w:hideMark/>
          </w:tcPr>
          <w:p w:rsidRPr="006B7451" w:rsidR="00C02DED" w:rsidP="00C02DED" w:rsidRDefault="00C02DED" w14:paraId="0BF666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388F3B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DD6DA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67F2D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6B7451" w:rsidR="00C02DED" w:rsidP="00C02DED" w:rsidRDefault="00C02DED" w14:paraId="17F12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2 104 280</w:t>
            </w:r>
          </w:p>
        </w:tc>
        <w:tc>
          <w:tcPr>
            <w:tcW w:w="1418" w:type="dxa"/>
            <w:shd w:val="clear" w:color="auto" w:fill="FFFFFF"/>
            <w:tcMar>
              <w:top w:w="68" w:type="dxa"/>
              <w:left w:w="28" w:type="dxa"/>
              <w:bottom w:w="0" w:type="dxa"/>
              <w:right w:w="28" w:type="dxa"/>
            </w:tcMar>
            <w:hideMark/>
          </w:tcPr>
          <w:p w:rsidRPr="006B7451" w:rsidR="00C02DED" w:rsidP="00C02DED" w:rsidRDefault="00C02DED" w14:paraId="19671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C02DED" w14:paraId="0E60F25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7F9A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0C733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6B7451" w:rsidR="00C02DED" w:rsidP="00C02DED" w:rsidRDefault="00C02DED" w14:paraId="15157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10 874</w:t>
            </w:r>
          </w:p>
        </w:tc>
        <w:tc>
          <w:tcPr>
            <w:tcW w:w="1418" w:type="dxa"/>
            <w:shd w:val="clear" w:color="auto" w:fill="FFFFFF"/>
            <w:tcMar>
              <w:top w:w="68" w:type="dxa"/>
              <w:left w:w="28" w:type="dxa"/>
              <w:bottom w:w="0" w:type="dxa"/>
              <w:right w:w="28" w:type="dxa"/>
            </w:tcMar>
            <w:hideMark/>
          </w:tcPr>
          <w:p w:rsidRPr="006B7451" w:rsidR="00C02DED" w:rsidP="00C02DED" w:rsidRDefault="00C02DED" w14:paraId="72CBC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064611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83C9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88B6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6B7451" w:rsidR="00C02DED" w:rsidP="00C02DED" w:rsidRDefault="00C02DED" w14:paraId="67AB9F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1 395 048</w:t>
            </w:r>
          </w:p>
        </w:tc>
        <w:tc>
          <w:tcPr>
            <w:tcW w:w="1418" w:type="dxa"/>
            <w:shd w:val="clear" w:color="auto" w:fill="FFFFFF"/>
            <w:tcMar>
              <w:top w:w="68" w:type="dxa"/>
              <w:left w:w="28" w:type="dxa"/>
              <w:bottom w:w="0" w:type="dxa"/>
              <w:right w:w="28" w:type="dxa"/>
            </w:tcMar>
            <w:hideMark/>
          </w:tcPr>
          <w:p w:rsidRPr="006B7451" w:rsidR="00C02DED" w:rsidP="00C02DED" w:rsidRDefault="00C02DED" w14:paraId="3E251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6120FC" w14:paraId="1E1C10E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5ECE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CE44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6B7451" w:rsidR="00C02DED" w:rsidP="006120FC" w:rsidRDefault="00C02DED" w14:paraId="1C89D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521 850</w:t>
            </w:r>
          </w:p>
        </w:tc>
        <w:tc>
          <w:tcPr>
            <w:tcW w:w="1418" w:type="dxa"/>
            <w:shd w:val="clear" w:color="auto" w:fill="FFFFFF"/>
            <w:tcMar>
              <w:top w:w="68" w:type="dxa"/>
              <w:left w:w="28" w:type="dxa"/>
              <w:bottom w:w="0" w:type="dxa"/>
              <w:right w:w="28" w:type="dxa"/>
            </w:tcMar>
            <w:vAlign w:val="bottom"/>
            <w:hideMark/>
          </w:tcPr>
          <w:p w:rsidRPr="006B7451" w:rsidR="00C02DED" w:rsidP="006120FC" w:rsidRDefault="00C02DED" w14:paraId="6FF17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C02DED" w14:paraId="4E66947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5C05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F91C6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6B7451" w:rsidR="00C02DED" w:rsidP="00C02DED" w:rsidRDefault="00C02DED" w14:paraId="066FF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6B7451" w:rsidR="00C02DED" w:rsidP="00C02DED" w:rsidRDefault="00C02DED" w14:paraId="117EF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61925C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05B1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29FC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6B7451" w:rsidR="00C02DED" w:rsidP="00C02DED" w:rsidRDefault="00C02DED" w14:paraId="562D8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1 273 788</w:t>
            </w:r>
          </w:p>
        </w:tc>
        <w:tc>
          <w:tcPr>
            <w:tcW w:w="1418" w:type="dxa"/>
            <w:shd w:val="clear" w:color="auto" w:fill="FFFFFF"/>
            <w:tcMar>
              <w:top w:w="68" w:type="dxa"/>
              <w:left w:w="28" w:type="dxa"/>
              <w:bottom w:w="0" w:type="dxa"/>
              <w:right w:w="28" w:type="dxa"/>
            </w:tcMar>
            <w:hideMark/>
          </w:tcPr>
          <w:p w:rsidRPr="006B7451" w:rsidR="00C02DED" w:rsidP="00C02DED" w:rsidRDefault="00C02DED" w14:paraId="2B3CC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6120FC" w14:paraId="2909B5D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DCC6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48E85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6B7451" w:rsidR="00C02DED" w:rsidP="006120FC" w:rsidRDefault="00C02DED" w14:paraId="2AA94B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401 671</w:t>
            </w:r>
          </w:p>
        </w:tc>
        <w:tc>
          <w:tcPr>
            <w:tcW w:w="1418" w:type="dxa"/>
            <w:shd w:val="clear" w:color="auto" w:fill="FFFFFF"/>
            <w:tcMar>
              <w:top w:w="68" w:type="dxa"/>
              <w:left w:w="28" w:type="dxa"/>
              <w:bottom w:w="0" w:type="dxa"/>
              <w:right w:w="28" w:type="dxa"/>
            </w:tcMar>
            <w:vAlign w:val="bottom"/>
            <w:hideMark/>
          </w:tcPr>
          <w:p w:rsidRPr="006B7451" w:rsidR="00C02DED" w:rsidP="006120FC" w:rsidRDefault="00C02DED" w14:paraId="3BBBA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458B13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4915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599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6B7451" w:rsidR="00C02DED" w:rsidP="00C02DED" w:rsidRDefault="00C02DED" w14:paraId="36806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1 428 916</w:t>
            </w:r>
          </w:p>
        </w:tc>
        <w:tc>
          <w:tcPr>
            <w:tcW w:w="1418" w:type="dxa"/>
            <w:shd w:val="clear" w:color="auto" w:fill="FFFFFF"/>
            <w:tcMar>
              <w:top w:w="68" w:type="dxa"/>
              <w:left w:w="28" w:type="dxa"/>
              <w:bottom w:w="0" w:type="dxa"/>
              <w:right w:w="28" w:type="dxa"/>
            </w:tcMar>
            <w:hideMark/>
          </w:tcPr>
          <w:p w:rsidRPr="006B7451" w:rsidR="00C02DED" w:rsidP="00C02DED" w:rsidRDefault="00C02DED" w14:paraId="76368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B4BC11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9925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DC1B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6B7451" w:rsidR="00C02DED" w:rsidP="00C02DED" w:rsidRDefault="00C02DED" w14:paraId="0B2099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57 728</w:t>
            </w:r>
          </w:p>
        </w:tc>
        <w:tc>
          <w:tcPr>
            <w:tcW w:w="1418" w:type="dxa"/>
            <w:shd w:val="clear" w:color="auto" w:fill="FFFFFF"/>
            <w:tcMar>
              <w:top w:w="68" w:type="dxa"/>
              <w:left w:w="28" w:type="dxa"/>
              <w:bottom w:w="0" w:type="dxa"/>
              <w:right w:w="28" w:type="dxa"/>
            </w:tcMar>
            <w:hideMark/>
          </w:tcPr>
          <w:p w:rsidRPr="006B7451" w:rsidR="00C02DED" w:rsidP="00C02DED" w:rsidRDefault="00C02DED" w14:paraId="7C9DC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5B3167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43B2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FED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6B7451" w:rsidR="00C02DED" w:rsidP="00C02DED" w:rsidRDefault="00C02DED" w14:paraId="38CD39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103 000</w:t>
            </w:r>
          </w:p>
        </w:tc>
        <w:tc>
          <w:tcPr>
            <w:tcW w:w="1418" w:type="dxa"/>
            <w:shd w:val="clear" w:color="auto" w:fill="FFFFFF"/>
            <w:tcMar>
              <w:top w:w="68" w:type="dxa"/>
              <w:left w:w="28" w:type="dxa"/>
              <w:bottom w:w="0" w:type="dxa"/>
              <w:right w:w="28" w:type="dxa"/>
            </w:tcMar>
            <w:hideMark/>
          </w:tcPr>
          <w:p w:rsidRPr="006B7451" w:rsidR="00C02DED" w:rsidP="00C02DED" w:rsidRDefault="00C02DED" w14:paraId="34193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A34B2C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271B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F486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6B7451" w:rsidR="00C02DED" w:rsidP="00C02DED" w:rsidRDefault="00C02DED" w14:paraId="78D1A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67 000</w:t>
            </w:r>
          </w:p>
        </w:tc>
        <w:tc>
          <w:tcPr>
            <w:tcW w:w="1418" w:type="dxa"/>
            <w:shd w:val="clear" w:color="auto" w:fill="FFFFFF"/>
            <w:tcMar>
              <w:top w:w="68" w:type="dxa"/>
              <w:left w:w="28" w:type="dxa"/>
              <w:bottom w:w="0" w:type="dxa"/>
              <w:right w:w="28" w:type="dxa"/>
            </w:tcMar>
            <w:hideMark/>
          </w:tcPr>
          <w:p w:rsidRPr="006B7451" w:rsidR="00C02DED" w:rsidP="00C02DED" w:rsidRDefault="00C02DED" w14:paraId="1D888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2EB8E5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2BC2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6F5E2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11F2C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407 892</w:t>
            </w:r>
          </w:p>
        </w:tc>
        <w:tc>
          <w:tcPr>
            <w:tcW w:w="1418" w:type="dxa"/>
            <w:shd w:val="clear" w:color="auto" w:fill="FFFFFF"/>
            <w:tcMar>
              <w:top w:w="68" w:type="dxa"/>
              <w:left w:w="28" w:type="dxa"/>
              <w:bottom w:w="0" w:type="dxa"/>
              <w:right w:w="28" w:type="dxa"/>
            </w:tcMar>
            <w:hideMark/>
          </w:tcPr>
          <w:p w:rsidRPr="006B7451" w:rsidR="00C02DED" w:rsidP="00C02DED" w:rsidRDefault="00C02DED" w14:paraId="2B003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D7857A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1C12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9ADD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Beredskapslager</w:t>
            </w:r>
          </w:p>
        </w:tc>
        <w:tc>
          <w:tcPr>
            <w:tcW w:w="1418" w:type="dxa"/>
            <w:shd w:val="clear" w:color="auto" w:fill="FFFFFF"/>
            <w:tcMar>
              <w:top w:w="68" w:type="dxa"/>
              <w:left w:w="28" w:type="dxa"/>
              <w:bottom w:w="0" w:type="dxa"/>
              <w:right w:w="28" w:type="dxa"/>
            </w:tcMar>
            <w:hideMark/>
          </w:tcPr>
          <w:p w:rsidRPr="006B7451" w:rsidR="00C02DED" w:rsidP="00C02DED" w:rsidRDefault="00C02DED" w14:paraId="2CB70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05872A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300 000</w:t>
            </w:r>
          </w:p>
        </w:tc>
      </w:tr>
      <w:tr w:rsidRPr="006B7451" w:rsidR="00C02DED" w:rsidTr="00C02DED" w14:paraId="7B1A40C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7CC7D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18E62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76 525 799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503E2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2 933 000</w:t>
            </w:r>
          </w:p>
        </w:tc>
      </w:tr>
    </w:tbl>
    <w:p w:rsidR="006E7E74" w:rsidP="006E7E74" w:rsidRDefault="006E7E74" w14:paraId="754475B6" w14:textId="42992D5D"/>
    <w:p w:rsidR="00621A22" w:rsidRDefault="00621A22" w14:paraId="096E2780" w14:textId="70A145E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6E7E74" w:rsidP="00ED5D60" w:rsidRDefault="00C70AEC" w14:paraId="5E64CB4A" w14:textId="3EAE5FAC">
      <w:pPr>
        <w:pStyle w:val="Rubrik2numrerat"/>
      </w:pPr>
      <w:bookmarkStart w:name="_Toc121752688" w:id="184"/>
      <w:r w:rsidRPr="006B7451">
        <w:lastRenderedPageBreak/>
        <w:t>Utgiftsområde 7 Internationell</w:t>
      </w:r>
      <w:r w:rsidR="002A44FA">
        <w:t>t</w:t>
      </w:r>
      <w:r w:rsidRPr="006B7451">
        <w:t xml:space="preserve"> bistånd</w:t>
      </w:r>
      <w:bookmarkEnd w:id="184"/>
    </w:p>
    <w:p w:rsidRPr="00DC6A51" w:rsidR="00C02DED" w:rsidP="0009421F" w:rsidRDefault="00C02DED" w14:paraId="7EDE8275" w14:textId="77777777">
      <w:pPr>
        <w:pStyle w:val="Tabellrubrik"/>
        <w:keepNext/>
      </w:pPr>
      <w:r w:rsidRPr="00DC6A51">
        <w:t>Anslagsförslag 2022 för utgiftsområde 7 Internationellt bistånd</w:t>
      </w:r>
    </w:p>
    <w:p w:rsidRPr="00DC6A51" w:rsidR="00C02DED" w:rsidP="00DC6A51" w:rsidRDefault="00C02DED" w14:paraId="5F599D46" w14:textId="77777777">
      <w:pPr>
        <w:pStyle w:val="Tabellunderrubrik"/>
      </w:pPr>
      <w:r w:rsidRPr="00DC6A5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1EF7B9A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BF36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14C95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A41F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5800013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099E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C920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1A545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49 985 150</w:t>
            </w:r>
          </w:p>
        </w:tc>
        <w:tc>
          <w:tcPr>
            <w:tcW w:w="1418" w:type="dxa"/>
            <w:shd w:val="clear" w:color="auto" w:fill="FFFFFF"/>
            <w:tcMar>
              <w:top w:w="68" w:type="dxa"/>
              <w:left w:w="28" w:type="dxa"/>
              <w:bottom w:w="0" w:type="dxa"/>
              <w:right w:w="28" w:type="dxa"/>
            </w:tcMar>
            <w:hideMark/>
          </w:tcPr>
          <w:p w:rsidRPr="006B7451" w:rsidR="00C02DED" w:rsidP="00C02DED" w:rsidRDefault="00C02DED" w14:paraId="3131A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−16 500 000</w:t>
            </w:r>
          </w:p>
        </w:tc>
      </w:tr>
      <w:tr w:rsidRPr="006B7451" w:rsidR="00C02DED" w:rsidTr="00C02DED" w14:paraId="215A21E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33BE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B1D3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6B7451" w:rsidR="00C02DED" w:rsidP="00C02DED" w:rsidRDefault="00C02DED" w14:paraId="2A6A4A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1 652 317</w:t>
            </w:r>
          </w:p>
        </w:tc>
        <w:tc>
          <w:tcPr>
            <w:tcW w:w="1418" w:type="dxa"/>
            <w:shd w:val="clear" w:color="auto" w:fill="FFFFFF"/>
            <w:tcMar>
              <w:top w:w="68" w:type="dxa"/>
              <w:left w:w="28" w:type="dxa"/>
              <w:bottom w:w="0" w:type="dxa"/>
              <w:right w:w="28" w:type="dxa"/>
            </w:tcMar>
            <w:hideMark/>
          </w:tcPr>
          <w:p w:rsidRPr="006B7451" w:rsidR="00C02DED" w:rsidP="00C02DED" w:rsidRDefault="00C02DED" w14:paraId="4AC276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C02DED" w:rsidTr="00C02DED" w14:paraId="640CCA0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9D30A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0583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6B7451" w:rsidR="00C02DED" w:rsidP="00C02DED" w:rsidRDefault="00C02DED" w14:paraId="646C65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17 308</w:t>
            </w:r>
          </w:p>
        </w:tc>
        <w:tc>
          <w:tcPr>
            <w:tcW w:w="1418" w:type="dxa"/>
            <w:shd w:val="clear" w:color="auto" w:fill="FFFFFF"/>
            <w:tcMar>
              <w:top w:w="68" w:type="dxa"/>
              <w:left w:w="28" w:type="dxa"/>
              <w:bottom w:w="0" w:type="dxa"/>
              <w:right w:w="28" w:type="dxa"/>
            </w:tcMar>
            <w:hideMark/>
          </w:tcPr>
          <w:p w:rsidRPr="006B7451" w:rsidR="00C02DED" w:rsidP="00C02DED" w:rsidRDefault="00C02DED" w14:paraId="2D81B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w:t>
            </w:r>
          </w:p>
        </w:tc>
      </w:tr>
      <w:tr w:rsidRPr="006B7451" w:rsidR="00C02DED" w:rsidTr="00C02DED" w14:paraId="5733B81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B07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2AD3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6B7451" w:rsidR="00C02DED" w:rsidP="00C02DED" w:rsidRDefault="00C02DED" w14:paraId="29DAD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213 367</w:t>
            </w:r>
          </w:p>
        </w:tc>
        <w:tc>
          <w:tcPr>
            <w:tcW w:w="1418" w:type="dxa"/>
            <w:shd w:val="clear" w:color="auto" w:fill="FFFFFF"/>
            <w:tcMar>
              <w:top w:w="68" w:type="dxa"/>
              <w:left w:w="28" w:type="dxa"/>
              <w:bottom w:w="0" w:type="dxa"/>
              <w:right w:w="28" w:type="dxa"/>
            </w:tcMar>
            <w:hideMark/>
          </w:tcPr>
          <w:p w:rsidRPr="006B7451" w:rsidR="00C02DED" w:rsidP="00C02DED" w:rsidRDefault="00C02DED" w14:paraId="4B996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−21 000</w:t>
            </w:r>
          </w:p>
        </w:tc>
      </w:tr>
      <w:tr w:rsidRPr="006B7451" w:rsidR="00C02DED" w:rsidTr="00C02DED" w14:paraId="297F84B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62B6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A377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6B7451" w:rsidR="00C02DED" w:rsidP="00C02DED" w:rsidRDefault="00C02DED" w14:paraId="3C9FF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6B7451" w:rsidR="00C02DED" w:rsidP="00C02DED" w:rsidRDefault="00C02DED" w14:paraId="5FADC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C4D5E1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C131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4A09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6B7451" w:rsidR="00C02DED" w:rsidP="00C02DED" w:rsidRDefault="00C02DED" w14:paraId="40982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21 620</w:t>
            </w:r>
          </w:p>
        </w:tc>
        <w:tc>
          <w:tcPr>
            <w:tcW w:w="1418" w:type="dxa"/>
            <w:shd w:val="clear" w:color="auto" w:fill="FFFFFF"/>
            <w:tcMar>
              <w:top w:w="68" w:type="dxa"/>
              <w:left w:w="28" w:type="dxa"/>
              <w:bottom w:w="0" w:type="dxa"/>
              <w:right w:w="28" w:type="dxa"/>
            </w:tcMar>
            <w:hideMark/>
          </w:tcPr>
          <w:p w:rsidRPr="006B7451" w:rsidR="00C02DED" w:rsidP="00C02DED" w:rsidRDefault="00C02DED" w14:paraId="27CA0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w:t>
            </w:r>
          </w:p>
        </w:tc>
      </w:tr>
      <w:tr w:rsidRPr="006B7451" w:rsidR="00C02DED" w:rsidTr="00C02DED" w14:paraId="107CAF2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0F1E8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2258A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51 939 762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D58B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−17 025 000</w:t>
            </w:r>
          </w:p>
        </w:tc>
      </w:tr>
    </w:tbl>
    <w:p w:rsidRPr="006B7451" w:rsidR="00C70AEC" w:rsidP="00ED5D60" w:rsidRDefault="001B474A" w14:paraId="70F6303E" w14:textId="77777777">
      <w:pPr>
        <w:pStyle w:val="Rubrik2numrerat"/>
      </w:pPr>
      <w:bookmarkStart w:name="_Toc121752689" w:id="185"/>
      <w:r w:rsidRPr="006B7451">
        <w:t xml:space="preserve">Utgiftsområde 8 </w:t>
      </w:r>
      <w:r w:rsidRPr="006B7451" w:rsidR="00C70AEC">
        <w:t>Migration</w:t>
      </w:r>
      <w:bookmarkEnd w:id="185"/>
    </w:p>
    <w:p w:rsidRPr="007F0719" w:rsidR="00C02DED" w:rsidP="0009421F" w:rsidRDefault="00C02DED" w14:paraId="2FA5BA5A" w14:textId="77777777">
      <w:pPr>
        <w:pStyle w:val="Tabellrubrik"/>
        <w:keepNext/>
      </w:pPr>
      <w:r w:rsidRPr="007F0719">
        <w:t>Anslagsförslag 2022 för utgiftsområde 8 Migration</w:t>
      </w:r>
    </w:p>
    <w:p w:rsidRPr="007F0719" w:rsidR="00C02DED" w:rsidP="007F0719" w:rsidRDefault="00C02DED" w14:paraId="653B2933" w14:textId="77777777">
      <w:pPr>
        <w:pStyle w:val="Tabellunderrubrik"/>
      </w:pPr>
      <w:r w:rsidRPr="007F071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1C574E" w14:paraId="5EC02973"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9A87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E770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698C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1C574E" w14:paraId="50478866"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0D030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47D0C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Migrationsverket</w:t>
            </w:r>
          </w:p>
        </w:tc>
        <w:tc>
          <w:tcPr>
            <w:tcW w:w="1711" w:type="dxa"/>
            <w:shd w:val="clear" w:color="auto" w:fill="FFFFFF"/>
            <w:tcMar>
              <w:top w:w="68" w:type="dxa"/>
              <w:left w:w="28" w:type="dxa"/>
              <w:bottom w:w="0" w:type="dxa"/>
              <w:right w:w="28" w:type="dxa"/>
            </w:tcMar>
            <w:hideMark/>
          </w:tcPr>
          <w:p w:rsidRPr="006B7451" w:rsidR="00C02DED" w:rsidP="00C02DED" w:rsidRDefault="00C02DED" w14:paraId="2E629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4 233 098</w:t>
            </w:r>
          </w:p>
        </w:tc>
        <w:tc>
          <w:tcPr>
            <w:tcW w:w="1711" w:type="dxa"/>
            <w:shd w:val="clear" w:color="auto" w:fill="FFFFFF"/>
            <w:tcMar>
              <w:top w:w="68" w:type="dxa"/>
              <w:left w:w="28" w:type="dxa"/>
              <w:bottom w:w="0" w:type="dxa"/>
              <w:right w:w="28" w:type="dxa"/>
            </w:tcMar>
            <w:hideMark/>
          </w:tcPr>
          <w:p w:rsidRPr="006B7451" w:rsidR="00C02DED" w:rsidP="00C02DED" w:rsidRDefault="00C02DED" w14:paraId="169AEB74" w14:textId="4FCB4E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w:t>
            </w:r>
            <w:r w:rsidR="001C574E">
              <w:rPr>
                <w:rFonts w:ascii="Times New Roman" w:hAnsi="Times New Roman" w:eastAsia="Times New Roman" w:cs="Times New Roman"/>
                <w:color w:val="000000"/>
                <w:kern w:val="0"/>
                <w:sz w:val="20"/>
                <w:szCs w:val="20"/>
                <w:lang w:eastAsia="sv-SE"/>
                <w14:numSpacing w14:val="default"/>
              </w:rPr>
              <w:t>11</w:t>
            </w:r>
            <w:r w:rsidRPr="006B7451">
              <w:rPr>
                <w:rFonts w:ascii="Times New Roman" w:hAnsi="Times New Roman" w:eastAsia="Times New Roman" w:cs="Times New Roman"/>
                <w:color w:val="000000"/>
                <w:kern w:val="0"/>
                <w:sz w:val="20"/>
                <w:szCs w:val="20"/>
                <w:lang w:eastAsia="sv-SE"/>
                <w14:numSpacing w14:val="default"/>
              </w:rPr>
              <w:t>6 000</w:t>
            </w:r>
          </w:p>
        </w:tc>
      </w:tr>
      <w:tr w:rsidRPr="006B7451" w:rsidR="00C02DED" w:rsidTr="001C574E" w14:paraId="33FFF294"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63488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6F86F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Ersättningar och bostadskostnader</w:t>
            </w:r>
          </w:p>
        </w:tc>
        <w:tc>
          <w:tcPr>
            <w:tcW w:w="1711" w:type="dxa"/>
            <w:shd w:val="clear" w:color="auto" w:fill="FFFFFF"/>
            <w:tcMar>
              <w:top w:w="68" w:type="dxa"/>
              <w:left w:w="28" w:type="dxa"/>
              <w:bottom w:w="0" w:type="dxa"/>
              <w:right w:w="28" w:type="dxa"/>
            </w:tcMar>
            <w:hideMark/>
          </w:tcPr>
          <w:p w:rsidRPr="006B7451" w:rsidR="00C02DED" w:rsidP="00C02DED" w:rsidRDefault="00C02DED" w14:paraId="279AA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2 190 000</w:t>
            </w:r>
          </w:p>
        </w:tc>
        <w:tc>
          <w:tcPr>
            <w:tcW w:w="1711" w:type="dxa"/>
            <w:shd w:val="clear" w:color="auto" w:fill="FFFFFF"/>
            <w:tcMar>
              <w:top w:w="68" w:type="dxa"/>
              <w:left w:w="28" w:type="dxa"/>
              <w:bottom w:w="0" w:type="dxa"/>
              <w:right w:w="28" w:type="dxa"/>
            </w:tcMar>
            <w:hideMark/>
          </w:tcPr>
          <w:p w:rsidRPr="006B7451" w:rsidR="00C02DED" w:rsidP="00C02DED" w:rsidRDefault="00C02DED" w14:paraId="73342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−1 095 000</w:t>
            </w:r>
          </w:p>
        </w:tc>
      </w:tr>
      <w:tr w:rsidRPr="006B7451" w:rsidR="00C02DED" w:rsidTr="001C574E" w14:paraId="24367CC9"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7D09F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01F99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Migrationspolitiska åtgärder</w:t>
            </w:r>
          </w:p>
        </w:tc>
        <w:tc>
          <w:tcPr>
            <w:tcW w:w="1711" w:type="dxa"/>
            <w:shd w:val="clear" w:color="auto" w:fill="FFFFFF"/>
            <w:tcMar>
              <w:top w:w="68" w:type="dxa"/>
              <w:left w:w="28" w:type="dxa"/>
              <w:bottom w:w="0" w:type="dxa"/>
              <w:right w:w="28" w:type="dxa"/>
            </w:tcMar>
            <w:hideMark/>
          </w:tcPr>
          <w:p w:rsidRPr="006B7451" w:rsidR="00C02DED" w:rsidP="00C02DED" w:rsidRDefault="00C02DED" w14:paraId="5EA83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123 013</w:t>
            </w:r>
          </w:p>
        </w:tc>
        <w:tc>
          <w:tcPr>
            <w:tcW w:w="1711" w:type="dxa"/>
            <w:shd w:val="clear" w:color="auto" w:fill="FFFFFF"/>
            <w:tcMar>
              <w:top w:w="68" w:type="dxa"/>
              <w:left w:w="28" w:type="dxa"/>
              <w:bottom w:w="0" w:type="dxa"/>
              <w:right w:w="28" w:type="dxa"/>
            </w:tcMar>
            <w:hideMark/>
          </w:tcPr>
          <w:p w:rsidRPr="006B7451" w:rsidR="00C02DED" w:rsidP="00C02DED" w:rsidRDefault="00C02DED" w14:paraId="76D35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−123 013</w:t>
            </w:r>
          </w:p>
        </w:tc>
      </w:tr>
      <w:tr w:rsidRPr="006B7451" w:rsidR="00C02DED" w:rsidTr="001C574E" w14:paraId="3F6FDE80"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595E0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06914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Domstolsprövning i utlänningsmål</w:t>
            </w:r>
          </w:p>
        </w:tc>
        <w:tc>
          <w:tcPr>
            <w:tcW w:w="1711" w:type="dxa"/>
            <w:shd w:val="clear" w:color="auto" w:fill="FFFFFF"/>
            <w:tcMar>
              <w:top w:w="68" w:type="dxa"/>
              <w:left w:w="28" w:type="dxa"/>
              <w:bottom w:w="0" w:type="dxa"/>
              <w:right w:w="28" w:type="dxa"/>
            </w:tcMar>
            <w:hideMark/>
          </w:tcPr>
          <w:p w:rsidRPr="006B7451" w:rsidR="00C02DED" w:rsidP="00C02DED" w:rsidRDefault="00C02DED" w14:paraId="0D938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720 015</w:t>
            </w:r>
          </w:p>
        </w:tc>
        <w:tc>
          <w:tcPr>
            <w:tcW w:w="1711" w:type="dxa"/>
            <w:shd w:val="clear" w:color="auto" w:fill="FFFFFF"/>
            <w:tcMar>
              <w:top w:w="68" w:type="dxa"/>
              <w:left w:w="28" w:type="dxa"/>
              <w:bottom w:w="0" w:type="dxa"/>
              <w:right w:w="28" w:type="dxa"/>
            </w:tcMar>
            <w:hideMark/>
          </w:tcPr>
          <w:p w:rsidRPr="006B7451" w:rsidR="00C02DED" w:rsidP="00C02DED" w:rsidRDefault="00C02DED" w14:paraId="70992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7F0719" w14:paraId="05849C42"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41B7A7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3DAB1C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Rättsliga biträden m.m. vid domstolsprövning i utlänningsmål</w:t>
            </w:r>
          </w:p>
        </w:tc>
        <w:tc>
          <w:tcPr>
            <w:tcW w:w="1711" w:type="dxa"/>
            <w:shd w:val="clear" w:color="auto" w:fill="FFFFFF"/>
            <w:tcMar>
              <w:top w:w="68" w:type="dxa"/>
              <w:left w:w="28" w:type="dxa"/>
              <w:bottom w:w="0" w:type="dxa"/>
              <w:right w:w="28" w:type="dxa"/>
            </w:tcMar>
            <w:vAlign w:val="bottom"/>
            <w:hideMark/>
          </w:tcPr>
          <w:p w:rsidRPr="006B7451" w:rsidR="00C02DED" w:rsidP="007F0719" w:rsidRDefault="00C02DED" w14:paraId="68774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204 800</w:t>
            </w:r>
          </w:p>
        </w:tc>
        <w:tc>
          <w:tcPr>
            <w:tcW w:w="1711" w:type="dxa"/>
            <w:shd w:val="clear" w:color="auto" w:fill="FFFFFF"/>
            <w:tcMar>
              <w:top w:w="68" w:type="dxa"/>
              <w:left w:w="28" w:type="dxa"/>
              <w:bottom w:w="0" w:type="dxa"/>
              <w:right w:w="28" w:type="dxa"/>
            </w:tcMar>
            <w:vAlign w:val="bottom"/>
            <w:hideMark/>
          </w:tcPr>
          <w:p w:rsidRPr="006B7451" w:rsidR="00C02DED" w:rsidP="007F0719" w:rsidRDefault="00C02DED" w14:paraId="42710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−48 000</w:t>
            </w:r>
          </w:p>
        </w:tc>
      </w:tr>
      <w:tr w:rsidRPr="006B7451" w:rsidR="00C02DED" w:rsidTr="001C574E" w14:paraId="1EC0D353"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4B6B3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6C7AB1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Offentligt biträde i utlänningsärenden</w:t>
            </w:r>
          </w:p>
        </w:tc>
        <w:tc>
          <w:tcPr>
            <w:tcW w:w="1711" w:type="dxa"/>
            <w:shd w:val="clear" w:color="auto" w:fill="FFFFFF"/>
            <w:tcMar>
              <w:top w:w="68" w:type="dxa"/>
              <w:left w:w="28" w:type="dxa"/>
              <w:bottom w:w="0" w:type="dxa"/>
              <w:right w:w="28" w:type="dxa"/>
            </w:tcMar>
            <w:hideMark/>
          </w:tcPr>
          <w:p w:rsidRPr="006B7451" w:rsidR="00C02DED" w:rsidP="00C02DED" w:rsidRDefault="00C02DED" w14:paraId="39EAE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249 786</w:t>
            </w:r>
          </w:p>
        </w:tc>
        <w:tc>
          <w:tcPr>
            <w:tcW w:w="1711" w:type="dxa"/>
            <w:shd w:val="clear" w:color="auto" w:fill="FFFFFF"/>
            <w:tcMar>
              <w:top w:w="68" w:type="dxa"/>
              <w:left w:w="28" w:type="dxa"/>
              <w:bottom w:w="0" w:type="dxa"/>
              <w:right w:w="28" w:type="dxa"/>
            </w:tcMar>
            <w:hideMark/>
          </w:tcPr>
          <w:p w:rsidRPr="006B7451" w:rsidR="00C02DED" w:rsidP="00C02DED" w:rsidRDefault="00C02DED" w14:paraId="02F8D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−71 000</w:t>
            </w:r>
          </w:p>
        </w:tc>
      </w:tr>
      <w:tr w:rsidRPr="006B7451" w:rsidR="00C02DED" w:rsidTr="001C574E" w14:paraId="19F92F46"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6677C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1C662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Utresor för avvisade och utvisade</w:t>
            </w:r>
          </w:p>
        </w:tc>
        <w:tc>
          <w:tcPr>
            <w:tcW w:w="1711" w:type="dxa"/>
            <w:shd w:val="clear" w:color="auto" w:fill="FFFFFF"/>
            <w:tcMar>
              <w:top w:w="68" w:type="dxa"/>
              <w:left w:w="28" w:type="dxa"/>
              <w:bottom w:w="0" w:type="dxa"/>
              <w:right w:w="28" w:type="dxa"/>
            </w:tcMar>
            <w:hideMark/>
          </w:tcPr>
          <w:p w:rsidRPr="006B7451" w:rsidR="00C02DED" w:rsidP="00C02DED" w:rsidRDefault="00C02DED" w14:paraId="16FFE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327 202</w:t>
            </w:r>
          </w:p>
        </w:tc>
        <w:tc>
          <w:tcPr>
            <w:tcW w:w="1711" w:type="dxa"/>
            <w:shd w:val="clear" w:color="auto" w:fill="FFFFFF"/>
            <w:tcMar>
              <w:top w:w="68" w:type="dxa"/>
              <w:left w:w="28" w:type="dxa"/>
              <w:bottom w:w="0" w:type="dxa"/>
              <w:right w:w="28" w:type="dxa"/>
            </w:tcMar>
            <w:hideMark/>
          </w:tcPr>
          <w:p w:rsidRPr="006B7451" w:rsidR="00C02DED" w:rsidP="00C02DED" w:rsidRDefault="00C02DED" w14:paraId="71671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196 000</w:t>
            </w:r>
          </w:p>
        </w:tc>
      </w:tr>
      <w:tr w:rsidRPr="006B7451" w:rsidR="00C02DED" w:rsidTr="007F0719" w14:paraId="001ADEC5" w14:textId="77777777">
        <w:trPr>
          <w:trHeight w:val="170"/>
        </w:trPr>
        <w:tc>
          <w:tcPr>
            <w:tcW w:w="498" w:type="dxa"/>
            <w:shd w:val="clear" w:color="auto" w:fill="FFFFFF"/>
            <w:tcMar>
              <w:top w:w="68" w:type="dxa"/>
              <w:left w:w="28" w:type="dxa"/>
              <w:bottom w:w="0" w:type="dxa"/>
              <w:right w:w="28" w:type="dxa"/>
            </w:tcMar>
            <w:hideMark/>
          </w:tcPr>
          <w:p w:rsidRPr="006B7451" w:rsidR="00C02DED" w:rsidP="00C02DED" w:rsidRDefault="00C02DED" w14:paraId="07974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6B7451" w:rsidR="00C02DED" w:rsidP="00C02DED" w:rsidRDefault="00C02DED" w14:paraId="52A75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Från EU-budgeten finansierade insatser för asylsökande och flyktingar</w:t>
            </w:r>
          </w:p>
        </w:tc>
        <w:tc>
          <w:tcPr>
            <w:tcW w:w="1711" w:type="dxa"/>
            <w:shd w:val="clear" w:color="auto" w:fill="FFFFFF"/>
            <w:tcMar>
              <w:top w:w="68" w:type="dxa"/>
              <w:left w:w="28" w:type="dxa"/>
              <w:bottom w:w="0" w:type="dxa"/>
              <w:right w:w="28" w:type="dxa"/>
            </w:tcMar>
            <w:vAlign w:val="bottom"/>
            <w:hideMark/>
          </w:tcPr>
          <w:p w:rsidRPr="006B7451" w:rsidR="00C02DED" w:rsidP="007F0719" w:rsidRDefault="00C02DED" w14:paraId="79550E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408 450</w:t>
            </w:r>
          </w:p>
        </w:tc>
        <w:tc>
          <w:tcPr>
            <w:tcW w:w="1711" w:type="dxa"/>
            <w:shd w:val="clear" w:color="auto" w:fill="FFFFFF"/>
            <w:tcMar>
              <w:top w:w="68" w:type="dxa"/>
              <w:left w:w="28" w:type="dxa"/>
              <w:bottom w:w="0" w:type="dxa"/>
              <w:right w:w="28" w:type="dxa"/>
            </w:tcMar>
            <w:vAlign w:val="bottom"/>
            <w:hideMark/>
          </w:tcPr>
          <w:p w:rsidRPr="006B7451" w:rsidR="00C02DED" w:rsidP="007F0719" w:rsidRDefault="00C02DED" w14:paraId="4F22A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1C574E" w14:paraId="089F9B9F"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2343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7405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8 456 364</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AF58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−1 237 013</w:t>
            </w:r>
          </w:p>
        </w:tc>
      </w:tr>
    </w:tbl>
    <w:p w:rsidR="00C70AEC" w:rsidP="00C70AEC" w:rsidRDefault="00C70AEC" w14:paraId="6E21D2CA" w14:textId="485D92BA"/>
    <w:p w:rsidR="00621A22" w:rsidRDefault="00621A22" w14:paraId="48D2CC40" w14:textId="68C85BF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C70AEC" w:rsidP="00ED5D60" w:rsidRDefault="00C70AEC" w14:paraId="22A079C8" w14:textId="6BAD0C93">
      <w:pPr>
        <w:pStyle w:val="Rubrik2numrerat"/>
      </w:pPr>
      <w:bookmarkStart w:name="_Toc121752690" w:id="186"/>
      <w:r w:rsidRPr="006B7451">
        <w:lastRenderedPageBreak/>
        <w:t>Utgiftsområde 9 Hälsovård, sjukvård och social omsorg</w:t>
      </w:r>
      <w:bookmarkEnd w:id="186"/>
    </w:p>
    <w:p w:rsidRPr="0004795D" w:rsidR="00C02DED" w:rsidP="0009421F" w:rsidRDefault="00C02DED" w14:paraId="016CC4CD" w14:textId="77777777">
      <w:pPr>
        <w:pStyle w:val="Tabellrubrik"/>
        <w:keepNext/>
      </w:pPr>
      <w:r w:rsidRPr="0004795D">
        <w:t>Anslagsförslag 2022 för utgiftsområde 9 Hälsovård, sjukvård och social omsorg</w:t>
      </w:r>
    </w:p>
    <w:p w:rsidRPr="0004795D" w:rsidR="00C02DED" w:rsidP="0004795D" w:rsidRDefault="00C02DED" w14:paraId="14600E87" w14:textId="77777777">
      <w:pPr>
        <w:pStyle w:val="Tabellunderrubrik"/>
      </w:pPr>
      <w:r w:rsidRPr="0004795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34359D1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441A1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8E0C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297C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4B350D8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7D92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FFC0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hideMark/>
          </w:tcPr>
          <w:p w:rsidRPr="006B7451" w:rsidR="00C02DED" w:rsidP="00C02DED" w:rsidRDefault="00C02DED" w14:paraId="73E23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765 160</w:t>
            </w:r>
          </w:p>
        </w:tc>
        <w:tc>
          <w:tcPr>
            <w:tcW w:w="1418" w:type="dxa"/>
            <w:shd w:val="clear" w:color="auto" w:fill="FFFFFF"/>
            <w:tcMar>
              <w:top w:w="68" w:type="dxa"/>
              <w:left w:w="28" w:type="dxa"/>
              <w:bottom w:w="0" w:type="dxa"/>
              <w:right w:w="28" w:type="dxa"/>
            </w:tcMar>
            <w:hideMark/>
          </w:tcPr>
          <w:p w:rsidRPr="006B7451" w:rsidR="00C02DED" w:rsidP="00C02DED" w:rsidRDefault="00C02DED" w14:paraId="492C7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400 000</w:t>
            </w:r>
          </w:p>
        </w:tc>
      </w:tr>
      <w:tr w:rsidRPr="006B7451" w:rsidR="00C02DED" w:rsidTr="00C02DED" w14:paraId="2C29DFA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D53D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44EF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hideMark/>
          </w:tcPr>
          <w:p w:rsidRPr="006B7451" w:rsidR="00C02DED" w:rsidP="00C02DED" w:rsidRDefault="00C02DED" w14:paraId="03FAF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91 251</w:t>
            </w:r>
          </w:p>
        </w:tc>
        <w:tc>
          <w:tcPr>
            <w:tcW w:w="1418" w:type="dxa"/>
            <w:shd w:val="clear" w:color="auto" w:fill="FFFFFF"/>
            <w:tcMar>
              <w:top w:w="68" w:type="dxa"/>
              <w:left w:w="28" w:type="dxa"/>
              <w:bottom w:w="0" w:type="dxa"/>
              <w:right w:w="28" w:type="dxa"/>
            </w:tcMar>
            <w:hideMark/>
          </w:tcPr>
          <w:p w:rsidRPr="006B7451" w:rsidR="00C02DED" w:rsidP="00C02DED" w:rsidRDefault="00C02DED" w14:paraId="4EBC62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E583CF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D76C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FE80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730E5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160 340</w:t>
            </w:r>
          </w:p>
        </w:tc>
        <w:tc>
          <w:tcPr>
            <w:tcW w:w="1418" w:type="dxa"/>
            <w:shd w:val="clear" w:color="auto" w:fill="FFFFFF"/>
            <w:tcMar>
              <w:top w:w="68" w:type="dxa"/>
              <w:left w:w="28" w:type="dxa"/>
              <w:bottom w:w="0" w:type="dxa"/>
              <w:right w:w="28" w:type="dxa"/>
            </w:tcMar>
            <w:hideMark/>
          </w:tcPr>
          <w:p w:rsidRPr="006B7451" w:rsidR="00C02DED" w:rsidP="00C02DED" w:rsidRDefault="00C02DED" w14:paraId="08563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662999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A26E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25DF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hideMark/>
          </w:tcPr>
          <w:p w:rsidRPr="006B7451" w:rsidR="00C02DED" w:rsidP="00C02DED" w:rsidRDefault="00C02DED" w14:paraId="7ACE1B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7 062 169</w:t>
            </w:r>
          </w:p>
        </w:tc>
        <w:tc>
          <w:tcPr>
            <w:tcW w:w="1418" w:type="dxa"/>
            <w:shd w:val="clear" w:color="auto" w:fill="FFFFFF"/>
            <w:tcMar>
              <w:top w:w="68" w:type="dxa"/>
              <w:left w:w="28" w:type="dxa"/>
              <w:bottom w:w="0" w:type="dxa"/>
              <w:right w:w="28" w:type="dxa"/>
            </w:tcMar>
            <w:hideMark/>
          </w:tcPr>
          <w:p w:rsidRPr="006B7451" w:rsidR="00C02DED" w:rsidP="00C02DED" w:rsidRDefault="00C02DED" w14:paraId="4FFFE0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205369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FABE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060E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hideMark/>
          </w:tcPr>
          <w:p w:rsidRPr="006B7451" w:rsidR="00C02DED" w:rsidP="00C02DED" w:rsidRDefault="00C02DED" w14:paraId="4FDBC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33 444 000</w:t>
            </w:r>
          </w:p>
        </w:tc>
        <w:tc>
          <w:tcPr>
            <w:tcW w:w="1418" w:type="dxa"/>
            <w:shd w:val="clear" w:color="auto" w:fill="FFFFFF"/>
            <w:tcMar>
              <w:top w:w="68" w:type="dxa"/>
              <w:left w:w="28" w:type="dxa"/>
              <w:bottom w:w="0" w:type="dxa"/>
              <w:right w:w="28" w:type="dxa"/>
            </w:tcMar>
            <w:hideMark/>
          </w:tcPr>
          <w:p w:rsidRPr="006B7451" w:rsidR="00C02DED" w:rsidP="00C02DED" w:rsidRDefault="00C02DED" w14:paraId="3D326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3172FA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D0C7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35047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hideMark/>
          </w:tcPr>
          <w:p w:rsidRPr="006B7451" w:rsidR="00C02DED" w:rsidP="00C02DED" w:rsidRDefault="00C02DED" w14:paraId="49C96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24 868 886</w:t>
            </w:r>
          </w:p>
        </w:tc>
        <w:tc>
          <w:tcPr>
            <w:tcW w:w="1418" w:type="dxa"/>
            <w:shd w:val="clear" w:color="auto" w:fill="FFFFFF"/>
            <w:tcMar>
              <w:top w:w="68" w:type="dxa"/>
              <w:left w:w="28" w:type="dxa"/>
              <w:bottom w:w="0" w:type="dxa"/>
              <w:right w:w="28" w:type="dxa"/>
            </w:tcMar>
            <w:hideMark/>
          </w:tcPr>
          <w:p w:rsidRPr="006B7451" w:rsidR="00C02DED" w:rsidP="00C02DED" w:rsidRDefault="00C02DED" w14:paraId="4F0AF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515 000</w:t>
            </w:r>
          </w:p>
        </w:tc>
      </w:tr>
      <w:tr w:rsidRPr="006B7451" w:rsidR="00C02DED" w:rsidTr="00C02DED" w14:paraId="3B5D8F4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B8B6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E4C6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hideMark/>
          </w:tcPr>
          <w:p w:rsidRPr="006B7451" w:rsidR="00C02DED" w:rsidP="00C02DED" w:rsidRDefault="00C02DED" w14:paraId="2375B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511 472</w:t>
            </w:r>
          </w:p>
        </w:tc>
        <w:tc>
          <w:tcPr>
            <w:tcW w:w="1418" w:type="dxa"/>
            <w:shd w:val="clear" w:color="auto" w:fill="FFFFFF"/>
            <w:tcMar>
              <w:top w:w="68" w:type="dxa"/>
              <w:left w:w="28" w:type="dxa"/>
              <w:bottom w:w="0" w:type="dxa"/>
              <w:right w:w="28" w:type="dxa"/>
            </w:tcMar>
            <w:hideMark/>
          </w:tcPr>
          <w:p w:rsidRPr="006B7451" w:rsidR="00C02DED" w:rsidP="00C02DED" w:rsidRDefault="00C02DED" w14:paraId="76B5E6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D4F291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F4F2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A2B1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hideMark/>
          </w:tcPr>
          <w:p w:rsidRPr="006B7451" w:rsidR="00C02DED" w:rsidP="00C02DED" w:rsidRDefault="00C02DED" w14:paraId="1177A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2 162 893</w:t>
            </w:r>
          </w:p>
        </w:tc>
        <w:tc>
          <w:tcPr>
            <w:tcW w:w="1418" w:type="dxa"/>
            <w:shd w:val="clear" w:color="auto" w:fill="FFFFFF"/>
            <w:tcMar>
              <w:top w:w="68" w:type="dxa"/>
              <w:left w:w="28" w:type="dxa"/>
              <w:bottom w:w="0" w:type="dxa"/>
              <w:right w:w="28" w:type="dxa"/>
            </w:tcMar>
            <w:hideMark/>
          </w:tcPr>
          <w:p w:rsidRPr="006B7451" w:rsidR="00C02DED" w:rsidP="00C02DED" w:rsidRDefault="00C02DED" w14:paraId="3678A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400 000</w:t>
            </w:r>
          </w:p>
        </w:tc>
      </w:tr>
      <w:tr w:rsidRPr="006B7451" w:rsidR="00C02DED" w:rsidTr="00C02DED" w14:paraId="283890A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0E76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8601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19D7D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161 835</w:t>
            </w:r>
          </w:p>
        </w:tc>
        <w:tc>
          <w:tcPr>
            <w:tcW w:w="1418" w:type="dxa"/>
            <w:shd w:val="clear" w:color="auto" w:fill="FFFFFF"/>
            <w:tcMar>
              <w:top w:w="68" w:type="dxa"/>
              <w:left w:w="28" w:type="dxa"/>
              <w:bottom w:w="0" w:type="dxa"/>
              <w:right w:w="28" w:type="dxa"/>
            </w:tcMar>
            <w:hideMark/>
          </w:tcPr>
          <w:p w:rsidRPr="006B7451" w:rsidR="00C02DED" w:rsidP="00C02DED" w:rsidRDefault="00C02DED" w14:paraId="0933E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172171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D1108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1703C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39CE4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120 078</w:t>
            </w:r>
          </w:p>
        </w:tc>
        <w:tc>
          <w:tcPr>
            <w:tcW w:w="1418" w:type="dxa"/>
            <w:shd w:val="clear" w:color="auto" w:fill="FFFFFF"/>
            <w:tcMar>
              <w:top w:w="68" w:type="dxa"/>
              <w:left w:w="28" w:type="dxa"/>
              <w:bottom w:w="0" w:type="dxa"/>
              <w:right w:w="28" w:type="dxa"/>
            </w:tcMar>
            <w:hideMark/>
          </w:tcPr>
          <w:p w:rsidRPr="006B7451" w:rsidR="00C02DED" w:rsidP="00C02DED" w:rsidRDefault="00C02DED" w14:paraId="394C5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54F6B8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0EC6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8E40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hideMark/>
          </w:tcPr>
          <w:p w:rsidRPr="006B7451" w:rsidR="00C02DED" w:rsidP="00C02DED" w:rsidRDefault="00C02DED" w14:paraId="7E2A1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2F0BD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ABD6CC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2DC09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E6E2B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hideMark/>
          </w:tcPr>
          <w:p w:rsidRPr="006B7451" w:rsidR="00C02DED" w:rsidP="00C02DED" w:rsidRDefault="00C02DED" w14:paraId="73770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778 757</w:t>
            </w:r>
          </w:p>
        </w:tc>
        <w:tc>
          <w:tcPr>
            <w:tcW w:w="1418" w:type="dxa"/>
            <w:shd w:val="clear" w:color="auto" w:fill="FFFFFF"/>
            <w:tcMar>
              <w:top w:w="68" w:type="dxa"/>
              <w:left w:w="28" w:type="dxa"/>
              <w:bottom w:w="0" w:type="dxa"/>
              <w:right w:w="28" w:type="dxa"/>
            </w:tcMar>
            <w:hideMark/>
          </w:tcPr>
          <w:p w:rsidRPr="006B7451" w:rsidR="00C02DED" w:rsidP="00C02DED" w:rsidRDefault="00C02DED" w14:paraId="384A7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13 000</w:t>
            </w:r>
          </w:p>
        </w:tc>
      </w:tr>
      <w:tr w:rsidRPr="006B7451" w:rsidR="00C02DED" w:rsidTr="00C02DED" w14:paraId="79D1354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003A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6FB8A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0B04D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511 173</w:t>
            </w:r>
          </w:p>
        </w:tc>
        <w:tc>
          <w:tcPr>
            <w:tcW w:w="1418" w:type="dxa"/>
            <w:shd w:val="clear" w:color="auto" w:fill="FFFFFF"/>
            <w:tcMar>
              <w:top w:w="68" w:type="dxa"/>
              <w:left w:w="28" w:type="dxa"/>
              <w:bottom w:w="0" w:type="dxa"/>
              <w:right w:w="28" w:type="dxa"/>
            </w:tcMar>
            <w:hideMark/>
          </w:tcPr>
          <w:p w:rsidRPr="006B7451" w:rsidR="00C02DED" w:rsidP="00C02DED" w:rsidRDefault="00C02DED" w14:paraId="531C2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612C1D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9F5A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F29F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hideMark/>
          </w:tcPr>
          <w:p w:rsidRPr="006B7451" w:rsidR="00C02DED" w:rsidP="00C02DED" w:rsidRDefault="00C02DED" w14:paraId="57365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hideMark/>
          </w:tcPr>
          <w:p w:rsidRPr="006B7451" w:rsidR="00C02DED" w:rsidP="00C02DED" w:rsidRDefault="00C02DED" w14:paraId="5BA2F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5A04CA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8A45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37EC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hideMark/>
          </w:tcPr>
          <w:p w:rsidRPr="006B7451" w:rsidR="00C02DED" w:rsidP="00C02DED" w:rsidRDefault="00C02DED" w14:paraId="32C72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hideMark/>
          </w:tcPr>
          <w:p w:rsidRPr="006B7451" w:rsidR="00C02DED" w:rsidP="00C02DED" w:rsidRDefault="00C02DED" w14:paraId="1CD154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8F9C00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1A8D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4AB9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hideMark/>
          </w:tcPr>
          <w:p w:rsidRPr="006B7451" w:rsidR="00C02DED" w:rsidP="00C02DED" w:rsidRDefault="00C02DED" w14:paraId="16D26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75 502</w:t>
            </w:r>
          </w:p>
        </w:tc>
        <w:tc>
          <w:tcPr>
            <w:tcW w:w="1418" w:type="dxa"/>
            <w:shd w:val="clear" w:color="auto" w:fill="FFFFFF"/>
            <w:tcMar>
              <w:top w:w="68" w:type="dxa"/>
              <w:left w:w="28" w:type="dxa"/>
              <w:bottom w:w="0" w:type="dxa"/>
              <w:right w:w="28" w:type="dxa"/>
            </w:tcMar>
            <w:hideMark/>
          </w:tcPr>
          <w:p w:rsidRPr="006B7451" w:rsidR="00C02DED" w:rsidP="00C02DED" w:rsidRDefault="00C02DED" w14:paraId="20B69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04795D" w14:paraId="592F2F5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049B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77BB3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6B7451" w:rsidR="00C02DED" w:rsidP="0004795D" w:rsidRDefault="00C02DED" w14:paraId="0F928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95 629</w:t>
            </w:r>
          </w:p>
        </w:tc>
        <w:tc>
          <w:tcPr>
            <w:tcW w:w="1418" w:type="dxa"/>
            <w:shd w:val="clear" w:color="auto" w:fill="FFFFFF"/>
            <w:tcMar>
              <w:top w:w="68" w:type="dxa"/>
              <w:left w:w="28" w:type="dxa"/>
              <w:bottom w:w="0" w:type="dxa"/>
              <w:right w:w="28" w:type="dxa"/>
            </w:tcMar>
            <w:vAlign w:val="bottom"/>
            <w:hideMark/>
          </w:tcPr>
          <w:p w:rsidRPr="006B7451" w:rsidR="00C02DED" w:rsidP="0004795D" w:rsidRDefault="00C02DED" w14:paraId="03F496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8DD294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23843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378A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hideMark/>
          </w:tcPr>
          <w:p w:rsidRPr="006B7451" w:rsidR="00C02DED" w:rsidP="00C02DED" w:rsidRDefault="00C02DED" w14:paraId="05B330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62 080</w:t>
            </w:r>
          </w:p>
        </w:tc>
        <w:tc>
          <w:tcPr>
            <w:tcW w:w="1418" w:type="dxa"/>
            <w:shd w:val="clear" w:color="auto" w:fill="FFFFFF"/>
            <w:tcMar>
              <w:top w:w="68" w:type="dxa"/>
              <w:left w:w="28" w:type="dxa"/>
              <w:bottom w:w="0" w:type="dxa"/>
              <w:right w:w="28" w:type="dxa"/>
            </w:tcMar>
            <w:hideMark/>
          </w:tcPr>
          <w:p w:rsidRPr="006B7451" w:rsidR="00C02DED" w:rsidP="00C02DED" w:rsidRDefault="00C02DED" w14:paraId="465152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91B7D0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785B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F5A4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453A3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hideMark/>
          </w:tcPr>
          <w:p w:rsidRPr="006B7451" w:rsidR="00C02DED" w:rsidP="00C02DED" w:rsidRDefault="00C02DED" w14:paraId="65654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ADB36D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E995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B433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6BE36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32 548</w:t>
            </w:r>
          </w:p>
        </w:tc>
        <w:tc>
          <w:tcPr>
            <w:tcW w:w="1418" w:type="dxa"/>
            <w:shd w:val="clear" w:color="auto" w:fill="FFFFFF"/>
            <w:tcMar>
              <w:top w:w="68" w:type="dxa"/>
              <w:left w:w="28" w:type="dxa"/>
              <w:bottom w:w="0" w:type="dxa"/>
              <w:right w:w="28" w:type="dxa"/>
            </w:tcMar>
            <w:hideMark/>
          </w:tcPr>
          <w:p w:rsidRPr="006B7451" w:rsidR="00C02DED" w:rsidP="00C02DED" w:rsidRDefault="00C02DED" w14:paraId="0D32A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392A9E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6D32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E06A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6B7451">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hideMark/>
          </w:tcPr>
          <w:p w:rsidRPr="006B7451" w:rsidR="00C02DED" w:rsidP="00C02DED" w:rsidRDefault="00C02DED" w14:paraId="018AC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785 514</w:t>
            </w:r>
          </w:p>
        </w:tc>
        <w:tc>
          <w:tcPr>
            <w:tcW w:w="1418" w:type="dxa"/>
            <w:shd w:val="clear" w:color="auto" w:fill="FFFFFF"/>
            <w:tcMar>
              <w:top w:w="68" w:type="dxa"/>
              <w:left w:w="28" w:type="dxa"/>
              <w:bottom w:w="0" w:type="dxa"/>
              <w:right w:w="28" w:type="dxa"/>
            </w:tcMar>
            <w:hideMark/>
          </w:tcPr>
          <w:p w:rsidRPr="006B7451" w:rsidR="00C02DED" w:rsidP="00C02DED" w:rsidRDefault="00C02DED" w14:paraId="43AF3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40 000</w:t>
            </w:r>
          </w:p>
        </w:tc>
      </w:tr>
      <w:tr w:rsidRPr="006B7451" w:rsidR="00C02DED" w:rsidTr="00C02DED" w14:paraId="3531412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C8D1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BA32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6B7451">
              <w:rPr>
                <w:rFonts w:ascii="Times New Roman" w:hAnsi="Times New Roman" w:eastAsia="Times New Roman" w:cs="Times New Roman"/>
                <w:color w:val="000000"/>
                <w:kern w:val="0"/>
                <w:sz w:val="20"/>
                <w:szCs w:val="20"/>
                <w:lang w:eastAsia="sv-SE"/>
                <w14:numSpacing w14:val="default"/>
              </w:rPr>
              <w:t>Bilstöd</w:t>
            </w:r>
            <w:proofErr w:type="spellEnd"/>
            <w:r w:rsidRPr="006B7451">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hideMark/>
          </w:tcPr>
          <w:p w:rsidRPr="006B7451" w:rsidR="00C02DED" w:rsidP="00C02DED" w:rsidRDefault="00C02DED" w14:paraId="6DF19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263 395</w:t>
            </w:r>
          </w:p>
        </w:tc>
        <w:tc>
          <w:tcPr>
            <w:tcW w:w="1418" w:type="dxa"/>
            <w:shd w:val="clear" w:color="auto" w:fill="FFFFFF"/>
            <w:tcMar>
              <w:top w:w="68" w:type="dxa"/>
              <w:left w:w="28" w:type="dxa"/>
              <w:bottom w:w="0" w:type="dxa"/>
              <w:right w:w="28" w:type="dxa"/>
            </w:tcMar>
            <w:hideMark/>
          </w:tcPr>
          <w:p w:rsidRPr="006B7451" w:rsidR="00C02DED" w:rsidP="00C02DED" w:rsidRDefault="00C02DED" w14:paraId="68D45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067589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D9D5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7B8E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hideMark/>
          </w:tcPr>
          <w:p w:rsidRPr="006B7451" w:rsidR="00C02DED" w:rsidP="00C02DED" w:rsidRDefault="00C02DED" w14:paraId="6BB16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25 043 066</w:t>
            </w:r>
          </w:p>
        </w:tc>
        <w:tc>
          <w:tcPr>
            <w:tcW w:w="1418" w:type="dxa"/>
            <w:shd w:val="clear" w:color="auto" w:fill="FFFFFF"/>
            <w:tcMar>
              <w:top w:w="68" w:type="dxa"/>
              <w:left w:w="28" w:type="dxa"/>
              <w:bottom w:w="0" w:type="dxa"/>
              <w:right w:w="28" w:type="dxa"/>
            </w:tcMar>
            <w:hideMark/>
          </w:tcPr>
          <w:p w:rsidRPr="006B7451" w:rsidR="00C02DED" w:rsidP="00C02DED" w:rsidRDefault="00C02DED" w14:paraId="10C99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990 000</w:t>
            </w:r>
          </w:p>
        </w:tc>
      </w:tr>
      <w:tr w:rsidRPr="006B7451" w:rsidR="00C02DED" w:rsidTr="00C02DED" w14:paraId="7DC9114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7BF0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5731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hideMark/>
          </w:tcPr>
          <w:p w:rsidRPr="006B7451" w:rsidR="00C02DED" w:rsidP="00C02DED" w:rsidRDefault="00C02DED" w14:paraId="1ADE8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8 660 490</w:t>
            </w:r>
          </w:p>
        </w:tc>
        <w:tc>
          <w:tcPr>
            <w:tcW w:w="1418" w:type="dxa"/>
            <w:shd w:val="clear" w:color="auto" w:fill="FFFFFF"/>
            <w:tcMar>
              <w:top w:w="68" w:type="dxa"/>
              <w:left w:w="28" w:type="dxa"/>
              <w:bottom w:w="0" w:type="dxa"/>
              <w:right w:w="28" w:type="dxa"/>
            </w:tcMar>
            <w:hideMark/>
          </w:tcPr>
          <w:p w:rsidRPr="006B7451" w:rsidR="00C02DED" w:rsidP="00C02DED" w:rsidRDefault="00C02DED" w14:paraId="66B9B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C02DED" w:rsidTr="00C02DED" w14:paraId="63D08AE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AA0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70B3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hideMark/>
          </w:tcPr>
          <w:p w:rsidRPr="006B7451" w:rsidR="00C02DED" w:rsidP="00C02DED" w:rsidRDefault="00C02DED" w14:paraId="558305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1 867 518</w:t>
            </w:r>
          </w:p>
        </w:tc>
        <w:tc>
          <w:tcPr>
            <w:tcW w:w="1418" w:type="dxa"/>
            <w:shd w:val="clear" w:color="auto" w:fill="FFFFFF"/>
            <w:tcMar>
              <w:top w:w="68" w:type="dxa"/>
              <w:left w:w="28" w:type="dxa"/>
              <w:bottom w:w="0" w:type="dxa"/>
              <w:right w:w="28" w:type="dxa"/>
            </w:tcMar>
            <w:hideMark/>
          </w:tcPr>
          <w:p w:rsidRPr="006B7451" w:rsidR="00C02DED" w:rsidP="00C02DED" w:rsidRDefault="00C02DED" w14:paraId="1E815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−184 000</w:t>
            </w:r>
          </w:p>
        </w:tc>
      </w:tr>
      <w:tr w:rsidRPr="006B7451" w:rsidR="00C02DED" w:rsidTr="00C02DED" w14:paraId="43C99DD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26D3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2B5E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hideMark/>
          </w:tcPr>
          <w:p w:rsidRPr="006B7451" w:rsidR="00C02DED" w:rsidP="00C02DED" w:rsidRDefault="00C02DED" w14:paraId="5738B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669 151</w:t>
            </w:r>
          </w:p>
        </w:tc>
        <w:tc>
          <w:tcPr>
            <w:tcW w:w="1418" w:type="dxa"/>
            <w:shd w:val="clear" w:color="auto" w:fill="FFFFFF"/>
            <w:tcMar>
              <w:top w:w="68" w:type="dxa"/>
              <w:left w:w="28" w:type="dxa"/>
              <w:bottom w:w="0" w:type="dxa"/>
              <w:right w:w="28" w:type="dxa"/>
            </w:tcMar>
            <w:hideMark/>
          </w:tcPr>
          <w:p w:rsidRPr="006B7451" w:rsidR="00C02DED" w:rsidP="00C02DED" w:rsidRDefault="00C02DED" w14:paraId="35ACD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175 000</w:t>
            </w:r>
          </w:p>
        </w:tc>
      </w:tr>
      <w:tr w:rsidRPr="006B7451" w:rsidR="00C02DED" w:rsidTr="00C02DED" w14:paraId="4468163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8B92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11D5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hideMark/>
          </w:tcPr>
          <w:p w:rsidRPr="006B7451" w:rsidR="00C02DED" w:rsidP="00C02DED" w:rsidRDefault="00C02DED" w14:paraId="3EB19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38 094</w:t>
            </w:r>
          </w:p>
        </w:tc>
        <w:tc>
          <w:tcPr>
            <w:tcW w:w="1418" w:type="dxa"/>
            <w:shd w:val="clear" w:color="auto" w:fill="FFFFFF"/>
            <w:tcMar>
              <w:top w:w="68" w:type="dxa"/>
              <w:left w:w="28" w:type="dxa"/>
              <w:bottom w:w="0" w:type="dxa"/>
              <w:right w:w="28" w:type="dxa"/>
            </w:tcMar>
            <w:hideMark/>
          </w:tcPr>
          <w:p w:rsidRPr="006B7451" w:rsidR="00C02DED" w:rsidP="00C02DED" w:rsidRDefault="00C02DED" w14:paraId="3D10B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2165B7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828B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C701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hideMark/>
          </w:tcPr>
          <w:p w:rsidRPr="006B7451" w:rsidR="00C02DED" w:rsidP="00C02DED" w:rsidRDefault="00C02DED" w14:paraId="72E86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26 939</w:t>
            </w:r>
          </w:p>
        </w:tc>
        <w:tc>
          <w:tcPr>
            <w:tcW w:w="1418" w:type="dxa"/>
            <w:shd w:val="clear" w:color="auto" w:fill="FFFFFF"/>
            <w:tcMar>
              <w:top w:w="68" w:type="dxa"/>
              <w:left w:w="28" w:type="dxa"/>
              <w:bottom w:w="0" w:type="dxa"/>
              <w:right w:w="28" w:type="dxa"/>
            </w:tcMar>
            <w:hideMark/>
          </w:tcPr>
          <w:p w:rsidRPr="006B7451" w:rsidR="00C02DED" w:rsidP="00C02DED" w:rsidRDefault="00C02DED" w14:paraId="57D06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C3C8DA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EC0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291B8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hideMark/>
          </w:tcPr>
          <w:p w:rsidRPr="006B7451" w:rsidR="00C02DED" w:rsidP="00C02DED" w:rsidRDefault="00C02DED" w14:paraId="4B62F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42 261</w:t>
            </w:r>
          </w:p>
        </w:tc>
        <w:tc>
          <w:tcPr>
            <w:tcW w:w="1418" w:type="dxa"/>
            <w:shd w:val="clear" w:color="auto" w:fill="FFFFFF"/>
            <w:tcMar>
              <w:top w:w="68" w:type="dxa"/>
              <w:left w:w="28" w:type="dxa"/>
              <w:bottom w:w="0" w:type="dxa"/>
              <w:right w:w="28" w:type="dxa"/>
            </w:tcMar>
            <w:hideMark/>
          </w:tcPr>
          <w:p w:rsidRPr="006B7451" w:rsidR="00C02DED" w:rsidP="00C02DED" w:rsidRDefault="00C02DED" w14:paraId="2FC679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04795D" w14:paraId="320449B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A127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11DF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6B7451" w:rsidR="00C02DED" w:rsidP="0004795D" w:rsidRDefault="00C02DED" w14:paraId="56A51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41 002</w:t>
            </w:r>
          </w:p>
        </w:tc>
        <w:tc>
          <w:tcPr>
            <w:tcW w:w="1418" w:type="dxa"/>
            <w:shd w:val="clear" w:color="auto" w:fill="FFFFFF"/>
            <w:tcMar>
              <w:top w:w="68" w:type="dxa"/>
              <w:left w:w="28" w:type="dxa"/>
              <w:bottom w:w="0" w:type="dxa"/>
              <w:right w:w="28" w:type="dxa"/>
            </w:tcMar>
            <w:vAlign w:val="bottom"/>
            <w:hideMark/>
          </w:tcPr>
          <w:p w:rsidRPr="006B7451" w:rsidR="00C02DED" w:rsidP="0004795D" w:rsidRDefault="00C02DED" w14:paraId="1646B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04795D" w14:paraId="7B93DAF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98CF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F5A1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6B7451" w:rsidR="00C02DED" w:rsidP="0004795D" w:rsidRDefault="00C02DED" w14:paraId="1DFDC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786 503</w:t>
            </w:r>
          </w:p>
        </w:tc>
        <w:tc>
          <w:tcPr>
            <w:tcW w:w="1418" w:type="dxa"/>
            <w:shd w:val="clear" w:color="auto" w:fill="FFFFFF"/>
            <w:tcMar>
              <w:top w:w="68" w:type="dxa"/>
              <w:left w:w="28" w:type="dxa"/>
              <w:bottom w:w="0" w:type="dxa"/>
              <w:right w:w="28" w:type="dxa"/>
            </w:tcMar>
            <w:vAlign w:val="bottom"/>
            <w:hideMark/>
          </w:tcPr>
          <w:p w:rsidRPr="006B7451" w:rsidR="00C02DED" w:rsidP="0004795D" w:rsidRDefault="00C02DED" w14:paraId="2BF1F0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64042E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2437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07ED5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Nationell återhämtningsstrategi för vårdpersonal</w:t>
            </w:r>
          </w:p>
        </w:tc>
        <w:tc>
          <w:tcPr>
            <w:tcW w:w="1418" w:type="dxa"/>
            <w:shd w:val="clear" w:color="auto" w:fill="FFFFFF"/>
            <w:tcMar>
              <w:top w:w="68" w:type="dxa"/>
              <w:left w:w="28" w:type="dxa"/>
              <w:bottom w:w="0" w:type="dxa"/>
              <w:right w:w="28" w:type="dxa"/>
            </w:tcMar>
            <w:hideMark/>
          </w:tcPr>
          <w:p w:rsidRPr="006B7451" w:rsidR="00C02DED" w:rsidP="00C02DED" w:rsidRDefault="00C02DED" w14:paraId="3CD44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6431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6E42F4A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A547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1986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Kvinnors hälsa</w:t>
            </w:r>
          </w:p>
        </w:tc>
        <w:tc>
          <w:tcPr>
            <w:tcW w:w="1418" w:type="dxa"/>
            <w:shd w:val="clear" w:color="auto" w:fill="FFFFFF"/>
            <w:tcMar>
              <w:top w:w="68" w:type="dxa"/>
              <w:left w:w="28" w:type="dxa"/>
              <w:bottom w:w="0" w:type="dxa"/>
              <w:right w:w="28" w:type="dxa"/>
            </w:tcMar>
            <w:hideMark/>
          </w:tcPr>
          <w:p w:rsidRPr="006B7451" w:rsidR="00C02DED" w:rsidP="00C02DED" w:rsidRDefault="00C02DED" w14:paraId="1C3D16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6E87E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C02DED" w:rsidTr="00C02DED" w14:paraId="6CAC13D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9B048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ADCA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Nationellt program mot livmoderhalscancer</w:t>
            </w:r>
          </w:p>
        </w:tc>
        <w:tc>
          <w:tcPr>
            <w:tcW w:w="1418" w:type="dxa"/>
            <w:shd w:val="clear" w:color="auto" w:fill="FFFFFF"/>
            <w:tcMar>
              <w:top w:w="68" w:type="dxa"/>
              <w:left w:w="28" w:type="dxa"/>
              <w:bottom w:w="0" w:type="dxa"/>
              <w:right w:w="28" w:type="dxa"/>
            </w:tcMar>
            <w:hideMark/>
          </w:tcPr>
          <w:p w:rsidRPr="006B7451" w:rsidR="00C02DED" w:rsidP="00C02DED" w:rsidRDefault="00C02DED" w14:paraId="1E368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D1729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150 000</w:t>
            </w:r>
          </w:p>
        </w:tc>
      </w:tr>
      <w:tr w:rsidRPr="006B7451" w:rsidR="00C02DED" w:rsidTr="00C02DED" w14:paraId="6C15C2B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081D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0D16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112 483 613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6B6A6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2 959 000</w:t>
            </w:r>
          </w:p>
        </w:tc>
      </w:tr>
    </w:tbl>
    <w:p w:rsidRPr="006B7451" w:rsidR="00C02DED" w:rsidP="00C02DED" w:rsidRDefault="00C02DED" w14:paraId="19DC71E7" w14:textId="77777777">
      <w:pPr>
        <w:ind w:firstLine="0"/>
      </w:pPr>
    </w:p>
    <w:p w:rsidR="00621A22" w:rsidRDefault="00621A22" w14:paraId="390A6909" w14:textId="4738F99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B084A" w:rsidR="00D27185" w:rsidP="00621A22" w:rsidRDefault="008A7FDF" w14:paraId="5F6C47FF" w14:textId="3D687F08">
      <w:pPr>
        <w:pStyle w:val="Rubrik2numrerat"/>
        <w:ind w:left="811" w:hanging="811"/>
      </w:pPr>
      <w:bookmarkStart w:name="_Toc121752691" w:id="187"/>
      <w:r w:rsidRPr="008B084A">
        <w:lastRenderedPageBreak/>
        <w:t>Utgiftsområde 10 Ekonomisk trygghet vid sjukdom och funktionsnedsättning</w:t>
      </w:r>
      <w:bookmarkEnd w:id="187"/>
    </w:p>
    <w:p w:rsidRPr="008B084A" w:rsidR="00C02DED" w:rsidP="00621A22" w:rsidRDefault="00C02DED" w14:paraId="5812F7A6" w14:textId="77777777">
      <w:pPr>
        <w:pStyle w:val="Tabellrubrik"/>
        <w:keepNext/>
      </w:pPr>
      <w:r w:rsidRPr="008B084A">
        <w:t>Anslagsförslag 2022 för utgiftsområde 10 Ekonomisk trygghet vid sjukdom och funktionsnedsättning</w:t>
      </w:r>
    </w:p>
    <w:p w:rsidRPr="008B084A" w:rsidR="00C02DED" w:rsidP="008B084A" w:rsidRDefault="00C02DED" w14:paraId="021D788E" w14:textId="77777777">
      <w:pPr>
        <w:pStyle w:val="Tabellunderrubrik"/>
      </w:pPr>
      <w:r w:rsidRPr="008B084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204C499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3FA6A1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683E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3D1D1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7156DB5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9B0A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9BBD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6B7451" w:rsidR="00C02DED" w:rsidP="00C02DED" w:rsidRDefault="00C02DED" w14:paraId="3664D8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41 005 070</w:t>
            </w:r>
          </w:p>
        </w:tc>
        <w:tc>
          <w:tcPr>
            <w:tcW w:w="1418" w:type="dxa"/>
            <w:shd w:val="clear" w:color="auto" w:fill="FFFFFF"/>
            <w:tcMar>
              <w:top w:w="68" w:type="dxa"/>
              <w:left w:w="28" w:type="dxa"/>
              <w:bottom w:w="0" w:type="dxa"/>
              <w:right w:w="28" w:type="dxa"/>
            </w:tcMar>
            <w:hideMark/>
          </w:tcPr>
          <w:p w:rsidRPr="006B7451" w:rsidR="00C02DED" w:rsidP="00C02DED" w:rsidRDefault="00C02DED" w14:paraId="55D1E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C02DED" w:rsidTr="00C02DED" w14:paraId="25A95F3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C298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1066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6B7451" w:rsidR="00C02DED" w:rsidP="00C02DED" w:rsidRDefault="00C02DED" w14:paraId="7D333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41 706 400</w:t>
            </w:r>
          </w:p>
        </w:tc>
        <w:tc>
          <w:tcPr>
            <w:tcW w:w="1418" w:type="dxa"/>
            <w:shd w:val="clear" w:color="auto" w:fill="FFFFFF"/>
            <w:tcMar>
              <w:top w:w="68" w:type="dxa"/>
              <w:left w:w="28" w:type="dxa"/>
              <w:bottom w:w="0" w:type="dxa"/>
              <w:right w:w="28" w:type="dxa"/>
            </w:tcMar>
            <w:hideMark/>
          </w:tcPr>
          <w:p w:rsidRPr="006B7451" w:rsidR="00C02DED" w:rsidP="00C02DED" w:rsidRDefault="00C02DED" w14:paraId="30F79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242E73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DB5D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3213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6B7451" w:rsidR="00C02DED" w:rsidP="00C02DED" w:rsidRDefault="00C02DED" w14:paraId="5C773A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1 351 000</w:t>
            </w:r>
          </w:p>
        </w:tc>
        <w:tc>
          <w:tcPr>
            <w:tcW w:w="1418" w:type="dxa"/>
            <w:shd w:val="clear" w:color="auto" w:fill="FFFFFF"/>
            <w:tcMar>
              <w:top w:w="68" w:type="dxa"/>
              <w:left w:w="28" w:type="dxa"/>
              <w:bottom w:w="0" w:type="dxa"/>
              <w:right w:w="28" w:type="dxa"/>
            </w:tcMar>
            <w:hideMark/>
          </w:tcPr>
          <w:p w:rsidRPr="006B7451" w:rsidR="00C02DED" w:rsidP="00C02DED" w:rsidRDefault="00C02DED" w14:paraId="65037F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C02DED" w:rsidTr="00C02DED" w14:paraId="1E3DE1F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BAC6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0308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6B7451" w:rsidR="00C02DED" w:rsidP="00C02DED" w:rsidRDefault="00C02DED" w14:paraId="71D2B7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2 252 000</w:t>
            </w:r>
          </w:p>
        </w:tc>
        <w:tc>
          <w:tcPr>
            <w:tcW w:w="1418" w:type="dxa"/>
            <w:shd w:val="clear" w:color="auto" w:fill="FFFFFF"/>
            <w:tcMar>
              <w:top w:w="68" w:type="dxa"/>
              <w:left w:w="28" w:type="dxa"/>
              <w:bottom w:w="0" w:type="dxa"/>
              <w:right w:w="28" w:type="dxa"/>
            </w:tcMar>
            <w:hideMark/>
          </w:tcPr>
          <w:p w:rsidRPr="006B7451" w:rsidR="00C02DED" w:rsidP="00C02DED" w:rsidRDefault="00C02DED" w14:paraId="3BC8B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405E18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711C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FF133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6B7451" w:rsidR="00C02DED" w:rsidP="00C02DED" w:rsidRDefault="00C02DED" w14:paraId="3341D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36 649</w:t>
            </w:r>
          </w:p>
        </w:tc>
        <w:tc>
          <w:tcPr>
            <w:tcW w:w="1418" w:type="dxa"/>
            <w:shd w:val="clear" w:color="auto" w:fill="FFFFFF"/>
            <w:tcMar>
              <w:top w:w="68" w:type="dxa"/>
              <w:left w:w="28" w:type="dxa"/>
              <w:bottom w:w="0" w:type="dxa"/>
              <w:right w:w="28" w:type="dxa"/>
            </w:tcMar>
            <w:hideMark/>
          </w:tcPr>
          <w:p w:rsidRPr="006B7451" w:rsidR="00C02DED" w:rsidP="00C02DED" w:rsidRDefault="00C02DED" w14:paraId="011EC2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17D916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0A9D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F725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6B7451" w:rsidR="00C02DED" w:rsidP="00C02DED" w:rsidRDefault="00C02DED" w14:paraId="706A8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1 491 700</w:t>
            </w:r>
          </w:p>
        </w:tc>
        <w:tc>
          <w:tcPr>
            <w:tcW w:w="1418" w:type="dxa"/>
            <w:shd w:val="clear" w:color="auto" w:fill="FFFFFF"/>
            <w:tcMar>
              <w:top w:w="68" w:type="dxa"/>
              <w:left w:w="28" w:type="dxa"/>
              <w:bottom w:w="0" w:type="dxa"/>
              <w:right w:w="28" w:type="dxa"/>
            </w:tcMar>
            <w:hideMark/>
          </w:tcPr>
          <w:p w:rsidRPr="006B7451" w:rsidR="00C02DED" w:rsidP="00C02DED" w:rsidRDefault="00C02DED" w14:paraId="41172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28EC700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93F2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6D0D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6B7451" w:rsidR="00C02DED" w:rsidP="00C02DED" w:rsidRDefault="00C02DED" w14:paraId="5520C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282 000</w:t>
            </w:r>
          </w:p>
        </w:tc>
        <w:tc>
          <w:tcPr>
            <w:tcW w:w="1418" w:type="dxa"/>
            <w:shd w:val="clear" w:color="auto" w:fill="FFFFFF"/>
            <w:tcMar>
              <w:top w:w="68" w:type="dxa"/>
              <w:left w:w="28" w:type="dxa"/>
              <w:bottom w:w="0" w:type="dxa"/>
              <w:right w:w="28" w:type="dxa"/>
            </w:tcMar>
            <w:hideMark/>
          </w:tcPr>
          <w:p w:rsidRPr="006B7451" w:rsidR="00C02DED" w:rsidP="00C02DED" w:rsidRDefault="00C02DED" w14:paraId="6490FA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F9EDD5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1934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A7BC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6B7451" w:rsidR="00C02DED" w:rsidP="00C02DED" w:rsidRDefault="00C02DED" w14:paraId="59FE6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9 524 366</w:t>
            </w:r>
          </w:p>
        </w:tc>
        <w:tc>
          <w:tcPr>
            <w:tcW w:w="1418" w:type="dxa"/>
            <w:shd w:val="clear" w:color="auto" w:fill="FFFFFF"/>
            <w:tcMar>
              <w:top w:w="68" w:type="dxa"/>
              <w:left w:w="28" w:type="dxa"/>
              <w:bottom w:w="0" w:type="dxa"/>
              <w:right w:w="28" w:type="dxa"/>
            </w:tcMar>
            <w:hideMark/>
          </w:tcPr>
          <w:p w:rsidRPr="006B7451" w:rsidR="00C02DED" w:rsidP="00C02DED" w:rsidRDefault="00C02DED" w14:paraId="0F5A2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−193 000</w:t>
            </w:r>
          </w:p>
        </w:tc>
      </w:tr>
      <w:tr w:rsidRPr="006B7451" w:rsidR="00C02DED" w:rsidTr="00C02DED" w14:paraId="6B7083B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C9E4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020C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6B7451" w:rsidR="00C02DED" w:rsidP="00C02DED" w:rsidRDefault="00C02DED" w14:paraId="44D681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72 272</w:t>
            </w:r>
          </w:p>
        </w:tc>
        <w:tc>
          <w:tcPr>
            <w:tcW w:w="1418" w:type="dxa"/>
            <w:shd w:val="clear" w:color="auto" w:fill="FFFFFF"/>
            <w:tcMar>
              <w:top w:w="68" w:type="dxa"/>
              <w:left w:w="28" w:type="dxa"/>
              <w:bottom w:w="0" w:type="dxa"/>
              <w:right w:w="28" w:type="dxa"/>
            </w:tcMar>
            <w:hideMark/>
          </w:tcPr>
          <w:p w:rsidRPr="006B7451" w:rsidR="00C02DED" w:rsidP="00C02DED" w:rsidRDefault="00C02DED" w14:paraId="74333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F7BBFC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679A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3DD4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Sjuklön för småföretag</w:t>
            </w:r>
          </w:p>
        </w:tc>
        <w:tc>
          <w:tcPr>
            <w:tcW w:w="1418" w:type="dxa"/>
            <w:shd w:val="clear" w:color="auto" w:fill="FFFFFF"/>
            <w:tcMar>
              <w:top w:w="68" w:type="dxa"/>
              <w:left w:w="28" w:type="dxa"/>
              <w:bottom w:w="0" w:type="dxa"/>
              <w:right w:w="28" w:type="dxa"/>
            </w:tcMar>
            <w:hideMark/>
          </w:tcPr>
          <w:p w:rsidRPr="006B7451" w:rsidR="00C02DED" w:rsidP="00C02DED" w:rsidRDefault="00C02DED" w14:paraId="2A8FA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63BB3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3 000 000</w:t>
            </w:r>
          </w:p>
        </w:tc>
      </w:tr>
      <w:tr w:rsidRPr="006B7451" w:rsidR="00C02DED" w:rsidTr="00C02DED" w14:paraId="61758F9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69798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5911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97 721 457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5A008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2 907 000</w:t>
            </w:r>
          </w:p>
        </w:tc>
      </w:tr>
    </w:tbl>
    <w:p w:rsidRPr="006B7451" w:rsidR="008A7FDF" w:rsidP="00ED5D60" w:rsidRDefault="008A7FDF" w14:paraId="4A18D54A" w14:textId="77777777">
      <w:pPr>
        <w:pStyle w:val="Rubrik2numrerat"/>
      </w:pPr>
      <w:bookmarkStart w:name="_Toc121752692" w:id="188"/>
      <w:r w:rsidRPr="006B7451">
        <w:t>Utgiftsområde 11 Ekonomisk trygghet vid ålderdom</w:t>
      </w:r>
      <w:bookmarkEnd w:id="188"/>
    </w:p>
    <w:p w:rsidRPr="00AD0EEF" w:rsidR="00C02DED" w:rsidP="00AD0EEF" w:rsidRDefault="00C02DED" w14:paraId="35BB60B5" w14:textId="77777777">
      <w:pPr>
        <w:pStyle w:val="Tabellrubrik"/>
      </w:pPr>
      <w:r w:rsidRPr="00AD0EEF">
        <w:t>Anslagsförslag 2022 för utgiftsområde 11 Ekonomisk trygghet vid ålderdom</w:t>
      </w:r>
    </w:p>
    <w:p w:rsidRPr="00AD0EEF" w:rsidR="00C02DED" w:rsidP="00AD0EEF" w:rsidRDefault="00C02DED" w14:paraId="0E470644" w14:textId="77777777">
      <w:pPr>
        <w:pStyle w:val="Tabellunderrubrik"/>
      </w:pPr>
      <w:r w:rsidRPr="00AD0EE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2A23C27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55C804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56E9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EB32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6C017E3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8E8C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55E7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6B7451" w:rsidR="00C02DED" w:rsidP="00C02DED" w:rsidRDefault="00C02DED" w14:paraId="23E6E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13 416 400</w:t>
            </w:r>
          </w:p>
        </w:tc>
        <w:tc>
          <w:tcPr>
            <w:tcW w:w="1418" w:type="dxa"/>
            <w:shd w:val="clear" w:color="auto" w:fill="FFFFFF"/>
            <w:tcMar>
              <w:top w:w="68" w:type="dxa"/>
              <w:left w:w="28" w:type="dxa"/>
              <w:bottom w:w="0" w:type="dxa"/>
              <w:right w:w="28" w:type="dxa"/>
            </w:tcMar>
            <w:hideMark/>
          </w:tcPr>
          <w:p w:rsidRPr="006B7451" w:rsidR="00C02DED" w:rsidP="00C02DED" w:rsidRDefault="00C02DED" w14:paraId="6BB07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1 250 000</w:t>
            </w:r>
          </w:p>
        </w:tc>
      </w:tr>
      <w:tr w:rsidRPr="006B7451" w:rsidR="00C02DED" w:rsidTr="00C02DED" w14:paraId="62E8F89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0551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BA5F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6B7451" w:rsidR="00C02DED" w:rsidP="00C02DED" w:rsidRDefault="00C02DED" w14:paraId="18758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8 834 900</w:t>
            </w:r>
          </w:p>
        </w:tc>
        <w:tc>
          <w:tcPr>
            <w:tcW w:w="1418" w:type="dxa"/>
            <w:shd w:val="clear" w:color="auto" w:fill="FFFFFF"/>
            <w:tcMar>
              <w:top w:w="68" w:type="dxa"/>
              <w:left w:w="28" w:type="dxa"/>
              <w:bottom w:w="0" w:type="dxa"/>
              <w:right w:w="28" w:type="dxa"/>
            </w:tcMar>
            <w:hideMark/>
          </w:tcPr>
          <w:p w:rsidRPr="006B7451" w:rsidR="00C02DED" w:rsidP="00C02DED" w:rsidRDefault="00C02DED" w14:paraId="70AE1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02DF88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E961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F821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6B7451" w:rsidR="00C02DED" w:rsidP="00C02DED" w:rsidRDefault="00C02DED" w14:paraId="3DC5A6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11 461 400</w:t>
            </w:r>
          </w:p>
        </w:tc>
        <w:tc>
          <w:tcPr>
            <w:tcW w:w="1418" w:type="dxa"/>
            <w:shd w:val="clear" w:color="auto" w:fill="FFFFFF"/>
            <w:tcMar>
              <w:top w:w="68" w:type="dxa"/>
              <w:left w:w="28" w:type="dxa"/>
              <w:bottom w:w="0" w:type="dxa"/>
              <w:right w:w="28" w:type="dxa"/>
            </w:tcMar>
            <w:hideMark/>
          </w:tcPr>
          <w:p w:rsidRPr="006B7451" w:rsidR="00C02DED" w:rsidP="00C02DED" w:rsidRDefault="00C02DED" w14:paraId="6291D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−425 000</w:t>
            </w:r>
          </w:p>
        </w:tc>
      </w:tr>
      <w:tr w:rsidRPr="006B7451" w:rsidR="00C02DED" w:rsidTr="00C02DED" w14:paraId="2C41930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EA37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0456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310EF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1 252 200</w:t>
            </w:r>
          </w:p>
        </w:tc>
        <w:tc>
          <w:tcPr>
            <w:tcW w:w="1418" w:type="dxa"/>
            <w:shd w:val="clear" w:color="auto" w:fill="FFFFFF"/>
            <w:tcMar>
              <w:top w:w="68" w:type="dxa"/>
              <w:left w:w="28" w:type="dxa"/>
              <w:bottom w:w="0" w:type="dxa"/>
              <w:right w:w="28" w:type="dxa"/>
            </w:tcMar>
            <w:hideMark/>
          </w:tcPr>
          <w:p w:rsidRPr="006B7451" w:rsidR="00C02DED" w:rsidP="00C02DED" w:rsidRDefault="00C02DED" w14:paraId="25B503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−25 000</w:t>
            </w:r>
          </w:p>
        </w:tc>
      </w:tr>
      <w:tr w:rsidRPr="006B7451" w:rsidR="00C02DED" w:rsidTr="00C02DED" w14:paraId="184EA47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AB38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386E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6B7451" w:rsidR="00C02DED" w:rsidP="00C02DED" w:rsidRDefault="00C02DED" w14:paraId="69312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6 121 000</w:t>
            </w:r>
          </w:p>
        </w:tc>
        <w:tc>
          <w:tcPr>
            <w:tcW w:w="1418" w:type="dxa"/>
            <w:shd w:val="clear" w:color="auto" w:fill="FFFFFF"/>
            <w:tcMar>
              <w:top w:w="68" w:type="dxa"/>
              <w:left w:w="28" w:type="dxa"/>
              <w:bottom w:w="0" w:type="dxa"/>
              <w:right w:w="28" w:type="dxa"/>
            </w:tcMar>
            <w:hideMark/>
          </w:tcPr>
          <w:p w:rsidRPr="006B7451" w:rsidR="00C02DED" w:rsidP="00C02DED" w:rsidRDefault="00C02DED" w14:paraId="1EDCD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DC9E25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C094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BA7B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5B7A0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700 228</w:t>
            </w:r>
          </w:p>
        </w:tc>
        <w:tc>
          <w:tcPr>
            <w:tcW w:w="1418" w:type="dxa"/>
            <w:shd w:val="clear" w:color="auto" w:fill="FFFFFF"/>
            <w:tcMar>
              <w:top w:w="68" w:type="dxa"/>
              <w:left w:w="28" w:type="dxa"/>
              <w:bottom w:w="0" w:type="dxa"/>
              <w:right w:w="28" w:type="dxa"/>
            </w:tcMar>
            <w:hideMark/>
          </w:tcPr>
          <w:p w:rsidRPr="006B7451" w:rsidR="00C02DED" w:rsidP="00C02DED" w:rsidRDefault="00C02DED" w14:paraId="7428D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7045B5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4FC1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6B65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41 786 128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C132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800 000</w:t>
            </w:r>
          </w:p>
        </w:tc>
      </w:tr>
    </w:tbl>
    <w:p w:rsidRPr="006B7451" w:rsidR="008A7FDF" w:rsidP="00C02DED" w:rsidRDefault="008A7FDF" w14:paraId="1D31A5C0" w14:textId="77777777">
      <w:pPr>
        <w:ind w:firstLine="0"/>
      </w:pPr>
    </w:p>
    <w:p w:rsidR="00621A22" w:rsidRDefault="00621A22" w14:paraId="14B07B9D" w14:textId="48D30B4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8A7FDF" w:rsidP="00ED5D60" w:rsidRDefault="008A7FDF" w14:paraId="5182E6BD" w14:textId="38C51363">
      <w:pPr>
        <w:pStyle w:val="Rubrik2numrerat"/>
      </w:pPr>
      <w:bookmarkStart w:name="_Toc121752693" w:id="189"/>
      <w:r w:rsidRPr="006B7451">
        <w:lastRenderedPageBreak/>
        <w:t>Utgiftsområde 12 Ekonomisk trygghet för familjer och barn</w:t>
      </w:r>
      <w:bookmarkEnd w:id="189"/>
    </w:p>
    <w:p w:rsidRPr="00AD0EEF" w:rsidR="00C02DED" w:rsidP="00621A22" w:rsidRDefault="00C02DED" w14:paraId="25DABD0C" w14:textId="77777777">
      <w:pPr>
        <w:pStyle w:val="Tabellrubrik"/>
        <w:keepNext/>
      </w:pPr>
      <w:r w:rsidRPr="00AD0EEF">
        <w:t>Anslagsförslag 2022 för utgiftsområde 12 Ekonomisk trygghet för familjer och barn</w:t>
      </w:r>
    </w:p>
    <w:p w:rsidRPr="00AD0EEF" w:rsidR="00C02DED" w:rsidP="00AD0EEF" w:rsidRDefault="00C02DED" w14:paraId="551B8BA8" w14:textId="77777777">
      <w:pPr>
        <w:pStyle w:val="Tabellunderrubrik"/>
      </w:pPr>
      <w:r w:rsidRPr="00AD0EE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52F8C3F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1CC986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A4CA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6A658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0AB494A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C83F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CC9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6B7451" w:rsidR="00C02DED" w:rsidP="00C02DED" w:rsidRDefault="00C02DED" w14:paraId="2F588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33 426 477</w:t>
            </w:r>
          </w:p>
        </w:tc>
        <w:tc>
          <w:tcPr>
            <w:tcW w:w="1418" w:type="dxa"/>
            <w:shd w:val="clear" w:color="auto" w:fill="FFFFFF"/>
            <w:tcMar>
              <w:top w:w="68" w:type="dxa"/>
              <w:left w:w="28" w:type="dxa"/>
              <w:bottom w:w="0" w:type="dxa"/>
              <w:right w:w="28" w:type="dxa"/>
            </w:tcMar>
            <w:hideMark/>
          </w:tcPr>
          <w:p w:rsidRPr="006B7451" w:rsidR="00C02DED" w:rsidP="00C02DED" w:rsidRDefault="00C02DED" w14:paraId="73331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A701C4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CB715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6CDD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6B7451" w:rsidR="00C02DED" w:rsidP="00C02DED" w:rsidRDefault="00C02DED" w14:paraId="41C32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48 225 247</w:t>
            </w:r>
          </w:p>
        </w:tc>
        <w:tc>
          <w:tcPr>
            <w:tcW w:w="1418" w:type="dxa"/>
            <w:shd w:val="clear" w:color="auto" w:fill="FFFFFF"/>
            <w:tcMar>
              <w:top w:w="68" w:type="dxa"/>
              <w:left w:w="28" w:type="dxa"/>
              <w:bottom w:w="0" w:type="dxa"/>
              <w:right w:w="28" w:type="dxa"/>
            </w:tcMar>
            <w:hideMark/>
          </w:tcPr>
          <w:p w:rsidRPr="006B7451" w:rsidR="00C02DED" w:rsidP="00C02DED" w:rsidRDefault="00C02DED" w14:paraId="75DA8012" w14:textId="15F24C2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w:t>
            </w:r>
            <w:r w:rsidR="00CB2DB0">
              <w:rPr>
                <w:rFonts w:ascii="Times New Roman" w:hAnsi="Times New Roman" w:eastAsia="Times New Roman" w:cs="Times New Roman"/>
                <w:color w:val="000000"/>
                <w:kern w:val="0"/>
                <w:sz w:val="20"/>
                <w:szCs w:val="20"/>
                <w:lang w:eastAsia="sv-SE"/>
                <w14:numSpacing w14:val="default"/>
              </w:rPr>
              <w:t>19</w:t>
            </w:r>
            <w:r w:rsidRPr="006B7451">
              <w:rPr>
                <w:rFonts w:ascii="Times New Roman" w:hAnsi="Times New Roman" w:eastAsia="Times New Roman" w:cs="Times New Roman"/>
                <w:color w:val="000000"/>
                <w:kern w:val="0"/>
                <w:sz w:val="20"/>
                <w:szCs w:val="20"/>
                <w:lang w:eastAsia="sv-SE"/>
                <w14:numSpacing w14:val="default"/>
              </w:rPr>
              <w:t> 000</w:t>
            </w:r>
          </w:p>
        </w:tc>
      </w:tr>
      <w:tr w:rsidRPr="006B7451" w:rsidR="00C02DED" w:rsidTr="00C02DED" w14:paraId="666CE65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9F91B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4A37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0D7516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2 838 365</w:t>
            </w:r>
          </w:p>
        </w:tc>
        <w:tc>
          <w:tcPr>
            <w:tcW w:w="1418" w:type="dxa"/>
            <w:shd w:val="clear" w:color="auto" w:fill="FFFFFF"/>
            <w:tcMar>
              <w:top w:w="68" w:type="dxa"/>
              <w:left w:w="28" w:type="dxa"/>
              <w:bottom w:w="0" w:type="dxa"/>
              <w:right w:w="28" w:type="dxa"/>
            </w:tcMar>
            <w:hideMark/>
          </w:tcPr>
          <w:p w:rsidRPr="006B7451" w:rsidR="00C02DED" w:rsidP="00C02DED" w:rsidRDefault="00C02DED" w14:paraId="5FE81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9985D4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ACD7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6831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6B7451" w:rsidR="00C02DED" w:rsidP="00C02DED" w:rsidRDefault="00C02DED" w14:paraId="5DAB5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6B7451" w:rsidR="00C02DED" w:rsidP="00C02DED" w:rsidRDefault="00C02DED" w14:paraId="127E1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E6449C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53FC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9D5D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6B7451" w:rsidR="00C02DED" w:rsidP="00C02DED" w:rsidRDefault="00C02DED" w14:paraId="4B233F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1 029 900</w:t>
            </w:r>
          </w:p>
        </w:tc>
        <w:tc>
          <w:tcPr>
            <w:tcW w:w="1418" w:type="dxa"/>
            <w:shd w:val="clear" w:color="auto" w:fill="FFFFFF"/>
            <w:tcMar>
              <w:top w:w="68" w:type="dxa"/>
              <w:left w:w="28" w:type="dxa"/>
              <w:bottom w:w="0" w:type="dxa"/>
              <w:right w:w="28" w:type="dxa"/>
            </w:tcMar>
            <w:hideMark/>
          </w:tcPr>
          <w:p w:rsidRPr="006B7451" w:rsidR="00C02DED" w:rsidP="00C02DED" w:rsidRDefault="00C02DED" w14:paraId="225127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9C5BD2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86F9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BC2C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6B7451" w:rsidR="00C02DED" w:rsidP="00C02DED" w:rsidRDefault="00C02DED" w14:paraId="3ACBA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4 752 293</w:t>
            </w:r>
          </w:p>
        </w:tc>
        <w:tc>
          <w:tcPr>
            <w:tcW w:w="1418" w:type="dxa"/>
            <w:shd w:val="clear" w:color="auto" w:fill="FFFFFF"/>
            <w:tcMar>
              <w:top w:w="68" w:type="dxa"/>
              <w:left w:w="28" w:type="dxa"/>
              <w:bottom w:w="0" w:type="dxa"/>
              <w:right w:w="28" w:type="dxa"/>
            </w:tcMar>
            <w:hideMark/>
          </w:tcPr>
          <w:p w:rsidRPr="006B7451" w:rsidR="00C02DED" w:rsidP="00C02DED" w:rsidRDefault="00C02DED" w14:paraId="329CF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456366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1F71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FB8C3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6B7451" w:rsidR="00C02DED" w:rsidP="00C02DED" w:rsidRDefault="00C02DED" w14:paraId="2E267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8 467 300</w:t>
            </w:r>
          </w:p>
        </w:tc>
        <w:tc>
          <w:tcPr>
            <w:tcW w:w="1418" w:type="dxa"/>
            <w:shd w:val="clear" w:color="auto" w:fill="FFFFFF"/>
            <w:tcMar>
              <w:top w:w="68" w:type="dxa"/>
              <w:left w:w="28" w:type="dxa"/>
              <w:bottom w:w="0" w:type="dxa"/>
              <w:right w:w="28" w:type="dxa"/>
            </w:tcMar>
            <w:hideMark/>
          </w:tcPr>
          <w:p w:rsidRPr="006B7451" w:rsidR="00C02DED" w:rsidP="00C02DED" w:rsidRDefault="00C02DED" w14:paraId="15C86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1021E6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A70E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8CDD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6B7451" w:rsidR="00C02DED" w:rsidP="00C02DED" w:rsidRDefault="00C02DED" w14:paraId="2B8EC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4 286 404</w:t>
            </w:r>
          </w:p>
        </w:tc>
        <w:tc>
          <w:tcPr>
            <w:tcW w:w="1418" w:type="dxa"/>
            <w:shd w:val="clear" w:color="auto" w:fill="FFFFFF"/>
            <w:tcMar>
              <w:top w:w="68" w:type="dxa"/>
              <w:left w:w="28" w:type="dxa"/>
              <w:bottom w:w="0" w:type="dxa"/>
              <w:right w:w="28" w:type="dxa"/>
            </w:tcMar>
            <w:hideMark/>
          </w:tcPr>
          <w:p w:rsidRPr="006B7451" w:rsidR="00C02DED" w:rsidP="00C02DED" w:rsidRDefault="00C02DED" w14:paraId="1EE56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750 000</w:t>
            </w:r>
          </w:p>
        </w:tc>
      </w:tr>
      <w:tr w:rsidRPr="006B7451" w:rsidR="00C02DED" w:rsidTr="00C02DED" w14:paraId="7A59B91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9542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C293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förstföderskor</w:t>
            </w:r>
          </w:p>
        </w:tc>
        <w:tc>
          <w:tcPr>
            <w:tcW w:w="1418" w:type="dxa"/>
            <w:shd w:val="clear" w:color="auto" w:fill="FFFFFF"/>
            <w:tcMar>
              <w:top w:w="68" w:type="dxa"/>
              <w:left w:w="28" w:type="dxa"/>
              <w:bottom w:w="0" w:type="dxa"/>
              <w:right w:w="28" w:type="dxa"/>
            </w:tcMar>
            <w:hideMark/>
          </w:tcPr>
          <w:p w:rsidRPr="006B7451" w:rsidR="00C02DED" w:rsidP="00C02DED" w:rsidRDefault="00C02DED" w14:paraId="73AE6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0434D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1 000 000</w:t>
            </w:r>
          </w:p>
        </w:tc>
      </w:tr>
      <w:tr w:rsidRPr="006B7451" w:rsidR="00C02DED" w:rsidTr="00C02DED" w14:paraId="5BBF179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5F1E8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06EC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103 040 770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B2DB0" w14:paraId="258433AC" w14:textId="265A26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31</w:t>
            </w:r>
            <w:r w:rsidRPr="006B7451" w:rsidR="00C02DED">
              <w:rPr>
                <w:rFonts w:ascii="Times New Roman" w:hAnsi="Times New Roman" w:eastAsia="Times New Roman" w:cs="Times New Roman"/>
                <w:b/>
                <w:bCs/>
                <w:color w:val="000000"/>
                <w:kern w:val="0"/>
                <w:sz w:val="20"/>
                <w:szCs w:val="20"/>
                <w:lang w:eastAsia="sv-SE"/>
                <w14:numSpacing w14:val="default"/>
              </w:rPr>
              <w:t> 000</w:t>
            </w:r>
          </w:p>
        </w:tc>
      </w:tr>
    </w:tbl>
    <w:p w:rsidRPr="006B7451" w:rsidR="008A7FDF" w:rsidP="00621A22" w:rsidRDefault="008A7FDF" w14:paraId="10710DA5" w14:textId="77777777">
      <w:pPr>
        <w:pStyle w:val="Rubrik2numrerat"/>
        <w:ind w:left="811" w:hanging="811"/>
      </w:pPr>
      <w:bookmarkStart w:name="_Toc121752694" w:id="190"/>
      <w:r w:rsidRPr="006B7451">
        <w:t>Utgiftsområde 13 Jämställdhet och nyanlända invandrares etablering</w:t>
      </w:r>
      <w:bookmarkEnd w:id="190"/>
    </w:p>
    <w:p w:rsidRPr="00EB2F84" w:rsidR="00C02DED" w:rsidP="00621A22" w:rsidRDefault="00C02DED" w14:paraId="5C25231E" w14:textId="77777777">
      <w:pPr>
        <w:pStyle w:val="Tabellrubrik"/>
        <w:keepNext/>
      </w:pPr>
      <w:r w:rsidRPr="00EB2F84">
        <w:t>Anslagsförslag 2022 för utgiftsområde 13 Jämställdhet och nyanlända invandrares etablering</w:t>
      </w:r>
    </w:p>
    <w:p w:rsidRPr="00EB2F84" w:rsidR="00C02DED" w:rsidP="00EB2F84" w:rsidRDefault="00C02DED" w14:paraId="691782B2" w14:textId="77777777">
      <w:pPr>
        <w:pStyle w:val="Tabellunderrubrik"/>
      </w:pPr>
      <w:r w:rsidRPr="00EB2F8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6CB0B1E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45FDC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458B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4A1D9A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229DA7D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1A5A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A0DB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6B7451" w:rsidR="00C02DED" w:rsidP="00C02DED" w:rsidRDefault="00C02DED" w14:paraId="5B237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142 030</w:t>
            </w:r>
          </w:p>
        </w:tc>
        <w:tc>
          <w:tcPr>
            <w:tcW w:w="1418" w:type="dxa"/>
            <w:shd w:val="clear" w:color="auto" w:fill="FFFFFF"/>
            <w:tcMar>
              <w:top w:w="68" w:type="dxa"/>
              <w:left w:w="28" w:type="dxa"/>
              <w:bottom w:w="0" w:type="dxa"/>
              <w:right w:w="28" w:type="dxa"/>
            </w:tcMar>
            <w:hideMark/>
          </w:tcPr>
          <w:p w:rsidRPr="006B7451" w:rsidR="00C02DED" w:rsidP="00C02DED" w:rsidRDefault="00C02DED" w14:paraId="7B0C5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−137 030</w:t>
            </w:r>
          </w:p>
        </w:tc>
      </w:tr>
      <w:tr w:rsidRPr="006B7451" w:rsidR="00C02DED" w:rsidTr="00C02DED" w14:paraId="0908ADA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53D5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D845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6B7451" w:rsidR="00C02DED" w:rsidP="00C02DED" w:rsidRDefault="00C02DED" w14:paraId="08ADE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4 516 216</w:t>
            </w:r>
          </w:p>
        </w:tc>
        <w:tc>
          <w:tcPr>
            <w:tcW w:w="1418" w:type="dxa"/>
            <w:shd w:val="clear" w:color="auto" w:fill="FFFFFF"/>
            <w:tcMar>
              <w:top w:w="68" w:type="dxa"/>
              <w:left w:w="28" w:type="dxa"/>
              <w:bottom w:w="0" w:type="dxa"/>
              <w:right w:w="28" w:type="dxa"/>
            </w:tcMar>
            <w:hideMark/>
          </w:tcPr>
          <w:p w:rsidRPr="006B7451" w:rsidR="00C02DED" w:rsidP="00C02DED" w:rsidRDefault="00C02DED" w14:paraId="137BA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−2 258 000</w:t>
            </w:r>
          </w:p>
        </w:tc>
      </w:tr>
      <w:tr w:rsidRPr="006B7451" w:rsidR="00C02DED" w:rsidTr="00C02DED" w14:paraId="27CE63D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CFAA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5E5A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Hemutrustningslån</w:t>
            </w:r>
          </w:p>
        </w:tc>
        <w:tc>
          <w:tcPr>
            <w:tcW w:w="1418" w:type="dxa"/>
            <w:shd w:val="clear" w:color="auto" w:fill="FFFFFF"/>
            <w:tcMar>
              <w:top w:w="68" w:type="dxa"/>
              <w:left w:w="28" w:type="dxa"/>
              <w:bottom w:w="0" w:type="dxa"/>
              <w:right w:w="28" w:type="dxa"/>
            </w:tcMar>
            <w:hideMark/>
          </w:tcPr>
          <w:p w:rsidRPr="006B7451" w:rsidR="00C02DED" w:rsidP="00C02DED" w:rsidRDefault="00C02DED" w14:paraId="77383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167 271</w:t>
            </w:r>
          </w:p>
        </w:tc>
        <w:tc>
          <w:tcPr>
            <w:tcW w:w="1418" w:type="dxa"/>
            <w:shd w:val="clear" w:color="auto" w:fill="FFFFFF"/>
            <w:tcMar>
              <w:top w:w="68" w:type="dxa"/>
              <w:left w:w="28" w:type="dxa"/>
              <w:bottom w:w="0" w:type="dxa"/>
              <w:right w:w="28" w:type="dxa"/>
            </w:tcMar>
            <w:hideMark/>
          </w:tcPr>
          <w:p w:rsidRPr="006B7451" w:rsidR="00C02DED" w:rsidP="00C02DED" w:rsidRDefault="00C02DED" w14:paraId="41FD2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−167 271</w:t>
            </w:r>
          </w:p>
        </w:tc>
      </w:tr>
      <w:tr w:rsidRPr="006B7451" w:rsidR="00C02DED" w:rsidTr="00C02DED" w14:paraId="7E49B97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3D95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45692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6B7451" w:rsidR="00C02DED" w:rsidP="00C02DED" w:rsidRDefault="00C02DED" w14:paraId="782D8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129 681</w:t>
            </w:r>
          </w:p>
        </w:tc>
        <w:tc>
          <w:tcPr>
            <w:tcW w:w="1418" w:type="dxa"/>
            <w:shd w:val="clear" w:color="auto" w:fill="FFFFFF"/>
            <w:tcMar>
              <w:top w:w="68" w:type="dxa"/>
              <w:left w:w="28" w:type="dxa"/>
              <w:bottom w:w="0" w:type="dxa"/>
              <w:right w:w="28" w:type="dxa"/>
            </w:tcMar>
            <w:hideMark/>
          </w:tcPr>
          <w:p w:rsidRPr="006B7451" w:rsidR="00C02DED" w:rsidP="00C02DED" w:rsidRDefault="00C02DED" w14:paraId="068383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−65 000</w:t>
            </w:r>
          </w:p>
        </w:tc>
      </w:tr>
      <w:tr w:rsidRPr="006B7451" w:rsidR="00C02DED" w:rsidTr="00C02DED" w14:paraId="36FD850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D5DD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3BFD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6B7451" w:rsidR="00C02DED" w:rsidP="00C02DED" w:rsidRDefault="00C02DED" w14:paraId="31E47F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100 919</w:t>
            </w:r>
          </w:p>
        </w:tc>
        <w:tc>
          <w:tcPr>
            <w:tcW w:w="1418" w:type="dxa"/>
            <w:shd w:val="clear" w:color="auto" w:fill="FFFFFF"/>
            <w:tcMar>
              <w:top w:w="68" w:type="dxa"/>
              <w:left w:w="28" w:type="dxa"/>
              <w:bottom w:w="0" w:type="dxa"/>
              <w:right w:w="28" w:type="dxa"/>
            </w:tcMar>
            <w:hideMark/>
          </w:tcPr>
          <w:p w:rsidRPr="006B7451" w:rsidR="00C02DED" w:rsidP="00C02DED" w:rsidRDefault="00C02DED" w14:paraId="25F4A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956862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6E490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9947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6B7451" w:rsidR="00C02DED" w:rsidP="00C02DED" w:rsidRDefault="00C02DED" w14:paraId="505CD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640 039</w:t>
            </w:r>
          </w:p>
        </w:tc>
        <w:tc>
          <w:tcPr>
            <w:tcW w:w="1418" w:type="dxa"/>
            <w:shd w:val="clear" w:color="auto" w:fill="FFFFFF"/>
            <w:tcMar>
              <w:top w:w="68" w:type="dxa"/>
              <w:left w:w="28" w:type="dxa"/>
              <w:bottom w:w="0" w:type="dxa"/>
              <w:right w:w="28" w:type="dxa"/>
            </w:tcMar>
            <w:hideMark/>
          </w:tcPr>
          <w:p w:rsidRPr="006B7451" w:rsidR="00C02DED" w:rsidP="00C02DED" w:rsidRDefault="00C02DED" w14:paraId="16056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75 000</w:t>
            </w:r>
          </w:p>
        </w:tc>
      </w:tr>
      <w:tr w:rsidRPr="006B7451" w:rsidR="00C02DED" w:rsidTr="00C02DED" w14:paraId="66277AF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7660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08719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6B7451" w:rsidR="00C02DED" w:rsidP="00C02DED" w:rsidRDefault="00C02DED" w14:paraId="39F80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76 280</w:t>
            </w:r>
          </w:p>
        </w:tc>
        <w:tc>
          <w:tcPr>
            <w:tcW w:w="1418" w:type="dxa"/>
            <w:shd w:val="clear" w:color="auto" w:fill="FFFFFF"/>
            <w:tcMar>
              <w:top w:w="68" w:type="dxa"/>
              <w:left w:w="28" w:type="dxa"/>
              <w:bottom w:w="0" w:type="dxa"/>
              <w:right w:w="28" w:type="dxa"/>
            </w:tcMar>
            <w:hideMark/>
          </w:tcPr>
          <w:p w:rsidRPr="006B7451" w:rsidR="00C02DED" w:rsidP="00C02DED" w:rsidRDefault="00C02DED" w14:paraId="7C1C5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−38 000</w:t>
            </w:r>
          </w:p>
        </w:tc>
      </w:tr>
      <w:tr w:rsidRPr="006B7451" w:rsidR="00C02DED" w:rsidTr="00C02DED" w14:paraId="5DF9D84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3A67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521C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6B7451" w:rsidR="00C02DED" w:rsidP="00C02DED" w:rsidRDefault="00C02DED" w14:paraId="2BAA0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28 163</w:t>
            </w:r>
          </w:p>
        </w:tc>
        <w:tc>
          <w:tcPr>
            <w:tcW w:w="1418" w:type="dxa"/>
            <w:shd w:val="clear" w:color="auto" w:fill="FFFFFF"/>
            <w:tcMar>
              <w:top w:w="68" w:type="dxa"/>
              <w:left w:w="28" w:type="dxa"/>
              <w:bottom w:w="0" w:type="dxa"/>
              <w:right w:w="28" w:type="dxa"/>
            </w:tcMar>
            <w:hideMark/>
          </w:tcPr>
          <w:p w:rsidRPr="006B7451" w:rsidR="00C02DED" w:rsidP="00C02DED" w:rsidRDefault="00C02DED" w14:paraId="34A2A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2078C9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4EAB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AC8C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6B7451" w:rsidR="00C02DED" w:rsidP="00C02DED" w:rsidRDefault="00C02DED" w14:paraId="14869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097F4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C02DED" w:rsidTr="00C02DED" w14:paraId="372331D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6A9A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4B89A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hideMark/>
          </w:tcPr>
          <w:p w:rsidRPr="006B7451" w:rsidR="00C02DED" w:rsidP="00C02DED" w:rsidRDefault="00C02DED" w14:paraId="4906B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18 416</w:t>
            </w:r>
          </w:p>
        </w:tc>
        <w:tc>
          <w:tcPr>
            <w:tcW w:w="1418" w:type="dxa"/>
            <w:shd w:val="clear" w:color="auto" w:fill="FFFFFF"/>
            <w:tcMar>
              <w:top w:w="68" w:type="dxa"/>
              <w:left w:w="28" w:type="dxa"/>
              <w:bottom w:w="0" w:type="dxa"/>
              <w:right w:w="28" w:type="dxa"/>
            </w:tcMar>
            <w:hideMark/>
          </w:tcPr>
          <w:p w:rsidRPr="006B7451" w:rsidR="00C02DED" w:rsidP="00C02DED" w:rsidRDefault="00C02DED" w14:paraId="2283D8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−9 000</w:t>
            </w:r>
          </w:p>
        </w:tc>
      </w:tr>
      <w:tr w:rsidRPr="006B7451" w:rsidR="00C02DED" w:rsidTr="00C02DED" w14:paraId="414F136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C3C9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BBD7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Obligatorisk förskola för vissa barn</w:t>
            </w:r>
          </w:p>
        </w:tc>
        <w:tc>
          <w:tcPr>
            <w:tcW w:w="1418" w:type="dxa"/>
            <w:shd w:val="clear" w:color="auto" w:fill="FFFFFF"/>
            <w:tcMar>
              <w:top w:w="68" w:type="dxa"/>
              <w:left w:w="28" w:type="dxa"/>
              <w:bottom w:w="0" w:type="dxa"/>
              <w:right w:w="28" w:type="dxa"/>
            </w:tcMar>
            <w:hideMark/>
          </w:tcPr>
          <w:p w:rsidRPr="006B7451" w:rsidR="00C02DED" w:rsidP="00C02DED" w:rsidRDefault="00C02DED" w14:paraId="4F1F1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76449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380 000</w:t>
            </w:r>
          </w:p>
        </w:tc>
      </w:tr>
      <w:tr w:rsidRPr="006B7451" w:rsidR="00C02DED" w:rsidTr="00621A22" w14:paraId="4B2EA570" w14:textId="77777777">
        <w:trPr>
          <w:trHeight w:val="170"/>
        </w:trPr>
        <w:tc>
          <w:tcPr>
            <w:tcW w:w="4139" w:type="dxa"/>
            <w:gridSpan w:val="2"/>
            <w:tcBorders>
              <w:top w:val="nil"/>
              <w:left w:val="nil"/>
              <w:bottom w:val="nil"/>
              <w:right w:val="nil"/>
            </w:tcBorders>
            <w:shd w:val="clear" w:color="auto" w:fill="FFFFFF"/>
            <w:tcMar>
              <w:top w:w="68" w:type="dxa"/>
              <w:left w:w="28" w:type="dxa"/>
              <w:bottom w:w="20" w:type="dxa"/>
              <w:right w:w="85" w:type="dxa"/>
            </w:tcMar>
            <w:vAlign w:val="center"/>
            <w:hideMark/>
          </w:tcPr>
          <w:p w:rsidRPr="006B7451" w:rsidR="00C02DED" w:rsidP="00C02DED" w:rsidRDefault="00C02DED" w14:paraId="11A73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nil"/>
              <w:right w:val="nil"/>
            </w:tcBorders>
            <w:shd w:val="clear" w:color="auto" w:fill="FFFFFF"/>
            <w:tcMar>
              <w:top w:w="68" w:type="dxa"/>
              <w:left w:w="28" w:type="dxa"/>
              <w:bottom w:w="20" w:type="dxa"/>
              <w:right w:w="28" w:type="dxa"/>
            </w:tcMar>
            <w:hideMark/>
          </w:tcPr>
          <w:p w:rsidRPr="006B7451" w:rsidR="00C02DED" w:rsidP="00C02DED" w:rsidRDefault="00C02DED" w14:paraId="5792C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6 319 015</w:t>
            </w:r>
          </w:p>
        </w:tc>
        <w:tc>
          <w:tcPr>
            <w:tcW w:w="1418" w:type="dxa"/>
            <w:tcBorders>
              <w:top w:val="nil"/>
              <w:left w:val="nil"/>
              <w:bottom w:val="nil"/>
              <w:right w:val="nil"/>
            </w:tcBorders>
            <w:shd w:val="clear" w:color="auto" w:fill="FFFFFF"/>
            <w:tcMar>
              <w:top w:w="68" w:type="dxa"/>
              <w:left w:w="28" w:type="dxa"/>
              <w:bottom w:w="20" w:type="dxa"/>
              <w:right w:w="28" w:type="dxa"/>
            </w:tcMar>
            <w:hideMark/>
          </w:tcPr>
          <w:p w:rsidRPr="006B7451" w:rsidR="00C02DED" w:rsidP="00C02DED" w:rsidRDefault="00C02DED" w14:paraId="35C7C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−2 719 301</w:t>
            </w:r>
          </w:p>
        </w:tc>
      </w:tr>
    </w:tbl>
    <w:p w:rsidRPr="006B7451" w:rsidR="00621A22" w:rsidP="00621A22" w:rsidRDefault="00621A22" w14:paraId="19B0CA32" w14:textId="77777777">
      <w:pPr>
        <w:pStyle w:val="Normalutanindragellerluft"/>
        <w:rPr>
          <w:rFonts w:eastAsia="Times New Roman"/>
          <w:lang w:eastAsia="sv-SE"/>
        </w:rPr>
      </w:pPr>
    </w:p>
    <w:p w:rsidR="00621A22" w:rsidRDefault="00621A22" w14:paraId="2E499058" w14:textId="66DB5973">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6B7451" w:rsidR="008A7FDF" w:rsidP="00ED5D60" w:rsidRDefault="008A7FDF" w14:paraId="6D55F43B" w14:textId="07A7CF5B">
      <w:pPr>
        <w:pStyle w:val="Rubrik2numrerat"/>
      </w:pPr>
      <w:bookmarkStart w:name="_Toc121752695" w:id="191"/>
      <w:r w:rsidRPr="006B7451">
        <w:lastRenderedPageBreak/>
        <w:t>Utgiftsområde 14 Arbetsmarknad och arbetsliv</w:t>
      </w:r>
      <w:bookmarkEnd w:id="191"/>
    </w:p>
    <w:p w:rsidRPr="00AD059F" w:rsidR="00C02DED" w:rsidP="00621A22" w:rsidRDefault="00C02DED" w14:paraId="1587654F" w14:textId="77777777">
      <w:pPr>
        <w:pStyle w:val="Tabellrubrik"/>
        <w:keepNext/>
      </w:pPr>
      <w:r w:rsidRPr="00AD059F">
        <w:t>Anslagsförslag 2022 för utgiftsområde 14 Arbetsmarknad och arbetsliv</w:t>
      </w:r>
    </w:p>
    <w:p w:rsidRPr="00AD059F" w:rsidR="00C02DED" w:rsidP="00AD059F" w:rsidRDefault="00C02DED" w14:paraId="5324934E" w14:textId="77777777">
      <w:pPr>
        <w:pStyle w:val="Tabellunderrubrik"/>
      </w:pPr>
      <w:r w:rsidRPr="00AD059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7C70200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3D340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10A070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5F61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1AB6655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48A1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0283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6B7451" w:rsidR="00C02DED" w:rsidP="00C02DED" w:rsidRDefault="00C02DED" w14:paraId="52733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7 810 253</w:t>
            </w:r>
          </w:p>
        </w:tc>
        <w:tc>
          <w:tcPr>
            <w:tcW w:w="1418" w:type="dxa"/>
            <w:shd w:val="clear" w:color="auto" w:fill="FFFFFF"/>
            <w:tcMar>
              <w:top w:w="68" w:type="dxa"/>
              <w:left w:w="28" w:type="dxa"/>
              <w:bottom w:w="0" w:type="dxa"/>
              <w:right w:w="28" w:type="dxa"/>
            </w:tcMar>
            <w:hideMark/>
          </w:tcPr>
          <w:p w:rsidRPr="006B7451" w:rsidR="00C02DED" w:rsidP="00C02DED" w:rsidRDefault="00C02DED" w14:paraId="29B83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24A76F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25A5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EB75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1A679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42 743 597</w:t>
            </w:r>
          </w:p>
        </w:tc>
        <w:tc>
          <w:tcPr>
            <w:tcW w:w="1418" w:type="dxa"/>
            <w:shd w:val="clear" w:color="auto" w:fill="FFFFFF"/>
            <w:tcMar>
              <w:top w:w="68" w:type="dxa"/>
              <w:left w:w="28" w:type="dxa"/>
              <w:bottom w:w="0" w:type="dxa"/>
              <w:right w:w="28" w:type="dxa"/>
            </w:tcMar>
            <w:hideMark/>
          </w:tcPr>
          <w:p w:rsidRPr="006B7451" w:rsidR="00C02DED" w:rsidP="00C02DED" w:rsidRDefault="00C02DED" w14:paraId="13A66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AD059F" w14:paraId="61B0BFA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DC33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58E2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29999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11 423 145</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0426D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−2 500 000</w:t>
            </w:r>
          </w:p>
        </w:tc>
      </w:tr>
      <w:tr w:rsidRPr="006B7451" w:rsidR="00C02DED" w:rsidTr="00C02DED" w14:paraId="6A11780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4B53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6ACB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6B7451" w:rsidR="00C02DED" w:rsidP="00C02DED" w:rsidRDefault="00C02DED" w14:paraId="6BF8C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20 684 009</w:t>
            </w:r>
          </w:p>
        </w:tc>
        <w:tc>
          <w:tcPr>
            <w:tcW w:w="1418" w:type="dxa"/>
            <w:shd w:val="clear" w:color="auto" w:fill="FFFFFF"/>
            <w:tcMar>
              <w:top w:w="68" w:type="dxa"/>
              <w:left w:w="28" w:type="dxa"/>
              <w:bottom w:w="0" w:type="dxa"/>
              <w:right w:w="28" w:type="dxa"/>
            </w:tcMar>
            <w:hideMark/>
          </w:tcPr>
          <w:p w:rsidRPr="006B7451" w:rsidR="00C02DED" w:rsidP="00C02DED" w:rsidRDefault="00C02DED" w14:paraId="42FC7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2113BC1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B36A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AB42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6B7451" w:rsidR="00C02DED" w:rsidP="00C02DED" w:rsidRDefault="00C02DED" w14:paraId="2B64B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136 864</w:t>
            </w:r>
          </w:p>
        </w:tc>
        <w:tc>
          <w:tcPr>
            <w:tcW w:w="1418" w:type="dxa"/>
            <w:shd w:val="clear" w:color="auto" w:fill="FFFFFF"/>
            <w:tcMar>
              <w:top w:w="68" w:type="dxa"/>
              <w:left w:w="28" w:type="dxa"/>
              <w:bottom w:w="0" w:type="dxa"/>
              <w:right w:w="28" w:type="dxa"/>
            </w:tcMar>
            <w:hideMark/>
          </w:tcPr>
          <w:p w:rsidRPr="006B7451" w:rsidR="00C02DED" w:rsidP="00C02DED" w:rsidRDefault="00C02DED" w14:paraId="529E6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BB0F0A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D22D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CC29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Europeiska socialfonden m.m. för perioden </w:t>
            </w:r>
            <w:proofErr w:type="gramStart"/>
            <w:r w:rsidRPr="006B7451">
              <w:rPr>
                <w:rFonts w:ascii="Times New Roman" w:hAnsi="Times New Roman" w:eastAsia="Times New Roman" w:cs="Times New Roman"/>
                <w:color w:val="000000"/>
                <w:kern w:val="0"/>
                <w:sz w:val="20"/>
                <w:szCs w:val="20"/>
                <w:lang w:eastAsia="sv-SE"/>
                <w14:numSpacing w14:val="default"/>
              </w:rPr>
              <w:t>2014-2020</w:t>
            </w:r>
            <w:proofErr w:type="gramEnd"/>
          </w:p>
        </w:tc>
        <w:tc>
          <w:tcPr>
            <w:tcW w:w="1418" w:type="dxa"/>
            <w:shd w:val="clear" w:color="auto" w:fill="FFFFFF"/>
            <w:tcMar>
              <w:top w:w="68" w:type="dxa"/>
              <w:left w:w="28" w:type="dxa"/>
              <w:bottom w:w="0" w:type="dxa"/>
              <w:right w:w="28" w:type="dxa"/>
            </w:tcMar>
            <w:hideMark/>
          </w:tcPr>
          <w:p w:rsidRPr="006B7451" w:rsidR="00C02DED" w:rsidP="00C02DED" w:rsidRDefault="00C02DED" w14:paraId="1FA89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2 545 600</w:t>
            </w:r>
          </w:p>
        </w:tc>
        <w:tc>
          <w:tcPr>
            <w:tcW w:w="1418" w:type="dxa"/>
            <w:shd w:val="clear" w:color="auto" w:fill="FFFFFF"/>
            <w:tcMar>
              <w:top w:w="68" w:type="dxa"/>
              <w:left w:w="28" w:type="dxa"/>
              <w:bottom w:w="0" w:type="dxa"/>
              <w:right w:w="28" w:type="dxa"/>
            </w:tcMar>
            <w:hideMark/>
          </w:tcPr>
          <w:p w:rsidRPr="006B7451" w:rsidR="00C02DED" w:rsidP="00C02DED" w:rsidRDefault="00C02DED" w14:paraId="21105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AD059F" w14:paraId="1F5FC93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E0DF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7F17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25B3C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225 000</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7E124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AD059F" w14:paraId="010292D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8B60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A4DD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56DCC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43 099</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6E63A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F18E8D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AC8D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6531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6B7451" w:rsidR="00C02DED" w:rsidP="00C02DED" w:rsidRDefault="00C02DED" w14:paraId="1D9186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80 220</w:t>
            </w:r>
          </w:p>
        </w:tc>
        <w:tc>
          <w:tcPr>
            <w:tcW w:w="1418" w:type="dxa"/>
            <w:shd w:val="clear" w:color="auto" w:fill="FFFFFF"/>
            <w:tcMar>
              <w:top w:w="68" w:type="dxa"/>
              <w:left w:w="28" w:type="dxa"/>
              <w:bottom w:w="0" w:type="dxa"/>
              <w:right w:w="28" w:type="dxa"/>
            </w:tcMar>
            <w:hideMark/>
          </w:tcPr>
          <w:p w:rsidRPr="006B7451" w:rsidR="00C02DED" w:rsidP="00C02DED" w:rsidRDefault="00C02DED" w14:paraId="72E1E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3A266D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A93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C29A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hideMark/>
          </w:tcPr>
          <w:p w:rsidRPr="006B7451" w:rsidR="00C02DED" w:rsidP="00C02DED" w:rsidRDefault="00C02DED" w14:paraId="74227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59 168</w:t>
            </w:r>
          </w:p>
        </w:tc>
        <w:tc>
          <w:tcPr>
            <w:tcW w:w="1418" w:type="dxa"/>
            <w:shd w:val="clear" w:color="auto" w:fill="FFFFFF"/>
            <w:tcMar>
              <w:top w:w="68" w:type="dxa"/>
              <w:left w:w="28" w:type="dxa"/>
              <w:bottom w:w="0" w:type="dxa"/>
              <w:right w:w="28" w:type="dxa"/>
            </w:tcMar>
            <w:hideMark/>
          </w:tcPr>
          <w:p w:rsidRPr="006B7451" w:rsidR="00C02DED" w:rsidP="00C02DED" w:rsidRDefault="00C02DED" w14:paraId="68D23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412464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84F2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ECD2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6B7451" w:rsidR="00C02DED" w:rsidP="00C02DED" w:rsidRDefault="00C02DED" w14:paraId="609FD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6B7451" w:rsidR="00C02DED" w:rsidP="00C02DED" w:rsidRDefault="00C02DED" w14:paraId="6EB5E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02C338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C1E7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853BA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6B7451" w:rsidR="00C02DED" w:rsidP="00C02DED" w:rsidRDefault="00C02DED" w14:paraId="5F286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1 310 000</w:t>
            </w:r>
          </w:p>
        </w:tc>
        <w:tc>
          <w:tcPr>
            <w:tcW w:w="1418" w:type="dxa"/>
            <w:shd w:val="clear" w:color="auto" w:fill="FFFFFF"/>
            <w:tcMar>
              <w:top w:w="68" w:type="dxa"/>
              <w:left w:w="28" w:type="dxa"/>
              <w:bottom w:w="0" w:type="dxa"/>
              <w:right w:w="28" w:type="dxa"/>
            </w:tcMar>
            <w:hideMark/>
          </w:tcPr>
          <w:p w:rsidRPr="006B7451" w:rsidR="00C02DED" w:rsidP="00C02DED" w:rsidRDefault="00C02DED" w14:paraId="2BDBF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AD059F" w14:paraId="35D515D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AC0F3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739C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0DD9D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4 771 685</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7A65F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−2 400 000</w:t>
            </w:r>
          </w:p>
        </w:tc>
      </w:tr>
      <w:tr w:rsidRPr="006B7451" w:rsidR="00C02DED" w:rsidTr="00C02DED" w14:paraId="6946C5A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AB46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338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6B7451" w:rsidR="00C02DED" w:rsidP="00C02DED" w:rsidRDefault="00C02DED" w14:paraId="0184A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1 094 895</w:t>
            </w:r>
          </w:p>
        </w:tc>
        <w:tc>
          <w:tcPr>
            <w:tcW w:w="1418" w:type="dxa"/>
            <w:shd w:val="clear" w:color="auto" w:fill="FFFFFF"/>
            <w:tcMar>
              <w:top w:w="68" w:type="dxa"/>
              <w:left w:w="28" w:type="dxa"/>
              <w:bottom w:w="0" w:type="dxa"/>
              <w:right w:w="28" w:type="dxa"/>
            </w:tcMar>
            <w:hideMark/>
          </w:tcPr>
          <w:p w:rsidRPr="006B7451" w:rsidR="00C02DED" w:rsidP="00C02DED" w:rsidRDefault="00C02DED" w14:paraId="59ECB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−550 000</w:t>
            </w:r>
          </w:p>
        </w:tc>
      </w:tr>
      <w:tr w:rsidRPr="006B7451" w:rsidR="00C02DED" w:rsidTr="00AD059F" w14:paraId="4039A07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B19F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F576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26E69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75 000</w:t>
            </w:r>
          </w:p>
        </w:tc>
        <w:tc>
          <w:tcPr>
            <w:tcW w:w="1418" w:type="dxa"/>
            <w:shd w:val="clear" w:color="auto" w:fill="FFFFFF"/>
            <w:tcMar>
              <w:top w:w="68" w:type="dxa"/>
              <w:left w:w="28" w:type="dxa"/>
              <w:bottom w:w="0" w:type="dxa"/>
              <w:right w:w="28" w:type="dxa"/>
            </w:tcMar>
            <w:vAlign w:val="bottom"/>
            <w:hideMark/>
          </w:tcPr>
          <w:p w:rsidRPr="006B7451" w:rsidR="00C02DED" w:rsidP="00AD059F" w:rsidRDefault="00C02DED" w14:paraId="774F8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1379DE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DCEF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71EC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41EF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737 550</w:t>
            </w:r>
          </w:p>
        </w:tc>
        <w:tc>
          <w:tcPr>
            <w:tcW w:w="1418" w:type="dxa"/>
            <w:shd w:val="clear" w:color="auto" w:fill="FFFFFF"/>
            <w:tcMar>
              <w:top w:w="68" w:type="dxa"/>
              <w:left w:w="28" w:type="dxa"/>
              <w:bottom w:w="0" w:type="dxa"/>
              <w:right w:w="28" w:type="dxa"/>
            </w:tcMar>
            <w:hideMark/>
          </w:tcPr>
          <w:p w:rsidRPr="006B7451" w:rsidR="00C02DED" w:rsidP="00C02DED" w:rsidRDefault="00C02DED" w14:paraId="1573A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15478EE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DB08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946E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6B7451" w:rsidR="00C02DED" w:rsidP="00C02DED" w:rsidRDefault="00C02DED" w14:paraId="501A1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35 448</w:t>
            </w:r>
          </w:p>
        </w:tc>
        <w:tc>
          <w:tcPr>
            <w:tcW w:w="1418" w:type="dxa"/>
            <w:shd w:val="clear" w:color="auto" w:fill="FFFFFF"/>
            <w:tcMar>
              <w:top w:w="68" w:type="dxa"/>
              <w:left w:w="28" w:type="dxa"/>
              <w:bottom w:w="0" w:type="dxa"/>
              <w:right w:w="28" w:type="dxa"/>
            </w:tcMar>
            <w:hideMark/>
          </w:tcPr>
          <w:p w:rsidRPr="006B7451" w:rsidR="00C02DED" w:rsidP="00C02DED" w:rsidRDefault="00C02DED" w14:paraId="14978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8A81F5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5421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4050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6B7451" w:rsidR="00C02DED" w:rsidP="00C02DED" w:rsidRDefault="00C02DED" w14:paraId="4FE6B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33 722</w:t>
            </w:r>
          </w:p>
        </w:tc>
        <w:tc>
          <w:tcPr>
            <w:tcW w:w="1418" w:type="dxa"/>
            <w:shd w:val="clear" w:color="auto" w:fill="FFFFFF"/>
            <w:tcMar>
              <w:top w:w="68" w:type="dxa"/>
              <w:left w:w="28" w:type="dxa"/>
              <w:bottom w:w="0" w:type="dxa"/>
              <w:right w:w="28" w:type="dxa"/>
            </w:tcMar>
            <w:hideMark/>
          </w:tcPr>
          <w:p w:rsidRPr="006B7451" w:rsidR="00C02DED" w:rsidP="00C02DED" w:rsidRDefault="00C02DED" w14:paraId="6168B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02CF80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4C6B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770C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6B7451" w:rsidR="00C02DED" w:rsidP="00C02DED" w:rsidRDefault="00C02DED" w14:paraId="4CEEE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56 720</w:t>
            </w:r>
          </w:p>
        </w:tc>
        <w:tc>
          <w:tcPr>
            <w:tcW w:w="1418" w:type="dxa"/>
            <w:shd w:val="clear" w:color="auto" w:fill="FFFFFF"/>
            <w:tcMar>
              <w:top w:w="68" w:type="dxa"/>
              <w:left w:w="28" w:type="dxa"/>
              <w:bottom w:w="0" w:type="dxa"/>
              <w:right w:w="28" w:type="dxa"/>
            </w:tcMar>
            <w:hideMark/>
          </w:tcPr>
          <w:p w:rsidRPr="006B7451" w:rsidR="00C02DED" w:rsidP="00C02DED" w:rsidRDefault="00C02DED" w14:paraId="03370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E5EBD6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833A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1A968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6B7451" w:rsidR="00C02DED" w:rsidP="00C02DED" w:rsidRDefault="00C02DED" w14:paraId="1B2AA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39 448</w:t>
            </w:r>
          </w:p>
        </w:tc>
        <w:tc>
          <w:tcPr>
            <w:tcW w:w="1418" w:type="dxa"/>
            <w:shd w:val="clear" w:color="auto" w:fill="FFFFFF"/>
            <w:tcMar>
              <w:top w:w="68" w:type="dxa"/>
              <w:left w:w="28" w:type="dxa"/>
              <w:bottom w:w="0" w:type="dxa"/>
              <w:right w:w="28" w:type="dxa"/>
            </w:tcMar>
            <w:hideMark/>
          </w:tcPr>
          <w:p w:rsidRPr="006B7451" w:rsidR="00C02DED" w:rsidP="00C02DED" w:rsidRDefault="00C02DED" w14:paraId="4F94E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274110D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3948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43E16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3CF29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6B7451" w:rsidR="00C02DED" w:rsidP="00C02DED" w:rsidRDefault="00C02DED" w14:paraId="423C88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9FA66A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62F2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9E0F6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Lärlingsanställningar</w:t>
            </w:r>
          </w:p>
        </w:tc>
        <w:tc>
          <w:tcPr>
            <w:tcW w:w="1418" w:type="dxa"/>
            <w:shd w:val="clear" w:color="auto" w:fill="FFFFFF"/>
            <w:tcMar>
              <w:top w:w="68" w:type="dxa"/>
              <w:left w:w="28" w:type="dxa"/>
              <w:bottom w:w="0" w:type="dxa"/>
              <w:right w:w="28" w:type="dxa"/>
            </w:tcMar>
            <w:hideMark/>
          </w:tcPr>
          <w:p w:rsidRPr="006B7451" w:rsidR="00C02DED" w:rsidP="00C02DED" w:rsidRDefault="00C02DED" w14:paraId="26554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0F3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C02DED" w:rsidTr="00C02DED" w14:paraId="5FA33DA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6641A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0EBF6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94 025 726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753A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−5 060 000</w:t>
            </w:r>
          </w:p>
        </w:tc>
      </w:tr>
    </w:tbl>
    <w:p w:rsidR="00C02DED" w:rsidP="00C02DED" w:rsidRDefault="00C02DED" w14:paraId="1481296E" w14:textId="64F9A6D5">
      <w:pPr>
        <w:ind w:firstLine="0"/>
      </w:pPr>
    </w:p>
    <w:p w:rsidR="00621A22" w:rsidRDefault="00621A22" w14:paraId="588238D5" w14:textId="0901A0F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8A7FDF" w:rsidP="00ED5D60" w:rsidRDefault="008A7FDF" w14:paraId="5654335E" w14:textId="16CB1C19">
      <w:pPr>
        <w:pStyle w:val="Rubrik2numrerat"/>
      </w:pPr>
      <w:bookmarkStart w:name="_Toc121752696" w:id="192"/>
      <w:r w:rsidRPr="006B7451">
        <w:lastRenderedPageBreak/>
        <w:t>Utgiftsområde 15 Studiestöd</w:t>
      </w:r>
      <w:bookmarkEnd w:id="192"/>
    </w:p>
    <w:p w:rsidRPr="00DC5D01" w:rsidR="00C02DED" w:rsidP="001207D0" w:rsidRDefault="00C02DED" w14:paraId="77437184" w14:textId="77777777">
      <w:pPr>
        <w:pStyle w:val="Tabellrubrik"/>
        <w:keepNext/>
      </w:pPr>
      <w:r w:rsidRPr="00DC5D01">
        <w:t>Anslagsförslag 2022 för utgiftsområde 15 Studiestöd</w:t>
      </w:r>
    </w:p>
    <w:p w:rsidRPr="00DC5D01" w:rsidR="00C02DED" w:rsidP="00DC5D01" w:rsidRDefault="00C02DED" w14:paraId="0E549094" w14:textId="77777777">
      <w:pPr>
        <w:pStyle w:val="Tabellunderrubrik"/>
      </w:pPr>
      <w:r w:rsidRPr="00DC5D0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008A934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5D3B3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3D41E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3B928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39A9884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F3FC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DD08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6B7451" w:rsidR="00C02DED" w:rsidP="00C02DED" w:rsidRDefault="00C02DED" w14:paraId="34CBD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4 439 614</w:t>
            </w:r>
          </w:p>
        </w:tc>
        <w:tc>
          <w:tcPr>
            <w:tcW w:w="1418" w:type="dxa"/>
            <w:shd w:val="clear" w:color="auto" w:fill="FFFFFF"/>
            <w:tcMar>
              <w:top w:w="68" w:type="dxa"/>
              <w:left w:w="28" w:type="dxa"/>
              <w:bottom w:w="0" w:type="dxa"/>
              <w:right w:w="28" w:type="dxa"/>
            </w:tcMar>
            <w:hideMark/>
          </w:tcPr>
          <w:p w:rsidRPr="006B7451" w:rsidR="00C02DED" w:rsidP="00C02DED" w:rsidRDefault="00C02DED" w14:paraId="09F93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−240 000</w:t>
            </w:r>
          </w:p>
        </w:tc>
      </w:tr>
      <w:tr w:rsidRPr="006B7451" w:rsidR="00C02DED" w:rsidTr="00C02DED" w14:paraId="2929B14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7DEC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9D8F5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6B7451" w:rsidR="00C02DED" w:rsidP="00C02DED" w:rsidRDefault="00C02DED" w14:paraId="13457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19 741 430</w:t>
            </w:r>
          </w:p>
        </w:tc>
        <w:tc>
          <w:tcPr>
            <w:tcW w:w="1418" w:type="dxa"/>
            <w:shd w:val="clear" w:color="auto" w:fill="FFFFFF"/>
            <w:tcMar>
              <w:top w:w="68" w:type="dxa"/>
              <w:left w:w="28" w:type="dxa"/>
              <w:bottom w:w="0" w:type="dxa"/>
              <w:right w:w="28" w:type="dxa"/>
            </w:tcMar>
            <w:hideMark/>
          </w:tcPr>
          <w:p w:rsidRPr="006B7451" w:rsidR="00C02DED" w:rsidP="00C02DED" w:rsidRDefault="00C02DED" w14:paraId="6B4AA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740 000</w:t>
            </w:r>
          </w:p>
        </w:tc>
      </w:tr>
      <w:tr w:rsidRPr="006B7451" w:rsidR="00C02DED" w:rsidTr="00C02DED" w14:paraId="458EE9C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F83E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2F08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Avsättning för kreditförluster</w:t>
            </w:r>
          </w:p>
        </w:tc>
        <w:tc>
          <w:tcPr>
            <w:tcW w:w="1418" w:type="dxa"/>
            <w:shd w:val="clear" w:color="auto" w:fill="FFFFFF"/>
            <w:tcMar>
              <w:top w:w="68" w:type="dxa"/>
              <w:left w:w="28" w:type="dxa"/>
              <w:bottom w:w="0" w:type="dxa"/>
              <w:right w:w="28" w:type="dxa"/>
            </w:tcMar>
            <w:hideMark/>
          </w:tcPr>
          <w:p w:rsidRPr="006B7451" w:rsidR="00C02DED" w:rsidP="00C02DED" w:rsidRDefault="00C02DED" w14:paraId="20983A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2 000 641</w:t>
            </w:r>
          </w:p>
        </w:tc>
        <w:tc>
          <w:tcPr>
            <w:tcW w:w="1418" w:type="dxa"/>
            <w:shd w:val="clear" w:color="auto" w:fill="FFFFFF"/>
            <w:tcMar>
              <w:top w:w="68" w:type="dxa"/>
              <w:left w:w="28" w:type="dxa"/>
              <w:bottom w:w="0" w:type="dxa"/>
              <w:right w:w="28" w:type="dxa"/>
            </w:tcMar>
            <w:hideMark/>
          </w:tcPr>
          <w:p w:rsidRPr="006B7451" w:rsidR="00C02DED" w:rsidP="00C02DED" w:rsidRDefault="00C02DED" w14:paraId="0B07C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8795EF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6AC4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AF4C5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418" w:type="dxa"/>
            <w:shd w:val="clear" w:color="auto" w:fill="FFFFFF"/>
            <w:tcMar>
              <w:top w:w="68" w:type="dxa"/>
              <w:left w:w="28" w:type="dxa"/>
              <w:bottom w:w="0" w:type="dxa"/>
              <w:right w:w="28" w:type="dxa"/>
            </w:tcMar>
            <w:hideMark/>
          </w:tcPr>
          <w:p w:rsidRPr="006B7451" w:rsidR="00C02DED" w:rsidP="00C02DED" w:rsidRDefault="00C02DED" w14:paraId="4B4F7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18 845</w:t>
            </w:r>
          </w:p>
        </w:tc>
        <w:tc>
          <w:tcPr>
            <w:tcW w:w="1418" w:type="dxa"/>
            <w:shd w:val="clear" w:color="auto" w:fill="FFFFFF"/>
            <w:tcMar>
              <w:top w:w="68" w:type="dxa"/>
              <w:left w:w="28" w:type="dxa"/>
              <w:bottom w:w="0" w:type="dxa"/>
              <w:right w:w="28" w:type="dxa"/>
            </w:tcMar>
            <w:hideMark/>
          </w:tcPr>
          <w:p w:rsidRPr="006B7451" w:rsidR="00C02DED" w:rsidP="00C02DED" w:rsidRDefault="00C02DED" w14:paraId="41DC38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E17A75" w14:paraId="420B8F4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33CD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FC2D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6B7451" w:rsidR="00C02DED" w:rsidP="00E17A75" w:rsidRDefault="00C02DED" w14:paraId="2137D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62 150</w:t>
            </w:r>
          </w:p>
        </w:tc>
        <w:tc>
          <w:tcPr>
            <w:tcW w:w="1418" w:type="dxa"/>
            <w:shd w:val="clear" w:color="auto" w:fill="FFFFFF"/>
            <w:tcMar>
              <w:top w:w="68" w:type="dxa"/>
              <w:left w:w="28" w:type="dxa"/>
              <w:bottom w:w="0" w:type="dxa"/>
              <w:right w:w="28" w:type="dxa"/>
            </w:tcMar>
            <w:vAlign w:val="bottom"/>
            <w:hideMark/>
          </w:tcPr>
          <w:p w:rsidRPr="006B7451" w:rsidR="00C02DED" w:rsidP="00E17A75" w:rsidRDefault="00C02DED" w14:paraId="77137F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C19622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0835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9703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6B7451" w:rsidR="00C02DED" w:rsidP="00C02DED" w:rsidRDefault="00C02DED" w14:paraId="40230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31 000</w:t>
            </w:r>
          </w:p>
        </w:tc>
        <w:tc>
          <w:tcPr>
            <w:tcW w:w="1418" w:type="dxa"/>
            <w:shd w:val="clear" w:color="auto" w:fill="FFFFFF"/>
            <w:tcMar>
              <w:top w:w="68" w:type="dxa"/>
              <w:left w:w="28" w:type="dxa"/>
              <w:bottom w:w="0" w:type="dxa"/>
              <w:right w:w="28" w:type="dxa"/>
            </w:tcMar>
            <w:hideMark/>
          </w:tcPr>
          <w:p w:rsidRPr="006B7451" w:rsidR="00C02DED" w:rsidP="00C02DED" w:rsidRDefault="00C02DED" w14:paraId="1B77C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AA84EB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4D74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20A6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Studiestartsstöd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431A1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5AFF2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−400 000</w:t>
            </w:r>
          </w:p>
        </w:tc>
      </w:tr>
      <w:tr w:rsidRPr="006B7451" w:rsidR="00C02DED" w:rsidTr="00C02DED" w14:paraId="5A52B04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5E10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4FF4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6B7451" w:rsidR="00C02DED" w:rsidP="00C02DED" w:rsidRDefault="00C02DED" w14:paraId="614CA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1 090 481</w:t>
            </w:r>
          </w:p>
        </w:tc>
        <w:tc>
          <w:tcPr>
            <w:tcW w:w="1418" w:type="dxa"/>
            <w:shd w:val="clear" w:color="auto" w:fill="FFFFFF"/>
            <w:tcMar>
              <w:top w:w="68" w:type="dxa"/>
              <w:left w:w="28" w:type="dxa"/>
              <w:bottom w:w="0" w:type="dxa"/>
              <w:right w:w="28" w:type="dxa"/>
            </w:tcMar>
            <w:hideMark/>
          </w:tcPr>
          <w:p w:rsidRPr="006B7451" w:rsidR="00C02DED" w:rsidP="00C02DED" w:rsidRDefault="00C02DED" w14:paraId="53F0D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D47EC5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140B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AEE4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6B7451" w:rsidR="00C02DED" w:rsidP="00C02DED" w:rsidRDefault="00C02DED" w14:paraId="42A7A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17 324</w:t>
            </w:r>
          </w:p>
        </w:tc>
        <w:tc>
          <w:tcPr>
            <w:tcW w:w="1418" w:type="dxa"/>
            <w:shd w:val="clear" w:color="auto" w:fill="FFFFFF"/>
            <w:tcMar>
              <w:top w:w="68" w:type="dxa"/>
              <w:left w:w="28" w:type="dxa"/>
              <w:bottom w:w="0" w:type="dxa"/>
              <w:right w:w="28" w:type="dxa"/>
            </w:tcMar>
            <w:hideMark/>
          </w:tcPr>
          <w:p w:rsidRPr="006B7451" w:rsidR="00C02DED" w:rsidP="00C02DED" w:rsidRDefault="00C02DED" w14:paraId="34871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FB1EAC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B433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C60A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Studieskuldsavdrag lärare i glesbygd</w:t>
            </w:r>
          </w:p>
        </w:tc>
        <w:tc>
          <w:tcPr>
            <w:tcW w:w="1418" w:type="dxa"/>
            <w:shd w:val="clear" w:color="auto" w:fill="FFFFFF"/>
            <w:tcMar>
              <w:top w:w="68" w:type="dxa"/>
              <w:left w:w="28" w:type="dxa"/>
              <w:bottom w:w="0" w:type="dxa"/>
              <w:right w:w="28" w:type="dxa"/>
            </w:tcMar>
            <w:hideMark/>
          </w:tcPr>
          <w:p w:rsidRPr="006B7451" w:rsidR="00C02DED" w:rsidP="00C02DED" w:rsidRDefault="00C02DED" w14:paraId="13042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233F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4BDE86C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787F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27386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27 801 485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B126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200 000</w:t>
            </w:r>
          </w:p>
        </w:tc>
      </w:tr>
    </w:tbl>
    <w:p w:rsidRPr="006B7451" w:rsidR="008A7FDF" w:rsidP="00ED5D60" w:rsidRDefault="008A7FDF" w14:paraId="343D7F5D" w14:textId="77777777">
      <w:pPr>
        <w:pStyle w:val="Rubrik2numrerat"/>
      </w:pPr>
      <w:bookmarkStart w:name="_Toc121752697" w:id="193"/>
      <w:r w:rsidRPr="006B7451">
        <w:t>Utgiftsområde 16 Utbildning och universitetsforskning</w:t>
      </w:r>
      <w:bookmarkEnd w:id="193"/>
    </w:p>
    <w:p w:rsidRPr="00DD2FFA" w:rsidR="00FF2DF6" w:rsidP="00E33FCD" w:rsidRDefault="00FF2DF6" w14:paraId="39598330" w14:textId="77777777">
      <w:pPr>
        <w:pStyle w:val="Tabellrubrik"/>
        <w:keepNext/>
      </w:pPr>
      <w:r w:rsidRPr="00DD2FFA">
        <w:t>Anslagsförslag 2022 för utgiftsområde 16 Utbildning och universitetsforskning</w:t>
      </w:r>
    </w:p>
    <w:p w:rsidRPr="006B7451" w:rsidR="00FF2DF6" w:rsidP="00FF2DF6" w:rsidRDefault="00FF2DF6" w14:paraId="4420198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6B7451">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6B7451" w:rsidR="00FF2DF6" w:rsidTr="004E4AC9" w14:paraId="2C79F20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FF2DF6" w:rsidP="00FF2DF6" w:rsidRDefault="00FF2DF6" w14:paraId="1E811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A6E6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FF2DF6" w:rsidP="00FF2DF6" w:rsidRDefault="00FF2DF6" w14:paraId="59ABB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FF2DF6" w:rsidTr="00FF2DF6" w14:paraId="6C8C207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D470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89CB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6B7451" w:rsidR="00FF2DF6" w:rsidP="00FF2DF6" w:rsidRDefault="00FF2DF6" w14:paraId="7F07B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1 362 338</w:t>
            </w:r>
          </w:p>
        </w:tc>
        <w:tc>
          <w:tcPr>
            <w:tcW w:w="1418" w:type="dxa"/>
            <w:shd w:val="clear" w:color="auto" w:fill="FFFFFF"/>
            <w:tcMar>
              <w:top w:w="68" w:type="dxa"/>
              <w:left w:w="28" w:type="dxa"/>
              <w:bottom w:w="0" w:type="dxa"/>
              <w:right w:w="28" w:type="dxa"/>
            </w:tcMar>
            <w:hideMark/>
          </w:tcPr>
          <w:p w:rsidRPr="006B7451" w:rsidR="00FF2DF6" w:rsidP="00FF2DF6" w:rsidRDefault="00FF2DF6" w14:paraId="65FE6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−55 000</w:t>
            </w:r>
          </w:p>
        </w:tc>
      </w:tr>
      <w:tr w:rsidRPr="006B7451" w:rsidR="00FF2DF6" w:rsidTr="00FF2DF6" w14:paraId="782D339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6C6D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5076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6B7451" w:rsidR="00FF2DF6" w:rsidP="00FF2DF6" w:rsidRDefault="00FF2DF6" w14:paraId="292ECD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481 927</w:t>
            </w:r>
          </w:p>
        </w:tc>
        <w:tc>
          <w:tcPr>
            <w:tcW w:w="1418" w:type="dxa"/>
            <w:shd w:val="clear" w:color="auto" w:fill="FFFFFF"/>
            <w:tcMar>
              <w:top w:w="68" w:type="dxa"/>
              <w:left w:w="28" w:type="dxa"/>
              <w:bottom w:w="0" w:type="dxa"/>
              <w:right w:w="28" w:type="dxa"/>
            </w:tcMar>
            <w:hideMark/>
          </w:tcPr>
          <w:p w:rsidRPr="006B7451" w:rsidR="00FF2DF6" w:rsidP="00FF2DF6" w:rsidRDefault="00FF2DF6" w14:paraId="037D4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FF2DF6" w:rsidTr="00FF2DF6" w14:paraId="2112116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9223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1683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6B7451" w:rsidR="00FF2DF6" w:rsidP="00FF2DF6" w:rsidRDefault="00FF2DF6" w14:paraId="06EFC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783 592</w:t>
            </w:r>
          </w:p>
        </w:tc>
        <w:tc>
          <w:tcPr>
            <w:tcW w:w="1418" w:type="dxa"/>
            <w:shd w:val="clear" w:color="auto" w:fill="FFFFFF"/>
            <w:tcMar>
              <w:top w:w="68" w:type="dxa"/>
              <w:left w:w="28" w:type="dxa"/>
              <w:bottom w:w="0" w:type="dxa"/>
              <w:right w:w="28" w:type="dxa"/>
            </w:tcMar>
            <w:hideMark/>
          </w:tcPr>
          <w:p w:rsidRPr="006B7451" w:rsidR="00FF2DF6" w:rsidP="00FF2DF6" w:rsidRDefault="00FF2DF6" w14:paraId="37F73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0873E62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D330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A0B7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6B7451" w:rsidR="00FF2DF6" w:rsidP="00FF2DF6" w:rsidRDefault="00FF2DF6" w14:paraId="64949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58 434</w:t>
            </w:r>
          </w:p>
        </w:tc>
        <w:tc>
          <w:tcPr>
            <w:tcW w:w="1418" w:type="dxa"/>
            <w:shd w:val="clear" w:color="auto" w:fill="FFFFFF"/>
            <w:tcMar>
              <w:top w:w="68" w:type="dxa"/>
              <w:left w:w="28" w:type="dxa"/>
              <w:bottom w:w="0" w:type="dxa"/>
              <w:right w:w="28" w:type="dxa"/>
            </w:tcMar>
            <w:hideMark/>
          </w:tcPr>
          <w:p w:rsidRPr="006B7451" w:rsidR="00FF2DF6" w:rsidP="00FF2DF6" w:rsidRDefault="00FF2DF6" w14:paraId="32E7F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DD2FFA" w14:paraId="1BDEF6F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1508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8BA2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6B7451" w:rsidR="00FF2DF6" w:rsidP="00DD2FFA" w:rsidRDefault="00FF2DF6" w14:paraId="48234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4 253 693</w:t>
            </w:r>
          </w:p>
        </w:tc>
        <w:tc>
          <w:tcPr>
            <w:tcW w:w="1418" w:type="dxa"/>
            <w:shd w:val="clear" w:color="auto" w:fill="FFFFFF"/>
            <w:tcMar>
              <w:top w:w="68" w:type="dxa"/>
              <w:left w:w="28" w:type="dxa"/>
              <w:bottom w:w="0" w:type="dxa"/>
              <w:right w:w="28" w:type="dxa"/>
            </w:tcMar>
            <w:vAlign w:val="bottom"/>
            <w:hideMark/>
          </w:tcPr>
          <w:p w:rsidRPr="006B7451" w:rsidR="00FF2DF6" w:rsidP="00DD2FFA" w:rsidRDefault="00FF2DF6" w14:paraId="0C044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94DC5B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3B60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9376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6B7451" w:rsidR="00FF2DF6" w:rsidP="00FF2DF6" w:rsidRDefault="00FF2DF6" w14:paraId="2CCE2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259 837</w:t>
            </w:r>
          </w:p>
        </w:tc>
        <w:tc>
          <w:tcPr>
            <w:tcW w:w="1418" w:type="dxa"/>
            <w:shd w:val="clear" w:color="auto" w:fill="FFFFFF"/>
            <w:tcMar>
              <w:top w:w="68" w:type="dxa"/>
              <w:left w:w="28" w:type="dxa"/>
              <w:bottom w:w="0" w:type="dxa"/>
              <w:right w:w="28" w:type="dxa"/>
            </w:tcMar>
            <w:hideMark/>
          </w:tcPr>
          <w:p w:rsidRPr="006B7451" w:rsidR="00FF2DF6" w:rsidP="00FF2DF6" w:rsidRDefault="00FF2DF6" w14:paraId="7AEE0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DD2FFA" w14:paraId="4114587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7A6E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8DE1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418" w:type="dxa"/>
            <w:shd w:val="clear" w:color="auto" w:fill="FFFFFF"/>
            <w:tcMar>
              <w:top w:w="68" w:type="dxa"/>
              <w:left w:w="28" w:type="dxa"/>
              <w:bottom w:w="0" w:type="dxa"/>
              <w:right w:w="28" w:type="dxa"/>
            </w:tcMar>
            <w:vAlign w:val="bottom"/>
            <w:hideMark/>
          </w:tcPr>
          <w:p w:rsidRPr="006B7451" w:rsidR="00FF2DF6" w:rsidP="00DD2FFA" w:rsidRDefault="00FF2DF6" w14:paraId="3BFBE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3 903 000</w:t>
            </w:r>
          </w:p>
        </w:tc>
        <w:tc>
          <w:tcPr>
            <w:tcW w:w="1418" w:type="dxa"/>
            <w:shd w:val="clear" w:color="auto" w:fill="FFFFFF"/>
            <w:tcMar>
              <w:top w:w="68" w:type="dxa"/>
              <w:left w:w="28" w:type="dxa"/>
              <w:bottom w:w="0" w:type="dxa"/>
              <w:right w:w="28" w:type="dxa"/>
            </w:tcMar>
            <w:vAlign w:val="bottom"/>
            <w:hideMark/>
          </w:tcPr>
          <w:p w:rsidRPr="006B7451" w:rsidR="00FF2DF6" w:rsidP="00DD2FFA" w:rsidRDefault="00FF2DF6" w14:paraId="48DC2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1 000 000</w:t>
            </w:r>
          </w:p>
        </w:tc>
      </w:tr>
      <w:tr w:rsidRPr="006B7451" w:rsidR="00FF2DF6" w:rsidTr="00FF2DF6" w14:paraId="0E2BE6E0"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491C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7E0C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6B7451" w:rsidR="00FF2DF6" w:rsidP="00FF2DF6" w:rsidRDefault="00FF2DF6" w14:paraId="76513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200 720</w:t>
            </w:r>
          </w:p>
        </w:tc>
        <w:tc>
          <w:tcPr>
            <w:tcW w:w="1418" w:type="dxa"/>
            <w:shd w:val="clear" w:color="auto" w:fill="FFFFFF"/>
            <w:tcMar>
              <w:top w:w="68" w:type="dxa"/>
              <w:left w:w="28" w:type="dxa"/>
              <w:bottom w:w="0" w:type="dxa"/>
              <w:right w:w="28" w:type="dxa"/>
            </w:tcMar>
            <w:hideMark/>
          </w:tcPr>
          <w:p w:rsidRPr="006B7451" w:rsidR="00FF2DF6" w:rsidP="00FF2DF6" w:rsidRDefault="00FF2DF6" w14:paraId="25BAE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150CFC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544DA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D81D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6B7451" w:rsidR="00FF2DF6" w:rsidP="00FF2DF6" w:rsidRDefault="00FF2DF6" w14:paraId="7983A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112 082</w:t>
            </w:r>
          </w:p>
        </w:tc>
        <w:tc>
          <w:tcPr>
            <w:tcW w:w="1418" w:type="dxa"/>
            <w:shd w:val="clear" w:color="auto" w:fill="FFFFFF"/>
            <w:tcMar>
              <w:top w:w="68" w:type="dxa"/>
              <w:left w:w="28" w:type="dxa"/>
              <w:bottom w:w="0" w:type="dxa"/>
              <w:right w:w="28" w:type="dxa"/>
            </w:tcMar>
            <w:hideMark/>
          </w:tcPr>
          <w:p w:rsidRPr="006B7451" w:rsidR="00FF2DF6" w:rsidP="00FF2DF6" w:rsidRDefault="00FF2DF6" w14:paraId="4AA1E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509E40F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43F0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1BE7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6B7451" w:rsidR="00FF2DF6" w:rsidP="00FF2DF6" w:rsidRDefault="00FF2DF6" w14:paraId="5341A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840 526</w:t>
            </w:r>
          </w:p>
        </w:tc>
        <w:tc>
          <w:tcPr>
            <w:tcW w:w="1418" w:type="dxa"/>
            <w:shd w:val="clear" w:color="auto" w:fill="FFFFFF"/>
            <w:tcMar>
              <w:top w:w="68" w:type="dxa"/>
              <w:left w:w="28" w:type="dxa"/>
              <w:bottom w:w="0" w:type="dxa"/>
              <w:right w:w="28" w:type="dxa"/>
            </w:tcMar>
            <w:hideMark/>
          </w:tcPr>
          <w:p w:rsidRPr="006B7451" w:rsidR="00FF2DF6" w:rsidP="00FF2DF6" w:rsidRDefault="00FF2DF6" w14:paraId="18069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A1E50E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23044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0AEF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6B7451" w:rsidR="00FF2DF6" w:rsidP="00FF2DF6" w:rsidRDefault="00FF2DF6" w14:paraId="048B2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25 450</w:t>
            </w:r>
          </w:p>
        </w:tc>
        <w:tc>
          <w:tcPr>
            <w:tcW w:w="1418" w:type="dxa"/>
            <w:shd w:val="clear" w:color="auto" w:fill="FFFFFF"/>
            <w:tcMar>
              <w:top w:w="68" w:type="dxa"/>
              <w:left w:w="28" w:type="dxa"/>
              <w:bottom w:w="0" w:type="dxa"/>
              <w:right w:w="28" w:type="dxa"/>
            </w:tcMar>
            <w:hideMark/>
          </w:tcPr>
          <w:p w:rsidRPr="006B7451" w:rsidR="00FF2DF6" w:rsidP="00FF2DF6" w:rsidRDefault="00FF2DF6" w14:paraId="69101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04CA39A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81315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F27B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72332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32 043</w:t>
            </w:r>
          </w:p>
        </w:tc>
        <w:tc>
          <w:tcPr>
            <w:tcW w:w="1418" w:type="dxa"/>
            <w:shd w:val="clear" w:color="auto" w:fill="FFFFFF"/>
            <w:tcMar>
              <w:top w:w="68" w:type="dxa"/>
              <w:left w:w="28" w:type="dxa"/>
              <w:bottom w:w="0" w:type="dxa"/>
              <w:right w:w="28" w:type="dxa"/>
            </w:tcMar>
            <w:hideMark/>
          </w:tcPr>
          <w:p w:rsidRPr="006B7451" w:rsidR="00FF2DF6" w:rsidP="00FF2DF6" w:rsidRDefault="00FF2DF6" w14:paraId="2EE79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623EEB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D11D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F7961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6B7451" w:rsidR="00FF2DF6" w:rsidP="00FF2DF6" w:rsidRDefault="00FF2DF6" w14:paraId="3EAD7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6B7451" w:rsidR="00FF2DF6" w:rsidP="00FF2DF6" w:rsidRDefault="00FF2DF6" w14:paraId="1FCA1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325 000</w:t>
            </w:r>
          </w:p>
        </w:tc>
      </w:tr>
      <w:tr w:rsidRPr="006B7451" w:rsidR="00FF2DF6" w:rsidTr="00FF2DF6" w14:paraId="68D1A77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B8AB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48DE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6B7451" w:rsidR="00FF2DF6" w:rsidP="00FF2DF6" w:rsidRDefault="00FF2DF6" w14:paraId="739EB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203 418</w:t>
            </w:r>
          </w:p>
        </w:tc>
        <w:tc>
          <w:tcPr>
            <w:tcW w:w="1418" w:type="dxa"/>
            <w:shd w:val="clear" w:color="auto" w:fill="FFFFFF"/>
            <w:tcMar>
              <w:top w:w="68" w:type="dxa"/>
              <w:left w:w="28" w:type="dxa"/>
              <w:bottom w:w="0" w:type="dxa"/>
              <w:right w:w="28" w:type="dxa"/>
            </w:tcMar>
            <w:hideMark/>
          </w:tcPr>
          <w:p w:rsidRPr="006B7451" w:rsidR="00FF2DF6" w:rsidP="00FF2DF6" w:rsidRDefault="00FF2DF6" w14:paraId="2B0E9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DD2FFA" w14:paraId="72F8252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E11B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8767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418" w:type="dxa"/>
            <w:shd w:val="clear" w:color="auto" w:fill="FFFFFF"/>
            <w:tcMar>
              <w:top w:w="68" w:type="dxa"/>
              <w:left w:w="28" w:type="dxa"/>
              <w:bottom w:w="0" w:type="dxa"/>
              <w:right w:w="28" w:type="dxa"/>
            </w:tcMar>
            <w:vAlign w:val="bottom"/>
            <w:hideMark/>
          </w:tcPr>
          <w:p w:rsidRPr="006B7451" w:rsidR="00FF2DF6" w:rsidP="00DD2FFA" w:rsidRDefault="00FF2DF6" w14:paraId="12F97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6 553 500</w:t>
            </w:r>
          </w:p>
        </w:tc>
        <w:tc>
          <w:tcPr>
            <w:tcW w:w="1418" w:type="dxa"/>
            <w:shd w:val="clear" w:color="auto" w:fill="FFFFFF"/>
            <w:tcMar>
              <w:top w:w="68" w:type="dxa"/>
              <w:left w:w="28" w:type="dxa"/>
              <w:bottom w:w="0" w:type="dxa"/>
              <w:right w:w="28" w:type="dxa"/>
            </w:tcMar>
            <w:vAlign w:val="bottom"/>
            <w:hideMark/>
          </w:tcPr>
          <w:p w:rsidRPr="006B7451" w:rsidR="00FF2DF6" w:rsidP="00DD2FFA" w:rsidRDefault="00FF2DF6" w14:paraId="07020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−6 553 500</w:t>
            </w:r>
          </w:p>
        </w:tc>
      </w:tr>
      <w:tr w:rsidRPr="006B7451" w:rsidR="00FF2DF6" w:rsidTr="00FF2DF6" w14:paraId="763EB11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4B76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B646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6B7451" w:rsidR="00FF2DF6" w:rsidP="00FF2DF6" w:rsidRDefault="00FF2DF6" w14:paraId="54F7A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6B7451" w:rsidR="00FF2DF6" w:rsidP="00FF2DF6" w:rsidRDefault="00FF2DF6" w14:paraId="3C507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5F3FE46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E1CB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E107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6B7451" w:rsidR="00FF2DF6" w:rsidP="00FF2DF6" w:rsidRDefault="00FF2DF6" w14:paraId="28DEB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5 417 422</w:t>
            </w:r>
          </w:p>
        </w:tc>
        <w:tc>
          <w:tcPr>
            <w:tcW w:w="1418" w:type="dxa"/>
            <w:shd w:val="clear" w:color="auto" w:fill="FFFFFF"/>
            <w:tcMar>
              <w:top w:w="68" w:type="dxa"/>
              <w:left w:w="28" w:type="dxa"/>
              <w:bottom w:w="0" w:type="dxa"/>
              <w:right w:w="28" w:type="dxa"/>
            </w:tcMar>
            <w:hideMark/>
          </w:tcPr>
          <w:p w:rsidRPr="006B7451" w:rsidR="00FF2DF6" w:rsidP="00FF2DF6" w:rsidRDefault="00FF2DF6" w14:paraId="040C1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920148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129C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A8296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6B7451" w:rsidR="00FF2DF6" w:rsidP="00FF2DF6" w:rsidRDefault="00FF2DF6" w14:paraId="6ED3A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143 991</w:t>
            </w:r>
          </w:p>
        </w:tc>
        <w:tc>
          <w:tcPr>
            <w:tcW w:w="1418" w:type="dxa"/>
            <w:shd w:val="clear" w:color="auto" w:fill="FFFFFF"/>
            <w:tcMar>
              <w:top w:w="68" w:type="dxa"/>
              <w:left w:w="28" w:type="dxa"/>
              <w:bottom w:w="0" w:type="dxa"/>
              <w:right w:w="28" w:type="dxa"/>
            </w:tcMar>
            <w:hideMark/>
          </w:tcPr>
          <w:p w:rsidRPr="006B7451" w:rsidR="00FF2DF6" w:rsidP="00FF2DF6" w:rsidRDefault="00FF2DF6" w14:paraId="48498F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37B077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EC06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7632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6B7451" w:rsidR="00FF2DF6" w:rsidP="00FF2DF6" w:rsidRDefault="00FF2DF6" w14:paraId="61218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3 815 236</w:t>
            </w:r>
          </w:p>
        </w:tc>
        <w:tc>
          <w:tcPr>
            <w:tcW w:w="1418" w:type="dxa"/>
            <w:shd w:val="clear" w:color="auto" w:fill="FFFFFF"/>
            <w:tcMar>
              <w:top w:w="68" w:type="dxa"/>
              <w:left w:w="28" w:type="dxa"/>
              <w:bottom w:w="0" w:type="dxa"/>
              <w:right w:w="28" w:type="dxa"/>
            </w:tcMar>
            <w:hideMark/>
          </w:tcPr>
          <w:p w:rsidRPr="006B7451" w:rsidR="00FF2DF6" w:rsidP="00FF2DF6" w:rsidRDefault="00FF2DF6" w14:paraId="5F6792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FF2DF6" w:rsidTr="00FF2DF6" w14:paraId="51EF064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1DA9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9749A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6B7451" w:rsidR="00FF2DF6" w:rsidP="00FF2DF6" w:rsidRDefault="00FF2DF6" w14:paraId="095D0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171 751</w:t>
            </w:r>
          </w:p>
        </w:tc>
        <w:tc>
          <w:tcPr>
            <w:tcW w:w="1418" w:type="dxa"/>
            <w:shd w:val="clear" w:color="auto" w:fill="FFFFFF"/>
            <w:tcMar>
              <w:top w:w="68" w:type="dxa"/>
              <w:left w:w="28" w:type="dxa"/>
              <w:bottom w:w="0" w:type="dxa"/>
              <w:right w:w="28" w:type="dxa"/>
            </w:tcMar>
            <w:hideMark/>
          </w:tcPr>
          <w:p w:rsidRPr="006B7451" w:rsidR="00FF2DF6" w:rsidP="00FF2DF6" w:rsidRDefault="00FF2DF6" w14:paraId="51415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84F3F6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9D15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F2E4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6B7451" w:rsidR="00FF2DF6" w:rsidP="00FF2DF6" w:rsidRDefault="00FF2DF6" w14:paraId="3E6C1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260 147</w:t>
            </w:r>
          </w:p>
        </w:tc>
        <w:tc>
          <w:tcPr>
            <w:tcW w:w="1418" w:type="dxa"/>
            <w:shd w:val="clear" w:color="auto" w:fill="FFFFFF"/>
            <w:tcMar>
              <w:top w:w="68" w:type="dxa"/>
              <w:left w:w="28" w:type="dxa"/>
              <w:bottom w:w="0" w:type="dxa"/>
              <w:right w:w="28" w:type="dxa"/>
            </w:tcMar>
            <w:hideMark/>
          </w:tcPr>
          <w:p w:rsidRPr="006B7451" w:rsidR="00FF2DF6" w:rsidP="00FF2DF6" w:rsidRDefault="00FF2DF6" w14:paraId="54165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CD9012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33F7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2:3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4694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6FA3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2 038 600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7C3C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437437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C0ED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FAB4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7C79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2 368 441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E49E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7CD4A7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7238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A156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1373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2 355 647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DCC7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45BAE98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9ADC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A4D5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36DD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2 432 733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8C19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4621EC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E9EF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27BAC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D9DD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2 386 826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C5F0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31F6498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3433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3ED7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8585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1 743 620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06AF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40B44B3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06EF1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B25E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842B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1 969 944</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2884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32A17A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FB6D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3A06A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C21D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1 779 111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8DEB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29EB259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0DA3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F187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97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1 590 921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94A1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D92AB2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D0EF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18CD6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31C8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1 231 968</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8D0C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6DB8630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EBD82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7393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9616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1 748 520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7CDD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33DBFA3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5BB0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2D23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6C05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1 067 162</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B534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744666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91A7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85AC9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DEA2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804 289</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9E668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41AF875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61A0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FBAD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F13A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1 749 545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09FE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673E4F5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5E85D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E5D1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534C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1 359 892</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454E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A7CC3D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C774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6B9D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26A5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1 843 660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43E0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FDEFC9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F725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0E87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1C1A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763 906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C7D5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376C2A8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88DAB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DEF10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7557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433 513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3C5D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9ED336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BA8A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FE9E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B1EC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768 995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63713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39F9F0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BD94D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A8AC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8F9A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285 401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C8D4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2CFECB0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DA58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21A09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BDDE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1 202 655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A013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7C1FFC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5BFB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7630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E156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390 389</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5F65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45A5AF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87DB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AB25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73CE2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897 172</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5CFE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19F3D6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9607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468B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FD39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322 304</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28BA0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910402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5044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FA83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32E8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636 012</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A63FD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6A3F0A6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F7A5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437D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C534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287 390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1DCA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88F757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F7EB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2:29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C884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6B7451">
              <w:rPr>
                <w:rFonts w:ascii="Times New Roman" w:hAnsi="Times New Roman" w:eastAsia="Times New Roman" w:cs="Times New Roman"/>
                <w:color w:val="000000"/>
                <w:kern w:val="0"/>
                <w:sz w:val="20"/>
                <w:szCs w:val="20"/>
                <w:lang w:eastAsia="sv-SE"/>
                <w14:numSpacing w14:val="default"/>
              </w:rPr>
              <w:t>Malmö universitet</w:t>
            </w:r>
            <w:proofErr w:type="gramEnd"/>
            <w:r w:rsidRPr="006B7451">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20DD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1 071 023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80EB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−92 000</w:t>
            </w:r>
          </w:p>
        </w:tc>
      </w:tr>
      <w:tr w:rsidRPr="006B7451" w:rsidR="00FF2DF6" w:rsidTr="00523453" w14:paraId="33DA0AF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299D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3660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gramStart"/>
            <w:r w:rsidRPr="006B7451">
              <w:rPr>
                <w:rFonts w:ascii="Times New Roman" w:hAnsi="Times New Roman" w:eastAsia="Times New Roman" w:cs="Times New Roman"/>
                <w:color w:val="000000"/>
                <w:kern w:val="0"/>
                <w:sz w:val="20"/>
                <w:szCs w:val="20"/>
                <w:lang w:eastAsia="sv-SE"/>
                <w14:numSpacing w14:val="default"/>
              </w:rPr>
              <w:t>Malmö universitet</w:t>
            </w:r>
            <w:proofErr w:type="gramEnd"/>
            <w:r w:rsidRPr="006B7451">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C42E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300 160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E057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9CAD54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EE29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548E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9B26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693 913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B348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3C0F0A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5658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3603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D3B08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282 626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CB917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−132 000</w:t>
            </w:r>
          </w:p>
        </w:tc>
      </w:tr>
      <w:tr w:rsidRPr="006B7451" w:rsidR="00FF2DF6" w:rsidTr="00523453" w14:paraId="45F733A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BDDB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3356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2455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289 707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84EE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78B7F80"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785B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FF2C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0AA7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109 825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6409B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9C8B23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DA73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2A0A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8A5E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216 661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0918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55 639</w:t>
            </w:r>
          </w:p>
        </w:tc>
      </w:tr>
      <w:tr w:rsidRPr="006B7451" w:rsidR="00FF2DF6" w:rsidTr="00523453" w14:paraId="5446A16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369E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0C96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9841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55 639</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C02D8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−55 639</w:t>
            </w:r>
          </w:p>
        </w:tc>
      </w:tr>
      <w:tr w:rsidRPr="006B7451" w:rsidR="00FF2DF6" w:rsidTr="00523453" w14:paraId="09813B1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4ABB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AC66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7AC91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123 864</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25C4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EF06E00"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DC3E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E9BB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6D8E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34 895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B69A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B5C241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8B8E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9122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98EB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571 955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2EF8F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0C2D6B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8E1C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8570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CE19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106 082</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4CD3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66E07C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DB3A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07D8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B739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487 005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BA7F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FDADCF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62DA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15B1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EE2D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109 431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EF59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26073D9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A5CD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771FD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B29C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526 317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BB7D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216BF1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ED2F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F9A3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A435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116 196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5798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6FF3358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DAC9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0EEC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3A5D7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454 910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C3F35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566043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0595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F37C5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9A94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103 157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E33D4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242F04D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5BCA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0662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9B08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456 948</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4747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73C67D9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ADA2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E9CCA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014B9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99 395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627E6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4E25976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0CC9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4A2F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9DE7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357 206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7742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7EFC59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32E8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BDE95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50B2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66 586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8F2D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692F00B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47B4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7885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5055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424 527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894A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5B9726F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B3BD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2102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165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93 697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506A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173F43F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0BF5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676F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CB33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181 683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27F4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22 222</w:t>
            </w:r>
          </w:p>
        </w:tc>
      </w:tr>
      <w:tr w:rsidRPr="006B7451" w:rsidR="00FF2DF6" w:rsidTr="00523453" w14:paraId="47AB3F4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11E7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8DF1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2636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22 222</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B6333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−22 222</w:t>
            </w:r>
          </w:p>
        </w:tc>
      </w:tr>
      <w:tr w:rsidRPr="006B7451" w:rsidR="00FF2DF6" w:rsidTr="00523453" w14:paraId="5FFB490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FA7B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2:55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002C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54AF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70 193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8982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13 037</w:t>
            </w:r>
          </w:p>
        </w:tc>
      </w:tr>
      <w:tr w:rsidRPr="006B7451" w:rsidR="00FF2DF6" w:rsidTr="00523453" w14:paraId="01C110D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62E77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F9BF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CA72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13 037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2D649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−13 037</w:t>
            </w:r>
          </w:p>
        </w:tc>
      </w:tr>
      <w:tr w:rsidRPr="006B7451" w:rsidR="00FF2DF6" w:rsidTr="00523453" w14:paraId="121B4EE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6B0F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EA2A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1D77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146 193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31A4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22 357</w:t>
            </w:r>
          </w:p>
        </w:tc>
      </w:tr>
      <w:tr w:rsidRPr="006B7451" w:rsidR="00FF2DF6" w:rsidTr="00523453" w14:paraId="25FE27E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CAF27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67AC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E976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22 357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20924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−22 357</w:t>
            </w:r>
          </w:p>
        </w:tc>
      </w:tr>
      <w:tr w:rsidRPr="006B7451" w:rsidR="00FF2DF6" w:rsidTr="00523453" w14:paraId="6BEA131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24E72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67B78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9C31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479 407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C95D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−59 000</w:t>
            </w:r>
          </w:p>
        </w:tc>
      </w:tr>
      <w:tr w:rsidRPr="006B7451" w:rsidR="00FF2DF6" w:rsidTr="00523453" w14:paraId="60836510"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DEB4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5B87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0F95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125 467</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58020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3A47D12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BC911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BBB8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5709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39 626</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C83E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3951723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02EE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290FC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1F400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24 275</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75EDA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2F5916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4988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9A62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6B7451" w:rsidR="00FF2DF6" w:rsidP="00FF2DF6" w:rsidRDefault="00FF2DF6" w14:paraId="273E0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3 837 353</w:t>
            </w:r>
          </w:p>
        </w:tc>
        <w:tc>
          <w:tcPr>
            <w:tcW w:w="1418" w:type="dxa"/>
            <w:shd w:val="clear" w:color="auto" w:fill="FFFFFF"/>
            <w:tcMar>
              <w:top w:w="68" w:type="dxa"/>
              <w:left w:w="28" w:type="dxa"/>
              <w:bottom w:w="0" w:type="dxa"/>
              <w:right w:w="28" w:type="dxa"/>
            </w:tcMar>
            <w:hideMark/>
          </w:tcPr>
          <w:p w:rsidRPr="006B7451" w:rsidR="00FF2DF6" w:rsidP="00FF2DF6" w:rsidRDefault="00FF2DF6" w14:paraId="11292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A82D51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1D89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C9AE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6B7451" w:rsidR="00FF2DF6" w:rsidP="00FF2DF6" w:rsidRDefault="00FF2DF6" w14:paraId="5D3B0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950 902</w:t>
            </w:r>
          </w:p>
        </w:tc>
        <w:tc>
          <w:tcPr>
            <w:tcW w:w="1418" w:type="dxa"/>
            <w:shd w:val="clear" w:color="auto" w:fill="FFFFFF"/>
            <w:tcMar>
              <w:top w:w="68" w:type="dxa"/>
              <w:left w:w="28" w:type="dxa"/>
              <w:bottom w:w="0" w:type="dxa"/>
              <w:right w:w="28" w:type="dxa"/>
            </w:tcMar>
            <w:hideMark/>
          </w:tcPr>
          <w:p w:rsidRPr="006B7451" w:rsidR="00FF2DF6" w:rsidP="00FF2DF6" w:rsidRDefault="00FF2DF6" w14:paraId="3C4B9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08BE342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8364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5DC5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6B7451" w:rsidR="00FF2DF6" w:rsidP="00FF2DF6" w:rsidRDefault="00FF2DF6" w14:paraId="514EE9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534 740</w:t>
            </w:r>
          </w:p>
        </w:tc>
        <w:tc>
          <w:tcPr>
            <w:tcW w:w="1418" w:type="dxa"/>
            <w:shd w:val="clear" w:color="auto" w:fill="FFFFFF"/>
            <w:tcMar>
              <w:top w:w="68" w:type="dxa"/>
              <w:left w:w="28" w:type="dxa"/>
              <w:bottom w:w="0" w:type="dxa"/>
              <w:right w:w="28" w:type="dxa"/>
            </w:tcMar>
            <w:hideMark/>
          </w:tcPr>
          <w:p w:rsidRPr="006B7451" w:rsidR="00FF2DF6" w:rsidP="00FF2DF6" w:rsidRDefault="00FF2DF6" w14:paraId="5B593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690856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3E36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5255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447FA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2 769 954</w:t>
            </w:r>
          </w:p>
        </w:tc>
        <w:tc>
          <w:tcPr>
            <w:tcW w:w="1418" w:type="dxa"/>
            <w:shd w:val="clear" w:color="auto" w:fill="FFFFFF"/>
            <w:tcMar>
              <w:top w:w="68" w:type="dxa"/>
              <w:left w:w="28" w:type="dxa"/>
              <w:bottom w:w="0" w:type="dxa"/>
              <w:right w:w="28" w:type="dxa"/>
            </w:tcMar>
            <w:hideMark/>
          </w:tcPr>
          <w:p w:rsidRPr="006B7451" w:rsidR="00FF2DF6" w:rsidP="00FF2DF6" w:rsidRDefault="00FF2DF6" w14:paraId="7117B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1C1533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15A9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C4FA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6B7451" w:rsidR="00FF2DF6" w:rsidP="00FF2DF6" w:rsidRDefault="00FF2DF6" w14:paraId="4618F0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67 580</w:t>
            </w:r>
          </w:p>
        </w:tc>
        <w:tc>
          <w:tcPr>
            <w:tcW w:w="1418" w:type="dxa"/>
            <w:shd w:val="clear" w:color="auto" w:fill="FFFFFF"/>
            <w:tcMar>
              <w:top w:w="68" w:type="dxa"/>
              <w:left w:w="28" w:type="dxa"/>
              <w:bottom w:w="0" w:type="dxa"/>
              <w:right w:w="28" w:type="dxa"/>
            </w:tcMar>
            <w:hideMark/>
          </w:tcPr>
          <w:p w:rsidRPr="006B7451" w:rsidR="00FF2DF6" w:rsidP="00FF2DF6" w:rsidRDefault="00FF2DF6" w14:paraId="45C857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CB58A1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0A21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5D60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6B7451" w:rsidR="00FF2DF6" w:rsidP="00FF2DF6" w:rsidRDefault="00FF2DF6" w14:paraId="400D0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7 028 846</w:t>
            </w:r>
          </w:p>
        </w:tc>
        <w:tc>
          <w:tcPr>
            <w:tcW w:w="1418" w:type="dxa"/>
            <w:shd w:val="clear" w:color="auto" w:fill="FFFFFF"/>
            <w:tcMar>
              <w:top w:w="68" w:type="dxa"/>
              <w:left w:w="28" w:type="dxa"/>
              <w:bottom w:w="0" w:type="dxa"/>
              <w:right w:w="28" w:type="dxa"/>
            </w:tcMar>
            <w:hideMark/>
          </w:tcPr>
          <w:p w:rsidRPr="006B7451" w:rsidR="00FF2DF6" w:rsidP="00FF2DF6" w:rsidRDefault="00FF2DF6" w14:paraId="5009A2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−300 000</w:t>
            </w:r>
          </w:p>
        </w:tc>
      </w:tr>
      <w:tr w:rsidRPr="006B7451" w:rsidR="00FF2DF6" w:rsidTr="00523453" w14:paraId="5872531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B7EC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A417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DC08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6D044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09F5806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4EB0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7F51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6B7451" w:rsidR="00FF2DF6" w:rsidP="00FF2DF6" w:rsidRDefault="00FF2DF6" w14:paraId="4FC4CC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197 453</w:t>
            </w:r>
          </w:p>
        </w:tc>
        <w:tc>
          <w:tcPr>
            <w:tcW w:w="1418" w:type="dxa"/>
            <w:shd w:val="clear" w:color="auto" w:fill="FFFFFF"/>
            <w:tcMar>
              <w:top w:w="68" w:type="dxa"/>
              <w:left w:w="28" w:type="dxa"/>
              <w:bottom w:w="0" w:type="dxa"/>
              <w:right w:w="28" w:type="dxa"/>
            </w:tcMar>
            <w:hideMark/>
          </w:tcPr>
          <w:p w:rsidRPr="006B7451" w:rsidR="00FF2DF6" w:rsidP="00FF2DF6" w:rsidRDefault="00FF2DF6" w14:paraId="4BEE24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68E828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A4C3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8B41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6B7451" w:rsidR="00FF2DF6" w:rsidP="00FF2DF6" w:rsidRDefault="00FF2DF6" w14:paraId="4129D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1 227 356</w:t>
            </w:r>
          </w:p>
        </w:tc>
        <w:tc>
          <w:tcPr>
            <w:tcW w:w="1418" w:type="dxa"/>
            <w:shd w:val="clear" w:color="auto" w:fill="FFFFFF"/>
            <w:tcMar>
              <w:top w:w="68" w:type="dxa"/>
              <w:left w:w="28" w:type="dxa"/>
              <w:bottom w:w="0" w:type="dxa"/>
              <w:right w:w="28" w:type="dxa"/>
            </w:tcMar>
            <w:hideMark/>
          </w:tcPr>
          <w:p w:rsidRPr="006B7451" w:rsidR="00FF2DF6" w:rsidP="00FF2DF6" w:rsidRDefault="00FF2DF6" w14:paraId="7CA30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FF2DF6" w:rsidTr="00FF2DF6" w14:paraId="3724105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431E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A592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6B7451" w:rsidR="00FF2DF6" w:rsidP="00FF2DF6" w:rsidRDefault="00FF2DF6" w14:paraId="0A6A4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46 152</w:t>
            </w:r>
          </w:p>
        </w:tc>
        <w:tc>
          <w:tcPr>
            <w:tcW w:w="1418" w:type="dxa"/>
            <w:shd w:val="clear" w:color="auto" w:fill="FFFFFF"/>
            <w:tcMar>
              <w:top w:w="68" w:type="dxa"/>
              <w:left w:w="28" w:type="dxa"/>
              <w:bottom w:w="0" w:type="dxa"/>
              <w:right w:w="28" w:type="dxa"/>
            </w:tcMar>
            <w:hideMark/>
          </w:tcPr>
          <w:p w:rsidRPr="006B7451" w:rsidR="00FF2DF6" w:rsidP="00FF2DF6" w:rsidRDefault="00FF2DF6" w14:paraId="2B2B4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6180EE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D93B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77A4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6B7451" w:rsidR="00FF2DF6" w:rsidP="00FF2DF6" w:rsidRDefault="00FF2DF6" w14:paraId="181D6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62 845</w:t>
            </w:r>
          </w:p>
        </w:tc>
        <w:tc>
          <w:tcPr>
            <w:tcW w:w="1418" w:type="dxa"/>
            <w:shd w:val="clear" w:color="auto" w:fill="FFFFFF"/>
            <w:tcMar>
              <w:top w:w="68" w:type="dxa"/>
              <w:left w:w="28" w:type="dxa"/>
              <w:bottom w:w="0" w:type="dxa"/>
              <w:right w:w="28" w:type="dxa"/>
            </w:tcMar>
            <w:hideMark/>
          </w:tcPr>
          <w:p w:rsidRPr="006B7451" w:rsidR="00FF2DF6" w:rsidP="00FF2DF6" w:rsidRDefault="00FF2DF6" w14:paraId="3A555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FF5FC4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4018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916D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6B7451" w:rsidR="00FF2DF6" w:rsidP="00FF2DF6" w:rsidRDefault="00FF2DF6" w14:paraId="1C038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422 655</w:t>
            </w:r>
          </w:p>
        </w:tc>
        <w:tc>
          <w:tcPr>
            <w:tcW w:w="1418" w:type="dxa"/>
            <w:shd w:val="clear" w:color="auto" w:fill="FFFFFF"/>
            <w:tcMar>
              <w:top w:w="68" w:type="dxa"/>
              <w:left w:w="28" w:type="dxa"/>
              <w:bottom w:w="0" w:type="dxa"/>
              <w:right w:w="28" w:type="dxa"/>
            </w:tcMar>
            <w:hideMark/>
          </w:tcPr>
          <w:p w:rsidRPr="006B7451" w:rsidR="00FF2DF6" w:rsidP="00FF2DF6" w:rsidRDefault="00FF2DF6" w14:paraId="4FB43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65FD2E5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ADC1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9783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6B7451" w:rsidR="00FF2DF6" w:rsidP="00FF2DF6" w:rsidRDefault="00FF2DF6" w14:paraId="74633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66 363</w:t>
            </w:r>
          </w:p>
        </w:tc>
        <w:tc>
          <w:tcPr>
            <w:tcW w:w="1418" w:type="dxa"/>
            <w:shd w:val="clear" w:color="auto" w:fill="FFFFFF"/>
            <w:tcMar>
              <w:top w:w="68" w:type="dxa"/>
              <w:left w:w="28" w:type="dxa"/>
              <w:bottom w:w="0" w:type="dxa"/>
              <w:right w:w="28" w:type="dxa"/>
            </w:tcMar>
            <w:hideMark/>
          </w:tcPr>
          <w:p w:rsidRPr="006B7451" w:rsidR="00FF2DF6" w:rsidP="00FF2DF6" w:rsidRDefault="00FF2DF6" w14:paraId="1D9B3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046911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CE6E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259C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6B7451" w:rsidR="00FF2DF6" w:rsidP="00FF2DF6" w:rsidRDefault="00FF2DF6" w14:paraId="489DB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6B7451" w:rsidR="00FF2DF6" w:rsidP="00FF2DF6" w:rsidRDefault="00FF2DF6" w14:paraId="6493A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D308F0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E390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DE48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6B7451" w:rsidR="00FF2DF6" w:rsidP="00FF2DF6" w:rsidRDefault="00FF2DF6" w14:paraId="72225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5 409</w:t>
            </w:r>
          </w:p>
        </w:tc>
        <w:tc>
          <w:tcPr>
            <w:tcW w:w="1418" w:type="dxa"/>
            <w:shd w:val="clear" w:color="auto" w:fill="FFFFFF"/>
            <w:tcMar>
              <w:top w:w="68" w:type="dxa"/>
              <w:left w:w="28" w:type="dxa"/>
              <w:bottom w:w="0" w:type="dxa"/>
              <w:right w:w="28" w:type="dxa"/>
            </w:tcMar>
            <w:hideMark/>
          </w:tcPr>
          <w:p w:rsidRPr="006B7451" w:rsidR="00FF2DF6" w:rsidP="00FF2DF6" w:rsidRDefault="00FF2DF6" w14:paraId="2AF61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B59D3A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AEC6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AD07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6B7451" w:rsidR="00FF2DF6" w:rsidP="00FF2DF6" w:rsidRDefault="00FF2DF6" w14:paraId="1B0B4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51 207</w:t>
            </w:r>
          </w:p>
        </w:tc>
        <w:tc>
          <w:tcPr>
            <w:tcW w:w="1418" w:type="dxa"/>
            <w:shd w:val="clear" w:color="auto" w:fill="FFFFFF"/>
            <w:tcMar>
              <w:top w:w="68" w:type="dxa"/>
              <w:left w:w="28" w:type="dxa"/>
              <w:bottom w:w="0" w:type="dxa"/>
              <w:right w:w="28" w:type="dxa"/>
            </w:tcMar>
            <w:hideMark/>
          </w:tcPr>
          <w:p w:rsidRPr="006B7451" w:rsidR="00FF2DF6" w:rsidP="00FF2DF6" w:rsidRDefault="00FF2DF6" w14:paraId="1A97C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684C993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019F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FE34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1E57B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8 350</w:t>
            </w:r>
          </w:p>
        </w:tc>
        <w:tc>
          <w:tcPr>
            <w:tcW w:w="1418" w:type="dxa"/>
            <w:shd w:val="clear" w:color="auto" w:fill="FFFFFF"/>
            <w:tcMar>
              <w:top w:w="68" w:type="dxa"/>
              <w:left w:w="28" w:type="dxa"/>
              <w:bottom w:w="0" w:type="dxa"/>
              <w:right w:w="28" w:type="dxa"/>
            </w:tcMar>
            <w:hideMark/>
          </w:tcPr>
          <w:p w:rsidRPr="006B7451" w:rsidR="00FF2DF6" w:rsidP="00FF2DF6" w:rsidRDefault="00FF2DF6" w14:paraId="25EF4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055FE9F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DA00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EEB5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6B7451" w:rsidR="00FF2DF6" w:rsidP="00FF2DF6" w:rsidRDefault="00FF2DF6" w14:paraId="05011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88 995</w:t>
            </w:r>
          </w:p>
        </w:tc>
        <w:tc>
          <w:tcPr>
            <w:tcW w:w="1418" w:type="dxa"/>
            <w:shd w:val="clear" w:color="auto" w:fill="FFFFFF"/>
            <w:tcMar>
              <w:top w:w="68" w:type="dxa"/>
              <w:left w:w="28" w:type="dxa"/>
              <w:bottom w:w="0" w:type="dxa"/>
              <w:right w:w="28" w:type="dxa"/>
            </w:tcMar>
            <w:hideMark/>
          </w:tcPr>
          <w:p w:rsidRPr="006B7451" w:rsidR="00FF2DF6" w:rsidP="00FF2DF6" w:rsidRDefault="00FF2DF6" w14:paraId="168B9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23AFAC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B9E9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D220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6B7451" w:rsidR="00FF2DF6" w:rsidP="00FF2DF6" w:rsidRDefault="00FF2DF6" w14:paraId="3E86A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4 810</w:t>
            </w:r>
          </w:p>
        </w:tc>
        <w:tc>
          <w:tcPr>
            <w:tcW w:w="1418" w:type="dxa"/>
            <w:shd w:val="clear" w:color="auto" w:fill="FFFFFF"/>
            <w:tcMar>
              <w:top w:w="68" w:type="dxa"/>
              <w:left w:w="28" w:type="dxa"/>
              <w:bottom w:w="0" w:type="dxa"/>
              <w:right w:w="28" w:type="dxa"/>
            </w:tcMar>
            <w:hideMark/>
          </w:tcPr>
          <w:p w:rsidRPr="006B7451" w:rsidR="00FF2DF6" w:rsidP="00FF2DF6" w:rsidRDefault="00FF2DF6" w14:paraId="4E5F8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30DE13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BB36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CB075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6B7451" w:rsidR="00FF2DF6" w:rsidP="00FF2DF6" w:rsidRDefault="00FF2DF6" w14:paraId="78A87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6B7451" w:rsidR="00FF2DF6" w:rsidP="00FF2DF6" w:rsidRDefault="00FF2DF6" w14:paraId="72EA5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5BC984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6866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E63C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6B7451" w:rsidR="00FF2DF6" w:rsidP="00FF2DF6" w:rsidRDefault="00FF2DF6" w14:paraId="6451C6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6B7451" w:rsidR="00FF2DF6" w:rsidP="00FF2DF6" w:rsidRDefault="00FF2DF6" w14:paraId="3039D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50B528F"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F2A9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FE3A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6B7451">
              <w:rPr>
                <w:rFonts w:ascii="Times New Roman" w:hAnsi="Times New Roman" w:eastAsia="Times New Roman" w:cs="Times New Roman"/>
                <w:color w:val="000000"/>
                <w:kern w:val="0"/>
                <w:sz w:val="20"/>
                <w:szCs w:val="20"/>
                <w:lang w:eastAsia="sv-SE"/>
                <w14:numSpacing w14:val="default"/>
              </w:rPr>
              <w:t>Svenska</w:t>
            </w:r>
            <w:proofErr w:type="gramEnd"/>
            <w:r w:rsidRPr="006B7451">
              <w:rPr>
                <w:rFonts w:ascii="Times New Roman" w:hAnsi="Times New Roman" w:eastAsia="Times New Roman" w:cs="Times New Roman"/>
                <w:color w:val="000000"/>
                <w:kern w:val="0"/>
                <w:sz w:val="20"/>
                <w:szCs w:val="20"/>
                <w:lang w:eastAsia="sv-SE"/>
                <w14:numSpacing w14:val="default"/>
              </w:rPr>
              <w:t xml:space="preserve"> Unescorådet</w:t>
            </w:r>
          </w:p>
        </w:tc>
        <w:tc>
          <w:tcPr>
            <w:tcW w:w="1418" w:type="dxa"/>
            <w:shd w:val="clear" w:color="auto" w:fill="FFFFFF"/>
            <w:tcMar>
              <w:top w:w="68" w:type="dxa"/>
              <w:left w:w="28" w:type="dxa"/>
              <w:bottom w:w="0" w:type="dxa"/>
              <w:right w:w="28" w:type="dxa"/>
            </w:tcMar>
            <w:hideMark/>
          </w:tcPr>
          <w:p w:rsidRPr="006B7451" w:rsidR="00FF2DF6" w:rsidP="00FF2DF6" w:rsidRDefault="00FF2DF6" w14:paraId="1CBAE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10 980</w:t>
            </w:r>
          </w:p>
        </w:tc>
        <w:tc>
          <w:tcPr>
            <w:tcW w:w="1418" w:type="dxa"/>
            <w:shd w:val="clear" w:color="auto" w:fill="FFFFFF"/>
            <w:tcMar>
              <w:top w:w="68" w:type="dxa"/>
              <w:left w:w="28" w:type="dxa"/>
              <w:bottom w:w="0" w:type="dxa"/>
              <w:right w:w="28" w:type="dxa"/>
            </w:tcMar>
            <w:hideMark/>
          </w:tcPr>
          <w:p w:rsidRPr="006B7451" w:rsidR="00FF2DF6" w:rsidP="00FF2DF6" w:rsidRDefault="00FF2DF6" w14:paraId="4A51F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523453" w14:paraId="01AE5470"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E6B2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F426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41341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58 043</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69AF4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04ED09E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7E9F8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5F88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glesbygdsskolor</w:t>
            </w:r>
          </w:p>
        </w:tc>
        <w:tc>
          <w:tcPr>
            <w:tcW w:w="1418" w:type="dxa"/>
            <w:shd w:val="clear" w:color="auto" w:fill="FFFFFF"/>
            <w:tcMar>
              <w:top w:w="68" w:type="dxa"/>
              <w:left w:w="28" w:type="dxa"/>
              <w:bottom w:w="0" w:type="dxa"/>
              <w:right w:w="28" w:type="dxa"/>
            </w:tcMar>
            <w:hideMark/>
          </w:tcPr>
          <w:p w:rsidRPr="006B7451" w:rsidR="00FF2DF6" w:rsidP="00FF2DF6" w:rsidRDefault="00FF2DF6" w14:paraId="2AC8D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756D8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380 000</w:t>
            </w:r>
          </w:p>
        </w:tc>
      </w:tr>
      <w:tr w:rsidRPr="006B7451" w:rsidR="00FF2DF6" w:rsidTr="00523453" w14:paraId="73347CE0"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4A14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9800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Slopat karensavdrag för förskolepersonal, lärare i grundskolan och fritidspersonal</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0F07E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B7451" w:rsidR="00FF2DF6" w:rsidP="00523453" w:rsidRDefault="00FF2DF6" w14:paraId="3E343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FF2DF6" w:rsidTr="00FF2DF6" w14:paraId="1661C7F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FA7A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D7D1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Utökning SYV grundskola och gymnasieskola</w:t>
            </w:r>
          </w:p>
        </w:tc>
        <w:tc>
          <w:tcPr>
            <w:tcW w:w="1418" w:type="dxa"/>
            <w:shd w:val="clear" w:color="auto" w:fill="FFFFFF"/>
            <w:tcMar>
              <w:top w:w="68" w:type="dxa"/>
              <w:left w:w="28" w:type="dxa"/>
              <w:bottom w:w="0" w:type="dxa"/>
              <w:right w:w="28" w:type="dxa"/>
            </w:tcMar>
            <w:hideMark/>
          </w:tcPr>
          <w:p w:rsidRPr="006B7451" w:rsidR="00FF2DF6" w:rsidP="00FF2DF6" w:rsidRDefault="00FF2DF6" w14:paraId="638BE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08CC08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125 000</w:t>
            </w:r>
          </w:p>
        </w:tc>
      </w:tr>
      <w:tr w:rsidRPr="006B7451" w:rsidR="00FF2DF6" w:rsidTr="00FF2DF6" w14:paraId="4F0E167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0402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7438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Jourklasser</w:t>
            </w:r>
          </w:p>
        </w:tc>
        <w:tc>
          <w:tcPr>
            <w:tcW w:w="1418" w:type="dxa"/>
            <w:shd w:val="clear" w:color="auto" w:fill="FFFFFF"/>
            <w:tcMar>
              <w:top w:w="68" w:type="dxa"/>
              <w:left w:w="28" w:type="dxa"/>
              <w:bottom w:w="0" w:type="dxa"/>
              <w:right w:w="28" w:type="dxa"/>
            </w:tcMar>
            <w:hideMark/>
          </w:tcPr>
          <w:p w:rsidRPr="006B7451" w:rsidR="00FF2DF6" w:rsidP="00FF2DF6" w:rsidRDefault="00FF2DF6" w14:paraId="73C8D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7B5D8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800 000</w:t>
            </w:r>
          </w:p>
        </w:tc>
      </w:tr>
      <w:tr w:rsidRPr="006B7451" w:rsidR="00FF2DF6" w:rsidTr="00FF2DF6" w14:paraId="371B570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A801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F971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Utökad </w:t>
            </w:r>
            <w:proofErr w:type="gramStart"/>
            <w:r w:rsidRPr="006B7451">
              <w:rPr>
                <w:rFonts w:ascii="Times New Roman" w:hAnsi="Times New Roman" w:eastAsia="Times New Roman" w:cs="Times New Roman"/>
                <w:color w:val="000000"/>
                <w:kern w:val="0"/>
                <w:sz w:val="20"/>
                <w:szCs w:val="20"/>
                <w:lang w:eastAsia="sv-SE"/>
                <w14:numSpacing w14:val="default"/>
              </w:rPr>
              <w:t>personaltäthet fritids</w:t>
            </w:r>
            <w:proofErr w:type="gramEnd"/>
          </w:p>
        </w:tc>
        <w:tc>
          <w:tcPr>
            <w:tcW w:w="1418" w:type="dxa"/>
            <w:shd w:val="clear" w:color="auto" w:fill="FFFFFF"/>
            <w:tcMar>
              <w:top w:w="68" w:type="dxa"/>
              <w:left w:w="28" w:type="dxa"/>
              <w:bottom w:w="0" w:type="dxa"/>
              <w:right w:w="28" w:type="dxa"/>
            </w:tcMar>
            <w:hideMark/>
          </w:tcPr>
          <w:p w:rsidRPr="006B7451" w:rsidR="00FF2DF6" w:rsidP="00FF2DF6" w:rsidRDefault="00FF2DF6" w14:paraId="72B623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5071C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FF2DF6" w:rsidTr="00FF2DF6" w14:paraId="4188854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EE58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5D9B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Ökad lärartäthet o undervisningstid högre utbildning</w:t>
            </w:r>
          </w:p>
        </w:tc>
        <w:tc>
          <w:tcPr>
            <w:tcW w:w="1418" w:type="dxa"/>
            <w:shd w:val="clear" w:color="auto" w:fill="FFFFFF"/>
            <w:tcMar>
              <w:top w:w="68" w:type="dxa"/>
              <w:left w:w="28" w:type="dxa"/>
              <w:bottom w:w="0" w:type="dxa"/>
              <w:right w:w="28" w:type="dxa"/>
            </w:tcMar>
            <w:hideMark/>
          </w:tcPr>
          <w:p w:rsidRPr="006B7451" w:rsidR="00FF2DF6" w:rsidP="00FF2DF6" w:rsidRDefault="00FF2DF6" w14:paraId="7C1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4DE41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FF2DF6" w:rsidTr="00FF2DF6" w14:paraId="50F9A97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D6EC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D4BE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Avskaffat produktivitetsbidrag</w:t>
            </w:r>
          </w:p>
        </w:tc>
        <w:tc>
          <w:tcPr>
            <w:tcW w:w="1418" w:type="dxa"/>
            <w:shd w:val="clear" w:color="auto" w:fill="FFFFFF"/>
            <w:tcMar>
              <w:top w:w="68" w:type="dxa"/>
              <w:left w:w="28" w:type="dxa"/>
              <w:bottom w:w="0" w:type="dxa"/>
              <w:right w:w="28" w:type="dxa"/>
            </w:tcMar>
            <w:hideMark/>
          </w:tcPr>
          <w:p w:rsidRPr="006B7451" w:rsidR="00FF2DF6" w:rsidP="00FF2DF6" w:rsidRDefault="00FF2DF6" w14:paraId="3410B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012A5B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460 000</w:t>
            </w:r>
          </w:p>
        </w:tc>
      </w:tr>
      <w:tr w:rsidRPr="006B7451" w:rsidR="00FF2DF6" w:rsidTr="00FF2DF6" w14:paraId="1280CDF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4E710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99:8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F6A1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Strategiskt forskningsanslag kärnenergiforskning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2479B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6C624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FF2DF6" w:rsidTr="00FF2DF6" w14:paraId="7B8C9B2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26A6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722D2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Skolhälsovård</w:t>
            </w:r>
          </w:p>
        </w:tc>
        <w:tc>
          <w:tcPr>
            <w:tcW w:w="1418" w:type="dxa"/>
            <w:shd w:val="clear" w:color="auto" w:fill="FFFFFF"/>
            <w:tcMar>
              <w:top w:w="68" w:type="dxa"/>
              <w:left w:w="28" w:type="dxa"/>
              <w:bottom w:w="0" w:type="dxa"/>
              <w:right w:w="28" w:type="dxa"/>
            </w:tcMar>
            <w:hideMark/>
          </w:tcPr>
          <w:p w:rsidRPr="006B7451" w:rsidR="00FF2DF6" w:rsidP="00FF2DF6" w:rsidRDefault="00FF2DF6" w14:paraId="0DFA4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55676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850 000</w:t>
            </w:r>
          </w:p>
        </w:tc>
      </w:tr>
      <w:tr w:rsidRPr="006B7451" w:rsidR="00FF2DF6" w:rsidTr="00FF2DF6" w14:paraId="6AE9027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C28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BC23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Ökat basanslag</w:t>
            </w:r>
          </w:p>
        </w:tc>
        <w:tc>
          <w:tcPr>
            <w:tcW w:w="1418" w:type="dxa"/>
            <w:shd w:val="clear" w:color="auto" w:fill="FFFFFF"/>
            <w:tcMar>
              <w:top w:w="68" w:type="dxa"/>
              <w:left w:w="28" w:type="dxa"/>
              <w:bottom w:w="0" w:type="dxa"/>
              <w:right w:w="28" w:type="dxa"/>
            </w:tcMar>
            <w:hideMark/>
          </w:tcPr>
          <w:p w:rsidRPr="006B7451" w:rsidR="00FF2DF6" w:rsidP="00FF2DF6" w:rsidRDefault="00FF2DF6" w14:paraId="560548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23BED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300 000</w:t>
            </w:r>
          </w:p>
        </w:tc>
      </w:tr>
      <w:tr w:rsidRPr="006B7451" w:rsidR="00FF2DF6" w:rsidTr="00FF2DF6" w14:paraId="2D3A426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8105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6A77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Ökad generell skolpeng</w:t>
            </w:r>
          </w:p>
        </w:tc>
        <w:tc>
          <w:tcPr>
            <w:tcW w:w="1418" w:type="dxa"/>
            <w:shd w:val="clear" w:color="auto" w:fill="FFFFFF"/>
            <w:tcMar>
              <w:top w:w="68" w:type="dxa"/>
              <w:left w:w="28" w:type="dxa"/>
              <w:bottom w:w="0" w:type="dxa"/>
              <w:right w:w="28" w:type="dxa"/>
            </w:tcMar>
            <w:hideMark/>
          </w:tcPr>
          <w:p w:rsidRPr="006B7451" w:rsidR="00FF2DF6" w:rsidP="00FF2DF6" w:rsidRDefault="00FF2DF6" w14:paraId="12DE3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72D33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2 000 000</w:t>
            </w:r>
          </w:p>
        </w:tc>
      </w:tr>
      <w:tr w:rsidRPr="006B7451" w:rsidR="00FF2DF6" w:rsidTr="00FF2DF6" w14:paraId="50CA254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2F11D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9775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94 529 445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1AF6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448 500</w:t>
            </w:r>
          </w:p>
        </w:tc>
      </w:tr>
    </w:tbl>
    <w:p w:rsidRPr="006B7451" w:rsidR="008A7FDF" w:rsidP="00ED5D60" w:rsidRDefault="008A7FDF" w14:paraId="46A37F5B" w14:textId="77777777">
      <w:pPr>
        <w:pStyle w:val="Rubrik2numrerat"/>
      </w:pPr>
      <w:bookmarkStart w:name="_Toc121752698" w:id="194"/>
      <w:r w:rsidRPr="006B7451">
        <w:t>Utgiftsområde 17 Kultur, medier, trossamfund och fritid</w:t>
      </w:r>
      <w:bookmarkEnd w:id="194"/>
    </w:p>
    <w:p w:rsidRPr="00EE39D2" w:rsidR="00C02DED" w:rsidP="00E33FCD" w:rsidRDefault="00C02DED" w14:paraId="0959A585" w14:textId="77777777">
      <w:pPr>
        <w:pStyle w:val="Tabellrubrik"/>
        <w:keepNext/>
      </w:pPr>
      <w:r w:rsidRPr="00EE39D2">
        <w:t>Anslagsförslag 2022 för utgiftsområde 17 Kultur, medier, trossamfund och fritid</w:t>
      </w:r>
    </w:p>
    <w:p w:rsidRPr="00EE39D2" w:rsidR="00C02DED" w:rsidP="00EE39D2" w:rsidRDefault="00C02DED" w14:paraId="717AEC42" w14:textId="77777777">
      <w:pPr>
        <w:pStyle w:val="Tabellunderrubrik"/>
      </w:pPr>
      <w:r w:rsidRPr="00EE3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6B7451" w:rsidR="00C02DED" w:rsidTr="00EE39D2" w14:paraId="3F573B2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13C68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2B47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10E5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3833E15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0863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9208E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hideMark/>
          </w:tcPr>
          <w:p w:rsidRPr="006B7451" w:rsidR="00C02DED" w:rsidP="00C02DED" w:rsidRDefault="00C02DED" w14:paraId="40FF2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73 714</w:t>
            </w:r>
          </w:p>
        </w:tc>
        <w:tc>
          <w:tcPr>
            <w:tcW w:w="1418" w:type="dxa"/>
            <w:shd w:val="clear" w:color="auto" w:fill="FFFFFF"/>
            <w:tcMar>
              <w:top w:w="68" w:type="dxa"/>
              <w:left w:w="28" w:type="dxa"/>
              <w:bottom w:w="0" w:type="dxa"/>
              <w:right w:w="28" w:type="dxa"/>
            </w:tcMar>
            <w:hideMark/>
          </w:tcPr>
          <w:p w:rsidRPr="006B7451" w:rsidR="00C02DED" w:rsidP="00C02DED" w:rsidRDefault="00C02DED" w14:paraId="16DD0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EE39D2" w14:paraId="021E134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9578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DC0E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1D861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1 450 582</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3CFAF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C02DED" w:rsidTr="00C02DED" w14:paraId="586A799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6D5D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4F15D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hideMark/>
          </w:tcPr>
          <w:p w:rsidRPr="006B7451" w:rsidR="00C02DED" w:rsidP="00C02DED" w:rsidRDefault="00C02DED" w14:paraId="1AA03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199 964</w:t>
            </w:r>
          </w:p>
        </w:tc>
        <w:tc>
          <w:tcPr>
            <w:tcW w:w="1418" w:type="dxa"/>
            <w:shd w:val="clear" w:color="auto" w:fill="FFFFFF"/>
            <w:tcMar>
              <w:top w:w="68" w:type="dxa"/>
              <w:left w:w="28" w:type="dxa"/>
              <w:bottom w:w="0" w:type="dxa"/>
              <w:right w:w="28" w:type="dxa"/>
            </w:tcMar>
            <w:hideMark/>
          </w:tcPr>
          <w:p w:rsidRPr="006B7451" w:rsidR="00C02DED" w:rsidP="00C02DED" w:rsidRDefault="00C02DED" w14:paraId="104C4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EE39D2" w14:paraId="2A6A10E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7C71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C7BA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2E139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45 153</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3F93F6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C02DED" w14:paraId="6AB9014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2164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AE1B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hideMark/>
          </w:tcPr>
          <w:p w:rsidRPr="006B7451" w:rsidR="00C02DED" w:rsidP="00C02DED" w:rsidRDefault="00C02DED" w14:paraId="6FB13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9 852</w:t>
            </w:r>
          </w:p>
        </w:tc>
        <w:tc>
          <w:tcPr>
            <w:tcW w:w="1418" w:type="dxa"/>
            <w:shd w:val="clear" w:color="auto" w:fill="FFFFFF"/>
            <w:tcMar>
              <w:top w:w="68" w:type="dxa"/>
              <w:left w:w="28" w:type="dxa"/>
              <w:bottom w:w="0" w:type="dxa"/>
              <w:right w:w="28" w:type="dxa"/>
            </w:tcMar>
            <w:hideMark/>
          </w:tcPr>
          <w:p w:rsidRPr="006B7451" w:rsidR="00C02DED" w:rsidP="00C02DED" w:rsidRDefault="00C02DED" w14:paraId="7CD74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r>
      <w:tr w:rsidRPr="006B7451" w:rsidR="00C02DED" w:rsidTr="00C02DED" w14:paraId="2FB171D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672E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23CA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3C00A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1 681 723</w:t>
            </w:r>
          </w:p>
        </w:tc>
        <w:tc>
          <w:tcPr>
            <w:tcW w:w="1418" w:type="dxa"/>
            <w:shd w:val="clear" w:color="auto" w:fill="FFFFFF"/>
            <w:tcMar>
              <w:top w:w="68" w:type="dxa"/>
              <w:left w:w="28" w:type="dxa"/>
              <w:bottom w:w="0" w:type="dxa"/>
              <w:right w:w="28" w:type="dxa"/>
            </w:tcMar>
            <w:hideMark/>
          </w:tcPr>
          <w:p w:rsidRPr="006B7451" w:rsidR="00C02DED" w:rsidP="00C02DED" w:rsidRDefault="00C02DED" w14:paraId="00A40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1F8A14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5695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6913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hideMark/>
          </w:tcPr>
          <w:p w:rsidRPr="006B7451" w:rsidR="00C02DED" w:rsidP="00C02DED" w:rsidRDefault="00C02DED" w14:paraId="3BF65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18 436</w:t>
            </w:r>
          </w:p>
        </w:tc>
        <w:tc>
          <w:tcPr>
            <w:tcW w:w="1418" w:type="dxa"/>
            <w:shd w:val="clear" w:color="auto" w:fill="FFFFFF"/>
            <w:tcMar>
              <w:top w:w="68" w:type="dxa"/>
              <w:left w:w="28" w:type="dxa"/>
              <w:bottom w:w="0" w:type="dxa"/>
              <w:right w:w="28" w:type="dxa"/>
            </w:tcMar>
            <w:hideMark/>
          </w:tcPr>
          <w:p w:rsidRPr="006B7451" w:rsidR="00C02DED" w:rsidP="00C02DED" w:rsidRDefault="00C02DED" w14:paraId="758B7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70BEC9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A4F3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BE3B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3AE44D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1 122 130</w:t>
            </w:r>
          </w:p>
        </w:tc>
        <w:tc>
          <w:tcPr>
            <w:tcW w:w="1418" w:type="dxa"/>
            <w:shd w:val="clear" w:color="auto" w:fill="FFFFFF"/>
            <w:tcMar>
              <w:top w:w="68" w:type="dxa"/>
              <w:left w:w="28" w:type="dxa"/>
              <w:bottom w:w="0" w:type="dxa"/>
              <w:right w:w="28" w:type="dxa"/>
            </w:tcMar>
            <w:hideMark/>
          </w:tcPr>
          <w:p w:rsidRPr="006B7451" w:rsidR="00C02DED" w:rsidP="00C02DED" w:rsidRDefault="00C02DED" w14:paraId="637F5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−13 703</w:t>
            </w:r>
          </w:p>
        </w:tc>
      </w:tr>
      <w:tr w:rsidRPr="006B7451" w:rsidR="00C02DED" w:rsidTr="00C02DED" w14:paraId="7AC0777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F816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1F3D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6B7451" w:rsidR="00C02DED" w:rsidP="00C02DED" w:rsidRDefault="00C02DED" w14:paraId="320C3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301 614</w:t>
            </w:r>
          </w:p>
        </w:tc>
        <w:tc>
          <w:tcPr>
            <w:tcW w:w="1418" w:type="dxa"/>
            <w:shd w:val="clear" w:color="auto" w:fill="FFFFFF"/>
            <w:tcMar>
              <w:top w:w="68" w:type="dxa"/>
              <w:left w:w="28" w:type="dxa"/>
              <w:bottom w:w="0" w:type="dxa"/>
              <w:right w:w="28" w:type="dxa"/>
            </w:tcMar>
            <w:hideMark/>
          </w:tcPr>
          <w:p w:rsidRPr="006B7451" w:rsidR="00C02DED" w:rsidP="00C02DED" w:rsidRDefault="00C02DED" w14:paraId="1944A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−16 000</w:t>
            </w:r>
          </w:p>
        </w:tc>
      </w:tr>
      <w:tr w:rsidRPr="006B7451" w:rsidR="00C02DED" w:rsidTr="00C02DED" w14:paraId="4E677BF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4B3EF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5E53D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hideMark/>
          </w:tcPr>
          <w:p w:rsidRPr="006B7451" w:rsidR="00C02DED" w:rsidP="00C02DED" w:rsidRDefault="00C02DED" w14:paraId="067EC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97 355</w:t>
            </w:r>
          </w:p>
        </w:tc>
        <w:tc>
          <w:tcPr>
            <w:tcW w:w="1418" w:type="dxa"/>
            <w:shd w:val="clear" w:color="auto" w:fill="FFFFFF"/>
            <w:tcMar>
              <w:top w:w="68" w:type="dxa"/>
              <w:left w:w="28" w:type="dxa"/>
              <w:bottom w:w="0" w:type="dxa"/>
              <w:right w:w="28" w:type="dxa"/>
            </w:tcMar>
            <w:hideMark/>
          </w:tcPr>
          <w:p w:rsidRPr="006B7451" w:rsidR="00C02DED" w:rsidP="00C02DED" w:rsidRDefault="00C02DED" w14:paraId="4957F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w:t>
            </w:r>
          </w:p>
        </w:tc>
      </w:tr>
      <w:tr w:rsidRPr="006B7451" w:rsidR="00C02DED" w:rsidTr="00C02DED" w14:paraId="023FECA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30AF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AD5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hideMark/>
          </w:tcPr>
          <w:p w:rsidRPr="006B7451" w:rsidR="00C02DED" w:rsidP="00C02DED" w:rsidRDefault="00C02DED" w14:paraId="420D4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205 735</w:t>
            </w:r>
          </w:p>
        </w:tc>
        <w:tc>
          <w:tcPr>
            <w:tcW w:w="1418" w:type="dxa"/>
            <w:shd w:val="clear" w:color="auto" w:fill="FFFFFF"/>
            <w:tcMar>
              <w:top w:w="68" w:type="dxa"/>
              <w:left w:w="28" w:type="dxa"/>
              <w:bottom w:w="0" w:type="dxa"/>
              <w:right w:w="28" w:type="dxa"/>
            </w:tcMar>
            <w:hideMark/>
          </w:tcPr>
          <w:p w:rsidRPr="006B7451" w:rsidR="00C02DED" w:rsidP="00C02DED" w:rsidRDefault="00C02DED" w14:paraId="11F51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C02DED" w:rsidTr="00C02DED" w14:paraId="10F9C68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96621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E10A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hideMark/>
          </w:tcPr>
          <w:p w:rsidRPr="006B7451" w:rsidR="00C02DED" w:rsidP="00C02DED" w:rsidRDefault="00C02DED" w14:paraId="30EC3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128 474</w:t>
            </w:r>
          </w:p>
        </w:tc>
        <w:tc>
          <w:tcPr>
            <w:tcW w:w="1418" w:type="dxa"/>
            <w:shd w:val="clear" w:color="auto" w:fill="FFFFFF"/>
            <w:tcMar>
              <w:top w:w="68" w:type="dxa"/>
              <w:left w:w="28" w:type="dxa"/>
              <w:bottom w:w="0" w:type="dxa"/>
              <w:right w:w="28" w:type="dxa"/>
            </w:tcMar>
            <w:hideMark/>
          </w:tcPr>
          <w:p w:rsidRPr="006B7451" w:rsidR="00C02DED" w:rsidP="00C02DED" w:rsidRDefault="00C02DED" w14:paraId="721454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690A3E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420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5F0D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hideMark/>
          </w:tcPr>
          <w:p w:rsidRPr="006B7451" w:rsidR="00C02DED" w:rsidP="00C02DED" w:rsidRDefault="00C02DED" w14:paraId="13B64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72 251</w:t>
            </w:r>
          </w:p>
        </w:tc>
        <w:tc>
          <w:tcPr>
            <w:tcW w:w="1418" w:type="dxa"/>
            <w:shd w:val="clear" w:color="auto" w:fill="FFFFFF"/>
            <w:tcMar>
              <w:top w:w="68" w:type="dxa"/>
              <w:left w:w="28" w:type="dxa"/>
              <w:bottom w:w="0" w:type="dxa"/>
              <w:right w:w="28" w:type="dxa"/>
            </w:tcMar>
            <w:hideMark/>
          </w:tcPr>
          <w:p w:rsidRPr="006B7451" w:rsidR="00C02DED" w:rsidP="00C02DED" w:rsidRDefault="00C02DED" w14:paraId="52573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11 000</w:t>
            </w:r>
          </w:p>
        </w:tc>
      </w:tr>
      <w:tr w:rsidRPr="006B7451" w:rsidR="00C02DED" w:rsidTr="00C02DED" w14:paraId="1433FC3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ED1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3BA0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konstråd</w:t>
            </w:r>
          </w:p>
        </w:tc>
        <w:tc>
          <w:tcPr>
            <w:tcW w:w="1418" w:type="dxa"/>
            <w:shd w:val="clear" w:color="auto" w:fill="FFFFFF"/>
            <w:tcMar>
              <w:top w:w="68" w:type="dxa"/>
              <w:left w:w="28" w:type="dxa"/>
              <w:bottom w:w="0" w:type="dxa"/>
              <w:right w:w="28" w:type="dxa"/>
            </w:tcMar>
            <w:hideMark/>
          </w:tcPr>
          <w:p w:rsidRPr="006B7451" w:rsidR="00C02DED" w:rsidP="00C02DED" w:rsidRDefault="00C02DED" w14:paraId="62591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11 078</w:t>
            </w:r>
          </w:p>
        </w:tc>
        <w:tc>
          <w:tcPr>
            <w:tcW w:w="1418" w:type="dxa"/>
            <w:shd w:val="clear" w:color="auto" w:fill="FFFFFF"/>
            <w:tcMar>
              <w:top w:w="68" w:type="dxa"/>
              <w:left w:w="28" w:type="dxa"/>
              <w:bottom w:w="0" w:type="dxa"/>
              <w:right w:w="28" w:type="dxa"/>
            </w:tcMar>
            <w:hideMark/>
          </w:tcPr>
          <w:p w:rsidRPr="006B7451" w:rsidR="00C02DED" w:rsidP="00C02DED" w:rsidRDefault="00C02DED" w14:paraId="0E029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69C440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95E93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C3D5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hideMark/>
          </w:tcPr>
          <w:p w:rsidRPr="006B7451" w:rsidR="00C02DED" w:rsidP="00C02DED" w:rsidRDefault="00C02DED" w14:paraId="485A9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42 947</w:t>
            </w:r>
          </w:p>
        </w:tc>
        <w:tc>
          <w:tcPr>
            <w:tcW w:w="1418" w:type="dxa"/>
            <w:shd w:val="clear" w:color="auto" w:fill="FFFFFF"/>
            <w:tcMar>
              <w:top w:w="68" w:type="dxa"/>
              <w:left w:w="28" w:type="dxa"/>
              <w:bottom w:w="0" w:type="dxa"/>
              <w:right w:w="28" w:type="dxa"/>
            </w:tcMar>
            <w:hideMark/>
          </w:tcPr>
          <w:p w:rsidRPr="006B7451" w:rsidR="00C02DED" w:rsidP="00C02DED" w:rsidRDefault="00C02DED" w14:paraId="56091C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7589FB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3E98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05275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Nämnden för hemslöjdsfrågor</w:t>
            </w:r>
          </w:p>
        </w:tc>
        <w:tc>
          <w:tcPr>
            <w:tcW w:w="1418" w:type="dxa"/>
            <w:shd w:val="clear" w:color="auto" w:fill="FFFFFF"/>
            <w:tcMar>
              <w:top w:w="68" w:type="dxa"/>
              <w:left w:w="28" w:type="dxa"/>
              <w:bottom w:w="0" w:type="dxa"/>
              <w:right w:w="28" w:type="dxa"/>
            </w:tcMar>
            <w:hideMark/>
          </w:tcPr>
          <w:p w:rsidRPr="006B7451" w:rsidR="00C02DED" w:rsidP="00C02DED" w:rsidRDefault="00C02DED" w14:paraId="0673A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11 805</w:t>
            </w:r>
          </w:p>
        </w:tc>
        <w:tc>
          <w:tcPr>
            <w:tcW w:w="1418" w:type="dxa"/>
            <w:shd w:val="clear" w:color="auto" w:fill="FFFFFF"/>
            <w:tcMar>
              <w:top w:w="68" w:type="dxa"/>
              <w:left w:w="28" w:type="dxa"/>
              <w:bottom w:w="0" w:type="dxa"/>
              <w:right w:w="28" w:type="dxa"/>
            </w:tcMar>
            <w:hideMark/>
          </w:tcPr>
          <w:p w:rsidRPr="006B7451" w:rsidR="00C02DED" w:rsidP="00C02DED" w:rsidRDefault="00C02DED" w14:paraId="1E888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6FAABDE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DF44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ED2B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bild- och formområdet</w:t>
            </w:r>
          </w:p>
        </w:tc>
        <w:tc>
          <w:tcPr>
            <w:tcW w:w="1418" w:type="dxa"/>
            <w:shd w:val="clear" w:color="auto" w:fill="FFFFFF"/>
            <w:tcMar>
              <w:top w:w="68" w:type="dxa"/>
              <w:left w:w="28" w:type="dxa"/>
              <w:bottom w:w="0" w:type="dxa"/>
              <w:right w:w="28" w:type="dxa"/>
            </w:tcMar>
            <w:hideMark/>
          </w:tcPr>
          <w:p w:rsidRPr="006B7451" w:rsidR="00C02DED" w:rsidP="00C02DED" w:rsidRDefault="00C02DED" w14:paraId="358017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61 069</w:t>
            </w:r>
          </w:p>
        </w:tc>
        <w:tc>
          <w:tcPr>
            <w:tcW w:w="1418" w:type="dxa"/>
            <w:shd w:val="clear" w:color="auto" w:fill="FFFFFF"/>
            <w:tcMar>
              <w:top w:w="68" w:type="dxa"/>
              <w:left w:w="28" w:type="dxa"/>
              <w:bottom w:w="0" w:type="dxa"/>
              <w:right w:w="28" w:type="dxa"/>
            </w:tcMar>
            <w:hideMark/>
          </w:tcPr>
          <w:p w:rsidRPr="006B7451" w:rsidR="00C02DED" w:rsidP="00C02DED" w:rsidRDefault="00C02DED" w14:paraId="0E01A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−6 000</w:t>
            </w:r>
          </w:p>
        </w:tc>
      </w:tr>
      <w:tr w:rsidRPr="006B7451" w:rsidR="00C02DED" w:rsidTr="00C02DED" w14:paraId="6F7A319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444F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54AC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hideMark/>
          </w:tcPr>
          <w:p w:rsidRPr="006B7451" w:rsidR="00C02DED" w:rsidP="00C02DED" w:rsidRDefault="00C02DED" w14:paraId="01906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23 444</w:t>
            </w:r>
          </w:p>
        </w:tc>
        <w:tc>
          <w:tcPr>
            <w:tcW w:w="1418" w:type="dxa"/>
            <w:shd w:val="clear" w:color="auto" w:fill="FFFFFF"/>
            <w:tcMar>
              <w:top w:w="68" w:type="dxa"/>
              <w:left w:w="28" w:type="dxa"/>
              <w:bottom w:w="0" w:type="dxa"/>
              <w:right w:w="28" w:type="dxa"/>
            </w:tcMar>
            <w:hideMark/>
          </w:tcPr>
          <w:p w:rsidRPr="006B7451" w:rsidR="00C02DED" w:rsidP="00C02DED" w:rsidRDefault="00C02DED" w14:paraId="1B8C4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67B2DA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DCD2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18E9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6B7451" w:rsidR="00C02DED" w:rsidP="00C02DED" w:rsidRDefault="00C02DED" w14:paraId="56E53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599 830</w:t>
            </w:r>
          </w:p>
        </w:tc>
        <w:tc>
          <w:tcPr>
            <w:tcW w:w="1418" w:type="dxa"/>
            <w:shd w:val="clear" w:color="auto" w:fill="FFFFFF"/>
            <w:tcMar>
              <w:top w:w="68" w:type="dxa"/>
              <w:left w:w="28" w:type="dxa"/>
              <w:bottom w:w="0" w:type="dxa"/>
              <w:right w:w="28" w:type="dxa"/>
            </w:tcMar>
            <w:hideMark/>
          </w:tcPr>
          <w:p w:rsidRPr="006B7451" w:rsidR="00C02DED" w:rsidP="00C02DED" w:rsidRDefault="00C02DED" w14:paraId="333D0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−135 000</w:t>
            </w:r>
          </w:p>
        </w:tc>
      </w:tr>
      <w:tr w:rsidRPr="006B7451" w:rsidR="00C02DED" w:rsidTr="00C02DED" w14:paraId="17ECFE1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E933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090A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hideMark/>
          </w:tcPr>
          <w:p w:rsidRPr="006B7451" w:rsidR="00C02DED" w:rsidP="00C02DED" w:rsidRDefault="00C02DED" w14:paraId="787F1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467 946</w:t>
            </w:r>
          </w:p>
        </w:tc>
        <w:tc>
          <w:tcPr>
            <w:tcW w:w="1418" w:type="dxa"/>
            <w:shd w:val="clear" w:color="auto" w:fill="FFFFFF"/>
            <w:tcMar>
              <w:top w:w="68" w:type="dxa"/>
              <w:left w:w="28" w:type="dxa"/>
              <w:bottom w:w="0" w:type="dxa"/>
              <w:right w:w="28" w:type="dxa"/>
            </w:tcMar>
            <w:hideMark/>
          </w:tcPr>
          <w:p w:rsidRPr="006B7451" w:rsidR="00C02DED" w:rsidP="00C02DED" w:rsidRDefault="00C02DED" w14:paraId="3DB9B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31 000</w:t>
            </w:r>
          </w:p>
        </w:tc>
      </w:tr>
      <w:tr w:rsidRPr="006B7451" w:rsidR="00C02DED" w:rsidTr="00C02DED" w14:paraId="216DA18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9DB8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5051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6B7451" w:rsidR="00C02DED" w:rsidP="00C02DED" w:rsidRDefault="00C02DED" w14:paraId="5E550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286 384</w:t>
            </w:r>
          </w:p>
        </w:tc>
        <w:tc>
          <w:tcPr>
            <w:tcW w:w="1418" w:type="dxa"/>
            <w:shd w:val="clear" w:color="auto" w:fill="FFFFFF"/>
            <w:tcMar>
              <w:top w:w="68" w:type="dxa"/>
              <w:left w:w="28" w:type="dxa"/>
              <w:bottom w:w="0" w:type="dxa"/>
              <w:right w:w="28" w:type="dxa"/>
            </w:tcMar>
            <w:hideMark/>
          </w:tcPr>
          <w:p w:rsidRPr="006B7451" w:rsidR="00C02DED" w:rsidP="00C02DED" w:rsidRDefault="00C02DED" w14:paraId="7F23F4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4F43ECE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5D9A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B1B6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6B7451" w:rsidR="00C02DED" w:rsidP="00C02DED" w:rsidRDefault="00C02DED" w14:paraId="34E674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276 042</w:t>
            </w:r>
          </w:p>
        </w:tc>
        <w:tc>
          <w:tcPr>
            <w:tcW w:w="1418" w:type="dxa"/>
            <w:shd w:val="clear" w:color="auto" w:fill="FFFFFF"/>
            <w:tcMar>
              <w:top w:w="68" w:type="dxa"/>
              <w:left w:w="28" w:type="dxa"/>
              <w:bottom w:w="0" w:type="dxa"/>
              <w:right w:w="28" w:type="dxa"/>
            </w:tcMar>
            <w:hideMark/>
          </w:tcPr>
          <w:p w:rsidRPr="006B7451" w:rsidR="00C02DED" w:rsidP="00C02DED" w:rsidRDefault="00C02DED" w14:paraId="080BF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1B239A6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BE39A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5AC1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hideMark/>
          </w:tcPr>
          <w:p w:rsidRPr="006B7451" w:rsidR="00C02DED" w:rsidP="00C02DED" w:rsidRDefault="00C02DED" w14:paraId="15798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460 000</w:t>
            </w:r>
          </w:p>
        </w:tc>
        <w:tc>
          <w:tcPr>
            <w:tcW w:w="1418" w:type="dxa"/>
            <w:shd w:val="clear" w:color="auto" w:fill="FFFFFF"/>
            <w:tcMar>
              <w:top w:w="68" w:type="dxa"/>
              <w:left w:w="28" w:type="dxa"/>
              <w:bottom w:w="0" w:type="dxa"/>
              <w:right w:w="28" w:type="dxa"/>
            </w:tcMar>
            <w:hideMark/>
          </w:tcPr>
          <w:p w:rsidRPr="006B7451" w:rsidR="00C02DED" w:rsidP="00C02DED" w:rsidRDefault="00C02DED" w14:paraId="725DF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C02DED" w:rsidTr="00C02DED" w14:paraId="46FFC66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FE63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CD47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6B7451" w:rsidR="00C02DED" w:rsidP="00C02DED" w:rsidRDefault="00C02DED" w14:paraId="7D159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6B7451" w:rsidR="00C02DED" w:rsidP="00C02DED" w:rsidRDefault="00C02DED" w14:paraId="40F66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803C89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D6C1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7870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6B7451" w:rsidR="00C02DED" w:rsidP="00C02DED" w:rsidRDefault="00C02DED" w14:paraId="31E32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1 451 114</w:t>
            </w:r>
          </w:p>
        </w:tc>
        <w:tc>
          <w:tcPr>
            <w:tcW w:w="1418" w:type="dxa"/>
            <w:shd w:val="clear" w:color="auto" w:fill="FFFFFF"/>
            <w:tcMar>
              <w:top w:w="68" w:type="dxa"/>
              <w:left w:w="28" w:type="dxa"/>
              <w:bottom w:w="0" w:type="dxa"/>
              <w:right w:w="28" w:type="dxa"/>
            </w:tcMar>
            <w:hideMark/>
          </w:tcPr>
          <w:p w:rsidRPr="006B7451" w:rsidR="00C02DED" w:rsidP="00C02DED" w:rsidRDefault="00C02DED" w14:paraId="72209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−96 000</w:t>
            </w:r>
          </w:p>
        </w:tc>
      </w:tr>
      <w:tr w:rsidRPr="006B7451" w:rsidR="00C02DED" w:rsidTr="00C02DED" w14:paraId="07E1ECE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4338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845A5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6B7451" w:rsidR="00C02DED" w:rsidP="00C02DED" w:rsidRDefault="00C02DED" w14:paraId="22F90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288 714</w:t>
            </w:r>
          </w:p>
        </w:tc>
        <w:tc>
          <w:tcPr>
            <w:tcW w:w="1418" w:type="dxa"/>
            <w:shd w:val="clear" w:color="auto" w:fill="FFFFFF"/>
            <w:tcMar>
              <w:top w:w="68" w:type="dxa"/>
              <w:left w:w="28" w:type="dxa"/>
              <w:bottom w:w="0" w:type="dxa"/>
              <w:right w:w="28" w:type="dxa"/>
            </w:tcMar>
            <w:hideMark/>
          </w:tcPr>
          <w:p w:rsidRPr="006B7451" w:rsidR="00C02DED" w:rsidP="00C02DED" w:rsidRDefault="00C02DED" w14:paraId="466410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110 000</w:t>
            </w:r>
          </w:p>
        </w:tc>
      </w:tr>
      <w:tr w:rsidRPr="006B7451" w:rsidR="00C02DED" w:rsidTr="00C02DED" w14:paraId="4CA1DB9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1498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BE5D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hideMark/>
          </w:tcPr>
          <w:p w:rsidRPr="006B7451" w:rsidR="00C02DED" w:rsidP="00C02DED" w:rsidRDefault="00C02DED" w14:paraId="3CC47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79 718</w:t>
            </w:r>
          </w:p>
        </w:tc>
        <w:tc>
          <w:tcPr>
            <w:tcW w:w="1418" w:type="dxa"/>
            <w:shd w:val="clear" w:color="auto" w:fill="FFFFFF"/>
            <w:tcMar>
              <w:top w:w="68" w:type="dxa"/>
              <w:left w:w="28" w:type="dxa"/>
              <w:bottom w:w="0" w:type="dxa"/>
              <w:right w:w="28" w:type="dxa"/>
            </w:tcMar>
            <w:hideMark/>
          </w:tcPr>
          <w:p w:rsidRPr="006B7451" w:rsidR="00C02DED" w:rsidP="00C02DED" w:rsidRDefault="00C02DED" w14:paraId="58B25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12 000</w:t>
            </w:r>
          </w:p>
        </w:tc>
      </w:tr>
      <w:tr w:rsidRPr="006B7451" w:rsidR="00C02DED" w:rsidTr="00C02DED" w14:paraId="46702FC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872D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9B75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hideMark/>
          </w:tcPr>
          <w:p w:rsidRPr="006B7451" w:rsidR="00C02DED" w:rsidP="00C02DED" w:rsidRDefault="00C02DED" w14:paraId="3947F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50 175</w:t>
            </w:r>
          </w:p>
        </w:tc>
        <w:tc>
          <w:tcPr>
            <w:tcW w:w="1418" w:type="dxa"/>
            <w:shd w:val="clear" w:color="auto" w:fill="FFFFFF"/>
            <w:tcMar>
              <w:top w:w="68" w:type="dxa"/>
              <w:left w:w="28" w:type="dxa"/>
              <w:bottom w:w="0" w:type="dxa"/>
              <w:right w:w="28" w:type="dxa"/>
            </w:tcMar>
            <w:hideMark/>
          </w:tcPr>
          <w:p w:rsidRPr="006B7451" w:rsidR="00C02DED" w:rsidP="00C02DED" w:rsidRDefault="00C02DED" w14:paraId="19ED7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EE39D2" w14:paraId="4B5A1CC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8E66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B1FF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357E6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4CAAB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B44925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B0FA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2A67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418" w:type="dxa"/>
            <w:shd w:val="clear" w:color="auto" w:fill="FFFFFF"/>
            <w:tcMar>
              <w:top w:w="68" w:type="dxa"/>
              <w:left w:w="28" w:type="dxa"/>
              <w:bottom w:w="0" w:type="dxa"/>
              <w:right w:w="28" w:type="dxa"/>
            </w:tcMar>
            <w:hideMark/>
          </w:tcPr>
          <w:p w:rsidRPr="006B7451" w:rsidR="00C02DED" w:rsidP="00C02DED" w:rsidRDefault="00C02DED" w14:paraId="47DDF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16 327</w:t>
            </w:r>
          </w:p>
        </w:tc>
        <w:tc>
          <w:tcPr>
            <w:tcW w:w="1418" w:type="dxa"/>
            <w:shd w:val="clear" w:color="auto" w:fill="FFFFFF"/>
            <w:tcMar>
              <w:top w:w="68" w:type="dxa"/>
              <w:left w:w="28" w:type="dxa"/>
              <w:bottom w:w="0" w:type="dxa"/>
              <w:right w:w="28" w:type="dxa"/>
            </w:tcMar>
            <w:hideMark/>
          </w:tcPr>
          <w:p w:rsidRPr="006B7451" w:rsidR="00C02DED" w:rsidP="00C02DED" w:rsidRDefault="00C02DED" w14:paraId="28AC76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r>
      <w:tr w:rsidRPr="006B7451" w:rsidR="00C02DED" w:rsidTr="00C02DED" w14:paraId="0798AF9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0ADF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CAD6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hideMark/>
          </w:tcPr>
          <w:p w:rsidRPr="006B7451" w:rsidR="00C02DED" w:rsidP="00C02DED" w:rsidRDefault="00C02DED" w14:paraId="241DE3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81 919</w:t>
            </w:r>
          </w:p>
        </w:tc>
        <w:tc>
          <w:tcPr>
            <w:tcW w:w="1418" w:type="dxa"/>
            <w:shd w:val="clear" w:color="auto" w:fill="FFFFFF"/>
            <w:tcMar>
              <w:top w:w="68" w:type="dxa"/>
              <w:left w:w="28" w:type="dxa"/>
              <w:bottom w:w="0" w:type="dxa"/>
              <w:right w:w="28" w:type="dxa"/>
            </w:tcMar>
            <w:hideMark/>
          </w:tcPr>
          <w:p w:rsidRPr="006B7451" w:rsidR="00C02DED" w:rsidP="00C02DED" w:rsidRDefault="00C02DED" w14:paraId="29A05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−25 000</w:t>
            </w:r>
          </w:p>
        </w:tc>
      </w:tr>
      <w:tr w:rsidRPr="006B7451" w:rsidR="00C02DED" w:rsidTr="00C02DED" w14:paraId="50590D8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7954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10:1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4289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6B7451" w:rsidR="00C02DED" w:rsidP="00C02DED" w:rsidRDefault="00C02DED" w14:paraId="24F6B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608 444</w:t>
            </w:r>
          </w:p>
        </w:tc>
        <w:tc>
          <w:tcPr>
            <w:tcW w:w="1418" w:type="dxa"/>
            <w:shd w:val="clear" w:color="auto" w:fill="FFFFFF"/>
            <w:tcMar>
              <w:top w:w="68" w:type="dxa"/>
              <w:left w:w="28" w:type="dxa"/>
              <w:bottom w:w="0" w:type="dxa"/>
              <w:right w:w="28" w:type="dxa"/>
            </w:tcMar>
            <w:hideMark/>
          </w:tcPr>
          <w:p w:rsidRPr="006B7451" w:rsidR="00C02DED" w:rsidP="00C02DED" w:rsidRDefault="00C02DED" w14:paraId="28F4B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−155 000</w:t>
            </w:r>
          </w:p>
        </w:tc>
      </w:tr>
      <w:tr w:rsidRPr="006B7451" w:rsidR="00C02DED" w:rsidTr="00C02DED" w14:paraId="44579C3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368D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935E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hideMark/>
          </w:tcPr>
          <w:p w:rsidRPr="006B7451" w:rsidR="00C02DED" w:rsidP="00C02DED" w:rsidRDefault="00C02DED" w14:paraId="549F1E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9 721</w:t>
            </w:r>
          </w:p>
        </w:tc>
        <w:tc>
          <w:tcPr>
            <w:tcW w:w="1418" w:type="dxa"/>
            <w:shd w:val="clear" w:color="auto" w:fill="FFFFFF"/>
            <w:tcMar>
              <w:top w:w="68" w:type="dxa"/>
              <w:left w:w="28" w:type="dxa"/>
              <w:bottom w:w="0" w:type="dxa"/>
              <w:right w:w="28" w:type="dxa"/>
            </w:tcMar>
            <w:hideMark/>
          </w:tcPr>
          <w:p w:rsidRPr="006B7451" w:rsidR="00C02DED" w:rsidP="00C02DED" w:rsidRDefault="00C02DED" w14:paraId="776A4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77A96C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0115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3FDA6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hideMark/>
          </w:tcPr>
          <w:p w:rsidRPr="006B7451" w:rsidR="00C02DED" w:rsidP="00C02DED" w:rsidRDefault="00C02DED" w14:paraId="14D8CA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3 471</w:t>
            </w:r>
          </w:p>
        </w:tc>
        <w:tc>
          <w:tcPr>
            <w:tcW w:w="1418" w:type="dxa"/>
            <w:shd w:val="clear" w:color="auto" w:fill="FFFFFF"/>
            <w:tcMar>
              <w:top w:w="68" w:type="dxa"/>
              <w:left w:w="28" w:type="dxa"/>
              <w:bottom w:w="0" w:type="dxa"/>
              <w:right w:w="28" w:type="dxa"/>
            </w:tcMar>
            <w:hideMark/>
          </w:tcPr>
          <w:p w:rsidRPr="006B7451" w:rsidR="00C02DED" w:rsidP="00C02DED" w:rsidRDefault="00C02DED" w14:paraId="5BE8A7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7E1865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4F71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72CA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Avgift till </w:t>
            </w:r>
            <w:proofErr w:type="gramStart"/>
            <w:r w:rsidRPr="006B7451">
              <w:rPr>
                <w:rFonts w:ascii="Times New Roman" w:hAnsi="Times New Roman" w:eastAsia="Times New Roman" w:cs="Times New Roman"/>
                <w:color w:val="000000"/>
                <w:kern w:val="0"/>
                <w:sz w:val="20"/>
                <w:szCs w:val="20"/>
                <w:lang w:eastAsia="sv-SE"/>
                <w14:numSpacing w14:val="default"/>
              </w:rPr>
              <w:t>Europeiska</w:t>
            </w:r>
            <w:proofErr w:type="gramEnd"/>
            <w:r w:rsidRPr="006B7451">
              <w:rPr>
                <w:rFonts w:ascii="Times New Roman" w:hAnsi="Times New Roman" w:eastAsia="Times New Roman"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hideMark/>
          </w:tcPr>
          <w:p w:rsidRPr="006B7451" w:rsidR="00C02DED" w:rsidP="00C02DED" w:rsidRDefault="00C02DED" w14:paraId="26550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483</w:t>
            </w:r>
          </w:p>
        </w:tc>
        <w:tc>
          <w:tcPr>
            <w:tcW w:w="1418" w:type="dxa"/>
            <w:shd w:val="clear" w:color="auto" w:fill="FFFFFF"/>
            <w:tcMar>
              <w:top w:w="68" w:type="dxa"/>
              <w:left w:w="28" w:type="dxa"/>
              <w:bottom w:w="0" w:type="dxa"/>
              <w:right w:w="28" w:type="dxa"/>
            </w:tcMar>
            <w:hideMark/>
          </w:tcPr>
          <w:p w:rsidRPr="006B7451" w:rsidR="00C02DED" w:rsidP="00C02DED" w:rsidRDefault="00C02DED" w14:paraId="25F80B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2F681F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1EC3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EFF6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medieråd</w:t>
            </w:r>
          </w:p>
        </w:tc>
        <w:tc>
          <w:tcPr>
            <w:tcW w:w="1418" w:type="dxa"/>
            <w:shd w:val="clear" w:color="auto" w:fill="FFFFFF"/>
            <w:tcMar>
              <w:top w:w="68" w:type="dxa"/>
              <w:left w:w="28" w:type="dxa"/>
              <w:bottom w:w="0" w:type="dxa"/>
              <w:right w:w="28" w:type="dxa"/>
            </w:tcMar>
            <w:hideMark/>
          </w:tcPr>
          <w:p w:rsidRPr="006B7451" w:rsidR="00C02DED" w:rsidP="00C02DED" w:rsidRDefault="00C02DED" w14:paraId="67BE9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24 144</w:t>
            </w:r>
          </w:p>
        </w:tc>
        <w:tc>
          <w:tcPr>
            <w:tcW w:w="1418" w:type="dxa"/>
            <w:shd w:val="clear" w:color="auto" w:fill="FFFFFF"/>
            <w:tcMar>
              <w:top w:w="68" w:type="dxa"/>
              <w:left w:w="28" w:type="dxa"/>
              <w:bottom w:w="0" w:type="dxa"/>
              <w:right w:w="28" w:type="dxa"/>
            </w:tcMar>
            <w:hideMark/>
          </w:tcPr>
          <w:p w:rsidRPr="006B7451" w:rsidR="00C02DED" w:rsidP="00C02DED" w:rsidRDefault="00C02DED" w14:paraId="16CD7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r>
      <w:tr w:rsidRPr="006B7451" w:rsidR="00C02DED" w:rsidTr="00C02DED" w14:paraId="2F37ECE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E56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C563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hideMark/>
          </w:tcPr>
          <w:p w:rsidRPr="006B7451" w:rsidR="00C02DED" w:rsidP="00C02DED" w:rsidRDefault="00C02DED" w14:paraId="43BC3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47 856</w:t>
            </w:r>
          </w:p>
        </w:tc>
        <w:tc>
          <w:tcPr>
            <w:tcW w:w="1418" w:type="dxa"/>
            <w:shd w:val="clear" w:color="auto" w:fill="FFFFFF"/>
            <w:tcMar>
              <w:top w:w="68" w:type="dxa"/>
              <w:left w:w="28" w:type="dxa"/>
              <w:bottom w:w="0" w:type="dxa"/>
              <w:right w:w="28" w:type="dxa"/>
            </w:tcMar>
            <w:hideMark/>
          </w:tcPr>
          <w:p w:rsidRPr="006B7451" w:rsidR="00C02DED" w:rsidP="00C02DED" w:rsidRDefault="00C02DED" w14:paraId="25B86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C3509A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F876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9AE7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hideMark/>
          </w:tcPr>
          <w:p w:rsidRPr="006B7451" w:rsidR="00C02DED" w:rsidP="00C02DED" w:rsidRDefault="00C02DED" w14:paraId="16558D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59 053</w:t>
            </w:r>
          </w:p>
        </w:tc>
        <w:tc>
          <w:tcPr>
            <w:tcW w:w="1418" w:type="dxa"/>
            <w:shd w:val="clear" w:color="auto" w:fill="FFFFFF"/>
            <w:tcMar>
              <w:top w:w="68" w:type="dxa"/>
              <w:left w:w="28" w:type="dxa"/>
              <w:bottom w:w="0" w:type="dxa"/>
              <w:right w:w="28" w:type="dxa"/>
            </w:tcMar>
            <w:hideMark/>
          </w:tcPr>
          <w:p w:rsidRPr="006B7451" w:rsidR="00C02DED" w:rsidP="00C02DED" w:rsidRDefault="00C02DED" w14:paraId="6B2BD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7 000</w:t>
            </w:r>
          </w:p>
        </w:tc>
      </w:tr>
      <w:tr w:rsidRPr="006B7451" w:rsidR="00C02DED" w:rsidTr="00EE39D2" w14:paraId="01BAF77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9BEF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ECC7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66513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290 680</w:t>
            </w:r>
          </w:p>
        </w:tc>
        <w:tc>
          <w:tcPr>
            <w:tcW w:w="1418" w:type="dxa"/>
            <w:shd w:val="clear" w:color="auto" w:fill="FFFFFF"/>
            <w:tcMar>
              <w:top w:w="68" w:type="dxa"/>
              <w:left w:w="28" w:type="dxa"/>
              <w:bottom w:w="0" w:type="dxa"/>
              <w:right w:w="28" w:type="dxa"/>
            </w:tcMar>
            <w:vAlign w:val="bottom"/>
            <w:hideMark/>
          </w:tcPr>
          <w:p w:rsidRPr="006B7451" w:rsidR="00C02DED" w:rsidP="00EE39D2" w:rsidRDefault="00C02DED" w14:paraId="53BC8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−67 000</w:t>
            </w:r>
          </w:p>
        </w:tc>
      </w:tr>
      <w:tr w:rsidRPr="006B7451" w:rsidR="00C02DED" w:rsidTr="00C02DED" w14:paraId="2FB4A84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CB388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E7B6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hideMark/>
          </w:tcPr>
          <w:p w:rsidRPr="006B7451" w:rsidR="00C02DED" w:rsidP="00C02DED" w:rsidRDefault="00C02DED" w14:paraId="2FF01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6B7451" w:rsidR="00C02DED" w:rsidP="00C02DED" w:rsidRDefault="00C02DED" w14:paraId="29154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19E019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0A993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47938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6B7451" w:rsidR="00C02DED" w:rsidP="00C02DED" w:rsidRDefault="00C02DED" w14:paraId="797D1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2 366 811</w:t>
            </w:r>
          </w:p>
        </w:tc>
        <w:tc>
          <w:tcPr>
            <w:tcW w:w="1418" w:type="dxa"/>
            <w:shd w:val="clear" w:color="auto" w:fill="FFFFFF"/>
            <w:tcMar>
              <w:top w:w="68" w:type="dxa"/>
              <w:left w:w="28" w:type="dxa"/>
              <w:bottom w:w="0" w:type="dxa"/>
              <w:right w:w="28" w:type="dxa"/>
            </w:tcMar>
            <w:hideMark/>
          </w:tcPr>
          <w:p w:rsidRPr="006B7451" w:rsidR="00C02DED" w:rsidP="00C02DED" w:rsidRDefault="00C02DED" w14:paraId="4F0EB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073871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AF1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8B28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6B7451" w:rsidR="00C02DED" w:rsidP="00C02DED" w:rsidRDefault="00C02DED" w14:paraId="046DD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hideMark/>
          </w:tcPr>
          <w:p w:rsidRPr="006B7451" w:rsidR="00C02DED" w:rsidP="00C02DED" w:rsidRDefault="00C02DED" w14:paraId="05029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834DDA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B116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65D6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276AD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97 785</w:t>
            </w:r>
          </w:p>
        </w:tc>
        <w:tc>
          <w:tcPr>
            <w:tcW w:w="1418" w:type="dxa"/>
            <w:shd w:val="clear" w:color="auto" w:fill="FFFFFF"/>
            <w:tcMar>
              <w:top w:w="68" w:type="dxa"/>
              <w:left w:w="28" w:type="dxa"/>
              <w:bottom w:w="0" w:type="dxa"/>
              <w:right w:w="28" w:type="dxa"/>
            </w:tcMar>
            <w:hideMark/>
          </w:tcPr>
          <w:p w:rsidRPr="006B7451" w:rsidR="00C02DED" w:rsidP="00C02DED" w:rsidRDefault="00C02DED" w14:paraId="49F43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7C02DAD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F284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74DD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714BF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6B7451" w:rsidR="00C02DED" w:rsidP="00C02DED" w:rsidRDefault="00C02DED" w14:paraId="0B133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r>
      <w:tr w:rsidRPr="006B7451" w:rsidR="00C02DED" w:rsidTr="00C02DED" w14:paraId="4D2D167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4938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ACA1D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hideMark/>
          </w:tcPr>
          <w:p w:rsidRPr="006B7451" w:rsidR="00C02DED" w:rsidP="00C02DED" w:rsidRDefault="00C02DED" w14:paraId="36E4E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23 758</w:t>
            </w:r>
          </w:p>
        </w:tc>
        <w:tc>
          <w:tcPr>
            <w:tcW w:w="1418" w:type="dxa"/>
            <w:shd w:val="clear" w:color="auto" w:fill="FFFFFF"/>
            <w:tcMar>
              <w:top w:w="68" w:type="dxa"/>
              <w:left w:w="28" w:type="dxa"/>
              <w:bottom w:w="0" w:type="dxa"/>
              <w:right w:w="28" w:type="dxa"/>
            </w:tcMar>
            <w:hideMark/>
          </w:tcPr>
          <w:p w:rsidRPr="006B7451" w:rsidR="00C02DED" w:rsidP="00C02DED" w:rsidRDefault="00C02DED" w14:paraId="05A95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BE7046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5C2B6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9E24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folkbildningen</w:t>
            </w:r>
          </w:p>
        </w:tc>
        <w:tc>
          <w:tcPr>
            <w:tcW w:w="1418" w:type="dxa"/>
            <w:shd w:val="clear" w:color="auto" w:fill="FFFFFF"/>
            <w:tcMar>
              <w:top w:w="68" w:type="dxa"/>
              <w:left w:w="28" w:type="dxa"/>
              <w:bottom w:w="0" w:type="dxa"/>
              <w:right w:w="28" w:type="dxa"/>
            </w:tcMar>
            <w:hideMark/>
          </w:tcPr>
          <w:p w:rsidRPr="006B7451" w:rsidR="00C02DED" w:rsidP="00C02DED" w:rsidRDefault="00C02DED" w14:paraId="68BED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4 829 783</w:t>
            </w:r>
          </w:p>
        </w:tc>
        <w:tc>
          <w:tcPr>
            <w:tcW w:w="1418" w:type="dxa"/>
            <w:shd w:val="clear" w:color="auto" w:fill="FFFFFF"/>
            <w:tcMar>
              <w:top w:w="68" w:type="dxa"/>
              <w:left w:w="28" w:type="dxa"/>
              <w:bottom w:w="0" w:type="dxa"/>
              <w:right w:w="28" w:type="dxa"/>
            </w:tcMar>
            <w:hideMark/>
          </w:tcPr>
          <w:p w:rsidRPr="006B7451" w:rsidR="00C02DED" w:rsidP="00C02DED" w:rsidRDefault="00C02DED" w14:paraId="7D4CF1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−1 175 100</w:t>
            </w:r>
          </w:p>
        </w:tc>
      </w:tr>
      <w:tr w:rsidRPr="006B7451" w:rsidR="00C02DED" w:rsidTr="00C02DED" w14:paraId="2C91A0D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8A08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23CF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hideMark/>
          </w:tcPr>
          <w:p w:rsidRPr="006B7451" w:rsidR="00C02DED" w:rsidP="00C02DED" w:rsidRDefault="00C02DED" w14:paraId="77380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60 331</w:t>
            </w:r>
          </w:p>
        </w:tc>
        <w:tc>
          <w:tcPr>
            <w:tcW w:w="1418" w:type="dxa"/>
            <w:shd w:val="clear" w:color="auto" w:fill="FFFFFF"/>
            <w:tcMar>
              <w:top w:w="68" w:type="dxa"/>
              <w:left w:w="28" w:type="dxa"/>
              <w:bottom w:w="0" w:type="dxa"/>
              <w:right w:w="28" w:type="dxa"/>
            </w:tcMar>
            <w:hideMark/>
          </w:tcPr>
          <w:p w:rsidRPr="006B7451" w:rsidR="00C02DED" w:rsidP="00C02DED" w:rsidRDefault="00C02DED" w14:paraId="3ACED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943401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9D31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29CA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418" w:type="dxa"/>
            <w:shd w:val="clear" w:color="auto" w:fill="FFFFFF"/>
            <w:tcMar>
              <w:top w:w="68" w:type="dxa"/>
              <w:left w:w="28" w:type="dxa"/>
              <w:bottom w:w="0" w:type="dxa"/>
              <w:right w:w="28" w:type="dxa"/>
            </w:tcMar>
            <w:hideMark/>
          </w:tcPr>
          <w:p w:rsidRPr="006B7451" w:rsidR="00C02DED" w:rsidP="00C02DED" w:rsidRDefault="00C02DED" w14:paraId="2E8A8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60 000</w:t>
            </w:r>
          </w:p>
        </w:tc>
        <w:tc>
          <w:tcPr>
            <w:tcW w:w="1418" w:type="dxa"/>
            <w:shd w:val="clear" w:color="auto" w:fill="FFFFFF"/>
            <w:tcMar>
              <w:top w:w="68" w:type="dxa"/>
              <w:left w:w="28" w:type="dxa"/>
              <w:bottom w:w="0" w:type="dxa"/>
              <w:right w:w="28" w:type="dxa"/>
            </w:tcMar>
            <w:hideMark/>
          </w:tcPr>
          <w:p w:rsidRPr="006B7451" w:rsidR="00C02DED" w:rsidP="00C02DED" w:rsidRDefault="00C02DED" w14:paraId="12671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−60 000</w:t>
            </w:r>
          </w:p>
        </w:tc>
      </w:tr>
      <w:tr w:rsidRPr="006B7451" w:rsidR="00C02DED" w:rsidTr="00C02DED" w14:paraId="2977040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3FDC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91B0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1D0E0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202 158</w:t>
            </w:r>
          </w:p>
        </w:tc>
        <w:tc>
          <w:tcPr>
            <w:tcW w:w="1418" w:type="dxa"/>
            <w:shd w:val="clear" w:color="auto" w:fill="FFFFFF"/>
            <w:tcMar>
              <w:top w:w="68" w:type="dxa"/>
              <w:left w:w="28" w:type="dxa"/>
              <w:bottom w:w="0" w:type="dxa"/>
              <w:right w:w="28" w:type="dxa"/>
            </w:tcMar>
            <w:hideMark/>
          </w:tcPr>
          <w:p w:rsidRPr="006B7451" w:rsidR="00C02DED" w:rsidP="00C02DED" w:rsidRDefault="00C02DED" w14:paraId="3E67A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A0F097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5E35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CA90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hideMark/>
          </w:tcPr>
          <w:p w:rsidRPr="006B7451" w:rsidR="00C02DED" w:rsidP="00C02DED" w:rsidRDefault="00C02DED" w14:paraId="4BDF8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77 376</w:t>
            </w:r>
          </w:p>
        </w:tc>
        <w:tc>
          <w:tcPr>
            <w:tcW w:w="1418" w:type="dxa"/>
            <w:shd w:val="clear" w:color="auto" w:fill="FFFFFF"/>
            <w:tcMar>
              <w:top w:w="68" w:type="dxa"/>
              <w:left w:w="28" w:type="dxa"/>
              <w:bottom w:w="0" w:type="dxa"/>
              <w:right w:w="28" w:type="dxa"/>
            </w:tcMar>
            <w:hideMark/>
          </w:tcPr>
          <w:p w:rsidRPr="006B7451" w:rsidR="00C02DED" w:rsidP="00C02DED" w:rsidRDefault="00C02DED" w14:paraId="5A52EB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6 000</w:t>
            </w:r>
          </w:p>
        </w:tc>
      </w:tr>
      <w:tr w:rsidRPr="006B7451" w:rsidR="00C02DED" w:rsidTr="00C02DED" w14:paraId="0DC47D7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DE9F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41E7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estetisk hållbarhet</w:t>
            </w:r>
          </w:p>
        </w:tc>
        <w:tc>
          <w:tcPr>
            <w:tcW w:w="1418" w:type="dxa"/>
            <w:shd w:val="clear" w:color="auto" w:fill="FFFFFF"/>
            <w:tcMar>
              <w:top w:w="68" w:type="dxa"/>
              <w:left w:w="28" w:type="dxa"/>
              <w:bottom w:w="0" w:type="dxa"/>
              <w:right w:w="28" w:type="dxa"/>
            </w:tcMar>
            <w:hideMark/>
          </w:tcPr>
          <w:p w:rsidRPr="006B7451" w:rsidR="00C02DED" w:rsidP="00C02DED" w:rsidRDefault="00C02DED" w14:paraId="5FF984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02583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C02DED" w:rsidTr="00C02DED" w14:paraId="2B107C7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60E4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C3EA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Kulturreservat</w:t>
            </w:r>
          </w:p>
        </w:tc>
        <w:tc>
          <w:tcPr>
            <w:tcW w:w="1418" w:type="dxa"/>
            <w:shd w:val="clear" w:color="auto" w:fill="FFFFFF"/>
            <w:tcMar>
              <w:top w:w="68" w:type="dxa"/>
              <w:left w:w="28" w:type="dxa"/>
              <w:bottom w:w="0" w:type="dxa"/>
              <w:right w:w="28" w:type="dxa"/>
            </w:tcMar>
            <w:hideMark/>
          </w:tcPr>
          <w:p w:rsidRPr="006B7451" w:rsidR="00C02DED" w:rsidP="00C02DED" w:rsidRDefault="00C02DED" w14:paraId="7ACCB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1A222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40 000</w:t>
            </w:r>
          </w:p>
        </w:tc>
      </w:tr>
      <w:tr w:rsidRPr="006B7451" w:rsidR="00C02DED" w:rsidTr="00C02DED" w14:paraId="3BE4567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282C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F39AB7E" w14:textId="306D071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Kulturarvs</w:t>
            </w:r>
            <w:r w:rsidR="00A60E27">
              <w:rPr>
                <w:rFonts w:ascii="Times New Roman" w:hAnsi="Times New Roman" w:eastAsia="Times New Roman" w:cs="Times New Roman"/>
                <w:color w:val="000000"/>
                <w:kern w:val="0"/>
                <w:sz w:val="20"/>
                <w:szCs w:val="20"/>
                <w:lang w:eastAsia="sv-SE"/>
                <w14:numSpacing w14:val="default"/>
              </w:rPr>
              <w:t>rot</w:t>
            </w:r>
          </w:p>
        </w:tc>
        <w:tc>
          <w:tcPr>
            <w:tcW w:w="1418" w:type="dxa"/>
            <w:shd w:val="clear" w:color="auto" w:fill="FFFFFF"/>
            <w:tcMar>
              <w:top w:w="68" w:type="dxa"/>
              <w:left w:w="28" w:type="dxa"/>
              <w:bottom w:w="0" w:type="dxa"/>
              <w:right w:w="28" w:type="dxa"/>
            </w:tcMar>
            <w:hideMark/>
          </w:tcPr>
          <w:p w:rsidRPr="006B7451" w:rsidR="00C02DED" w:rsidP="00C02DED" w:rsidRDefault="00C02DED" w14:paraId="4274D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18A2E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160 000</w:t>
            </w:r>
          </w:p>
        </w:tc>
      </w:tr>
      <w:tr w:rsidRPr="006B7451" w:rsidR="00C02DED" w:rsidTr="00C02DED" w14:paraId="3338C39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1D64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4234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Kulturarvsfond</w:t>
            </w:r>
          </w:p>
        </w:tc>
        <w:tc>
          <w:tcPr>
            <w:tcW w:w="1418" w:type="dxa"/>
            <w:shd w:val="clear" w:color="auto" w:fill="FFFFFF"/>
            <w:tcMar>
              <w:top w:w="68" w:type="dxa"/>
              <w:left w:w="28" w:type="dxa"/>
              <w:bottom w:w="0" w:type="dxa"/>
              <w:right w:w="28" w:type="dxa"/>
            </w:tcMar>
            <w:hideMark/>
          </w:tcPr>
          <w:p w:rsidRPr="006B7451" w:rsidR="00C02DED" w:rsidP="00C02DED" w:rsidRDefault="00C02DED" w14:paraId="68299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1E5EB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49977C9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3B47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DD90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Skapande äldreomsorg</w:t>
            </w:r>
          </w:p>
        </w:tc>
        <w:tc>
          <w:tcPr>
            <w:tcW w:w="1418" w:type="dxa"/>
            <w:shd w:val="clear" w:color="auto" w:fill="FFFFFF"/>
            <w:tcMar>
              <w:top w:w="68" w:type="dxa"/>
              <w:left w:w="28" w:type="dxa"/>
              <w:bottom w:w="0" w:type="dxa"/>
              <w:right w:w="28" w:type="dxa"/>
            </w:tcMar>
            <w:hideMark/>
          </w:tcPr>
          <w:p w:rsidRPr="006B7451" w:rsidR="00C02DED" w:rsidP="00C02DED" w:rsidRDefault="00C02DED" w14:paraId="69883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8E3E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35 000</w:t>
            </w:r>
          </w:p>
        </w:tc>
      </w:tr>
      <w:tr w:rsidRPr="006B7451" w:rsidR="00C02DED" w:rsidTr="00C02DED" w14:paraId="7E2F699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393C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7C9B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Öppna museer</w:t>
            </w:r>
          </w:p>
        </w:tc>
        <w:tc>
          <w:tcPr>
            <w:tcW w:w="1418" w:type="dxa"/>
            <w:shd w:val="clear" w:color="auto" w:fill="FFFFFF"/>
            <w:tcMar>
              <w:top w:w="68" w:type="dxa"/>
              <w:left w:w="28" w:type="dxa"/>
              <w:bottom w:w="0" w:type="dxa"/>
              <w:right w:w="28" w:type="dxa"/>
            </w:tcMar>
            <w:hideMark/>
          </w:tcPr>
          <w:p w:rsidRPr="006B7451" w:rsidR="00C02DED" w:rsidP="00C02DED" w:rsidRDefault="00C02DED" w14:paraId="408EA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B7B24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150 000</w:t>
            </w:r>
          </w:p>
        </w:tc>
      </w:tr>
      <w:tr w:rsidRPr="006B7451" w:rsidR="00C02DED" w:rsidTr="00C02DED" w14:paraId="1B4FE1A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BF2A3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66C5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Stimulansbidrag kulturmiljökompetens</w:t>
            </w:r>
          </w:p>
        </w:tc>
        <w:tc>
          <w:tcPr>
            <w:tcW w:w="1418" w:type="dxa"/>
            <w:shd w:val="clear" w:color="auto" w:fill="FFFFFF"/>
            <w:tcMar>
              <w:top w:w="68" w:type="dxa"/>
              <w:left w:w="28" w:type="dxa"/>
              <w:bottom w:w="0" w:type="dxa"/>
              <w:right w:w="28" w:type="dxa"/>
            </w:tcMar>
            <w:hideMark/>
          </w:tcPr>
          <w:p w:rsidRPr="006B7451" w:rsidR="00C02DED" w:rsidP="00C02DED" w:rsidRDefault="00C02DED" w14:paraId="25FB8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DF5D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17B2017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290C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7FBE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Stimulansbidrag kultur i vården</w:t>
            </w:r>
          </w:p>
        </w:tc>
        <w:tc>
          <w:tcPr>
            <w:tcW w:w="1418" w:type="dxa"/>
            <w:shd w:val="clear" w:color="auto" w:fill="FFFFFF"/>
            <w:tcMar>
              <w:top w:w="68" w:type="dxa"/>
              <w:left w:w="28" w:type="dxa"/>
              <w:bottom w:w="0" w:type="dxa"/>
              <w:right w:w="28" w:type="dxa"/>
            </w:tcMar>
            <w:hideMark/>
          </w:tcPr>
          <w:p w:rsidRPr="006B7451" w:rsidR="00C02DED" w:rsidP="00C02DED" w:rsidRDefault="00C02DED" w14:paraId="458FB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583A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35 000</w:t>
            </w:r>
          </w:p>
        </w:tc>
      </w:tr>
      <w:tr w:rsidRPr="006B7451" w:rsidR="00C02DED" w:rsidTr="00C02DED" w14:paraId="0FF4A24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2EE9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61F2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Kulturlotsar och Sverigecenter</w:t>
            </w:r>
          </w:p>
        </w:tc>
        <w:tc>
          <w:tcPr>
            <w:tcW w:w="1418" w:type="dxa"/>
            <w:shd w:val="clear" w:color="auto" w:fill="FFFFFF"/>
            <w:tcMar>
              <w:top w:w="68" w:type="dxa"/>
              <w:left w:w="28" w:type="dxa"/>
              <w:bottom w:w="0" w:type="dxa"/>
              <w:right w:w="28" w:type="dxa"/>
            </w:tcMar>
            <w:hideMark/>
          </w:tcPr>
          <w:p w:rsidRPr="006B7451" w:rsidR="00C02DED" w:rsidP="00C02DED" w:rsidRDefault="00C02DED" w14:paraId="64AD64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6AE28A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300 000</w:t>
            </w:r>
          </w:p>
        </w:tc>
      </w:tr>
      <w:tr w:rsidRPr="006B7451" w:rsidR="00C02DED" w:rsidTr="00C02DED" w14:paraId="3416692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7029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990C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Bibliotekssatsning</w:t>
            </w:r>
          </w:p>
        </w:tc>
        <w:tc>
          <w:tcPr>
            <w:tcW w:w="1418" w:type="dxa"/>
            <w:shd w:val="clear" w:color="auto" w:fill="FFFFFF"/>
            <w:tcMar>
              <w:top w:w="68" w:type="dxa"/>
              <w:left w:w="28" w:type="dxa"/>
              <w:bottom w:w="0" w:type="dxa"/>
              <w:right w:w="28" w:type="dxa"/>
            </w:tcMar>
            <w:hideMark/>
          </w:tcPr>
          <w:p w:rsidRPr="006B7451" w:rsidR="00C02DED" w:rsidP="00C02DED" w:rsidRDefault="00C02DED" w14:paraId="41C7A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492F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6F38F7C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ACD3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E6D0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LOA-fond</w:t>
            </w:r>
          </w:p>
        </w:tc>
        <w:tc>
          <w:tcPr>
            <w:tcW w:w="1418" w:type="dxa"/>
            <w:shd w:val="clear" w:color="auto" w:fill="FFFFFF"/>
            <w:tcMar>
              <w:top w:w="68" w:type="dxa"/>
              <w:left w:w="28" w:type="dxa"/>
              <w:bottom w:w="0" w:type="dxa"/>
              <w:right w:w="28" w:type="dxa"/>
            </w:tcMar>
            <w:hideMark/>
          </w:tcPr>
          <w:p w:rsidRPr="006B7451" w:rsidR="00C02DED" w:rsidP="00C02DED" w:rsidRDefault="00C02DED" w14:paraId="08761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640C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3ECC396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7786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52D76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18 454 593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C2A5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248 197</w:t>
            </w:r>
          </w:p>
        </w:tc>
      </w:tr>
    </w:tbl>
    <w:p w:rsidRPr="006B7451" w:rsidR="00C02DED" w:rsidP="00C02DED" w:rsidRDefault="00C02DED" w14:paraId="3BC3D800" w14:textId="77777777"/>
    <w:p w:rsidR="00E33FCD" w:rsidRDefault="00E33FCD" w14:paraId="634243D3" w14:textId="35B56F8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8A7FDF" w:rsidP="00ED5D60" w:rsidRDefault="008A7FDF" w14:paraId="0030EEF7" w14:textId="37C90444">
      <w:pPr>
        <w:pStyle w:val="Rubrik2numrerat"/>
      </w:pPr>
      <w:bookmarkStart w:name="_Toc121752699" w:id="195"/>
      <w:r w:rsidRPr="006B7451">
        <w:lastRenderedPageBreak/>
        <w:t>Utgiftsområde 18 Samhällsplanering, bostadsförsörjning och byggande samt konsumentpolitik</w:t>
      </w:r>
      <w:bookmarkEnd w:id="195"/>
    </w:p>
    <w:p w:rsidRPr="00F553D7" w:rsidR="00C02DED" w:rsidP="00E33FCD" w:rsidRDefault="00C02DED" w14:paraId="704C3020" w14:textId="77777777">
      <w:pPr>
        <w:pStyle w:val="Tabellrubrik"/>
        <w:keepNext/>
      </w:pPr>
      <w:r w:rsidRPr="00F553D7">
        <w:t>Anslagsförslag 2022 för utgiftsområde 18 Samhällsplanering, bostadsförsörjning och byggande samt konsumentpolitik</w:t>
      </w:r>
    </w:p>
    <w:p w:rsidRPr="00F553D7" w:rsidR="00C02DED" w:rsidP="00F553D7" w:rsidRDefault="00C02DED" w14:paraId="4F495CAF" w14:textId="77777777">
      <w:pPr>
        <w:pStyle w:val="Tabellunderrubrik"/>
      </w:pPr>
      <w:r w:rsidRPr="00F553D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7FF326A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4C758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536C2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8376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64426DB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E1F0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753A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6B7451" w:rsidR="00C02DED" w:rsidP="00C02DED" w:rsidRDefault="00C02DED" w14:paraId="5FC5A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20 600</w:t>
            </w:r>
          </w:p>
        </w:tc>
        <w:tc>
          <w:tcPr>
            <w:tcW w:w="1418" w:type="dxa"/>
            <w:shd w:val="clear" w:color="auto" w:fill="FFFFFF"/>
            <w:tcMar>
              <w:top w:w="68" w:type="dxa"/>
              <w:left w:w="28" w:type="dxa"/>
              <w:bottom w:w="0" w:type="dxa"/>
              <w:right w:w="28" w:type="dxa"/>
            </w:tcMar>
            <w:hideMark/>
          </w:tcPr>
          <w:p w:rsidRPr="006B7451" w:rsidR="00C02DED" w:rsidP="00C02DED" w:rsidRDefault="00C02DED" w14:paraId="3DB1A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7949EF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377B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2082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hideMark/>
          </w:tcPr>
          <w:p w:rsidRPr="006B7451" w:rsidR="00C02DED" w:rsidP="00C02DED" w:rsidRDefault="00C02DED" w14:paraId="0E851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hideMark/>
          </w:tcPr>
          <w:p w:rsidRPr="006B7451" w:rsidR="00C02DED" w:rsidP="00C02DED" w:rsidRDefault="00C02DED" w14:paraId="224F4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0047B7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BA41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18C9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6B7451" w:rsidR="00C02DED" w:rsidP="00C02DED" w:rsidRDefault="00C02DED" w14:paraId="69960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hideMark/>
          </w:tcPr>
          <w:p w:rsidRPr="006B7451" w:rsidR="00C02DED" w:rsidP="00C02DED" w:rsidRDefault="00C02DED" w14:paraId="3C44A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4D9EE6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701D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DECAA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5B59D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316 330</w:t>
            </w:r>
          </w:p>
        </w:tc>
        <w:tc>
          <w:tcPr>
            <w:tcW w:w="1418" w:type="dxa"/>
            <w:shd w:val="clear" w:color="auto" w:fill="FFFFFF"/>
            <w:tcMar>
              <w:top w:w="68" w:type="dxa"/>
              <w:left w:w="28" w:type="dxa"/>
              <w:bottom w:w="0" w:type="dxa"/>
              <w:right w:w="28" w:type="dxa"/>
            </w:tcMar>
            <w:hideMark/>
          </w:tcPr>
          <w:p w:rsidRPr="006B7451" w:rsidR="00C02DED" w:rsidP="00C02DED" w:rsidRDefault="00C02DED" w14:paraId="21F1D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w:t>
            </w:r>
          </w:p>
        </w:tc>
      </w:tr>
      <w:tr w:rsidRPr="006B7451" w:rsidR="00C02DED" w:rsidTr="00C02DED" w14:paraId="2369F57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79B2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5E3A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6B7451" w:rsidR="00C02DED" w:rsidP="00C02DED" w:rsidRDefault="00C02DED" w14:paraId="28F35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56 847</w:t>
            </w:r>
          </w:p>
        </w:tc>
        <w:tc>
          <w:tcPr>
            <w:tcW w:w="1418" w:type="dxa"/>
            <w:shd w:val="clear" w:color="auto" w:fill="FFFFFF"/>
            <w:tcMar>
              <w:top w:w="68" w:type="dxa"/>
              <w:left w:w="28" w:type="dxa"/>
              <w:bottom w:w="0" w:type="dxa"/>
              <w:right w:w="28" w:type="dxa"/>
            </w:tcMar>
            <w:hideMark/>
          </w:tcPr>
          <w:p w:rsidRPr="006B7451" w:rsidR="00C02DED" w:rsidP="00C02DED" w:rsidRDefault="00C02DED" w14:paraId="1AF42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D5E84A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2FA19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FBE1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6B7451" w:rsidR="00C02DED" w:rsidP="00C02DED" w:rsidRDefault="00C02DED" w14:paraId="7A98B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688 817</w:t>
            </w:r>
          </w:p>
        </w:tc>
        <w:tc>
          <w:tcPr>
            <w:tcW w:w="1418" w:type="dxa"/>
            <w:shd w:val="clear" w:color="auto" w:fill="FFFFFF"/>
            <w:tcMar>
              <w:top w:w="68" w:type="dxa"/>
              <w:left w:w="28" w:type="dxa"/>
              <w:bottom w:w="0" w:type="dxa"/>
              <w:right w:w="28" w:type="dxa"/>
            </w:tcMar>
            <w:hideMark/>
          </w:tcPr>
          <w:p w:rsidRPr="006B7451" w:rsidR="00C02DED" w:rsidP="00C02DED" w:rsidRDefault="00C02DED" w14:paraId="50C69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1DD6BA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E130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B784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6B7451" w:rsidR="00C02DED" w:rsidP="00C02DED" w:rsidRDefault="00C02DED" w14:paraId="7162E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1 565 000</w:t>
            </w:r>
          </w:p>
        </w:tc>
        <w:tc>
          <w:tcPr>
            <w:tcW w:w="1418" w:type="dxa"/>
            <w:shd w:val="clear" w:color="auto" w:fill="FFFFFF"/>
            <w:tcMar>
              <w:top w:w="68" w:type="dxa"/>
              <w:left w:w="28" w:type="dxa"/>
              <w:bottom w:w="0" w:type="dxa"/>
              <w:right w:w="28" w:type="dxa"/>
            </w:tcMar>
            <w:hideMark/>
          </w:tcPr>
          <w:p w:rsidRPr="006B7451" w:rsidR="00C02DED" w:rsidP="00C02DED" w:rsidRDefault="00C02DED" w14:paraId="7A1E9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−1 565 000</w:t>
            </w:r>
          </w:p>
        </w:tc>
      </w:tr>
      <w:tr w:rsidRPr="006B7451" w:rsidR="00C02DED" w:rsidTr="00F553D7" w14:paraId="4135CA6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677C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D1CD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6B7451" w:rsidR="00C02DED" w:rsidP="00F553D7" w:rsidRDefault="00C02DED" w14:paraId="367D92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4 050 000</w:t>
            </w:r>
          </w:p>
        </w:tc>
        <w:tc>
          <w:tcPr>
            <w:tcW w:w="1418" w:type="dxa"/>
            <w:shd w:val="clear" w:color="auto" w:fill="FFFFFF"/>
            <w:tcMar>
              <w:top w:w="68" w:type="dxa"/>
              <w:left w:w="28" w:type="dxa"/>
              <w:bottom w:w="0" w:type="dxa"/>
              <w:right w:w="28" w:type="dxa"/>
            </w:tcMar>
            <w:vAlign w:val="bottom"/>
            <w:hideMark/>
          </w:tcPr>
          <w:p w:rsidRPr="006B7451" w:rsidR="00C02DED" w:rsidP="00F553D7" w:rsidRDefault="00C02DED" w14:paraId="0A5D8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−4 050 000</w:t>
            </w:r>
          </w:p>
        </w:tc>
      </w:tr>
      <w:tr w:rsidRPr="006B7451" w:rsidR="00C02DED" w:rsidTr="00C02DED" w14:paraId="7F5028D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7A18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BF13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11209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169 873</w:t>
            </w:r>
          </w:p>
        </w:tc>
        <w:tc>
          <w:tcPr>
            <w:tcW w:w="1418" w:type="dxa"/>
            <w:shd w:val="clear" w:color="auto" w:fill="FFFFFF"/>
            <w:tcMar>
              <w:top w:w="68" w:type="dxa"/>
              <w:left w:w="28" w:type="dxa"/>
              <w:bottom w:w="0" w:type="dxa"/>
              <w:right w:w="28" w:type="dxa"/>
            </w:tcMar>
            <w:hideMark/>
          </w:tcPr>
          <w:p w:rsidRPr="006B7451" w:rsidR="00C02DED" w:rsidP="00C02DED" w:rsidRDefault="00C02DED" w14:paraId="29F6E2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−3 200</w:t>
            </w:r>
          </w:p>
        </w:tc>
      </w:tr>
      <w:tr w:rsidRPr="006B7451" w:rsidR="00C02DED" w:rsidTr="00C02DED" w14:paraId="0CF5C7A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13CE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7741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6B7451" w:rsidR="00C02DED" w:rsidP="00C02DED" w:rsidRDefault="00C02DED" w14:paraId="1BB73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53 792</w:t>
            </w:r>
          </w:p>
        </w:tc>
        <w:tc>
          <w:tcPr>
            <w:tcW w:w="1418" w:type="dxa"/>
            <w:shd w:val="clear" w:color="auto" w:fill="FFFFFF"/>
            <w:tcMar>
              <w:top w:w="68" w:type="dxa"/>
              <w:left w:w="28" w:type="dxa"/>
              <w:bottom w:w="0" w:type="dxa"/>
              <w:right w:w="28" w:type="dxa"/>
            </w:tcMar>
            <w:hideMark/>
          </w:tcPr>
          <w:p w:rsidRPr="006B7451" w:rsidR="00C02DED" w:rsidP="00C02DED" w:rsidRDefault="00C02DED" w14:paraId="5ED78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56775D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BF91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D411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6B7451" w:rsidR="00C02DED" w:rsidP="00C02DED" w:rsidRDefault="00C02DED" w14:paraId="3529B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30 642</w:t>
            </w:r>
          </w:p>
        </w:tc>
        <w:tc>
          <w:tcPr>
            <w:tcW w:w="1418" w:type="dxa"/>
            <w:shd w:val="clear" w:color="auto" w:fill="FFFFFF"/>
            <w:tcMar>
              <w:top w:w="68" w:type="dxa"/>
              <w:left w:w="28" w:type="dxa"/>
              <w:bottom w:w="0" w:type="dxa"/>
              <w:right w:w="28" w:type="dxa"/>
            </w:tcMar>
            <w:hideMark/>
          </w:tcPr>
          <w:p w:rsidRPr="006B7451" w:rsidR="00C02DED" w:rsidP="00C02DED" w:rsidRDefault="00C02DED" w14:paraId="1C0561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A37636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D20E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1CFB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6B7451" w:rsidR="00C02DED" w:rsidP="00C02DED" w:rsidRDefault="00C02DED" w14:paraId="083AE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13 559</w:t>
            </w:r>
          </w:p>
        </w:tc>
        <w:tc>
          <w:tcPr>
            <w:tcW w:w="1418" w:type="dxa"/>
            <w:shd w:val="clear" w:color="auto" w:fill="FFFFFF"/>
            <w:tcMar>
              <w:top w:w="68" w:type="dxa"/>
              <w:left w:w="28" w:type="dxa"/>
              <w:bottom w:w="0" w:type="dxa"/>
              <w:right w:w="28" w:type="dxa"/>
            </w:tcMar>
            <w:hideMark/>
          </w:tcPr>
          <w:p w:rsidRPr="006B7451" w:rsidR="00C02DED" w:rsidP="00C02DED" w:rsidRDefault="00C02DED" w14:paraId="56B93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99699C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EDB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F95E8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6B7451" w:rsidR="00C02DED" w:rsidP="00C02DED" w:rsidRDefault="00C02DED" w14:paraId="0506C1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4 374</w:t>
            </w:r>
          </w:p>
        </w:tc>
        <w:tc>
          <w:tcPr>
            <w:tcW w:w="1418" w:type="dxa"/>
            <w:shd w:val="clear" w:color="auto" w:fill="FFFFFF"/>
            <w:tcMar>
              <w:top w:w="68" w:type="dxa"/>
              <w:left w:w="28" w:type="dxa"/>
              <w:bottom w:w="0" w:type="dxa"/>
              <w:right w:w="28" w:type="dxa"/>
            </w:tcMar>
            <w:hideMark/>
          </w:tcPr>
          <w:p w:rsidRPr="006B7451" w:rsidR="00C02DED" w:rsidP="00C02DED" w:rsidRDefault="00C02DED" w14:paraId="6F31E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9CD864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1976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90F4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lokal konsumentvägledning</w:t>
            </w:r>
          </w:p>
        </w:tc>
        <w:tc>
          <w:tcPr>
            <w:tcW w:w="1418" w:type="dxa"/>
            <w:shd w:val="clear" w:color="auto" w:fill="FFFFFF"/>
            <w:tcMar>
              <w:top w:w="68" w:type="dxa"/>
              <w:left w:w="28" w:type="dxa"/>
              <w:bottom w:w="0" w:type="dxa"/>
              <w:right w:w="28" w:type="dxa"/>
            </w:tcMar>
            <w:hideMark/>
          </w:tcPr>
          <w:p w:rsidRPr="006B7451" w:rsidR="00C02DED" w:rsidP="00C02DED" w:rsidRDefault="00C02DED" w14:paraId="199E8A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723DD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129 000</w:t>
            </w:r>
          </w:p>
        </w:tc>
      </w:tr>
      <w:tr w:rsidRPr="006B7451" w:rsidR="00C02DED" w:rsidTr="00C02DED" w14:paraId="4E14E8A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CA4FA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02FC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Ökad trygghet i utsatta områden</w:t>
            </w:r>
          </w:p>
        </w:tc>
        <w:tc>
          <w:tcPr>
            <w:tcW w:w="1418" w:type="dxa"/>
            <w:shd w:val="clear" w:color="auto" w:fill="FFFFFF"/>
            <w:tcMar>
              <w:top w:w="68" w:type="dxa"/>
              <w:left w:w="28" w:type="dxa"/>
              <w:bottom w:w="0" w:type="dxa"/>
              <w:right w:w="28" w:type="dxa"/>
            </w:tcMar>
            <w:hideMark/>
          </w:tcPr>
          <w:p w:rsidRPr="006B7451" w:rsidR="00C02DED" w:rsidP="00C02DED" w:rsidRDefault="00C02DED" w14:paraId="14B5E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10EC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750 000</w:t>
            </w:r>
          </w:p>
        </w:tc>
      </w:tr>
      <w:tr w:rsidRPr="006B7451" w:rsidR="00C02DED" w:rsidTr="00C02DED" w14:paraId="5C9E73D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32D65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F8F0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1418" w:type="dxa"/>
            <w:shd w:val="clear" w:color="auto" w:fill="FFFFFF"/>
            <w:tcMar>
              <w:top w:w="68" w:type="dxa"/>
              <w:left w:w="28" w:type="dxa"/>
              <w:bottom w:w="0" w:type="dxa"/>
              <w:right w:w="28" w:type="dxa"/>
            </w:tcMar>
            <w:hideMark/>
          </w:tcPr>
          <w:p w:rsidRPr="006B7451" w:rsidR="00C02DED" w:rsidP="00C02DED" w:rsidRDefault="00C02DED" w14:paraId="3CE7F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ABAD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34 000</w:t>
            </w:r>
          </w:p>
        </w:tc>
      </w:tr>
      <w:tr w:rsidRPr="006B7451" w:rsidR="00C02DED" w:rsidTr="00C02DED" w14:paraId="2969C33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45CF94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777C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7 025 334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5997A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−4 707 200</w:t>
            </w:r>
          </w:p>
        </w:tc>
      </w:tr>
    </w:tbl>
    <w:p w:rsidRPr="006B7451" w:rsidR="008A7FDF" w:rsidP="00ED5D60" w:rsidRDefault="008A7FDF" w14:paraId="524DE725" w14:textId="77777777">
      <w:pPr>
        <w:pStyle w:val="Rubrik2numrerat"/>
      </w:pPr>
      <w:bookmarkStart w:name="_Toc121752700" w:id="196"/>
      <w:r w:rsidRPr="006B7451">
        <w:t>Utgiftsområde 19 Regional tillväxt</w:t>
      </w:r>
      <w:bookmarkEnd w:id="196"/>
    </w:p>
    <w:p w:rsidRPr="00C56102" w:rsidR="00C02DED" w:rsidP="003C6D11" w:rsidRDefault="00C02DED" w14:paraId="11A95A06" w14:textId="77777777">
      <w:pPr>
        <w:pStyle w:val="Tabellrubrik"/>
        <w:keepNext/>
      </w:pPr>
      <w:r w:rsidRPr="00C56102">
        <w:t>Anslagsförslag 2022 för utgiftsområde 19 Regional utveckling</w:t>
      </w:r>
    </w:p>
    <w:p w:rsidRPr="00C56102" w:rsidR="00C02DED" w:rsidP="00C56102" w:rsidRDefault="00C02DED" w14:paraId="01838332" w14:textId="77777777">
      <w:pPr>
        <w:pStyle w:val="Tabellunderrubrik"/>
      </w:pPr>
      <w:r w:rsidRPr="00C5610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0E412F8C"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D4CC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5892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2AEE2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12E2D40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5C9B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6DCF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6B7451" w:rsidR="00C02DED" w:rsidP="00C02DED" w:rsidRDefault="00C02DED" w14:paraId="77426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2 560 937</w:t>
            </w:r>
          </w:p>
        </w:tc>
        <w:tc>
          <w:tcPr>
            <w:tcW w:w="1418" w:type="dxa"/>
            <w:shd w:val="clear" w:color="auto" w:fill="FFFFFF"/>
            <w:tcMar>
              <w:top w:w="68" w:type="dxa"/>
              <w:left w:w="28" w:type="dxa"/>
              <w:bottom w:w="0" w:type="dxa"/>
              <w:right w:w="28" w:type="dxa"/>
            </w:tcMar>
            <w:hideMark/>
          </w:tcPr>
          <w:p w:rsidRPr="006B7451" w:rsidR="00C02DED" w:rsidP="00C02DED" w:rsidRDefault="00C02DED" w14:paraId="49C12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7879AA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2EDF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E68D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6B7451" w:rsidR="00C02DED" w:rsidP="00C02DED" w:rsidRDefault="00C02DED" w14:paraId="361EE9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430 864</w:t>
            </w:r>
          </w:p>
        </w:tc>
        <w:tc>
          <w:tcPr>
            <w:tcW w:w="1418" w:type="dxa"/>
            <w:shd w:val="clear" w:color="auto" w:fill="FFFFFF"/>
            <w:tcMar>
              <w:top w:w="68" w:type="dxa"/>
              <w:left w:w="28" w:type="dxa"/>
              <w:bottom w:w="0" w:type="dxa"/>
              <w:right w:w="28" w:type="dxa"/>
            </w:tcMar>
            <w:hideMark/>
          </w:tcPr>
          <w:p w:rsidRPr="006B7451" w:rsidR="00C02DED" w:rsidP="00C02DED" w:rsidRDefault="00C02DED" w14:paraId="5AEE6A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5D25BF" w14:paraId="529AFD5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8459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1AEF8F2" w14:textId="32C9B18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Europeiska regionala utvecklingsfonden perioden 2014</w:t>
            </w:r>
            <w:r w:rsidR="009479CA">
              <w:rPr>
                <w:rFonts w:ascii="Times New Roman" w:hAnsi="Times New Roman" w:eastAsia="Times New Roman" w:cs="Times New Roman"/>
                <w:color w:val="000000"/>
                <w:kern w:val="0"/>
                <w:sz w:val="20"/>
                <w:szCs w:val="20"/>
                <w:lang w:eastAsia="sv-SE"/>
                <w14:numSpacing w14:val="default"/>
              </w:rPr>
              <w:t>–</w:t>
            </w:r>
            <w:r w:rsidRPr="006B7451">
              <w:rPr>
                <w:rFonts w:ascii="Times New Roman" w:hAnsi="Times New Roman" w:eastAsia="Times New Roman" w:cs="Times New Roman"/>
                <w:color w:val="000000"/>
                <w:kern w:val="0"/>
                <w:sz w:val="20"/>
                <w:szCs w:val="20"/>
                <w:lang w:eastAsia="sv-SE"/>
                <w14:numSpacing w14:val="default"/>
              </w:rPr>
              <w:t>2020</w:t>
            </w:r>
          </w:p>
        </w:tc>
        <w:tc>
          <w:tcPr>
            <w:tcW w:w="1418" w:type="dxa"/>
            <w:shd w:val="clear" w:color="auto" w:fill="FFFFFF"/>
            <w:tcMar>
              <w:top w:w="68" w:type="dxa"/>
              <w:left w:w="28" w:type="dxa"/>
              <w:bottom w:w="0" w:type="dxa"/>
              <w:right w:w="28" w:type="dxa"/>
            </w:tcMar>
            <w:vAlign w:val="bottom"/>
            <w:hideMark/>
          </w:tcPr>
          <w:p w:rsidRPr="006B7451" w:rsidR="00C02DED" w:rsidP="005D25BF" w:rsidRDefault="00C02DED" w14:paraId="50911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6B7451" w:rsidR="00C02DED" w:rsidP="005D25BF" w:rsidRDefault="00C02DED" w14:paraId="69C8A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5D25BF" w14:paraId="2D23ACB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EF58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C7658E7" w14:textId="5799E6F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6B7451">
              <w:rPr>
                <w:rFonts w:ascii="Times New Roman" w:hAnsi="Times New Roman" w:eastAsia="Times New Roman" w:cs="Times New Roman"/>
                <w:color w:val="000000"/>
                <w:kern w:val="0"/>
                <w:sz w:val="20"/>
                <w:szCs w:val="20"/>
                <w:lang w:eastAsia="sv-SE"/>
                <w14:numSpacing w14:val="default"/>
              </w:rPr>
              <w:t>omställning perioden</w:t>
            </w:r>
            <w:proofErr w:type="gramEnd"/>
            <w:r w:rsidRPr="006B7451">
              <w:rPr>
                <w:rFonts w:ascii="Times New Roman" w:hAnsi="Times New Roman" w:eastAsia="Times New Roman" w:cs="Times New Roman"/>
                <w:color w:val="000000"/>
                <w:kern w:val="0"/>
                <w:sz w:val="20"/>
                <w:szCs w:val="20"/>
                <w:lang w:eastAsia="sv-SE"/>
                <w14:numSpacing w14:val="default"/>
              </w:rPr>
              <w:t xml:space="preserve"> 2021</w:t>
            </w:r>
            <w:r w:rsidR="009479CA">
              <w:rPr>
                <w:rFonts w:ascii="Times New Roman" w:hAnsi="Times New Roman" w:eastAsia="Times New Roman" w:cs="Times New Roman"/>
                <w:color w:val="000000"/>
                <w:kern w:val="0"/>
                <w:sz w:val="20"/>
                <w:szCs w:val="20"/>
                <w:lang w:eastAsia="sv-SE"/>
                <w14:numSpacing w14:val="default"/>
              </w:rPr>
              <w:t>–</w:t>
            </w:r>
            <w:r w:rsidRPr="006B7451">
              <w:rPr>
                <w:rFonts w:ascii="Times New Roman" w:hAnsi="Times New Roman" w:eastAsia="Times New Roman" w:cs="Times New Roman"/>
                <w:color w:val="000000"/>
                <w:kern w:val="0"/>
                <w:sz w:val="20"/>
                <w:szCs w:val="20"/>
                <w:lang w:eastAsia="sv-SE"/>
                <w14:numSpacing w14:val="default"/>
              </w:rPr>
              <w:t>2027</w:t>
            </w:r>
          </w:p>
        </w:tc>
        <w:tc>
          <w:tcPr>
            <w:tcW w:w="1418" w:type="dxa"/>
            <w:shd w:val="clear" w:color="auto" w:fill="FFFFFF"/>
            <w:tcMar>
              <w:top w:w="68" w:type="dxa"/>
              <w:left w:w="28" w:type="dxa"/>
              <w:bottom w:w="0" w:type="dxa"/>
              <w:right w:w="28" w:type="dxa"/>
            </w:tcMar>
            <w:vAlign w:val="bottom"/>
            <w:hideMark/>
          </w:tcPr>
          <w:p w:rsidRPr="006B7451" w:rsidR="00C02DED" w:rsidP="005D25BF" w:rsidRDefault="00C02DED" w14:paraId="733D6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vAlign w:val="bottom"/>
            <w:hideMark/>
          </w:tcPr>
          <w:p w:rsidRPr="006B7451" w:rsidR="00C02DED" w:rsidP="005D25BF" w:rsidRDefault="00C02DED" w14:paraId="1617E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0CD9DA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4CA4B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66993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5 241 801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1FB51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bl>
    <w:p w:rsidRPr="006B7451" w:rsidR="00C02DED" w:rsidP="00C02DED" w:rsidRDefault="00C02DED" w14:paraId="6B267625" w14:textId="77777777">
      <w:pPr>
        <w:ind w:firstLine="0"/>
      </w:pPr>
    </w:p>
    <w:p w:rsidR="003C6D11" w:rsidRDefault="003C6D11" w14:paraId="3D8F5F28" w14:textId="19464DE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EC7C11" w:rsidP="00ED5D60" w:rsidRDefault="008A7FDF" w14:paraId="7D89E7F0" w14:textId="37C19A39">
      <w:pPr>
        <w:pStyle w:val="Rubrik2numrerat"/>
      </w:pPr>
      <w:bookmarkStart w:name="_Toc121752701" w:id="197"/>
      <w:r w:rsidRPr="006B7451">
        <w:lastRenderedPageBreak/>
        <w:t>Utgiftsområde 20 Allmän miljö- och naturvård</w:t>
      </w:r>
      <w:bookmarkEnd w:id="197"/>
    </w:p>
    <w:p w:rsidRPr="003E6404" w:rsidR="00FF2DF6" w:rsidP="003E6404" w:rsidRDefault="00FF2DF6" w14:paraId="773A35E5" w14:textId="77777777">
      <w:pPr>
        <w:pStyle w:val="Tabellrubrik"/>
      </w:pPr>
      <w:r w:rsidRPr="003E6404">
        <w:t>Anslagsförslag 2022 för utgiftsområde 20 Allmän miljö- och naturvård</w:t>
      </w:r>
    </w:p>
    <w:p w:rsidRPr="003E6404" w:rsidR="00FF2DF6" w:rsidP="003E6404" w:rsidRDefault="00FF2DF6" w14:paraId="21BCA34D" w14:textId="77777777">
      <w:pPr>
        <w:pStyle w:val="Tabellunderrubrik"/>
      </w:pPr>
      <w:r w:rsidRPr="003E640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FF2DF6" w:rsidTr="00FF2DF6" w14:paraId="4ECFABB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FF2DF6" w:rsidP="00FF2DF6" w:rsidRDefault="00FF2DF6" w14:paraId="5CD18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6C4D3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FF2DF6" w:rsidP="00FF2DF6" w:rsidRDefault="00FF2DF6" w14:paraId="69FDF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FF2DF6" w:rsidTr="00FF2DF6" w14:paraId="559AF0F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FFB2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0A8D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6B7451" w:rsidR="00FF2DF6" w:rsidP="00FF2DF6" w:rsidRDefault="00FF2DF6" w14:paraId="592D31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645 033</w:t>
            </w:r>
          </w:p>
        </w:tc>
        <w:tc>
          <w:tcPr>
            <w:tcW w:w="1418" w:type="dxa"/>
            <w:shd w:val="clear" w:color="auto" w:fill="FFFFFF"/>
            <w:tcMar>
              <w:top w:w="68" w:type="dxa"/>
              <w:left w:w="28" w:type="dxa"/>
              <w:bottom w:w="0" w:type="dxa"/>
              <w:right w:w="28" w:type="dxa"/>
            </w:tcMar>
            <w:hideMark/>
          </w:tcPr>
          <w:p w:rsidRPr="006B7451" w:rsidR="00FF2DF6" w:rsidP="00FF2DF6" w:rsidRDefault="00FF2DF6" w14:paraId="35C806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−37 000</w:t>
            </w:r>
          </w:p>
        </w:tc>
      </w:tr>
      <w:tr w:rsidRPr="006B7451" w:rsidR="00FF2DF6" w:rsidTr="00FF2DF6" w14:paraId="20F0649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41BD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BDC4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6B7451" w:rsidR="00FF2DF6" w:rsidP="00FF2DF6" w:rsidRDefault="00FF2DF6" w14:paraId="3C9DC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513 714</w:t>
            </w:r>
          </w:p>
        </w:tc>
        <w:tc>
          <w:tcPr>
            <w:tcW w:w="1418" w:type="dxa"/>
            <w:shd w:val="clear" w:color="auto" w:fill="FFFFFF"/>
            <w:tcMar>
              <w:top w:w="68" w:type="dxa"/>
              <w:left w:w="28" w:type="dxa"/>
              <w:bottom w:w="0" w:type="dxa"/>
              <w:right w:w="28" w:type="dxa"/>
            </w:tcMar>
            <w:hideMark/>
          </w:tcPr>
          <w:p w:rsidRPr="006B7451" w:rsidR="00FF2DF6" w:rsidP="00FF2DF6" w:rsidRDefault="00FF2DF6" w14:paraId="0CCC9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6258C2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14F8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3E62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6B7451" w:rsidR="00FF2DF6" w:rsidP="00FF2DF6" w:rsidRDefault="00FF2DF6" w14:paraId="4F3952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2 064 035</w:t>
            </w:r>
          </w:p>
        </w:tc>
        <w:tc>
          <w:tcPr>
            <w:tcW w:w="1418" w:type="dxa"/>
            <w:shd w:val="clear" w:color="auto" w:fill="FFFFFF"/>
            <w:tcMar>
              <w:top w:w="68" w:type="dxa"/>
              <w:left w:w="28" w:type="dxa"/>
              <w:bottom w:w="0" w:type="dxa"/>
              <w:right w:w="28" w:type="dxa"/>
            </w:tcMar>
            <w:hideMark/>
          </w:tcPr>
          <w:p w:rsidRPr="006B7451" w:rsidR="00FF2DF6" w:rsidP="00FF2DF6" w:rsidRDefault="00FF2DF6" w14:paraId="65173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6DB4ED7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97E5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F1C1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6B7451" w:rsidR="00FF2DF6" w:rsidP="00FF2DF6" w:rsidRDefault="00FF2DF6" w14:paraId="22B104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1 167 318</w:t>
            </w:r>
          </w:p>
        </w:tc>
        <w:tc>
          <w:tcPr>
            <w:tcW w:w="1418" w:type="dxa"/>
            <w:shd w:val="clear" w:color="auto" w:fill="FFFFFF"/>
            <w:tcMar>
              <w:top w:w="68" w:type="dxa"/>
              <w:left w:w="28" w:type="dxa"/>
              <w:bottom w:w="0" w:type="dxa"/>
              <w:right w:w="28" w:type="dxa"/>
            </w:tcMar>
            <w:hideMark/>
          </w:tcPr>
          <w:p w:rsidRPr="006B7451" w:rsidR="00FF2DF6" w:rsidP="00FF2DF6" w:rsidRDefault="00FF2DF6" w14:paraId="7BFE8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FF2DF6" w:rsidTr="00FF2DF6" w14:paraId="65E1398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10739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D306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652F3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6B7451" w:rsidR="00FF2DF6" w:rsidP="00FF2DF6" w:rsidRDefault="00FF2DF6" w14:paraId="5F735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500B4A1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C6867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C5A5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6B7451" w:rsidR="00FF2DF6" w:rsidP="00FF2DF6" w:rsidRDefault="00FF2DF6" w14:paraId="51E63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298 094</w:t>
            </w:r>
          </w:p>
        </w:tc>
        <w:tc>
          <w:tcPr>
            <w:tcW w:w="1418" w:type="dxa"/>
            <w:shd w:val="clear" w:color="auto" w:fill="FFFFFF"/>
            <w:tcMar>
              <w:top w:w="68" w:type="dxa"/>
              <w:left w:w="28" w:type="dxa"/>
              <w:bottom w:w="0" w:type="dxa"/>
              <w:right w:w="28" w:type="dxa"/>
            </w:tcMar>
            <w:hideMark/>
          </w:tcPr>
          <w:p w:rsidRPr="006B7451" w:rsidR="00FF2DF6" w:rsidP="00FF2DF6" w:rsidRDefault="00FF2DF6" w14:paraId="081CB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6E5284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C25E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6279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6B7451" w:rsidR="00FF2DF6" w:rsidP="00FF2DF6" w:rsidRDefault="00FF2DF6" w14:paraId="277F3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282 131</w:t>
            </w:r>
          </w:p>
        </w:tc>
        <w:tc>
          <w:tcPr>
            <w:tcW w:w="1418" w:type="dxa"/>
            <w:shd w:val="clear" w:color="auto" w:fill="FFFFFF"/>
            <w:tcMar>
              <w:top w:w="68" w:type="dxa"/>
              <w:left w:w="28" w:type="dxa"/>
              <w:bottom w:w="0" w:type="dxa"/>
              <w:right w:w="28" w:type="dxa"/>
            </w:tcMar>
            <w:hideMark/>
          </w:tcPr>
          <w:p w:rsidRPr="006B7451" w:rsidR="00FF2DF6" w:rsidP="00FF2DF6" w:rsidRDefault="00FF2DF6" w14:paraId="57C0B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1071B2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04776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098E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6B7451" w:rsidR="00FF2DF6" w:rsidP="00FF2DF6" w:rsidRDefault="00FF2DF6" w14:paraId="04D98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3 510 000</w:t>
            </w:r>
          </w:p>
        </w:tc>
        <w:tc>
          <w:tcPr>
            <w:tcW w:w="1418" w:type="dxa"/>
            <w:shd w:val="clear" w:color="auto" w:fill="FFFFFF"/>
            <w:tcMar>
              <w:top w:w="68" w:type="dxa"/>
              <w:left w:w="28" w:type="dxa"/>
              <w:bottom w:w="0" w:type="dxa"/>
              <w:right w:w="28" w:type="dxa"/>
            </w:tcMar>
            <w:hideMark/>
          </w:tcPr>
          <w:p w:rsidRPr="006B7451" w:rsidR="00FF2DF6" w:rsidP="00FF2DF6" w:rsidRDefault="00FF2DF6" w14:paraId="276CB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−3 510 000</w:t>
            </w:r>
          </w:p>
        </w:tc>
      </w:tr>
      <w:tr w:rsidRPr="006B7451" w:rsidR="00FF2DF6" w:rsidTr="00FF2DF6" w14:paraId="6352EF44"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8A9CB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4E62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6B7451" w:rsidR="00FF2DF6" w:rsidP="00FF2DF6" w:rsidRDefault="00FF2DF6" w14:paraId="0D180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298 143</w:t>
            </w:r>
          </w:p>
        </w:tc>
        <w:tc>
          <w:tcPr>
            <w:tcW w:w="1418" w:type="dxa"/>
            <w:shd w:val="clear" w:color="auto" w:fill="FFFFFF"/>
            <w:tcMar>
              <w:top w:w="68" w:type="dxa"/>
              <w:left w:w="28" w:type="dxa"/>
              <w:bottom w:w="0" w:type="dxa"/>
              <w:right w:w="28" w:type="dxa"/>
            </w:tcMar>
            <w:hideMark/>
          </w:tcPr>
          <w:p w:rsidRPr="006B7451" w:rsidR="00FF2DF6" w:rsidP="00FF2DF6" w:rsidRDefault="00FF2DF6" w14:paraId="6DB21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95680A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FB1E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65BE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6B7451" w:rsidR="00FF2DF6" w:rsidP="00FF2DF6" w:rsidRDefault="00FF2DF6" w14:paraId="6E8DE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6B7451" w:rsidR="00FF2DF6" w:rsidP="00FF2DF6" w:rsidRDefault="00FF2DF6" w14:paraId="54C87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6EBED55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6935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D0E2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6B7451" w:rsidR="00FF2DF6" w:rsidP="00FF2DF6" w:rsidRDefault="00FF2DF6" w14:paraId="73330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1 579 565</w:t>
            </w:r>
          </w:p>
        </w:tc>
        <w:tc>
          <w:tcPr>
            <w:tcW w:w="1418" w:type="dxa"/>
            <w:shd w:val="clear" w:color="auto" w:fill="FFFFFF"/>
            <w:tcMar>
              <w:top w:w="68" w:type="dxa"/>
              <w:left w:w="28" w:type="dxa"/>
              <w:bottom w:w="0" w:type="dxa"/>
              <w:right w:w="28" w:type="dxa"/>
            </w:tcMar>
            <w:hideMark/>
          </w:tcPr>
          <w:p w:rsidRPr="006B7451" w:rsidR="00FF2DF6" w:rsidP="00FF2DF6" w:rsidRDefault="00FF2DF6" w14:paraId="07B61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FF2DF6" w:rsidTr="00FF2DF6" w14:paraId="27EE5EC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A0AB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9372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6B7451" w:rsidR="00FF2DF6" w:rsidP="00FF2DF6" w:rsidRDefault="00FF2DF6" w14:paraId="53373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154 100</w:t>
            </w:r>
          </w:p>
        </w:tc>
        <w:tc>
          <w:tcPr>
            <w:tcW w:w="1418" w:type="dxa"/>
            <w:shd w:val="clear" w:color="auto" w:fill="FFFFFF"/>
            <w:tcMar>
              <w:top w:w="68" w:type="dxa"/>
              <w:left w:w="28" w:type="dxa"/>
              <w:bottom w:w="0" w:type="dxa"/>
              <w:right w:w="28" w:type="dxa"/>
            </w:tcMar>
            <w:hideMark/>
          </w:tcPr>
          <w:p w:rsidRPr="006B7451" w:rsidR="00FF2DF6" w:rsidP="00FF2DF6" w:rsidRDefault="00FF2DF6" w14:paraId="0814F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FF2DF6" w:rsidTr="00FF2DF6" w14:paraId="1E87CDBD"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EB6F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D25A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6B7451" w:rsidR="00FF2DF6" w:rsidP="00FF2DF6" w:rsidRDefault="00FF2DF6" w14:paraId="38DBB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6B7451" w:rsidR="00FF2DF6" w:rsidP="00FF2DF6" w:rsidRDefault="00FF2DF6" w14:paraId="603CF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360CA11"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AEC8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3EED0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6B7451" w:rsidR="00FF2DF6" w:rsidP="00FF2DF6" w:rsidRDefault="00FF2DF6" w14:paraId="262C55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3 725 500</w:t>
            </w:r>
          </w:p>
        </w:tc>
        <w:tc>
          <w:tcPr>
            <w:tcW w:w="1418" w:type="dxa"/>
            <w:shd w:val="clear" w:color="auto" w:fill="FFFFFF"/>
            <w:tcMar>
              <w:top w:w="68" w:type="dxa"/>
              <w:left w:w="28" w:type="dxa"/>
              <w:bottom w:w="0" w:type="dxa"/>
              <w:right w:w="28" w:type="dxa"/>
            </w:tcMar>
            <w:hideMark/>
          </w:tcPr>
          <w:p w:rsidRPr="006B7451" w:rsidR="00FF2DF6" w:rsidP="00FF2DF6" w:rsidRDefault="00FF2DF6" w14:paraId="0DE272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−2 005 000</w:t>
            </w:r>
          </w:p>
        </w:tc>
      </w:tr>
      <w:tr w:rsidRPr="006B7451" w:rsidR="00FF2DF6" w:rsidTr="00FF2DF6" w14:paraId="0DAB7EA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334B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843B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6B7451" w:rsidR="00FF2DF6" w:rsidP="00FF2DF6" w:rsidRDefault="00FF2DF6" w14:paraId="6802E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307 151</w:t>
            </w:r>
          </w:p>
        </w:tc>
        <w:tc>
          <w:tcPr>
            <w:tcW w:w="1418" w:type="dxa"/>
            <w:shd w:val="clear" w:color="auto" w:fill="FFFFFF"/>
            <w:tcMar>
              <w:top w:w="68" w:type="dxa"/>
              <w:left w:w="28" w:type="dxa"/>
              <w:bottom w:w="0" w:type="dxa"/>
              <w:right w:w="28" w:type="dxa"/>
            </w:tcMar>
            <w:hideMark/>
          </w:tcPr>
          <w:p w:rsidRPr="006B7451" w:rsidR="00FF2DF6" w:rsidP="00FF2DF6" w:rsidRDefault="00FF2DF6" w14:paraId="53701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−60 000</w:t>
            </w:r>
          </w:p>
        </w:tc>
      </w:tr>
      <w:tr w:rsidRPr="006B7451" w:rsidR="00FF2DF6" w:rsidTr="00FF2DF6" w14:paraId="4C56F80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7270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7EB25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6B7451" w:rsidR="00FF2DF6" w:rsidP="00FF2DF6" w:rsidRDefault="00FF2DF6" w14:paraId="1B56ED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2 755 000</w:t>
            </w:r>
          </w:p>
        </w:tc>
        <w:tc>
          <w:tcPr>
            <w:tcW w:w="1418" w:type="dxa"/>
            <w:shd w:val="clear" w:color="auto" w:fill="FFFFFF"/>
            <w:tcMar>
              <w:top w:w="68" w:type="dxa"/>
              <w:left w:w="28" w:type="dxa"/>
              <w:bottom w:w="0" w:type="dxa"/>
              <w:right w:w="28" w:type="dxa"/>
            </w:tcMar>
            <w:hideMark/>
          </w:tcPr>
          <w:p w:rsidRPr="006B7451" w:rsidR="00FF2DF6" w:rsidP="00FF2DF6" w:rsidRDefault="00FF2DF6" w14:paraId="70E99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−2 755 000</w:t>
            </w:r>
          </w:p>
        </w:tc>
      </w:tr>
      <w:tr w:rsidRPr="006B7451" w:rsidR="00FF2DF6" w:rsidTr="00FF2DF6" w14:paraId="626F094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F75B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14FCA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6B7451" w:rsidR="00FF2DF6" w:rsidP="00FF2DF6" w:rsidRDefault="00FF2DF6" w14:paraId="0D0B0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1 600 500</w:t>
            </w:r>
          </w:p>
        </w:tc>
        <w:tc>
          <w:tcPr>
            <w:tcW w:w="1418" w:type="dxa"/>
            <w:shd w:val="clear" w:color="auto" w:fill="FFFFFF"/>
            <w:tcMar>
              <w:top w:w="68" w:type="dxa"/>
              <w:left w:w="28" w:type="dxa"/>
              <w:bottom w:w="0" w:type="dxa"/>
              <w:right w:w="28" w:type="dxa"/>
            </w:tcMar>
            <w:hideMark/>
          </w:tcPr>
          <w:p w:rsidRPr="006B7451" w:rsidR="00FF2DF6" w:rsidP="00FF2DF6" w:rsidRDefault="00FF2DF6" w14:paraId="7B50B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−1 331 000</w:t>
            </w:r>
          </w:p>
        </w:tc>
      </w:tr>
      <w:tr w:rsidRPr="006B7451" w:rsidR="00FF2DF6" w:rsidTr="00FF2DF6" w14:paraId="093B20A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8C3F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6FEDC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6B7451" w:rsidR="00FF2DF6" w:rsidP="00FF2DF6" w:rsidRDefault="00FF2DF6" w14:paraId="0F6D1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hideMark/>
          </w:tcPr>
          <w:p w:rsidRPr="006B7451" w:rsidR="00FF2DF6" w:rsidP="00FF2DF6" w:rsidRDefault="00FF2DF6" w14:paraId="68045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FF2DF6" w:rsidTr="00FF2DF6" w14:paraId="5E4420E2"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3C607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C265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6B7451" w:rsidR="00FF2DF6" w:rsidP="00FF2DF6" w:rsidRDefault="00FF2DF6" w14:paraId="46295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909 000</w:t>
            </w:r>
          </w:p>
        </w:tc>
        <w:tc>
          <w:tcPr>
            <w:tcW w:w="1418" w:type="dxa"/>
            <w:shd w:val="clear" w:color="auto" w:fill="FFFFFF"/>
            <w:tcMar>
              <w:top w:w="68" w:type="dxa"/>
              <w:left w:w="28" w:type="dxa"/>
              <w:bottom w:w="0" w:type="dxa"/>
              <w:right w:w="28" w:type="dxa"/>
            </w:tcMar>
            <w:hideMark/>
          </w:tcPr>
          <w:p w:rsidRPr="006B7451" w:rsidR="00FF2DF6" w:rsidP="00FF2DF6" w:rsidRDefault="00FF2DF6" w14:paraId="3C2E7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59E9324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6AE5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9BE2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6B7451" w:rsidR="00FF2DF6" w:rsidP="00FF2DF6" w:rsidRDefault="00FF2DF6" w14:paraId="2EE0B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6B7451" w:rsidR="00FF2DF6" w:rsidP="00FF2DF6" w:rsidRDefault="00FF2DF6" w14:paraId="7CFB9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470727B"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23BB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8566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6B7451" w:rsidR="00FF2DF6" w:rsidP="00FF2DF6" w:rsidRDefault="00FF2DF6" w14:paraId="1634A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6B7451" w:rsidR="00FF2DF6" w:rsidP="00FF2DF6" w:rsidRDefault="00FF2DF6" w14:paraId="7DD9B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FF2DF6" w:rsidTr="00FF2DF6" w14:paraId="28D0922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8E4A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47991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6B7451" w:rsidR="00FF2DF6" w:rsidP="00FF2DF6" w:rsidRDefault="00FF2DF6" w14:paraId="57DD9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6B7451" w:rsidR="00FF2DF6" w:rsidP="00FF2DF6" w:rsidRDefault="00FF2DF6" w14:paraId="6B229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FF2DF6" w:rsidTr="001454F3" w14:paraId="59AE6BB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4839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7612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6B7451" w:rsidR="00FF2DF6" w:rsidP="001454F3" w:rsidRDefault="00FF2DF6" w14:paraId="556E7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128 163</w:t>
            </w:r>
          </w:p>
        </w:tc>
        <w:tc>
          <w:tcPr>
            <w:tcW w:w="1418" w:type="dxa"/>
            <w:shd w:val="clear" w:color="auto" w:fill="FFFFFF"/>
            <w:tcMar>
              <w:top w:w="68" w:type="dxa"/>
              <w:left w:w="28" w:type="dxa"/>
              <w:bottom w:w="0" w:type="dxa"/>
              <w:right w:w="28" w:type="dxa"/>
            </w:tcMar>
            <w:vAlign w:val="bottom"/>
            <w:hideMark/>
          </w:tcPr>
          <w:p w:rsidRPr="006B7451" w:rsidR="00FF2DF6" w:rsidP="001454F3" w:rsidRDefault="00FF2DF6" w14:paraId="08FFD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FF2DF6" w:rsidTr="001454F3" w14:paraId="3619BB8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367F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1740B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6B7451" w:rsidR="00FF2DF6" w:rsidP="001454F3" w:rsidRDefault="00FF2DF6" w14:paraId="29204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1 104 908</w:t>
            </w:r>
          </w:p>
        </w:tc>
        <w:tc>
          <w:tcPr>
            <w:tcW w:w="1418" w:type="dxa"/>
            <w:shd w:val="clear" w:color="auto" w:fill="FFFFFF"/>
            <w:tcMar>
              <w:top w:w="68" w:type="dxa"/>
              <w:left w:w="28" w:type="dxa"/>
              <w:bottom w:w="0" w:type="dxa"/>
              <w:right w:w="28" w:type="dxa"/>
            </w:tcMar>
            <w:vAlign w:val="bottom"/>
            <w:hideMark/>
          </w:tcPr>
          <w:p w:rsidRPr="006B7451" w:rsidR="00FF2DF6" w:rsidP="001454F3" w:rsidRDefault="00FF2DF6" w14:paraId="56953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150 000</w:t>
            </w:r>
          </w:p>
        </w:tc>
      </w:tr>
      <w:tr w:rsidRPr="006B7451" w:rsidR="00FF2DF6" w:rsidTr="00FF2DF6" w14:paraId="563D34B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143D0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043648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Laddinfrastruktur elfordon</w:t>
            </w:r>
          </w:p>
        </w:tc>
        <w:tc>
          <w:tcPr>
            <w:tcW w:w="1418" w:type="dxa"/>
            <w:shd w:val="clear" w:color="auto" w:fill="FFFFFF"/>
            <w:tcMar>
              <w:top w:w="68" w:type="dxa"/>
              <w:left w:w="28" w:type="dxa"/>
              <w:bottom w:w="0" w:type="dxa"/>
              <w:right w:w="28" w:type="dxa"/>
            </w:tcMar>
            <w:hideMark/>
          </w:tcPr>
          <w:p w:rsidRPr="006B7451" w:rsidR="00FF2DF6" w:rsidP="00FF2DF6" w:rsidRDefault="00FF2DF6" w14:paraId="317825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6949F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350 000</w:t>
            </w:r>
          </w:p>
        </w:tc>
      </w:tr>
      <w:tr w:rsidRPr="006B7451" w:rsidR="00FF2DF6" w:rsidTr="00FF2DF6" w14:paraId="67813C18"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051C3C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27399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Förädlingsprojekt Alm och Ask</w:t>
            </w:r>
          </w:p>
        </w:tc>
        <w:tc>
          <w:tcPr>
            <w:tcW w:w="1418" w:type="dxa"/>
            <w:shd w:val="clear" w:color="auto" w:fill="FFFFFF"/>
            <w:tcMar>
              <w:top w:w="68" w:type="dxa"/>
              <w:left w:w="28" w:type="dxa"/>
              <w:bottom w:w="0" w:type="dxa"/>
              <w:right w:w="28" w:type="dxa"/>
            </w:tcMar>
            <w:hideMark/>
          </w:tcPr>
          <w:p w:rsidRPr="006B7451" w:rsidR="00FF2DF6" w:rsidP="00FF2DF6" w:rsidRDefault="00FF2DF6" w14:paraId="688E5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38065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FF2DF6" w:rsidTr="00FF2DF6" w14:paraId="6981FB63"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3EB4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FF2DF6" w:rsidP="00FF2DF6" w:rsidRDefault="00FF2DF6" w14:paraId="54C5A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Centrum för genteknik i naturens tjänst</w:t>
            </w:r>
          </w:p>
        </w:tc>
        <w:tc>
          <w:tcPr>
            <w:tcW w:w="1418" w:type="dxa"/>
            <w:shd w:val="clear" w:color="auto" w:fill="FFFFFF"/>
            <w:tcMar>
              <w:top w:w="68" w:type="dxa"/>
              <w:left w:w="28" w:type="dxa"/>
              <w:bottom w:w="0" w:type="dxa"/>
              <w:right w:w="28" w:type="dxa"/>
            </w:tcMar>
            <w:hideMark/>
          </w:tcPr>
          <w:p w:rsidRPr="006B7451" w:rsidR="00FF2DF6" w:rsidP="00FF2DF6" w:rsidRDefault="00FF2DF6" w14:paraId="3ED20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1AF95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FF2DF6" w:rsidTr="003C6D11" w14:paraId="125AC0C7" w14:textId="77777777">
        <w:trPr>
          <w:trHeight w:val="170"/>
        </w:trPr>
        <w:tc>
          <w:tcPr>
            <w:tcW w:w="4139" w:type="dxa"/>
            <w:gridSpan w:val="2"/>
            <w:tcBorders>
              <w:top w:val="nil"/>
              <w:left w:val="nil"/>
              <w:bottom w:val="nil"/>
              <w:right w:val="nil"/>
            </w:tcBorders>
            <w:shd w:val="clear" w:color="auto" w:fill="FFFFFF"/>
            <w:tcMar>
              <w:top w:w="68" w:type="dxa"/>
              <w:left w:w="28" w:type="dxa"/>
              <w:bottom w:w="20" w:type="dxa"/>
              <w:right w:w="85" w:type="dxa"/>
            </w:tcMar>
            <w:vAlign w:val="center"/>
            <w:hideMark/>
          </w:tcPr>
          <w:p w:rsidRPr="006B7451" w:rsidR="00FF2DF6" w:rsidP="00FF2DF6" w:rsidRDefault="00FF2DF6" w14:paraId="3A95E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nil"/>
              <w:right w:val="nil"/>
            </w:tcBorders>
            <w:shd w:val="clear" w:color="auto" w:fill="FFFFFF"/>
            <w:tcMar>
              <w:top w:w="68" w:type="dxa"/>
              <w:left w:w="28" w:type="dxa"/>
              <w:bottom w:w="20" w:type="dxa"/>
              <w:right w:w="28" w:type="dxa"/>
            </w:tcMar>
            <w:hideMark/>
          </w:tcPr>
          <w:p w:rsidRPr="006B7451" w:rsidR="00FF2DF6" w:rsidP="00FF2DF6" w:rsidRDefault="00FF2DF6" w14:paraId="232F6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21 851 580</w:t>
            </w:r>
          </w:p>
        </w:tc>
        <w:tc>
          <w:tcPr>
            <w:tcW w:w="1418" w:type="dxa"/>
            <w:tcBorders>
              <w:top w:val="nil"/>
              <w:left w:val="nil"/>
              <w:bottom w:val="nil"/>
              <w:right w:val="nil"/>
            </w:tcBorders>
            <w:shd w:val="clear" w:color="auto" w:fill="FFFFFF"/>
            <w:tcMar>
              <w:top w:w="68" w:type="dxa"/>
              <w:left w:w="28" w:type="dxa"/>
              <w:bottom w:w="20" w:type="dxa"/>
              <w:right w:w="28" w:type="dxa"/>
            </w:tcMar>
            <w:hideMark/>
          </w:tcPr>
          <w:p w:rsidRPr="006B7451" w:rsidR="00FF2DF6" w:rsidP="00FF2DF6" w:rsidRDefault="00FF2DF6" w14:paraId="6DD15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−9 038 000</w:t>
            </w:r>
          </w:p>
        </w:tc>
      </w:tr>
    </w:tbl>
    <w:p w:rsidRPr="006B7451" w:rsidR="003C6D11" w:rsidP="003C6D11" w:rsidRDefault="003C6D11" w14:paraId="7883C50F" w14:textId="77777777">
      <w:pPr>
        <w:pStyle w:val="Normalutanindragellerluft"/>
        <w:rPr>
          <w:rFonts w:eastAsia="Times New Roman"/>
          <w:lang w:eastAsia="sv-SE"/>
        </w:rPr>
      </w:pPr>
    </w:p>
    <w:p w:rsidR="003C6D11" w:rsidRDefault="003C6D11" w14:paraId="722BC077" w14:textId="3779328F">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6B7451" w:rsidR="008A7FDF" w:rsidP="00ED5D60" w:rsidRDefault="008A7FDF" w14:paraId="2EE22AC4" w14:textId="6149DA6D">
      <w:pPr>
        <w:pStyle w:val="Rubrik2numrerat"/>
      </w:pPr>
      <w:bookmarkStart w:name="_Toc121752702" w:id="198"/>
      <w:r w:rsidRPr="006B7451">
        <w:lastRenderedPageBreak/>
        <w:t>Utgiftsområde 21 Energi</w:t>
      </w:r>
      <w:bookmarkEnd w:id="198"/>
    </w:p>
    <w:p w:rsidRPr="009479CA" w:rsidR="00C02DED" w:rsidP="009479CA" w:rsidRDefault="00C02DED" w14:paraId="358F7B1E" w14:textId="77777777">
      <w:pPr>
        <w:pStyle w:val="Tabellrubrik"/>
      </w:pPr>
      <w:r w:rsidRPr="009479CA">
        <w:t>Anslagsförslag 2022 för utgiftsområde 21 Energi</w:t>
      </w:r>
    </w:p>
    <w:p w:rsidRPr="009479CA" w:rsidR="00C02DED" w:rsidP="009479CA" w:rsidRDefault="00C02DED" w14:paraId="43CEB167" w14:textId="77777777">
      <w:pPr>
        <w:pStyle w:val="Tabellunderrubrik"/>
      </w:pPr>
      <w:r w:rsidRPr="009479C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269ABC7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6B788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A7A0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66D35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382C4E4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93D5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14854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6B7451" w:rsidR="00C02DED" w:rsidP="00C02DED" w:rsidRDefault="00C02DED" w14:paraId="2ED0B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419 387</w:t>
            </w:r>
          </w:p>
        </w:tc>
        <w:tc>
          <w:tcPr>
            <w:tcW w:w="1418" w:type="dxa"/>
            <w:shd w:val="clear" w:color="auto" w:fill="FFFFFF"/>
            <w:tcMar>
              <w:top w:w="68" w:type="dxa"/>
              <w:left w:w="28" w:type="dxa"/>
              <w:bottom w:w="0" w:type="dxa"/>
              <w:right w:w="28" w:type="dxa"/>
            </w:tcMar>
            <w:hideMark/>
          </w:tcPr>
          <w:p w:rsidRPr="006B7451" w:rsidR="00C02DED" w:rsidP="00C02DED" w:rsidRDefault="00C02DED" w14:paraId="19038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C02DED" w14:paraId="194E0D3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6C31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4D36A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6B7451" w:rsidR="00C02DED" w:rsidP="00C02DED" w:rsidRDefault="00C02DED" w14:paraId="4DBC2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118 000</w:t>
            </w:r>
          </w:p>
        </w:tc>
        <w:tc>
          <w:tcPr>
            <w:tcW w:w="1418" w:type="dxa"/>
            <w:shd w:val="clear" w:color="auto" w:fill="FFFFFF"/>
            <w:tcMar>
              <w:top w:w="68" w:type="dxa"/>
              <w:left w:w="28" w:type="dxa"/>
              <w:bottom w:w="0" w:type="dxa"/>
              <w:right w:w="28" w:type="dxa"/>
            </w:tcMar>
            <w:hideMark/>
          </w:tcPr>
          <w:p w:rsidRPr="006B7451" w:rsidR="00C02DED" w:rsidP="00C02DED" w:rsidRDefault="00C02DED" w14:paraId="46D5F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34AB44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25E0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B508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för förnybar elproduktion</w:t>
            </w:r>
          </w:p>
        </w:tc>
        <w:tc>
          <w:tcPr>
            <w:tcW w:w="1418" w:type="dxa"/>
            <w:shd w:val="clear" w:color="auto" w:fill="FFFFFF"/>
            <w:tcMar>
              <w:top w:w="68" w:type="dxa"/>
              <w:left w:w="28" w:type="dxa"/>
              <w:bottom w:w="0" w:type="dxa"/>
              <w:right w:w="28" w:type="dxa"/>
            </w:tcMar>
            <w:hideMark/>
          </w:tcPr>
          <w:p w:rsidRPr="006B7451" w:rsidR="00C02DED" w:rsidP="00C02DED" w:rsidRDefault="00C02DED" w14:paraId="6B5F4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6B7451" w:rsidR="00C02DED" w:rsidP="00C02DED" w:rsidRDefault="00C02DED" w14:paraId="4104E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−25 000</w:t>
            </w:r>
          </w:p>
        </w:tc>
      </w:tr>
      <w:tr w:rsidRPr="006B7451" w:rsidR="00C02DED" w:rsidTr="00C02DED" w14:paraId="6E87CBE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3F3C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9A16F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6B7451" w:rsidR="00C02DED" w:rsidP="00C02DED" w:rsidRDefault="00C02DED" w14:paraId="1149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1 432 723</w:t>
            </w:r>
          </w:p>
        </w:tc>
        <w:tc>
          <w:tcPr>
            <w:tcW w:w="1418" w:type="dxa"/>
            <w:shd w:val="clear" w:color="auto" w:fill="FFFFFF"/>
            <w:tcMar>
              <w:top w:w="68" w:type="dxa"/>
              <w:left w:w="28" w:type="dxa"/>
              <w:bottom w:w="0" w:type="dxa"/>
              <w:right w:w="28" w:type="dxa"/>
            </w:tcMar>
            <w:hideMark/>
          </w:tcPr>
          <w:p w:rsidRPr="006B7451" w:rsidR="00C02DED" w:rsidP="00C02DED" w:rsidRDefault="00C02DED" w14:paraId="3F099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24CFF9F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AA57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93848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418" w:type="dxa"/>
            <w:shd w:val="clear" w:color="auto" w:fill="FFFFFF"/>
            <w:tcMar>
              <w:top w:w="68" w:type="dxa"/>
              <w:left w:w="28" w:type="dxa"/>
              <w:bottom w:w="0" w:type="dxa"/>
              <w:right w:w="28" w:type="dxa"/>
            </w:tcMar>
            <w:hideMark/>
          </w:tcPr>
          <w:p w:rsidRPr="006B7451" w:rsidR="00C02DED" w:rsidP="00C02DED" w:rsidRDefault="00C02DED" w14:paraId="2F47A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69F98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CEC072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B44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525B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6B7451" w:rsidR="00C02DED" w:rsidP="00C02DED" w:rsidRDefault="00C02DED" w14:paraId="44005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184 294</w:t>
            </w:r>
          </w:p>
        </w:tc>
        <w:tc>
          <w:tcPr>
            <w:tcW w:w="1418" w:type="dxa"/>
            <w:shd w:val="clear" w:color="auto" w:fill="FFFFFF"/>
            <w:tcMar>
              <w:top w:w="68" w:type="dxa"/>
              <w:left w:w="28" w:type="dxa"/>
              <w:bottom w:w="0" w:type="dxa"/>
              <w:right w:w="28" w:type="dxa"/>
            </w:tcMar>
            <w:hideMark/>
          </w:tcPr>
          <w:p w:rsidRPr="006B7451" w:rsidR="00C02DED" w:rsidP="00C02DED" w:rsidRDefault="00C02DED" w14:paraId="5D5EE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714B19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DA9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D03E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Energiteknik</w:t>
            </w:r>
          </w:p>
        </w:tc>
        <w:tc>
          <w:tcPr>
            <w:tcW w:w="1418" w:type="dxa"/>
            <w:shd w:val="clear" w:color="auto" w:fill="FFFFFF"/>
            <w:tcMar>
              <w:top w:w="68" w:type="dxa"/>
              <w:left w:w="28" w:type="dxa"/>
              <w:bottom w:w="0" w:type="dxa"/>
              <w:right w:w="28" w:type="dxa"/>
            </w:tcMar>
            <w:hideMark/>
          </w:tcPr>
          <w:p w:rsidRPr="006B7451" w:rsidR="00C02DED" w:rsidP="00C02DED" w:rsidRDefault="00C02DED" w14:paraId="2B13E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1 077 600</w:t>
            </w:r>
          </w:p>
        </w:tc>
        <w:tc>
          <w:tcPr>
            <w:tcW w:w="1418" w:type="dxa"/>
            <w:shd w:val="clear" w:color="auto" w:fill="FFFFFF"/>
            <w:tcMar>
              <w:top w:w="68" w:type="dxa"/>
              <w:left w:w="28" w:type="dxa"/>
              <w:bottom w:w="0" w:type="dxa"/>
              <w:right w:w="28" w:type="dxa"/>
            </w:tcMar>
            <w:hideMark/>
          </w:tcPr>
          <w:p w:rsidRPr="006B7451" w:rsidR="00C02DED" w:rsidP="00C02DED" w:rsidRDefault="00C02DED" w14:paraId="3486E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−578 000</w:t>
            </w:r>
          </w:p>
        </w:tc>
      </w:tr>
      <w:tr w:rsidRPr="006B7451" w:rsidR="00C02DED" w:rsidTr="00C02DED" w14:paraId="1D179D0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FEDE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40F3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6B7451" w:rsidR="00C02DED" w:rsidP="00C02DED" w:rsidRDefault="00C02DED" w14:paraId="67679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361 000</w:t>
            </w:r>
          </w:p>
        </w:tc>
        <w:tc>
          <w:tcPr>
            <w:tcW w:w="1418" w:type="dxa"/>
            <w:shd w:val="clear" w:color="auto" w:fill="FFFFFF"/>
            <w:tcMar>
              <w:top w:w="68" w:type="dxa"/>
              <w:left w:w="28" w:type="dxa"/>
              <w:bottom w:w="0" w:type="dxa"/>
              <w:right w:w="28" w:type="dxa"/>
            </w:tcMar>
            <w:hideMark/>
          </w:tcPr>
          <w:p w:rsidRPr="006B7451" w:rsidR="00C02DED" w:rsidP="00C02DED" w:rsidRDefault="00C02DED" w14:paraId="0C5E6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9BD135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DEF5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18C9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1ACE4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hideMark/>
          </w:tcPr>
          <w:p w:rsidRPr="006B7451" w:rsidR="00C02DED" w:rsidP="00C02DED" w:rsidRDefault="00C02DED" w14:paraId="76C83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r>
      <w:tr w:rsidRPr="006B7451" w:rsidR="00C02DED" w:rsidTr="008A1CBE" w14:paraId="5D3360E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59C9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33729A7" w14:textId="0A728E6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0D4068">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vAlign w:val="bottom"/>
            <w:hideMark/>
          </w:tcPr>
          <w:p w:rsidRPr="006B7451" w:rsidR="00C02DED" w:rsidP="008A1CBE" w:rsidRDefault="00C02DED" w14:paraId="3645C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vAlign w:val="bottom"/>
            <w:hideMark/>
          </w:tcPr>
          <w:p w:rsidRPr="006B7451" w:rsidR="00C02DED" w:rsidP="008A1CBE" w:rsidRDefault="00C02DED" w14:paraId="2ED93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−140 000</w:t>
            </w:r>
          </w:p>
        </w:tc>
      </w:tr>
      <w:tr w:rsidRPr="006B7451" w:rsidR="00C02DED" w:rsidTr="00C02DED" w14:paraId="05CBB84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7194B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076D4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29B3A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71 592</w:t>
            </w:r>
          </w:p>
        </w:tc>
        <w:tc>
          <w:tcPr>
            <w:tcW w:w="1418" w:type="dxa"/>
            <w:shd w:val="clear" w:color="auto" w:fill="FFFFFF"/>
            <w:tcMar>
              <w:top w:w="68" w:type="dxa"/>
              <w:left w:w="28" w:type="dxa"/>
              <w:bottom w:w="0" w:type="dxa"/>
              <w:right w:w="28" w:type="dxa"/>
            </w:tcMar>
            <w:hideMark/>
          </w:tcPr>
          <w:p w:rsidRPr="006B7451" w:rsidR="00C02DED" w:rsidP="00C02DED" w:rsidRDefault="00C02DED" w14:paraId="6CD6C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FF8D0E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36A5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1458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Forskningsreaktor</w:t>
            </w:r>
          </w:p>
        </w:tc>
        <w:tc>
          <w:tcPr>
            <w:tcW w:w="1418" w:type="dxa"/>
            <w:shd w:val="clear" w:color="auto" w:fill="FFFFFF"/>
            <w:tcMar>
              <w:top w:w="68" w:type="dxa"/>
              <w:left w:w="28" w:type="dxa"/>
              <w:bottom w:w="0" w:type="dxa"/>
              <w:right w:w="28" w:type="dxa"/>
            </w:tcMar>
            <w:hideMark/>
          </w:tcPr>
          <w:p w:rsidRPr="006B7451" w:rsidR="00C02DED" w:rsidP="00C02DED" w:rsidRDefault="00C02DED" w14:paraId="72743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6FFB8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150 000</w:t>
            </w:r>
          </w:p>
        </w:tc>
      </w:tr>
      <w:tr w:rsidRPr="006B7451" w:rsidR="00C02DED" w:rsidTr="00C02DED" w14:paraId="7B63B1A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7731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67E46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4 454 924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356EE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−562 000</w:t>
            </w:r>
          </w:p>
        </w:tc>
      </w:tr>
    </w:tbl>
    <w:p w:rsidRPr="006B7451" w:rsidR="008A7FDF" w:rsidP="00ED5D60" w:rsidRDefault="008A7FDF" w14:paraId="1D737A41" w14:textId="77777777">
      <w:pPr>
        <w:pStyle w:val="Rubrik2numrerat"/>
      </w:pPr>
      <w:bookmarkStart w:name="_Toc121752703" w:id="199"/>
      <w:r w:rsidRPr="006B7451">
        <w:t>Utgiftsområde 22 Kommunikationer</w:t>
      </w:r>
      <w:bookmarkEnd w:id="199"/>
    </w:p>
    <w:p w:rsidRPr="00C354C8" w:rsidR="00C02DED" w:rsidP="002E4921" w:rsidRDefault="00C02DED" w14:paraId="7225D837" w14:textId="77777777">
      <w:pPr>
        <w:pStyle w:val="Tabellrubrik"/>
        <w:keepNext/>
      </w:pPr>
      <w:r w:rsidRPr="00C354C8">
        <w:t>Anslagsförslag 2022 för utgiftsområde 22 Kommunikationer</w:t>
      </w:r>
    </w:p>
    <w:p w:rsidRPr="00C354C8" w:rsidR="00C02DED" w:rsidP="00C354C8" w:rsidRDefault="00C02DED" w14:paraId="513C5A19" w14:textId="77777777">
      <w:pPr>
        <w:pStyle w:val="Tabellunderrubrik"/>
      </w:pPr>
      <w:r w:rsidRPr="00C354C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2E4921" w14:paraId="43D4710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13595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663413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6DE2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12EA358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801C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BCE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6B7451" w:rsidR="00C02DED" w:rsidP="00C02DED" w:rsidRDefault="00C02DED" w14:paraId="1706E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31 929 785</w:t>
            </w:r>
          </w:p>
        </w:tc>
        <w:tc>
          <w:tcPr>
            <w:tcW w:w="1418" w:type="dxa"/>
            <w:shd w:val="clear" w:color="auto" w:fill="FFFFFF"/>
            <w:tcMar>
              <w:top w:w="68" w:type="dxa"/>
              <w:left w:w="28" w:type="dxa"/>
              <w:bottom w:w="0" w:type="dxa"/>
              <w:right w:w="28" w:type="dxa"/>
            </w:tcMar>
            <w:hideMark/>
          </w:tcPr>
          <w:p w:rsidRPr="006B7451" w:rsidR="00C02DED" w:rsidP="00C02DED" w:rsidRDefault="00C02DED" w14:paraId="7ED38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C02DED" w:rsidTr="00C02DED" w14:paraId="254EAC8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E13C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8EDF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6B7451" w:rsidR="00C02DED" w:rsidP="00C02DED" w:rsidRDefault="00C02DED" w14:paraId="7C9FA2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30 402 263</w:t>
            </w:r>
          </w:p>
        </w:tc>
        <w:tc>
          <w:tcPr>
            <w:tcW w:w="1418" w:type="dxa"/>
            <w:shd w:val="clear" w:color="auto" w:fill="FFFFFF"/>
            <w:tcMar>
              <w:top w:w="68" w:type="dxa"/>
              <w:left w:w="28" w:type="dxa"/>
              <w:bottom w:w="0" w:type="dxa"/>
              <w:right w:w="28" w:type="dxa"/>
            </w:tcMar>
            <w:hideMark/>
          </w:tcPr>
          <w:p w:rsidRPr="006B7451" w:rsidR="00C02DED" w:rsidP="00C02DED" w:rsidRDefault="00C02DED" w14:paraId="132C4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C02DED" w:rsidTr="00C02DED" w14:paraId="4C5B8A6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63DF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1C6F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68A56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1 426 106</w:t>
            </w:r>
          </w:p>
        </w:tc>
        <w:tc>
          <w:tcPr>
            <w:tcW w:w="1418" w:type="dxa"/>
            <w:shd w:val="clear" w:color="auto" w:fill="FFFFFF"/>
            <w:tcMar>
              <w:top w:w="68" w:type="dxa"/>
              <w:left w:w="28" w:type="dxa"/>
              <w:bottom w:w="0" w:type="dxa"/>
              <w:right w:w="28" w:type="dxa"/>
            </w:tcMar>
            <w:hideMark/>
          </w:tcPr>
          <w:p w:rsidRPr="006B7451" w:rsidR="00C02DED" w:rsidP="00C02DED" w:rsidRDefault="00C02DED" w14:paraId="2C3A1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E53FC2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ED8D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F34D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6B7451" w:rsidR="00C02DED" w:rsidP="00C02DED" w:rsidRDefault="00C02DED" w14:paraId="79B577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369 108</w:t>
            </w:r>
          </w:p>
        </w:tc>
        <w:tc>
          <w:tcPr>
            <w:tcW w:w="1418" w:type="dxa"/>
            <w:shd w:val="clear" w:color="auto" w:fill="FFFFFF"/>
            <w:tcMar>
              <w:top w:w="68" w:type="dxa"/>
              <w:left w:w="28" w:type="dxa"/>
              <w:bottom w:w="0" w:type="dxa"/>
              <w:right w:w="28" w:type="dxa"/>
            </w:tcMar>
            <w:hideMark/>
          </w:tcPr>
          <w:p w:rsidRPr="006B7451" w:rsidR="00C02DED" w:rsidP="00C02DED" w:rsidRDefault="00C02DED" w14:paraId="41AB29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C992E8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6FCF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1D23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6B7451" w:rsidR="00C02DED" w:rsidP="00C02DED" w:rsidRDefault="00C02DED" w14:paraId="396972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146 184</w:t>
            </w:r>
          </w:p>
        </w:tc>
        <w:tc>
          <w:tcPr>
            <w:tcW w:w="1418" w:type="dxa"/>
            <w:shd w:val="clear" w:color="auto" w:fill="FFFFFF"/>
            <w:tcMar>
              <w:top w:w="68" w:type="dxa"/>
              <w:left w:w="28" w:type="dxa"/>
              <w:bottom w:w="0" w:type="dxa"/>
              <w:right w:w="28" w:type="dxa"/>
            </w:tcMar>
            <w:hideMark/>
          </w:tcPr>
          <w:p w:rsidRPr="006B7451" w:rsidR="00C02DED" w:rsidP="00C02DED" w:rsidRDefault="00C02DED" w14:paraId="1D47F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4D8163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B9B0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5AC6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hideMark/>
          </w:tcPr>
          <w:p w:rsidRPr="006B7451" w:rsidR="00C02DED" w:rsidP="00C02DED" w:rsidRDefault="00C02DED" w14:paraId="11F93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128 813</w:t>
            </w:r>
          </w:p>
        </w:tc>
        <w:tc>
          <w:tcPr>
            <w:tcW w:w="1418" w:type="dxa"/>
            <w:shd w:val="clear" w:color="auto" w:fill="FFFFFF"/>
            <w:tcMar>
              <w:top w:w="68" w:type="dxa"/>
              <w:left w:w="28" w:type="dxa"/>
              <w:bottom w:w="0" w:type="dxa"/>
              <w:right w:w="28" w:type="dxa"/>
            </w:tcMar>
            <w:hideMark/>
          </w:tcPr>
          <w:p w:rsidRPr="006B7451" w:rsidR="00C02DED" w:rsidP="00C02DED" w:rsidRDefault="00C02DED" w14:paraId="217AF3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C02DED" w:rsidTr="00C02DED" w14:paraId="7FEE3B8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0D87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B8CBA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6B7451" w:rsidR="00C02DED" w:rsidP="00C02DED" w:rsidRDefault="00C02DED" w14:paraId="20E742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1 038 000</w:t>
            </w:r>
          </w:p>
        </w:tc>
        <w:tc>
          <w:tcPr>
            <w:tcW w:w="1418" w:type="dxa"/>
            <w:shd w:val="clear" w:color="auto" w:fill="FFFFFF"/>
            <w:tcMar>
              <w:top w:w="68" w:type="dxa"/>
              <w:left w:w="28" w:type="dxa"/>
              <w:bottom w:w="0" w:type="dxa"/>
              <w:right w:w="28" w:type="dxa"/>
            </w:tcMar>
            <w:hideMark/>
          </w:tcPr>
          <w:p w:rsidRPr="006B7451" w:rsidR="00C02DED" w:rsidP="00C02DED" w:rsidRDefault="00C02DED" w14:paraId="62F22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C1E26C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16E0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4790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51C4E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6B7451" w:rsidR="00C02DED" w:rsidP="00C02DED" w:rsidRDefault="00C02DED" w14:paraId="0A38B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604FB9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BC311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57A1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6B7451" w:rsidR="00C02DED" w:rsidP="00C02DED" w:rsidRDefault="00C02DED" w14:paraId="27D7D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82 037</w:t>
            </w:r>
          </w:p>
        </w:tc>
        <w:tc>
          <w:tcPr>
            <w:tcW w:w="1418" w:type="dxa"/>
            <w:shd w:val="clear" w:color="auto" w:fill="FFFFFF"/>
            <w:tcMar>
              <w:top w:w="68" w:type="dxa"/>
              <w:left w:w="28" w:type="dxa"/>
              <w:bottom w:w="0" w:type="dxa"/>
              <w:right w:w="28" w:type="dxa"/>
            </w:tcMar>
            <w:hideMark/>
          </w:tcPr>
          <w:p w:rsidRPr="006B7451" w:rsidR="00C02DED" w:rsidP="00C02DED" w:rsidRDefault="00C02DED" w14:paraId="1EB0F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B21276" w14:paraId="0163DF1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8357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5D56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6B7451" w:rsidR="00C02DED" w:rsidP="00B21276" w:rsidRDefault="00C02DED" w14:paraId="667C6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690 000</w:t>
            </w:r>
          </w:p>
        </w:tc>
        <w:tc>
          <w:tcPr>
            <w:tcW w:w="1418" w:type="dxa"/>
            <w:shd w:val="clear" w:color="auto" w:fill="FFFFFF"/>
            <w:tcMar>
              <w:top w:w="68" w:type="dxa"/>
              <w:left w:w="28" w:type="dxa"/>
              <w:bottom w:w="0" w:type="dxa"/>
              <w:right w:w="28" w:type="dxa"/>
            </w:tcMar>
            <w:vAlign w:val="bottom"/>
            <w:hideMark/>
          </w:tcPr>
          <w:p w:rsidRPr="006B7451" w:rsidR="00C02DED" w:rsidP="00B21276" w:rsidRDefault="00C02DED" w14:paraId="4D3B9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172898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F72D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33A9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6B7451" w:rsidR="00C02DED" w:rsidP="00C02DED" w:rsidRDefault="00C02DED" w14:paraId="1ABFA6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1 943 400</w:t>
            </w:r>
          </w:p>
        </w:tc>
        <w:tc>
          <w:tcPr>
            <w:tcW w:w="1418" w:type="dxa"/>
            <w:shd w:val="clear" w:color="auto" w:fill="FFFFFF"/>
            <w:tcMar>
              <w:top w:w="68" w:type="dxa"/>
              <w:left w:w="28" w:type="dxa"/>
              <w:bottom w:w="0" w:type="dxa"/>
              <w:right w:w="28" w:type="dxa"/>
            </w:tcMar>
            <w:hideMark/>
          </w:tcPr>
          <w:p w:rsidRPr="006B7451" w:rsidR="00C02DED" w:rsidP="00C02DED" w:rsidRDefault="00C02DED" w14:paraId="4573A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2AB1EF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2135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BB30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6B7451" w:rsidR="00C02DED" w:rsidP="00C02DED" w:rsidRDefault="00C02DED" w14:paraId="7DC65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2 367 233</w:t>
            </w:r>
          </w:p>
        </w:tc>
        <w:tc>
          <w:tcPr>
            <w:tcW w:w="1418" w:type="dxa"/>
            <w:shd w:val="clear" w:color="auto" w:fill="FFFFFF"/>
            <w:tcMar>
              <w:top w:w="68" w:type="dxa"/>
              <w:left w:w="28" w:type="dxa"/>
              <w:bottom w:w="0" w:type="dxa"/>
              <w:right w:w="28" w:type="dxa"/>
            </w:tcMar>
            <w:hideMark/>
          </w:tcPr>
          <w:p w:rsidRPr="006B7451" w:rsidR="00C02DED" w:rsidP="00C02DED" w:rsidRDefault="00C02DED" w14:paraId="3D5E38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E31EB8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CF7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5FB6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6B7451" w:rsidR="00C02DED" w:rsidP="00C02DED" w:rsidRDefault="00C02DED" w14:paraId="20D719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69 709</w:t>
            </w:r>
          </w:p>
        </w:tc>
        <w:tc>
          <w:tcPr>
            <w:tcW w:w="1418" w:type="dxa"/>
            <w:shd w:val="clear" w:color="auto" w:fill="FFFFFF"/>
            <w:tcMar>
              <w:top w:w="68" w:type="dxa"/>
              <w:left w:w="28" w:type="dxa"/>
              <w:bottom w:w="0" w:type="dxa"/>
              <w:right w:w="28" w:type="dxa"/>
            </w:tcMar>
            <w:hideMark/>
          </w:tcPr>
          <w:p w:rsidRPr="006B7451" w:rsidR="00C02DED" w:rsidP="00C02DED" w:rsidRDefault="00C02DED" w14:paraId="76EC3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E2591E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C25A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BF11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6B7451" w:rsidR="00C02DED" w:rsidP="00C02DED" w:rsidRDefault="00C02DED" w14:paraId="3B723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1 025 200</w:t>
            </w:r>
          </w:p>
        </w:tc>
        <w:tc>
          <w:tcPr>
            <w:tcW w:w="1418" w:type="dxa"/>
            <w:shd w:val="clear" w:color="auto" w:fill="FFFFFF"/>
            <w:tcMar>
              <w:top w:w="68" w:type="dxa"/>
              <w:left w:w="28" w:type="dxa"/>
              <w:bottom w:w="0" w:type="dxa"/>
              <w:right w:w="28" w:type="dxa"/>
            </w:tcMar>
            <w:hideMark/>
          </w:tcPr>
          <w:p w:rsidRPr="006B7451" w:rsidR="00C02DED" w:rsidP="00C02DED" w:rsidRDefault="00C02DED" w14:paraId="2758A1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99B305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25A6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06968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6B7451" w:rsidR="00C02DED" w:rsidP="00C02DED" w:rsidRDefault="00C02DED" w14:paraId="16DBC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hideMark/>
          </w:tcPr>
          <w:p w:rsidRPr="006B7451" w:rsidR="00C02DED" w:rsidP="00C02DED" w:rsidRDefault="00C02DED" w14:paraId="0837A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C02DED" w:rsidTr="00C02DED" w14:paraId="061AD6B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199A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F8CE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6B7451" w:rsidR="00C02DED" w:rsidP="00C02DED" w:rsidRDefault="00C02DED" w14:paraId="0C7E2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45 000</w:t>
            </w:r>
          </w:p>
        </w:tc>
        <w:tc>
          <w:tcPr>
            <w:tcW w:w="1418" w:type="dxa"/>
            <w:shd w:val="clear" w:color="auto" w:fill="FFFFFF"/>
            <w:tcMar>
              <w:top w:w="68" w:type="dxa"/>
              <w:left w:w="28" w:type="dxa"/>
              <w:bottom w:w="0" w:type="dxa"/>
              <w:right w:w="28" w:type="dxa"/>
            </w:tcMar>
            <w:hideMark/>
          </w:tcPr>
          <w:p w:rsidRPr="006B7451" w:rsidR="00C02DED" w:rsidP="00C02DED" w:rsidRDefault="00C02DED" w14:paraId="5DF7C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−45 000</w:t>
            </w:r>
          </w:p>
        </w:tc>
      </w:tr>
      <w:tr w:rsidRPr="006B7451" w:rsidR="00C02DED" w:rsidTr="00C02DED" w14:paraId="52B6BB2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EAC9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F1C4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6B7451" w:rsidR="00C02DED" w:rsidP="00C02DED" w:rsidRDefault="00C02DED" w14:paraId="0AEB1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299 000</w:t>
            </w:r>
          </w:p>
        </w:tc>
        <w:tc>
          <w:tcPr>
            <w:tcW w:w="1418" w:type="dxa"/>
            <w:shd w:val="clear" w:color="auto" w:fill="FFFFFF"/>
            <w:tcMar>
              <w:top w:w="68" w:type="dxa"/>
              <w:left w:w="28" w:type="dxa"/>
              <w:bottom w:w="0" w:type="dxa"/>
              <w:right w:w="28" w:type="dxa"/>
            </w:tcMar>
            <w:hideMark/>
          </w:tcPr>
          <w:p w:rsidRPr="006B7451" w:rsidR="00C02DED" w:rsidP="00C02DED" w:rsidRDefault="00C02DED" w14:paraId="79371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793DAB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735D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843AF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hideMark/>
          </w:tcPr>
          <w:p w:rsidRPr="006B7451" w:rsidR="00C02DED" w:rsidP="00C02DED" w:rsidRDefault="00C02DED" w14:paraId="57B19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52ADF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A8AF29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E3B8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D229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6B7451" w:rsidR="00C02DED" w:rsidP="00C02DED" w:rsidRDefault="00C02DED" w14:paraId="43B4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hideMark/>
          </w:tcPr>
          <w:p w:rsidRPr="006B7451" w:rsidR="00C02DED" w:rsidP="00C02DED" w:rsidRDefault="00C02DED" w14:paraId="73407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1088E0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F88A9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8CB1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6B7451" w:rsidR="00C02DED" w:rsidP="00C02DED" w:rsidRDefault="00C02DED" w14:paraId="721E48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87 679</w:t>
            </w:r>
          </w:p>
        </w:tc>
        <w:tc>
          <w:tcPr>
            <w:tcW w:w="1418" w:type="dxa"/>
            <w:shd w:val="clear" w:color="auto" w:fill="FFFFFF"/>
            <w:tcMar>
              <w:top w:w="68" w:type="dxa"/>
              <w:left w:w="28" w:type="dxa"/>
              <w:bottom w:w="0" w:type="dxa"/>
              <w:right w:w="28" w:type="dxa"/>
            </w:tcMar>
            <w:hideMark/>
          </w:tcPr>
          <w:p w:rsidRPr="006B7451" w:rsidR="00C02DED" w:rsidP="00C02DED" w:rsidRDefault="00C02DED" w14:paraId="0ECCC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B21276" w14:paraId="153C292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03E7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790F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6B7451" w:rsidR="00C02DED" w:rsidP="00B21276" w:rsidRDefault="00C02DED" w14:paraId="2FF4F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136 278</w:t>
            </w:r>
          </w:p>
        </w:tc>
        <w:tc>
          <w:tcPr>
            <w:tcW w:w="1418" w:type="dxa"/>
            <w:shd w:val="clear" w:color="auto" w:fill="FFFFFF"/>
            <w:tcMar>
              <w:top w:w="68" w:type="dxa"/>
              <w:left w:w="28" w:type="dxa"/>
              <w:bottom w:w="0" w:type="dxa"/>
              <w:right w:w="28" w:type="dxa"/>
            </w:tcMar>
            <w:vAlign w:val="bottom"/>
            <w:hideMark/>
          </w:tcPr>
          <w:p w:rsidRPr="006B7451" w:rsidR="00C02DED" w:rsidP="00B21276" w:rsidRDefault="00C02DED" w14:paraId="63A392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2B7114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003F6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3131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6B7451" w:rsidR="00C02DED" w:rsidP="00C02DED" w:rsidRDefault="00C02DED" w14:paraId="3E0B9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28 037</w:t>
            </w:r>
          </w:p>
        </w:tc>
        <w:tc>
          <w:tcPr>
            <w:tcW w:w="1418" w:type="dxa"/>
            <w:shd w:val="clear" w:color="auto" w:fill="FFFFFF"/>
            <w:tcMar>
              <w:top w:w="68" w:type="dxa"/>
              <w:left w:w="28" w:type="dxa"/>
              <w:bottom w:w="0" w:type="dxa"/>
              <w:right w:w="28" w:type="dxa"/>
            </w:tcMar>
            <w:hideMark/>
          </w:tcPr>
          <w:p w:rsidRPr="006B7451" w:rsidR="00C02DED" w:rsidP="00C02DED" w:rsidRDefault="00C02DED" w14:paraId="5CA5E1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10D765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41F9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B78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6B7451" w:rsidR="00C02DED" w:rsidP="00C02DED" w:rsidRDefault="00C02DED" w14:paraId="1B789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104 844</w:t>
            </w:r>
          </w:p>
        </w:tc>
        <w:tc>
          <w:tcPr>
            <w:tcW w:w="1418" w:type="dxa"/>
            <w:shd w:val="clear" w:color="auto" w:fill="FFFFFF"/>
            <w:tcMar>
              <w:top w:w="68" w:type="dxa"/>
              <w:left w:w="28" w:type="dxa"/>
              <w:bottom w:w="0" w:type="dxa"/>
              <w:right w:w="28" w:type="dxa"/>
            </w:tcMar>
            <w:hideMark/>
          </w:tcPr>
          <w:p w:rsidRPr="006B7451" w:rsidR="00C02DED" w:rsidP="00C02DED" w:rsidRDefault="00C02DED" w14:paraId="7C1E4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EF4A2B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C822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87CD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hideMark/>
          </w:tcPr>
          <w:p w:rsidRPr="006B7451" w:rsidR="00C02DED" w:rsidP="00C02DED" w:rsidRDefault="00C02DED" w14:paraId="475AB9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1 561 014</w:t>
            </w:r>
          </w:p>
        </w:tc>
        <w:tc>
          <w:tcPr>
            <w:tcW w:w="1418" w:type="dxa"/>
            <w:shd w:val="clear" w:color="auto" w:fill="FFFFFF"/>
            <w:tcMar>
              <w:top w:w="68" w:type="dxa"/>
              <w:left w:w="28" w:type="dxa"/>
              <w:bottom w:w="0" w:type="dxa"/>
              <w:right w:w="28" w:type="dxa"/>
            </w:tcMar>
            <w:hideMark/>
          </w:tcPr>
          <w:p w:rsidRPr="006B7451" w:rsidR="00C02DED" w:rsidP="00C02DED" w:rsidRDefault="00C02DED" w14:paraId="7E95A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04372E4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A132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BABF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6B7451" w:rsidR="00C02DED" w:rsidP="00C02DED" w:rsidRDefault="00C02DED" w14:paraId="3E57B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156 845</w:t>
            </w:r>
          </w:p>
        </w:tc>
        <w:tc>
          <w:tcPr>
            <w:tcW w:w="1418" w:type="dxa"/>
            <w:shd w:val="clear" w:color="auto" w:fill="FFFFFF"/>
            <w:tcMar>
              <w:top w:w="68" w:type="dxa"/>
              <w:left w:w="28" w:type="dxa"/>
              <w:bottom w:w="0" w:type="dxa"/>
              <w:right w:w="28" w:type="dxa"/>
            </w:tcMar>
            <w:hideMark/>
          </w:tcPr>
          <w:p w:rsidRPr="006B7451" w:rsidR="00C02DED" w:rsidP="00C02DED" w:rsidRDefault="00C02DED" w14:paraId="46A35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FB8D9F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3F7E5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82CA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6B7451" w:rsidR="00C02DED" w:rsidP="00C02DED" w:rsidRDefault="00C02DED" w14:paraId="14E2A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195 994</w:t>
            </w:r>
          </w:p>
        </w:tc>
        <w:tc>
          <w:tcPr>
            <w:tcW w:w="1418" w:type="dxa"/>
            <w:shd w:val="clear" w:color="auto" w:fill="FFFFFF"/>
            <w:tcMar>
              <w:top w:w="68" w:type="dxa"/>
              <w:left w:w="28" w:type="dxa"/>
              <w:bottom w:w="0" w:type="dxa"/>
              <w:right w:w="28" w:type="dxa"/>
            </w:tcMar>
            <w:hideMark/>
          </w:tcPr>
          <w:p w:rsidRPr="006B7451" w:rsidR="00C02DED" w:rsidP="00C02DED" w:rsidRDefault="00C02DED" w14:paraId="568D8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03AEB6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18E2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82A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Näringslivspott för järnvägsanslutningar till industrier</w:t>
            </w:r>
          </w:p>
        </w:tc>
        <w:tc>
          <w:tcPr>
            <w:tcW w:w="1418" w:type="dxa"/>
            <w:shd w:val="clear" w:color="auto" w:fill="FFFFFF"/>
            <w:tcMar>
              <w:top w:w="68" w:type="dxa"/>
              <w:left w:w="28" w:type="dxa"/>
              <w:bottom w:w="0" w:type="dxa"/>
              <w:right w:w="28" w:type="dxa"/>
            </w:tcMar>
            <w:hideMark/>
          </w:tcPr>
          <w:p w:rsidRPr="006B7451" w:rsidR="00C02DED" w:rsidP="00C02DED" w:rsidRDefault="00C02DED" w14:paraId="5C83F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4EDFF1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B21276" w14:paraId="29D8130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F65A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925C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Näringslivspott till stöd för väganslutningar till industrier</w:t>
            </w:r>
          </w:p>
        </w:tc>
        <w:tc>
          <w:tcPr>
            <w:tcW w:w="1418" w:type="dxa"/>
            <w:shd w:val="clear" w:color="auto" w:fill="FFFFFF"/>
            <w:tcMar>
              <w:top w:w="68" w:type="dxa"/>
              <w:left w:w="28" w:type="dxa"/>
              <w:bottom w:w="0" w:type="dxa"/>
              <w:right w:w="28" w:type="dxa"/>
            </w:tcMar>
            <w:vAlign w:val="bottom"/>
            <w:hideMark/>
          </w:tcPr>
          <w:p w:rsidRPr="006B7451" w:rsidR="00C02DED" w:rsidP="00B21276" w:rsidRDefault="00C02DED" w14:paraId="294EA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B7451" w:rsidR="00C02DED" w:rsidP="00B21276" w:rsidRDefault="00C02DED" w14:paraId="49B46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r>
      <w:tr w:rsidRPr="006B7451" w:rsidR="00C02DED" w:rsidTr="00C02DED" w14:paraId="42EEF2E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15E8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28B926C" w14:textId="2D1754A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xml:space="preserve">Bidrag till </w:t>
            </w:r>
            <w:r w:rsidR="00C354C8">
              <w:rPr>
                <w:rFonts w:ascii="Times New Roman" w:hAnsi="Times New Roman" w:eastAsia="Times New Roman" w:cs="Times New Roman"/>
                <w:color w:val="000000"/>
                <w:kern w:val="0"/>
                <w:sz w:val="20"/>
                <w:szCs w:val="20"/>
                <w:lang w:eastAsia="sv-SE"/>
                <w14:numSpacing w14:val="default"/>
              </w:rPr>
              <w:t>u</w:t>
            </w:r>
            <w:r w:rsidRPr="006B7451">
              <w:rPr>
                <w:rFonts w:ascii="Times New Roman" w:hAnsi="Times New Roman" w:eastAsia="Times New Roman" w:cs="Times New Roman"/>
                <w:color w:val="000000"/>
                <w:kern w:val="0"/>
                <w:sz w:val="20"/>
                <w:szCs w:val="20"/>
                <w:lang w:eastAsia="sv-SE"/>
                <w14:numSpacing w14:val="default"/>
              </w:rPr>
              <w:t>nderhåll av enskilda vägar</w:t>
            </w:r>
          </w:p>
        </w:tc>
        <w:tc>
          <w:tcPr>
            <w:tcW w:w="1418" w:type="dxa"/>
            <w:shd w:val="clear" w:color="auto" w:fill="FFFFFF"/>
            <w:tcMar>
              <w:top w:w="68" w:type="dxa"/>
              <w:left w:w="28" w:type="dxa"/>
              <w:bottom w:w="0" w:type="dxa"/>
              <w:right w:w="28" w:type="dxa"/>
            </w:tcMar>
            <w:hideMark/>
          </w:tcPr>
          <w:p w:rsidRPr="006B7451" w:rsidR="00C02DED" w:rsidP="00C02DED" w:rsidRDefault="00C02DED" w14:paraId="3F7CE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552C2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6412042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3E9B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9026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Inköp av två brandflygplan</w:t>
            </w:r>
          </w:p>
        </w:tc>
        <w:tc>
          <w:tcPr>
            <w:tcW w:w="1418" w:type="dxa"/>
            <w:shd w:val="clear" w:color="auto" w:fill="FFFFFF"/>
            <w:tcMar>
              <w:top w:w="68" w:type="dxa"/>
              <w:left w:w="28" w:type="dxa"/>
              <w:bottom w:w="0" w:type="dxa"/>
              <w:right w:w="28" w:type="dxa"/>
            </w:tcMar>
            <w:hideMark/>
          </w:tcPr>
          <w:p w:rsidRPr="006B7451" w:rsidR="00C02DED" w:rsidP="00C02DED" w:rsidRDefault="00C02DED" w14:paraId="0BB9E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76CAF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110 000</w:t>
            </w:r>
          </w:p>
        </w:tc>
      </w:tr>
      <w:tr w:rsidRPr="006B7451" w:rsidR="00C02DED" w:rsidTr="00C02DED" w14:paraId="7A5F5F6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2235F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C7AB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76 964 552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59C51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2 215 000</w:t>
            </w:r>
          </w:p>
        </w:tc>
      </w:tr>
    </w:tbl>
    <w:p w:rsidRPr="006B7451" w:rsidR="008A7FDF" w:rsidP="00BE6638" w:rsidRDefault="008A7FDF" w14:paraId="6A91ED60" w14:textId="77777777">
      <w:pPr>
        <w:pStyle w:val="Rubrik2numrerat"/>
        <w:ind w:left="811" w:hanging="811"/>
      </w:pPr>
      <w:bookmarkStart w:name="_Toc121752704" w:id="200"/>
      <w:r w:rsidRPr="006B7451">
        <w:t>Utgiftsområde 23 Areella näringar, landsbygd och livsmedel</w:t>
      </w:r>
      <w:bookmarkEnd w:id="200"/>
    </w:p>
    <w:p w:rsidRPr="00C354C8" w:rsidR="00C02DED" w:rsidP="002E4921" w:rsidRDefault="00C02DED" w14:paraId="3C080D91" w14:textId="77777777">
      <w:pPr>
        <w:pStyle w:val="Tabellrubrik"/>
        <w:keepNext/>
      </w:pPr>
      <w:r w:rsidRPr="00C354C8">
        <w:t>Anslagsförslag 2022 för utgiftsområde 23 Areella näringar, landsbygd och livsmedel</w:t>
      </w:r>
    </w:p>
    <w:p w:rsidRPr="00C354C8" w:rsidR="00C02DED" w:rsidP="00C354C8" w:rsidRDefault="00C02DED" w14:paraId="5C073B7E" w14:textId="77777777">
      <w:pPr>
        <w:pStyle w:val="Tabellunderrubrik"/>
      </w:pPr>
      <w:r w:rsidRPr="00C354C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610"/>
        <w:gridCol w:w="4521"/>
        <w:gridCol w:w="1687"/>
        <w:gridCol w:w="1687"/>
      </w:tblGrid>
      <w:tr w:rsidRPr="006B7451" w:rsidR="00C02DED" w:rsidTr="002E4921" w14:paraId="214711C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1C8228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847D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846D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471A840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E81A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F49D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6B7451" w:rsidR="00C02DED" w:rsidP="00C02DED" w:rsidRDefault="00C02DED" w14:paraId="1DF83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622 925</w:t>
            </w:r>
          </w:p>
        </w:tc>
        <w:tc>
          <w:tcPr>
            <w:tcW w:w="1418" w:type="dxa"/>
            <w:shd w:val="clear" w:color="auto" w:fill="FFFFFF"/>
            <w:tcMar>
              <w:top w:w="68" w:type="dxa"/>
              <w:left w:w="28" w:type="dxa"/>
              <w:bottom w:w="0" w:type="dxa"/>
              <w:right w:w="28" w:type="dxa"/>
            </w:tcMar>
            <w:hideMark/>
          </w:tcPr>
          <w:p w:rsidRPr="006B7451" w:rsidR="00C02DED" w:rsidP="00C02DED" w:rsidRDefault="00C02DED" w14:paraId="572F2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EA5B2C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F483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FDFF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6B7451" w:rsidR="00C02DED" w:rsidP="00C02DED" w:rsidRDefault="00C02DED" w14:paraId="7E878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1 066 073</w:t>
            </w:r>
          </w:p>
        </w:tc>
        <w:tc>
          <w:tcPr>
            <w:tcW w:w="1418" w:type="dxa"/>
            <w:shd w:val="clear" w:color="auto" w:fill="FFFFFF"/>
            <w:tcMar>
              <w:top w:w="68" w:type="dxa"/>
              <w:left w:w="28" w:type="dxa"/>
              <w:bottom w:w="0" w:type="dxa"/>
              <w:right w:w="28" w:type="dxa"/>
            </w:tcMar>
            <w:hideMark/>
          </w:tcPr>
          <w:p w:rsidRPr="006B7451" w:rsidR="00C02DED" w:rsidP="00C02DED" w:rsidRDefault="00C02DED" w14:paraId="30364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1691691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C88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81D7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6B7451" w:rsidR="00C02DED" w:rsidP="00C02DED" w:rsidRDefault="00C02DED" w14:paraId="3E56C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165 256</w:t>
            </w:r>
          </w:p>
        </w:tc>
        <w:tc>
          <w:tcPr>
            <w:tcW w:w="1418" w:type="dxa"/>
            <w:shd w:val="clear" w:color="auto" w:fill="FFFFFF"/>
            <w:tcMar>
              <w:top w:w="68" w:type="dxa"/>
              <w:left w:w="28" w:type="dxa"/>
              <w:bottom w:w="0" w:type="dxa"/>
              <w:right w:w="28" w:type="dxa"/>
            </w:tcMar>
            <w:hideMark/>
          </w:tcPr>
          <w:p w:rsidRPr="006B7451" w:rsidR="00C02DED" w:rsidP="00C02DED" w:rsidRDefault="00C02DED" w14:paraId="2200D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D2A0A8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379FD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9F7A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0D67D6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133 940</w:t>
            </w:r>
          </w:p>
        </w:tc>
        <w:tc>
          <w:tcPr>
            <w:tcW w:w="1418" w:type="dxa"/>
            <w:shd w:val="clear" w:color="auto" w:fill="FFFFFF"/>
            <w:tcMar>
              <w:top w:w="68" w:type="dxa"/>
              <w:left w:w="28" w:type="dxa"/>
              <w:bottom w:w="0" w:type="dxa"/>
              <w:right w:w="28" w:type="dxa"/>
            </w:tcMar>
            <w:hideMark/>
          </w:tcPr>
          <w:p w:rsidRPr="006B7451" w:rsidR="00C02DED" w:rsidP="00C02DED" w:rsidRDefault="00C02DED" w14:paraId="63A35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FD5EB1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0E33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7355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6B7451" w:rsidR="00C02DED" w:rsidP="00C02DED" w:rsidRDefault="00C02DED" w14:paraId="64560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6B7451" w:rsidR="00C02DED" w:rsidP="00C02DED" w:rsidRDefault="00C02DED" w14:paraId="53E5B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22 000</w:t>
            </w:r>
          </w:p>
        </w:tc>
      </w:tr>
      <w:tr w:rsidRPr="006B7451" w:rsidR="00C02DED" w:rsidTr="00C02DED" w14:paraId="59BB82A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CA95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79B4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6B7451" w:rsidR="00C02DED" w:rsidP="00C02DED" w:rsidRDefault="00C02DED" w14:paraId="2AADE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183 349</w:t>
            </w:r>
          </w:p>
        </w:tc>
        <w:tc>
          <w:tcPr>
            <w:tcW w:w="1418" w:type="dxa"/>
            <w:shd w:val="clear" w:color="auto" w:fill="FFFFFF"/>
            <w:tcMar>
              <w:top w:w="68" w:type="dxa"/>
              <w:left w:w="28" w:type="dxa"/>
              <w:bottom w:w="0" w:type="dxa"/>
              <w:right w:w="28" w:type="dxa"/>
            </w:tcMar>
            <w:hideMark/>
          </w:tcPr>
          <w:p w:rsidRPr="006B7451" w:rsidR="00C02DED" w:rsidP="00C02DED" w:rsidRDefault="00C02DED" w14:paraId="6C3F7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596BAC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9915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722A3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6B7451" w:rsidR="00C02DED" w:rsidP="00C02DED" w:rsidRDefault="00C02DED" w14:paraId="76F55F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52 778</w:t>
            </w:r>
          </w:p>
        </w:tc>
        <w:tc>
          <w:tcPr>
            <w:tcW w:w="1418" w:type="dxa"/>
            <w:shd w:val="clear" w:color="auto" w:fill="FFFFFF"/>
            <w:tcMar>
              <w:top w:w="68" w:type="dxa"/>
              <w:left w:w="28" w:type="dxa"/>
              <w:bottom w:w="0" w:type="dxa"/>
              <w:right w:w="28" w:type="dxa"/>
            </w:tcMar>
            <w:hideMark/>
          </w:tcPr>
          <w:p w:rsidRPr="006B7451" w:rsidR="00C02DED" w:rsidP="00C02DED" w:rsidRDefault="00C02DED" w14:paraId="3E531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2E793A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2894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7D1C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6B7451" w:rsidR="00C02DED" w:rsidP="00C02DED" w:rsidRDefault="00C02DED" w14:paraId="4527D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615 698</w:t>
            </w:r>
          </w:p>
        </w:tc>
        <w:tc>
          <w:tcPr>
            <w:tcW w:w="1418" w:type="dxa"/>
            <w:shd w:val="clear" w:color="auto" w:fill="FFFFFF"/>
            <w:tcMar>
              <w:top w:w="68" w:type="dxa"/>
              <w:left w:w="28" w:type="dxa"/>
              <w:bottom w:w="0" w:type="dxa"/>
              <w:right w:w="28" w:type="dxa"/>
            </w:tcMar>
            <w:hideMark/>
          </w:tcPr>
          <w:p w:rsidRPr="006B7451" w:rsidR="00C02DED" w:rsidP="00C02DED" w:rsidRDefault="00C02DED" w14:paraId="25B88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48 000</w:t>
            </w:r>
          </w:p>
        </w:tc>
      </w:tr>
      <w:tr w:rsidRPr="006B7451" w:rsidR="00C02DED" w:rsidTr="00C02DED" w14:paraId="5A14EF1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918B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3682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6B7451" w:rsidR="00C02DED" w:rsidP="00C02DED" w:rsidRDefault="00C02DED" w14:paraId="0CB43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6B7451" w:rsidR="00C02DED" w:rsidP="00C02DED" w:rsidRDefault="00C02DED" w14:paraId="785E7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59FE0A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0243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8C8D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6B7451" w:rsidR="00C02DED" w:rsidP="00C02DED" w:rsidRDefault="00C02DED" w14:paraId="0D196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6 982 048</w:t>
            </w:r>
          </w:p>
        </w:tc>
        <w:tc>
          <w:tcPr>
            <w:tcW w:w="1418" w:type="dxa"/>
            <w:shd w:val="clear" w:color="auto" w:fill="FFFFFF"/>
            <w:tcMar>
              <w:top w:w="68" w:type="dxa"/>
              <w:left w:w="28" w:type="dxa"/>
              <w:bottom w:w="0" w:type="dxa"/>
              <w:right w:w="28" w:type="dxa"/>
            </w:tcMar>
            <w:hideMark/>
          </w:tcPr>
          <w:p w:rsidRPr="006B7451" w:rsidR="00C02DED" w:rsidP="00C02DED" w:rsidRDefault="00C02DED" w14:paraId="22B49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26A886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17A4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B935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6B7451" w:rsidR="00C02DED" w:rsidP="00C02DED" w:rsidRDefault="00C02DED" w14:paraId="4F1DD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167 000</w:t>
            </w:r>
          </w:p>
        </w:tc>
        <w:tc>
          <w:tcPr>
            <w:tcW w:w="1418" w:type="dxa"/>
            <w:shd w:val="clear" w:color="auto" w:fill="FFFFFF"/>
            <w:tcMar>
              <w:top w:w="68" w:type="dxa"/>
              <w:left w:w="28" w:type="dxa"/>
              <w:bottom w:w="0" w:type="dxa"/>
              <w:right w:w="28" w:type="dxa"/>
            </w:tcMar>
            <w:hideMark/>
          </w:tcPr>
          <w:p w:rsidRPr="006B7451" w:rsidR="00C02DED" w:rsidP="00C02DED" w:rsidRDefault="00C02DED" w14:paraId="46F2F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8690B4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BFEF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ED1C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418" w:type="dxa"/>
            <w:shd w:val="clear" w:color="auto" w:fill="FFFFFF"/>
            <w:tcMar>
              <w:top w:w="68" w:type="dxa"/>
              <w:left w:w="28" w:type="dxa"/>
              <w:bottom w:w="0" w:type="dxa"/>
              <w:right w:w="28" w:type="dxa"/>
            </w:tcMar>
            <w:hideMark/>
          </w:tcPr>
          <w:p w:rsidRPr="006B7451" w:rsidR="00C02DED" w:rsidP="00C02DED" w:rsidRDefault="00C02DED" w14:paraId="514600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36 200</w:t>
            </w:r>
          </w:p>
        </w:tc>
        <w:tc>
          <w:tcPr>
            <w:tcW w:w="1418" w:type="dxa"/>
            <w:shd w:val="clear" w:color="auto" w:fill="FFFFFF"/>
            <w:tcMar>
              <w:top w:w="68" w:type="dxa"/>
              <w:left w:w="28" w:type="dxa"/>
              <w:bottom w:w="0" w:type="dxa"/>
              <w:right w:w="28" w:type="dxa"/>
            </w:tcMar>
            <w:hideMark/>
          </w:tcPr>
          <w:p w:rsidRPr="006B7451" w:rsidR="00C02DED" w:rsidP="00C02DED" w:rsidRDefault="00C02DED" w14:paraId="058D4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354C8" w14:paraId="011C010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0E15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031DB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418" w:type="dxa"/>
            <w:shd w:val="clear" w:color="auto" w:fill="FFFFFF"/>
            <w:tcMar>
              <w:top w:w="68" w:type="dxa"/>
              <w:left w:w="28" w:type="dxa"/>
              <w:bottom w:w="0" w:type="dxa"/>
              <w:right w:w="28" w:type="dxa"/>
            </w:tcMar>
            <w:vAlign w:val="bottom"/>
            <w:hideMark/>
          </w:tcPr>
          <w:p w:rsidRPr="006B7451" w:rsidR="00C02DED" w:rsidP="00C354C8" w:rsidRDefault="00C02DED" w14:paraId="03AE9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174 200</w:t>
            </w:r>
          </w:p>
        </w:tc>
        <w:tc>
          <w:tcPr>
            <w:tcW w:w="1418" w:type="dxa"/>
            <w:shd w:val="clear" w:color="auto" w:fill="FFFFFF"/>
            <w:tcMar>
              <w:top w:w="68" w:type="dxa"/>
              <w:left w:w="28" w:type="dxa"/>
              <w:bottom w:w="0" w:type="dxa"/>
              <w:right w:w="28" w:type="dxa"/>
            </w:tcMar>
            <w:vAlign w:val="bottom"/>
            <w:hideMark/>
          </w:tcPr>
          <w:p w:rsidRPr="006B7451" w:rsidR="00C02DED" w:rsidP="00C354C8" w:rsidRDefault="00C02DED" w14:paraId="5D14C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9E88E9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A60B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A61F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7C078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344 398</w:t>
            </w:r>
          </w:p>
        </w:tc>
        <w:tc>
          <w:tcPr>
            <w:tcW w:w="1418" w:type="dxa"/>
            <w:shd w:val="clear" w:color="auto" w:fill="FFFFFF"/>
            <w:tcMar>
              <w:top w:w="68" w:type="dxa"/>
              <w:left w:w="28" w:type="dxa"/>
              <w:bottom w:w="0" w:type="dxa"/>
              <w:right w:w="28" w:type="dxa"/>
            </w:tcMar>
            <w:hideMark/>
          </w:tcPr>
          <w:p w:rsidRPr="006B7451" w:rsidR="00C02DED" w:rsidP="00C02DED" w:rsidRDefault="00C02DED" w14:paraId="4786D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6229FBD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9B3F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8C7D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6B7451" w:rsidR="00C02DED" w:rsidP="00C02DED" w:rsidRDefault="00C02DED" w14:paraId="05D8D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204 160</w:t>
            </w:r>
          </w:p>
        </w:tc>
        <w:tc>
          <w:tcPr>
            <w:tcW w:w="1418" w:type="dxa"/>
            <w:shd w:val="clear" w:color="auto" w:fill="FFFFFF"/>
            <w:tcMar>
              <w:top w:w="68" w:type="dxa"/>
              <w:left w:w="28" w:type="dxa"/>
              <w:bottom w:w="0" w:type="dxa"/>
              <w:right w:w="28" w:type="dxa"/>
            </w:tcMar>
            <w:hideMark/>
          </w:tcPr>
          <w:p w:rsidRPr="006B7451" w:rsidR="00C02DED" w:rsidP="00C02DED" w:rsidRDefault="00C02DED" w14:paraId="69F7C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C4A322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FAE7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3776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6B7451" w:rsidR="00C02DED" w:rsidP="00C02DED" w:rsidRDefault="00C02DED" w14:paraId="77BE1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46 913</w:t>
            </w:r>
          </w:p>
        </w:tc>
        <w:tc>
          <w:tcPr>
            <w:tcW w:w="1418" w:type="dxa"/>
            <w:shd w:val="clear" w:color="auto" w:fill="FFFFFF"/>
            <w:tcMar>
              <w:top w:w="68" w:type="dxa"/>
              <w:left w:w="28" w:type="dxa"/>
              <w:bottom w:w="0" w:type="dxa"/>
              <w:right w:w="28" w:type="dxa"/>
            </w:tcMar>
            <w:hideMark/>
          </w:tcPr>
          <w:p w:rsidRPr="006B7451" w:rsidR="00C02DED" w:rsidP="00C02DED" w:rsidRDefault="00C02DED" w14:paraId="53429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863071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572D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135B8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6B7451" w:rsidR="00C02DED" w:rsidP="00C02DED" w:rsidRDefault="00C02DED" w14:paraId="24F3A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3 783 297</w:t>
            </w:r>
          </w:p>
        </w:tc>
        <w:tc>
          <w:tcPr>
            <w:tcW w:w="1418" w:type="dxa"/>
            <w:shd w:val="clear" w:color="auto" w:fill="FFFFFF"/>
            <w:tcMar>
              <w:top w:w="68" w:type="dxa"/>
              <w:left w:w="28" w:type="dxa"/>
              <w:bottom w:w="0" w:type="dxa"/>
              <w:right w:w="28" w:type="dxa"/>
            </w:tcMar>
            <w:hideMark/>
          </w:tcPr>
          <w:p w:rsidRPr="006B7451" w:rsidR="00C02DED" w:rsidP="00C02DED" w:rsidRDefault="00C02DED" w14:paraId="3374F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B242A1" w14:paraId="2CD4E1D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A149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4005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1B943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4 088 310</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200CF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73257B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DE887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B5C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6B7451" w:rsidR="00C02DED" w:rsidP="00C02DED" w:rsidRDefault="00C02DED" w14:paraId="447BF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42 330</w:t>
            </w:r>
          </w:p>
        </w:tc>
        <w:tc>
          <w:tcPr>
            <w:tcW w:w="1418" w:type="dxa"/>
            <w:shd w:val="clear" w:color="auto" w:fill="FFFFFF"/>
            <w:tcMar>
              <w:top w:w="68" w:type="dxa"/>
              <w:left w:w="28" w:type="dxa"/>
              <w:bottom w:w="0" w:type="dxa"/>
              <w:right w:w="28" w:type="dxa"/>
            </w:tcMar>
            <w:hideMark/>
          </w:tcPr>
          <w:p w:rsidRPr="006B7451" w:rsidR="00C02DED" w:rsidP="00C02DED" w:rsidRDefault="00C02DED" w14:paraId="639286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48B578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15C1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44BE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6B7451" w:rsidR="00C02DED" w:rsidP="00C02DED" w:rsidRDefault="00C02DED" w14:paraId="5E4F6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6B7451" w:rsidR="00C02DED" w:rsidP="00C02DED" w:rsidRDefault="00C02DED" w14:paraId="27A1C8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6DDD3B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0AA8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90CC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6B7451" w:rsidR="00C02DED" w:rsidP="00C02DED" w:rsidRDefault="00C02DED" w14:paraId="5B7B7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6B7451" w:rsidR="00C02DED" w:rsidP="00C02DED" w:rsidRDefault="00C02DED" w14:paraId="2A55C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9E11F2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710F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1C43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6B7451" w:rsidR="00C02DED" w:rsidP="00C02DED" w:rsidRDefault="00C02DED" w14:paraId="40CAD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125 915</w:t>
            </w:r>
          </w:p>
        </w:tc>
        <w:tc>
          <w:tcPr>
            <w:tcW w:w="1418" w:type="dxa"/>
            <w:shd w:val="clear" w:color="auto" w:fill="FFFFFF"/>
            <w:tcMar>
              <w:top w:w="68" w:type="dxa"/>
              <w:left w:w="28" w:type="dxa"/>
              <w:bottom w:w="0" w:type="dxa"/>
              <w:right w:w="28" w:type="dxa"/>
            </w:tcMar>
            <w:hideMark/>
          </w:tcPr>
          <w:p w:rsidRPr="006B7451" w:rsidR="00C02DED" w:rsidP="00C02DED" w:rsidRDefault="00C02DED" w14:paraId="41197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4645FA1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C749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0439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6B7451" w:rsidR="00C02DED" w:rsidP="00C02DED" w:rsidRDefault="00C02DED" w14:paraId="7CD8D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2 134 808</w:t>
            </w:r>
          </w:p>
        </w:tc>
        <w:tc>
          <w:tcPr>
            <w:tcW w:w="1418" w:type="dxa"/>
            <w:shd w:val="clear" w:color="auto" w:fill="FFFFFF"/>
            <w:tcMar>
              <w:top w:w="68" w:type="dxa"/>
              <w:left w:w="28" w:type="dxa"/>
              <w:bottom w:w="0" w:type="dxa"/>
              <w:right w:w="28" w:type="dxa"/>
            </w:tcMar>
            <w:hideMark/>
          </w:tcPr>
          <w:p w:rsidRPr="006B7451" w:rsidR="00C02DED" w:rsidP="00C02DED" w:rsidRDefault="00C02DED" w14:paraId="2554E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B242A1" w14:paraId="577FF3E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5979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3250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5E0A7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713 664</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53BEB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50 000</w:t>
            </w:r>
          </w:p>
        </w:tc>
      </w:tr>
      <w:tr w:rsidRPr="006B7451" w:rsidR="00C02DED" w:rsidTr="00C02DED" w14:paraId="3706E4D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2BE0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E203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6B7451" w:rsidR="00C02DED" w:rsidP="00C02DED" w:rsidRDefault="00C02DED" w14:paraId="2620D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6B7451" w:rsidR="00C02DED" w:rsidP="00C02DED" w:rsidRDefault="00C02DED" w14:paraId="563B2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C70D1D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E84C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5EEE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Nedsättning av slakteriavgifter</w:t>
            </w:r>
          </w:p>
        </w:tc>
        <w:tc>
          <w:tcPr>
            <w:tcW w:w="1418" w:type="dxa"/>
            <w:shd w:val="clear" w:color="auto" w:fill="FFFFFF"/>
            <w:tcMar>
              <w:top w:w="68" w:type="dxa"/>
              <w:left w:w="28" w:type="dxa"/>
              <w:bottom w:w="0" w:type="dxa"/>
              <w:right w:w="28" w:type="dxa"/>
            </w:tcMar>
            <w:hideMark/>
          </w:tcPr>
          <w:p w:rsidRPr="006B7451" w:rsidR="00C02DED" w:rsidP="00C02DED" w:rsidRDefault="00C02DED" w14:paraId="1818D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73 237</w:t>
            </w:r>
          </w:p>
        </w:tc>
        <w:tc>
          <w:tcPr>
            <w:tcW w:w="1418" w:type="dxa"/>
            <w:shd w:val="clear" w:color="auto" w:fill="FFFFFF"/>
            <w:tcMar>
              <w:top w:w="68" w:type="dxa"/>
              <w:left w:w="28" w:type="dxa"/>
              <w:bottom w:w="0" w:type="dxa"/>
              <w:right w:w="28" w:type="dxa"/>
            </w:tcMar>
            <w:hideMark/>
          </w:tcPr>
          <w:p w:rsidRPr="006B7451" w:rsidR="00C02DED" w:rsidP="00C02DED" w:rsidRDefault="00C02DED" w14:paraId="0CA120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B242A1" w14:paraId="43B40D7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F2FE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9B01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41864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56E5A9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0C617A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D753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58EF8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6B7451" w:rsidR="00C02DED" w:rsidP="00C02DED" w:rsidRDefault="00C02DED" w14:paraId="18D1BF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101 500</w:t>
            </w:r>
          </w:p>
        </w:tc>
        <w:tc>
          <w:tcPr>
            <w:tcW w:w="1418" w:type="dxa"/>
            <w:shd w:val="clear" w:color="auto" w:fill="FFFFFF"/>
            <w:tcMar>
              <w:top w:w="68" w:type="dxa"/>
              <w:left w:w="28" w:type="dxa"/>
              <w:bottom w:w="0" w:type="dxa"/>
              <w:right w:w="28" w:type="dxa"/>
            </w:tcMar>
            <w:hideMark/>
          </w:tcPr>
          <w:p w:rsidRPr="006B7451" w:rsidR="00C02DED" w:rsidP="00C02DED" w:rsidRDefault="00C02DED" w14:paraId="41A34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B242A1" w14:paraId="709A671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A876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83F0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26240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vAlign w:val="bottom"/>
            <w:hideMark/>
          </w:tcPr>
          <w:p w:rsidRPr="006B7451" w:rsidR="00C02DED" w:rsidP="00B242A1" w:rsidRDefault="00C02DED" w14:paraId="4F043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48E542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E70B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4974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Växtförädling</w:t>
            </w:r>
          </w:p>
        </w:tc>
        <w:tc>
          <w:tcPr>
            <w:tcW w:w="1418" w:type="dxa"/>
            <w:shd w:val="clear" w:color="auto" w:fill="FFFFFF"/>
            <w:tcMar>
              <w:top w:w="68" w:type="dxa"/>
              <w:left w:w="28" w:type="dxa"/>
              <w:bottom w:w="0" w:type="dxa"/>
              <w:right w:w="28" w:type="dxa"/>
            </w:tcMar>
            <w:hideMark/>
          </w:tcPr>
          <w:p w:rsidRPr="006B7451" w:rsidR="00C02DED" w:rsidP="00C02DED" w:rsidRDefault="00C02DED" w14:paraId="6B3ED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659D09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0EF0DE3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33ED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C15C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Åkermarksinventering</w:t>
            </w:r>
          </w:p>
        </w:tc>
        <w:tc>
          <w:tcPr>
            <w:tcW w:w="1418" w:type="dxa"/>
            <w:shd w:val="clear" w:color="auto" w:fill="FFFFFF"/>
            <w:tcMar>
              <w:top w:w="68" w:type="dxa"/>
              <w:left w:w="28" w:type="dxa"/>
              <w:bottom w:w="0" w:type="dxa"/>
              <w:right w:w="28" w:type="dxa"/>
            </w:tcMar>
            <w:hideMark/>
          </w:tcPr>
          <w:p w:rsidRPr="006B7451" w:rsidR="00C02DED" w:rsidP="00C02DED" w:rsidRDefault="00C02DED" w14:paraId="7ABAE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6E7EB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2 000</w:t>
            </w:r>
          </w:p>
        </w:tc>
      </w:tr>
      <w:tr w:rsidRPr="006B7451" w:rsidR="00C02DED" w:rsidTr="00C02DED" w14:paraId="3457D0F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98AA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6386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Sekretariat för synkronisering av forskning och behov</w:t>
            </w:r>
          </w:p>
        </w:tc>
        <w:tc>
          <w:tcPr>
            <w:tcW w:w="1418" w:type="dxa"/>
            <w:shd w:val="clear" w:color="auto" w:fill="FFFFFF"/>
            <w:tcMar>
              <w:top w:w="68" w:type="dxa"/>
              <w:left w:w="28" w:type="dxa"/>
              <w:bottom w:w="0" w:type="dxa"/>
              <w:right w:w="28" w:type="dxa"/>
            </w:tcMar>
            <w:hideMark/>
          </w:tcPr>
          <w:p w:rsidRPr="006B7451" w:rsidR="00C02DED" w:rsidP="00C02DED" w:rsidRDefault="00C02DED" w14:paraId="1D8F7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23B36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3AFA11D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7F93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FB90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Miljöprövningsdelegation för tillståndsprövningar</w:t>
            </w:r>
          </w:p>
        </w:tc>
        <w:tc>
          <w:tcPr>
            <w:tcW w:w="1418" w:type="dxa"/>
            <w:shd w:val="clear" w:color="auto" w:fill="FFFFFF"/>
            <w:tcMar>
              <w:top w:w="68" w:type="dxa"/>
              <w:left w:w="28" w:type="dxa"/>
              <w:bottom w:w="0" w:type="dxa"/>
              <w:right w:w="28" w:type="dxa"/>
            </w:tcMar>
            <w:hideMark/>
          </w:tcPr>
          <w:p w:rsidRPr="006B7451" w:rsidR="00C02DED" w:rsidP="00C02DED" w:rsidRDefault="00C02DED" w14:paraId="17FB3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1B30D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4BD6003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68BD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EE54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Pilotprojekt för avbytartjänst inom jordbruket</w:t>
            </w:r>
          </w:p>
        </w:tc>
        <w:tc>
          <w:tcPr>
            <w:tcW w:w="1418" w:type="dxa"/>
            <w:shd w:val="clear" w:color="auto" w:fill="FFFFFF"/>
            <w:tcMar>
              <w:top w:w="68" w:type="dxa"/>
              <w:left w:w="28" w:type="dxa"/>
              <w:bottom w:w="0" w:type="dxa"/>
              <w:right w:w="28" w:type="dxa"/>
            </w:tcMar>
            <w:hideMark/>
          </w:tcPr>
          <w:p w:rsidRPr="006B7451" w:rsidR="00C02DED" w:rsidP="00C02DED" w:rsidRDefault="00C02DED" w14:paraId="1D0CA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0A7BD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C02DED" w14:paraId="4273775B"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BD3A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0F19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Projekt grogrund</w:t>
            </w:r>
          </w:p>
        </w:tc>
        <w:tc>
          <w:tcPr>
            <w:tcW w:w="1418" w:type="dxa"/>
            <w:shd w:val="clear" w:color="auto" w:fill="FFFFFF"/>
            <w:tcMar>
              <w:top w:w="68" w:type="dxa"/>
              <w:left w:w="28" w:type="dxa"/>
              <w:bottom w:w="0" w:type="dxa"/>
              <w:right w:w="28" w:type="dxa"/>
            </w:tcMar>
            <w:hideMark/>
          </w:tcPr>
          <w:p w:rsidRPr="006B7451" w:rsidR="00C02DED" w:rsidP="00C02DED" w:rsidRDefault="00C02DED" w14:paraId="3F35C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0DCE6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C02DED" w:rsidTr="00C02DED" w14:paraId="7A94CA7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2B6B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5BFAF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Uppföljning biologiska bekämpningsmedels spridning</w:t>
            </w:r>
          </w:p>
        </w:tc>
        <w:tc>
          <w:tcPr>
            <w:tcW w:w="1418" w:type="dxa"/>
            <w:shd w:val="clear" w:color="auto" w:fill="FFFFFF"/>
            <w:tcMar>
              <w:top w:w="68" w:type="dxa"/>
              <w:left w:w="28" w:type="dxa"/>
              <w:bottom w:w="0" w:type="dxa"/>
              <w:right w:w="28" w:type="dxa"/>
            </w:tcMar>
            <w:hideMark/>
          </w:tcPr>
          <w:p w:rsidRPr="006B7451" w:rsidR="00C02DED" w:rsidP="00C02DED" w:rsidRDefault="00C02DED" w14:paraId="75BBC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F0D4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009C758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9273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1CCF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Nationella livsmedelsstrategin</w:t>
            </w:r>
          </w:p>
        </w:tc>
        <w:tc>
          <w:tcPr>
            <w:tcW w:w="1418" w:type="dxa"/>
            <w:shd w:val="clear" w:color="auto" w:fill="FFFFFF"/>
            <w:tcMar>
              <w:top w:w="68" w:type="dxa"/>
              <w:left w:w="28" w:type="dxa"/>
              <w:bottom w:w="0" w:type="dxa"/>
              <w:right w:w="28" w:type="dxa"/>
            </w:tcMar>
            <w:hideMark/>
          </w:tcPr>
          <w:p w:rsidRPr="006B7451" w:rsidR="00C02DED" w:rsidP="00C02DED" w:rsidRDefault="00C02DED" w14:paraId="1FA5C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6233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900 000</w:t>
            </w:r>
          </w:p>
        </w:tc>
      </w:tr>
      <w:tr w:rsidRPr="006B7451" w:rsidR="00C02DED" w:rsidTr="00C02DED" w14:paraId="19FD95D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D558A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5BA63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Kontrollfunktion livsmedelsbedrägerier</w:t>
            </w:r>
          </w:p>
        </w:tc>
        <w:tc>
          <w:tcPr>
            <w:tcW w:w="1418" w:type="dxa"/>
            <w:shd w:val="clear" w:color="auto" w:fill="FFFFFF"/>
            <w:tcMar>
              <w:top w:w="68" w:type="dxa"/>
              <w:left w:w="28" w:type="dxa"/>
              <w:bottom w:w="0" w:type="dxa"/>
              <w:right w:w="28" w:type="dxa"/>
            </w:tcMar>
            <w:hideMark/>
          </w:tcPr>
          <w:p w:rsidRPr="006B7451" w:rsidR="00C02DED" w:rsidP="00C02DED" w:rsidRDefault="00C02DED" w14:paraId="7A97E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30D29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C02DED" w:rsidTr="00C02DED" w14:paraId="3B7380E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306A8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1F58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22 044 754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441D8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1 222 000</w:t>
            </w:r>
          </w:p>
        </w:tc>
      </w:tr>
    </w:tbl>
    <w:p w:rsidR="00EC7C11" w:rsidP="00C56102" w:rsidRDefault="00EC7C11" w14:paraId="24E1E865" w14:textId="67527F0D">
      <w:pPr>
        <w:pStyle w:val="Normalutanindragellerluft"/>
      </w:pPr>
    </w:p>
    <w:p w:rsidR="002E4921" w:rsidRDefault="002E4921" w14:paraId="62E10BCF" w14:textId="6E8EE83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8A7FDF" w:rsidP="00ED5D60" w:rsidRDefault="008A7FDF" w14:paraId="513477F7" w14:textId="0ECC8602">
      <w:pPr>
        <w:pStyle w:val="Rubrik2numrerat"/>
      </w:pPr>
      <w:bookmarkStart w:name="_Toc121752705" w:id="201"/>
      <w:r w:rsidRPr="006B7451">
        <w:lastRenderedPageBreak/>
        <w:t>Utgiftsområde 24 Näringsliv</w:t>
      </w:r>
      <w:bookmarkEnd w:id="201"/>
    </w:p>
    <w:p w:rsidRPr="00095FD5" w:rsidR="00C02DED" w:rsidP="002E4921" w:rsidRDefault="00C02DED" w14:paraId="64EB0DEE" w14:textId="77777777">
      <w:pPr>
        <w:pStyle w:val="Tabellrubrik"/>
        <w:keepNext/>
      </w:pPr>
      <w:r w:rsidRPr="00095FD5">
        <w:t>Anslagsförslag 2022 för utgiftsområde 24 Näringsliv</w:t>
      </w:r>
    </w:p>
    <w:p w:rsidRPr="00095FD5" w:rsidR="00C02DED" w:rsidP="00095FD5" w:rsidRDefault="00C02DED" w14:paraId="276DE509" w14:textId="77777777">
      <w:pPr>
        <w:pStyle w:val="Tabellunderrubrik"/>
      </w:pPr>
      <w:r w:rsidRPr="00095FD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B7451" w:rsidR="00C02DED" w:rsidTr="00C02DED" w14:paraId="6116789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3DF84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92EA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D8FC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155C7B6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61C5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7DAF0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hideMark/>
          </w:tcPr>
          <w:p w:rsidRPr="006B7451" w:rsidR="00C02DED" w:rsidP="00C02DED" w:rsidRDefault="00C02DED" w14:paraId="255A9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279 816</w:t>
            </w:r>
          </w:p>
        </w:tc>
        <w:tc>
          <w:tcPr>
            <w:tcW w:w="1418" w:type="dxa"/>
            <w:shd w:val="clear" w:color="auto" w:fill="FFFFFF"/>
            <w:tcMar>
              <w:top w:w="68" w:type="dxa"/>
              <w:left w:w="28" w:type="dxa"/>
              <w:bottom w:w="0" w:type="dxa"/>
              <w:right w:w="28" w:type="dxa"/>
            </w:tcMar>
            <w:hideMark/>
          </w:tcPr>
          <w:p w:rsidRPr="006B7451" w:rsidR="00C02DED" w:rsidP="00C02DED" w:rsidRDefault="00C02DED" w14:paraId="1F9795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−72 000</w:t>
            </w:r>
          </w:p>
        </w:tc>
      </w:tr>
      <w:tr w:rsidRPr="006B7451" w:rsidR="00C02DED" w:rsidTr="00C02DED" w14:paraId="65E6717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7F6E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55D3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hideMark/>
          </w:tcPr>
          <w:p w:rsidRPr="006B7451" w:rsidR="00C02DED" w:rsidP="00C02DED" w:rsidRDefault="00C02DED" w14:paraId="13803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3 540 255</w:t>
            </w:r>
          </w:p>
        </w:tc>
        <w:tc>
          <w:tcPr>
            <w:tcW w:w="1418" w:type="dxa"/>
            <w:shd w:val="clear" w:color="auto" w:fill="FFFFFF"/>
            <w:tcMar>
              <w:top w:w="68" w:type="dxa"/>
              <w:left w:w="28" w:type="dxa"/>
              <w:bottom w:w="0" w:type="dxa"/>
              <w:right w:w="28" w:type="dxa"/>
            </w:tcMar>
            <w:hideMark/>
          </w:tcPr>
          <w:p w:rsidRPr="006B7451" w:rsidR="00C02DED" w:rsidP="00C02DED" w:rsidRDefault="00C02DED" w14:paraId="39E6C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−1 000 000</w:t>
            </w:r>
          </w:p>
        </w:tc>
      </w:tr>
      <w:tr w:rsidRPr="006B7451" w:rsidR="00C02DED" w:rsidTr="00C02DED" w14:paraId="6F89DB2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49AE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4BB8A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hideMark/>
          </w:tcPr>
          <w:p w:rsidRPr="006B7451" w:rsidR="00C02DED" w:rsidP="00C02DED" w:rsidRDefault="00C02DED" w14:paraId="39ADD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997 268</w:t>
            </w:r>
          </w:p>
        </w:tc>
        <w:tc>
          <w:tcPr>
            <w:tcW w:w="1418" w:type="dxa"/>
            <w:shd w:val="clear" w:color="auto" w:fill="FFFFFF"/>
            <w:tcMar>
              <w:top w:w="68" w:type="dxa"/>
              <w:left w:w="28" w:type="dxa"/>
              <w:bottom w:w="0" w:type="dxa"/>
              <w:right w:w="28" w:type="dxa"/>
            </w:tcMar>
            <w:hideMark/>
          </w:tcPr>
          <w:p w:rsidRPr="006B7451" w:rsidR="00C02DED" w:rsidP="00C02DED" w:rsidRDefault="00C02DED" w14:paraId="5DF08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F4DF451"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6AA9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A57C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03D46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663 677</w:t>
            </w:r>
          </w:p>
        </w:tc>
        <w:tc>
          <w:tcPr>
            <w:tcW w:w="1418" w:type="dxa"/>
            <w:shd w:val="clear" w:color="auto" w:fill="FFFFFF"/>
            <w:tcMar>
              <w:top w:w="68" w:type="dxa"/>
              <w:left w:w="28" w:type="dxa"/>
              <w:bottom w:w="0" w:type="dxa"/>
              <w:right w:w="28" w:type="dxa"/>
            </w:tcMar>
            <w:hideMark/>
          </w:tcPr>
          <w:p w:rsidRPr="006B7451" w:rsidR="00C02DED" w:rsidP="00C02DED" w:rsidRDefault="00C02DED" w14:paraId="06964E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36 000</w:t>
            </w:r>
          </w:p>
        </w:tc>
      </w:tr>
      <w:tr w:rsidRPr="006B7451" w:rsidR="00C02DED" w:rsidTr="00C02DED" w14:paraId="3BA432B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CA29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4B88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hideMark/>
          </w:tcPr>
          <w:p w:rsidRPr="006B7451" w:rsidR="00C02DED" w:rsidP="00C02DED" w:rsidRDefault="00C02DED" w14:paraId="374EB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905 942</w:t>
            </w:r>
          </w:p>
        </w:tc>
        <w:tc>
          <w:tcPr>
            <w:tcW w:w="1418" w:type="dxa"/>
            <w:shd w:val="clear" w:color="auto" w:fill="FFFFFF"/>
            <w:tcMar>
              <w:top w:w="68" w:type="dxa"/>
              <w:left w:w="28" w:type="dxa"/>
              <w:bottom w:w="0" w:type="dxa"/>
              <w:right w:w="28" w:type="dxa"/>
            </w:tcMar>
            <w:hideMark/>
          </w:tcPr>
          <w:p w:rsidRPr="006B7451" w:rsidR="00C02DED" w:rsidP="00C02DED" w:rsidRDefault="00C02DED" w14:paraId="62A3A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110 000</w:t>
            </w:r>
          </w:p>
        </w:tc>
      </w:tr>
      <w:tr w:rsidRPr="006B7451" w:rsidR="00C02DED" w:rsidTr="00095FD5" w14:paraId="654AF3AD"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53A7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E97A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2A7ED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67 146</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5FA55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r>
      <w:tr w:rsidRPr="006B7451" w:rsidR="00C02DED" w:rsidTr="00C02DED" w14:paraId="5D4E63D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7730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4036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Turistfrämjande</w:t>
            </w:r>
          </w:p>
        </w:tc>
        <w:tc>
          <w:tcPr>
            <w:tcW w:w="1418" w:type="dxa"/>
            <w:shd w:val="clear" w:color="auto" w:fill="FFFFFF"/>
            <w:tcMar>
              <w:top w:w="68" w:type="dxa"/>
              <w:left w:w="28" w:type="dxa"/>
              <w:bottom w:w="0" w:type="dxa"/>
              <w:right w:w="28" w:type="dxa"/>
            </w:tcMar>
            <w:hideMark/>
          </w:tcPr>
          <w:p w:rsidRPr="006B7451" w:rsidR="00C02DED" w:rsidP="00C02DED" w:rsidRDefault="00C02DED" w14:paraId="71E23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124 613</w:t>
            </w:r>
          </w:p>
        </w:tc>
        <w:tc>
          <w:tcPr>
            <w:tcW w:w="1418" w:type="dxa"/>
            <w:shd w:val="clear" w:color="auto" w:fill="FFFFFF"/>
            <w:tcMar>
              <w:top w:w="68" w:type="dxa"/>
              <w:left w:w="28" w:type="dxa"/>
              <w:bottom w:w="0" w:type="dxa"/>
              <w:right w:w="28" w:type="dxa"/>
            </w:tcMar>
            <w:hideMark/>
          </w:tcPr>
          <w:p w:rsidRPr="006B7451" w:rsidR="00C02DED" w:rsidP="00C02DED" w:rsidRDefault="00C02DED" w14:paraId="0DC1C2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5A4A305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3580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2976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hideMark/>
          </w:tcPr>
          <w:p w:rsidRPr="006B7451" w:rsidR="00C02DED" w:rsidP="00C02DED" w:rsidRDefault="00C02DED" w14:paraId="0455B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255 310</w:t>
            </w:r>
          </w:p>
        </w:tc>
        <w:tc>
          <w:tcPr>
            <w:tcW w:w="1418" w:type="dxa"/>
            <w:shd w:val="clear" w:color="auto" w:fill="FFFFFF"/>
            <w:tcMar>
              <w:top w:w="68" w:type="dxa"/>
              <w:left w:w="28" w:type="dxa"/>
              <w:bottom w:w="0" w:type="dxa"/>
              <w:right w:w="28" w:type="dxa"/>
            </w:tcMar>
            <w:hideMark/>
          </w:tcPr>
          <w:p w:rsidRPr="006B7451" w:rsidR="00C02DED" w:rsidP="00C02DED" w:rsidRDefault="00C02DED" w14:paraId="677DA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132 000</w:t>
            </w:r>
          </w:p>
        </w:tc>
      </w:tr>
      <w:tr w:rsidRPr="006B7451" w:rsidR="00C02DED" w:rsidTr="00C02DED" w14:paraId="15FE5B14"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B2C4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BAEC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hideMark/>
          </w:tcPr>
          <w:p w:rsidRPr="006B7451" w:rsidR="00C02DED" w:rsidP="00C02DED" w:rsidRDefault="00C02DED" w14:paraId="1B5BC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hideMark/>
          </w:tcPr>
          <w:p w:rsidRPr="006B7451" w:rsidR="00C02DED" w:rsidP="00C02DED" w:rsidRDefault="00C02DED" w14:paraId="2AE7B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r>
      <w:tr w:rsidRPr="006B7451" w:rsidR="00C02DED" w:rsidTr="00C02DED" w14:paraId="10604B09"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F8D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9582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hideMark/>
          </w:tcPr>
          <w:p w:rsidRPr="006B7451" w:rsidR="00C02DED" w:rsidP="00C02DED" w:rsidRDefault="00C02DED" w14:paraId="0705C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hideMark/>
          </w:tcPr>
          <w:p w:rsidRPr="006B7451" w:rsidR="00C02DED" w:rsidP="00C02DED" w:rsidRDefault="00C02DED" w14:paraId="0387E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7FFC61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592B4A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CE33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62F312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65 542</w:t>
            </w:r>
          </w:p>
        </w:tc>
        <w:tc>
          <w:tcPr>
            <w:tcW w:w="1418" w:type="dxa"/>
            <w:shd w:val="clear" w:color="auto" w:fill="FFFFFF"/>
            <w:tcMar>
              <w:top w:w="68" w:type="dxa"/>
              <w:left w:w="28" w:type="dxa"/>
              <w:bottom w:w="0" w:type="dxa"/>
              <w:right w:w="28" w:type="dxa"/>
            </w:tcMar>
            <w:hideMark/>
          </w:tcPr>
          <w:p w:rsidRPr="006B7451" w:rsidR="00C02DED" w:rsidP="00C02DED" w:rsidRDefault="00C02DED" w14:paraId="220C2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C02DED" w:rsidTr="00C02DED" w14:paraId="5177E36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A5E9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B26EC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hideMark/>
          </w:tcPr>
          <w:p w:rsidRPr="006B7451" w:rsidR="00C02DED" w:rsidP="00C02DED" w:rsidRDefault="00C02DED" w14:paraId="7F421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hideMark/>
          </w:tcPr>
          <w:p w:rsidRPr="006B7451" w:rsidR="00C02DED" w:rsidP="00C02DED" w:rsidRDefault="00C02DED" w14:paraId="24A10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r>
      <w:tr w:rsidRPr="006B7451" w:rsidR="00C02DED" w:rsidTr="00C02DED" w14:paraId="626675A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F5B2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676818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1F91E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169 438</w:t>
            </w:r>
          </w:p>
        </w:tc>
        <w:tc>
          <w:tcPr>
            <w:tcW w:w="1418" w:type="dxa"/>
            <w:shd w:val="clear" w:color="auto" w:fill="FFFFFF"/>
            <w:tcMar>
              <w:top w:w="68" w:type="dxa"/>
              <w:left w:w="28" w:type="dxa"/>
              <w:bottom w:w="0" w:type="dxa"/>
              <w:right w:w="28" w:type="dxa"/>
            </w:tcMar>
            <w:hideMark/>
          </w:tcPr>
          <w:p w:rsidRPr="006B7451" w:rsidR="00C02DED" w:rsidP="00C02DED" w:rsidRDefault="00C02DED" w14:paraId="3AE446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C02DED" w:rsidTr="00C02DED" w14:paraId="70FF9CA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FBBB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F645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hideMark/>
          </w:tcPr>
          <w:p w:rsidRPr="006B7451" w:rsidR="00C02DED" w:rsidP="00C02DED" w:rsidRDefault="00C02DED" w14:paraId="366C3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hideMark/>
          </w:tcPr>
          <w:p w:rsidRPr="006B7451" w:rsidR="00C02DED" w:rsidP="00C02DED" w:rsidRDefault="00C02DED" w14:paraId="71695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9A16996"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9289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570C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hideMark/>
          </w:tcPr>
          <w:p w:rsidRPr="006B7451" w:rsidR="00C02DED" w:rsidP="00C02DED" w:rsidRDefault="00C02DED" w14:paraId="139DE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122 510</w:t>
            </w:r>
          </w:p>
        </w:tc>
        <w:tc>
          <w:tcPr>
            <w:tcW w:w="1418" w:type="dxa"/>
            <w:shd w:val="clear" w:color="auto" w:fill="FFFFFF"/>
            <w:tcMar>
              <w:top w:w="68" w:type="dxa"/>
              <w:left w:w="28" w:type="dxa"/>
              <w:bottom w:w="0" w:type="dxa"/>
              <w:right w:w="28" w:type="dxa"/>
            </w:tcMar>
            <w:hideMark/>
          </w:tcPr>
          <w:p w:rsidRPr="006B7451" w:rsidR="00C02DED" w:rsidP="00C02DED" w:rsidRDefault="00C02DED" w14:paraId="2C92DF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095FD5" w14:paraId="04B75A0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05C6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30FA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1B6A3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18 850</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5470C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3F7730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9051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2A8C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hideMark/>
          </w:tcPr>
          <w:p w:rsidRPr="006B7451" w:rsidR="00C02DED" w:rsidP="00C02DED" w:rsidRDefault="00C02DED" w14:paraId="3EDF3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hideMark/>
          </w:tcPr>
          <w:p w:rsidRPr="006B7451" w:rsidR="00C02DED" w:rsidP="00C02DED" w:rsidRDefault="00C02DED" w14:paraId="14008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A07EA0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7057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868B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54220F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hideMark/>
          </w:tcPr>
          <w:p w:rsidRPr="006B7451" w:rsidR="00C02DED" w:rsidP="00C02DED" w:rsidRDefault="00C02DED" w14:paraId="39BF4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DA215F0"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CA95C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853D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hideMark/>
          </w:tcPr>
          <w:p w:rsidRPr="006B7451" w:rsidR="00C02DED" w:rsidP="00C02DED" w:rsidRDefault="00C02DED" w14:paraId="33F6A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6B7451" w:rsidR="00C02DED" w:rsidP="00C02DED" w:rsidRDefault="00C02DED" w14:paraId="1969D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B3A257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E305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EC4F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hideMark/>
          </w:tcPr>
          <w:p w:rsidRPr="006B7451" w:rsidR="00C02DED" w:rsidP="00C02DED" w:rsidRDefault="00C02DED" w14:paraId="268D3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269 472</w:t>
            </w:r>
          </w:p>
        </w:tc>
        <w:tc>
          <w:tcPr>
            <w:tcW w:w="1418" w:type="dxa"/>
            <w:shd w:val="clear" w:color="auto" w:fill="FFFFFF"/>
            <w:tcMar>
              <w:top w:w="68" w:type="dxa"/>
              <w:left w:w="28" w:type="dxa"/>
              <w:bottom w:w="0" w:type="dxa"/>
              <w:right w:w="28" w:type="dxa"/>
            </w:tcMar>
            <w:hideMark/>
          </w:tcPr>
          <w:p w:rsidRPr="006B7451" w:rsidR="00C02DED" w:rsidP="00C02DED" w:rsidRDefault="00C02DED" w14:paraId="1263D6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68D4EB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0BCC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06259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hideMark/>
          </w:tcPr>
          <w:p w:rsidRPr="006B7451" w:rsidR="00C02DED" w:rsidP="00C02DED" w:rsidRDefault="00C02DED" w14:paraId="6B6495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335 706</w:t>
            </w:r>
          </w:p>
        </w:tc>
        <w:tc>
          <w:tcPr>
            <w:tcW w:w="1418" w:type="dxa"/>
            <w:shd w:val="clear" w:color="auto" w:fill="FFFFFF"/>
            <w:tcMar>
              <w:top w:w="68" w:type="dxa"/>
              <w:left w:w="28" w:type="dxa"/>
              <w:bottom w:w="0" w:type="dxa"/>
              <w:right w:w="28" w:type="dxa"/>
            </w:tcMar>
            <w:hideMark/>
          </w:tcPr>
          <w:p w:rsidRPr="006B7451" w:rsidR="00C02DED" w:rsidP="00C02DED" w:rsidRDefault="00C02DED" w14:paraId="0CD73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11 000</w:t>
            </w:r>
          </w:p>
        </w:tc>
      </w:tr>
      <w:tr w:rsidRPr="006B7451" w:rsidR="00C02DED" w:rsidTr="00C02DED" w14:paraId="5A5300F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610C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C86D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hideMark/>
          </w:tcPr>
          <w:p w:rsidRPr="006B7451" w:rsidR="00C02DED" w:rsidP="00C02DED" w:rsidRDefault="00C02DED" w14:paraId="4C516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hideMark/>
          </w:tcPr>
          <w:p w:rsidRPr="006B7451" w:rsidR="00C02DED" w:rsidP="00C02DED" w:rsidRDefault="00C02DED" w14:paraId="6A5F0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1250C6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D582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A407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6B7451">
              <w:rPr>
                <w:rFonts w:ascii="Times New Roman" w:hAnsi="Times New Roman" w:eastAsia="Times New Roman" w:cs="Times New Roman"/>
                <w:color w:val="000000"/>
                <w:kern w:val="0"/>
                <w:sz w:val="20"/>
                <w:szCs w:val="20"/>
                <w:lang w:eastAsia="sv-SE"/>
                <w14:numSpacing w14:val="default"/>
              </w:rPr>
              <w:t>Brexitjusteringsreserven</w:t>
            </w:r>
            <w:proofErr w:type="spellEnd"/>
          </w:p>
        </w:tc>
        <w:tc>
          <w:tcPr>
            <w:tcW w:w="1418" w:type="dxa"/>
            <w:shd w:val="clear" w:color="auto" w:fill="FFFFFF"/>
            <w:tcMar>
              <w:top w:w="68" w:type="dxa"/>
              <w:left w:w="28" w:type="dxa"/>
              <w:bottom w:w="0" w:type="dxa"/>
              <w:right w:w="28" w:type="dxa"/>
            </w:tcMar>
            <w:hideMark/>
          </w:tcPr>
          <w:p w:rsidRPr="006B7451" w:rsidR="00C02DED" w:rsidP="00C02DED" w:rsidRDefault="00C02DED" w14:paraId="156FC1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386 000</w:t>
            </w:r>
          </w:p>
        </w:tc>
        <w:tc>
          <w:tcPr>
            <w:tcW w:w="1418" w:type="dxa"/>
            <w:shd w:val="clear" w:color="auto" w:fill="FFFFFF"/>
            <w:tcMar>
              <w:top w:w="68" w:type="dxa"/>
              <w:left w:w="28" w:type="dxa"/>
              <w:bottom w:w="0" w:type="dxa"/>
              <w:right w:w="28" w:type="dxa"/>
            </w:tcMar>
            <w:hideMark/>
          </w:tcPr>
          <w:p w:rsidRPr="006B7451" w:rsidR="00C02DED" w:rsidP="00C02DED" w:rsidRDefault="00C02DED" w14:paraId="7B511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095FD5" w14:paraId="322B25DE"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55AF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D006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13B67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25 956</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59447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2D01FAFC"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C587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2A075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hideMark/>
          </w:tcPr>
          <w:p w:rsidRPr="006B7451" w:rsidR="00C02DED" w:rsidP="00C02DED" w:rsidRDefault="00C02DED" w14:paraId="777FAB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91 494</w:t>
            </w:r>
          </w:p>
        </w:tc>
        <w:tc>
          <w:tcPr>
            <w:tcW w:w="1418" w:type="dxa"/>
            <w:shd w:val="clear" w:color="auto" w:fill="FFFFFF"/>
            <w:tcMar>
              <w:top w:w="68" w:type="dxa"/>
              <w:left w:w="28" w:type="dxa"/>
              <w:bottom w:w="0" w:type="dxa"/>
              <w:right w:w="28" w:type="dxa"/>
            </w:tcMar>
            <w:hideMark/>
          </w:tcPr>
          <w:p w:rsidRPr="006B7451" w:rsidR="00C02DED" w:rsidP="00C02DED" w:rsidRDefault="00C02DED" w14:paraId="77DB2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1 000</w:t>
            </w:r>
          </w:p>
        </w:tc>
      </w:tr>
      <w:tr w:rsidRPr="006B7451" w:rsidR="00C02DED" w:rsidTr="00C02DED" w14:paraId="567FA85A"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0065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D90A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hideMark/>
          </w:tcPr>
          <w:p w:rsidRPr="006B7451" w:rsidR="00C02DED" w:rsidP="00C02DED" w:rsidRDefault="00C02DED" w14:paraId="42429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361 367</w:t>
            </w:r>
          </w:p>
        </w:tc>
        <w:tc>
          <w:tcPr>
            <w:tcW w:w="1418" w:type="dxa"/>
            <w:shd w:val="clear" w:color="auto" w:fill="FFFFFF"/>
            <w:tcMar>
              <w:top w:w="68" w:type="dxa"/>
              <w:left w:w="28" w:type="dxa"/>
              <w:bottom w:w="0" w:type="dxa"/>
              <w:right w:w="28" w:type="dxa"/>
            </w:tcMar>
            <w:hideMark/>
          </w:tcPr>
          <w:p w:rsidRPr="006B7451" w:rsidR="00C02DED" w:rsidP="00C02DED" w:rsidRDefault="00C02DED" w14:paraId="10423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70B017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A6A5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DF01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hideMark/>
          </w:tcPr>
          <w:p w:rsidRPr="006B7451" w:rsidR="00C02DED" w:rsidP="00C02DED" w:rsidRDefault="00C02DED" w14:paraId="5F94C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72 772</w:t>
            </w:r>
          </w:p>
        </w:tc>
        <w:tc>
          <w:tcPr>
            <w:tcW w:w="1418" w:type="dxa"/>
            <w:shd w:val="clear" w:color="auto" w:fill="FFFFFF"/>
            <w:tcMar>
              <w:top w:w="68" w:type="dxa"/>
              <w:left w:w="28" w:type="dxa"/>
              <w:bottom w:w="0" w:type="dxa"/>
              <w:right w:w="28" w:type="dxa"/>
            </w:tcMar>
            <w:hideMark/>
          </w:tcPr>
          <w:p w:rsidRPr="006B7451" w:rsidR="00C02DED" w:rsidP="00C02DED" w:rsidRDefault="00C02DED" w14:paraId="69B3E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832AF88"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C435D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F5DA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47E64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20 517</w:t>
            </w:r>
          </w:p>
        </w:tc>
        <w:tc>
          <w:tcPr>
            <w:tcW w:w="1418" w:type="dxa"/>
            <w:shd w:val="clear" w:color="auto" w:fill="FFFFFF"/>
            <w:tcMar>
              <w:top w:w="68" w:type="dxa"/>
              <w:left w:w="28" w:type="dxa"/>
              <w:bottom w:w="0" w:type="dxa"/>
              <w:right w:w="28" w:type="dxa"/>
            </w:tcMar>
            <w:hideMark/>
          </w:tcPr>
          <w:p w:rsidRPr="006B7451" w:rsidR="00C02DED" w:rsidP="00C02DED" w:rsidRDefault="00C02DED" w14:paraId="694E9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4CB27855"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B849C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985A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hideMark/>
          </w:tcPr>
          <w:p w:rsidRPr="006B7451" w:rsidR="00C02DED" w:rsidP="00C02DED" w:rsidRDefault="00C02DED" w14:paraId="2863D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hideMark/>
          </w:tcPr>
          <w:p w:rsidRPr="006B7451" w:rsidR="00C02DED" w:rsidP="00C02DED" w:rsidRDefault="00C02DED" w14:paraId="18AD5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095FD5" w14:paraId="4EB44A8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5BF3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2C37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5FB01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6B7451" w:rsidR="00C02DED" w:rsidP="00095FD5" w:rsidRDefault="00C02DED" w14:paraId="00B8D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07AF2A4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759B3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F06BF86" w14:textId="1200B06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Starta</w:t>
            </w:r>
            <w:r w:rsidR="001C227C">
              <w:rPr>
                <w:rFonts w:ascii="Times New Roman" w:hAnsi="Times New Roman" w:eastAsia="Times New Roman" w:cs="Times New Roman"/>
                <w:color w:val="000000"/>
                <w:kern w:val="0"/>
                <w:sz w:val="20"/>
                <w:szCs w:val="20"/>
                <w:lang w:eastAsia="sv-SE"/>
                <w14:numSpacing w14:val="default"/>
              </w:rPr>
              <w:t xml:space="preserve"> </w:t>
            </w:r>
            <w:r w:rsidRPr="006B7451">
              <w:rPr>
                <w:rFonts w:ascii="Times New Roman" w:hAnsi="Times New Roman" w:eastAsia="Times New Roman" w:cs="Times New Roman"/>
                <w:color w:val="000000"/>
                <w:kern w:val="0"/>
                <w:sz w:val="20"/>
                <w:szCs w:val="20"/>
                <w:lang w:eastAsia="sv-SE"/>
                <w14:numSpacing w14:val="default"/>
              </w:rPr>
              <w:t>eget</w:t>
            </w:r>
            <w:r w:rsidR="001C227C">
              <w:rPr>
                <w:rFonts w:ascii="Times New Roman" w:hAnsi="Times New Roman" w:eastAsia="Times New Roman" w:cs="Times New Roman"/>
                <w:color w:val="000000"/>
                <w:kern w:val="0"/>
                <w:sz w:val="20"/>
                <w:szCs w:val="20"/>
                <w:lang w:eastAsia="sv-SE"/>
                <w14:numSpacing w14:val="default"/>
              </w:rPr>
              <w:t>-</w:t>
            </w:r>
            <w:r w:rsidRPr="006B7451">
              <w:rPr>
                <w:rFonts w:ascii="Times New Roman" w:hAnsi="Times New Roman" w:eastAsia="Times New Roman" w:cs="Times New Roman"/>
                <w:color w:val="000000"/>
                <w:kern w:val="0"/>
                <w:sz w:val="20"/>
                <w:szCs w:val="20"/>
                <w:lang w:eastAsia="sv-SE"/>
                <w14:numSpacing w14:val="default"/>
              </w:rPr>
              <w:t>bidrag för yrkesverksamma</w:t>
            </w:r>
          </w:p>
        </w:tc>
        <w:tc>
          <w:tcPr>
            <w:tcW w:w="1418" w:type="dxa"/>
            <w:shd w:val="clear" w:color="auto" w:fill="FFFFFF"/>
            <w:tcMar>
              <w:top w:w="68" w:type="dxa"/>
              <w:left w:w="28" w:type="dxa"/>
              <w:bottom w:w="0" w:type="dxa"/>
              <w:right w:w="28" w:type="dxa"/>
            </w:tcMar>
            <w:hideMark/>
          </w:tcPr>
          <w:p w:rsidRPr="006B7451" w:rsidR="00C02DED" w:rsidP="00C02DED" w:rsidRDefault="00C02DED" w14:paraId="20EE7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C02DED" w:rsidP="00C02DED" w:rsidRDefault="00C02DED" w14:paraId="765A7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100 000</w:t>
            </w:r>
          </w:p>
        </w:tc>
      </w:tr>
      <w:tr w:rsidRPr="006B7451" w:rsidR="00C02DED" w:rsidTr="00C02DED" w14:paraId="741F9E2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65F4C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BAED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9 344 901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E1B3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−552 000</w:t>
            </w:r>
          </w:p>
        </w:tc>
      </w:tr>
    </w:tbl>
    <w:p w:rsidR="00EC7C11" w:rsidP="00C56102" w:rsidRDefault="00EC7C11" w14:paraId="0B33029C" w14:textId="0D3239FA">
      <w:pPr>
        <w:pStyle w:val="Normalutanindragellerluft"/>
      </w:pPr>
    </w:p>
    <w:p w:rsidR="00FF02D6" w:rsidRDefault="00FF02D6" w14:paraId="5AE6D64E" w14:textId="101974F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451" w:rsidR="008A7FDF" w:rsidP="00ED5D60" w:rsidRDefault="008A7FDF" w14:paraId="26C188AF" w14:textId="64B85ECB">
      <w:pPr>
        <w:pStyle w:val="Rubrik2numrerat"/>
      </w:pPr>
      <w:bookmarkStart w:name="_Toc121752706" w:id="202"/>
      <w:r w:rsidRPr="006B7451">
        <w:lastRenderedPageBreak/>
        <w:t>Utgiftsområde 25 Allmänna bidrag till kommuner</w:t>
      </w:r>
      <w:bookmarkEnd w:id="202"/>
    </w:p>
    <w:p w:rsidRPr="00F30EED" w:rsidR="00C02DED" w:rsidP="00FF02D6" w:rsidRDefault="00C02DED" w14:paraId="69A5562C" w14:textId="77777777">
      <w:pPr>
        <w:pStyle w:val="Tabellrubrik"/>
        <w:keepNext/>
      </w:pPr>
      <w:r w:rsidRPr="00F30EED">
        <w:t>Anslagsförslag 2022 för utgiftsområde 25 Allmänna bidrag till kommuner</w:t>
      </w:r>
    </w:p>
    <w:p w:rsidRPr="00F30EED" w:rsidR="00C02DED" w:rsidP="00F30EED" w:rsidRDefault="00C02DED" w14:paraId="04422172" w14:textId="77777777">
      <w:pPr>
        <w:pStyle w:val="Tabellunderrubrik"/>
      </w:pPr>
      <w:r w:rsidRPr="00F30E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1410E89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7809BF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29139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6FB52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79D2D7E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67B72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75D1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6B7451" w:rsidR="00C02DED" w:rsidP="00C02DED" w:rsidRDefault="00C02DED" w14:paraId="48571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147 046 689</w:t>
            </w:r>
          </w:p>
        </w:tc>
        <w:tc>
          <w:tcPr>
            <w:tcW w:w="1418" w:type="dxa"/>
            <w:shd w:val="clear" w:color="auto" w:fill="FFFFFF"/>
            <w:tcMar>
              <w:top w:w="68" w:type="dxa"/>
              <w:left w:w="28" w:type="dxa"/>
              <w:bottom w:w="0" w:type="dxa"/>
              <w:right w:w="28" w:type="dxa"/>
            </w:tcMar>
            <w:hideMark/>
          </w:tcPr>
          <w:p w:rsidRPr="006B7451" w:rsidR="00C02DED" w:rsidP="00C02DED" w:rsidRDefault="00C02DED" w14:paraId="4F4DE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3 000 000</w:t>
            </w:r>
          </w:p>
        </w:tc>
      </w:tr>
      <w:tr w:rsidRPr="006B7451" w:rsidR="00C02DED" w:rsidTr="00C02DED" w14:paraId="448D7F4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8B1B8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500A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6B7451" w:rsidR="00C02DED" w:rsidP="00C02DED" w:rsidRDefault="00C02DED" w14:paraId="45FB5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4 718 355</w:t>
            </w:r>
          </w:p>
        </w:tc>
        <w:tc>
          <w:tcPr>
            <w:tcW w:w="1418" w:type="dxa"/>
            <w:shd w:val="clear" w:color="auto" w:fill="FFFFFF"/>
            <w:tcMar>
              <w:top w:w="68" w:type="dxa"/>
              <w:left w:w="28" w:type="dxa"/>
              <w:bottom w:w="0" w:type="dxa"/>
              <w:right w:w="28" w:type="dxa"/>
            </w:tcMar>
            <w:hideMark/>
          </w:tcPr>
          <w:p w:rsidRPr="006B7451" w:rsidR="00C02DED" w:rsidP="00C02DED" w:rsidRDefault="00C02DED" w14:paraId="56B6F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3EE3A2C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357D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C728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6B7451" w:rsidR="00C02DED" w:rsidP="00C02DED" w:rsidRDefault="00C02DED" w14:paraId="31BC4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hideMark/>
          </w:tcPr>
          <w:p w:rsidRPr="006B7451" w:rsidR="00C02DED" w:rsidP="00C02DED" w:rsidRDefault="00C02DED" w14:paraId="1EF1D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78E4CB2"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3DE9A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482AC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418" w:type="dxa"/>
            <w:shd w:val="clear" w:color="auto" w:fill="FFFFFF"/>
            <w:tcMar>
              <w:top w:w="68" w:type="dxa"/>
              <w:left w:w="28" w:type="dxa"/>
              <w:bottom w:w="0" w:type="dxa"/>
              <w:right w:w="28" w:type="dxa"/>
            </w:tcMar>
            <w:hideMark/>
          </w:tcPr>
          <w:p w:rsidRPr="006B7451" w:rsidR="00C02DED" w:rsidP="00C02DED" w:rsidRDefault="00C02DED" w14:paraId="2B201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6B7451" w:rsidR="00C02DED" w:rsidP="00C02DED" w:rsidRDefault="00C02DED" w14:paraId="08A0B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7C7612F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49211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14E55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418" w:type="dxa"/>
            <w:shd w:val="clear" w:color="auto" w:fill="FFFFFF"/>
            <w:tcMar>
              <w:top w:w="68" w:type="dxa"/>
              <w:left w:w="28" w:type="dxa"/>
              <w:bottom w:w="0" w:type="dxa"/>
              <w:right w:w="28" w:type="dxa"/>
            </w:tcMar>
            <w:hideMark/>
          </w:tcPr>
          <w:p w:rsidRPr="006B7451" w:rsidR="00C02DED" w:rsidP="00C02DED" w:rsidRDefault="00C02DED" w14:paraId="3DE7A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7BB22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5A91F4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58C3C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6A6D76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152 322 194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479F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3 000 000</w:t>
            </w:r>
          </w:p>
        </w:tc>
      </w:tr>
    </w:tbl>
    <w:p w:rsidRPr="006B7451" w:rsidR="008A7FDF" w:rsidP="00FF02D6" w:rsidRDefault="008A7FDF" w14:paraId="618E66B2" w14:textId="77777777">
      <w:pPr>
        <w:pStyle w:val="Rubrik2numrerat"/>
        <w:ind w:left="794" w:hanging="794"/>
      </w:pPr>
      <w:bookmarkStart w:name="_Toc121752707" w:id="203"/>
      <w:r w:rsidRPr="006B7451">
        <w:t>Utgiftsområde 26 Statsskuldsräntor m.m.</w:t>
      </w:r>
      <w:bookmarkEnd w:id="203"/>
    </w:p>
    <w:p w:rsidRPr="00F30EED" w:rsidR="00C02DED" w:rsidP="00FF02D6" w:rsidRDefault="00C02DED" w14:paraId="2F06B6F9" w14:textId="77777777">
      <w:pPr>
        <w:pStyle w:val="Tabellrubrik"/>
        <w:keepNext/>
      </w:pPr>
      <w:r w:rsidRPr="00F30EED">
        <w:t>Anslagsförslag 2022 för utgiftsområde 26 Statsskuldsräntor m.m.</w:t>
      </w:r>
    </w:p>
    <w:p w:rsidRPr="00F30EED" w:rsidR="00C02DED" w:rsidP="00F30EED" w:rsidRDefault="00C02DED" w14:paraId="1567A8DE" w14:textId="77777777">
      <w:pPr>
        <w:pStyle w:val="Tabellunderrubrik"/>
      </w:pPr>
      <w:r w:rsidRPr="00F30E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386EA00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44C60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C167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3F065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75CB70D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6FEA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71CD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Räntor på statsskulden</w:t>
            </w:r>
          </w:p>
        </w:tc>
        <w:tc>
          <w:tcPr>
            <w:tcW w:w="1418" w:type="dxa"/>
            <w:shd w:val="clear" w:color="auto" w:fill="FFFFFF"/>
            <w:tcMar>
              <w:top w:w="68" w:type="dxa"/>
              <w:left w:w="28" w:type="dxa"/>
              <w:bottom w:w="0" w:type="dxa"/>
              <w:right w:w="28" w:type="dxa"/>
            </w:tcMar>
            <w:hideMark/>
          </w:tcPr>
          <w:p w:rsidRPr="006B7451" w:rsidR="00C02DED" w:rsidP="00C02DED" w:rsidRDefault="00C02DED" w14:paraId="7D587A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12 000 000</w:t>
            </w:r>
          </w:p>
        </w:tc>
        <w:tc>
          <w:tcPr>
            <w:tcW w:w="1418" w:type="dxa"/>
            <w:shd w:val="clear" w:color="auto" w:fill="FFFFFF"/>
            <w:tcMar>
              <w:top w:w="68" w:type="dxa"/>
              <w:left w:w="28" w:type="dxa"/>
              <w:bottom w:w="0" w:type="dxa"/>
              <w:right w:w="28" w:type="dxa"/>
            </w:tcMar>
            <w:hideMark/>
          </w:tcPr>
          <w:p w:rsidRPr="006B7451" w:rsidR="00C02DED" w:rsidP="00C02DED" w:rsidRDefault="00C02DED" w14:paraId="466A4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064DDE7"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18B43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55D23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Oförutsedda utgifter</w:t>
            </w:r>
          </w:p>
        </w:tc>
        <w:tc>
          <w:tcPr>
            <w:tcW w:w="1418" w:type="dxa"/>
            <w:shd w:val="clear" w:color="auto" w:fill="FFFFFF"/>
            <w:tcMar>
              <w:top w:w="68" w:type="dxa"/>
              <w:left w:w="28" w:type="dxa"/>
              <w:bottom w:w="0" w:type="dxa"/>
              <w:right w:w="28" w:type="dxa"/>
            </w:tcMar>
            <w:hideMark/>
          </w:tcPr>
          <w:p w:rsidRPr="006B7451" w:rsidR="00C02DED" w:rsidP="00C02DED" w:rsidRDefault="00C02DED" w14:paraId="7C5923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6B7451" w:rsidR="00C02DED" w:rsidP="00C02DED" w:rsidRDefault="00C02DED" w14:paraId="02ABB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1FF7C733"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08A1A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BC3D0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Riksgäldskontorets provisionsutgifter</w:t>
            </w:r>
          </w:p>
        </w:tc>
        <w:tc>
          <w:tcPr>
            <w:tcW w:w="1418" w:type="dxa"/>
            <w:shd w:val="clear" w:color="auto" w:fill="FFFFFF"/>
            <w:tcMar>
              <w:top w:w="68" w:type="dxa"/>
              <w:left w:w="28" w:type="dxa"/>
              <w:bottom w:w="0" w:type="dxa"/>
              <w:right w:w="28" w:type="dxa"/>
            </w:tcMar>
            <w:hideMark/>
          </w:tcPr>
          <w:p w:rsidRPr="006B7451" w:rsidR="00C02DED" w:rsidP="00C02DED" w:rsidRDefault="00C02DED" w14:paraId="622EE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145 200</w:t>
            </w:r>
          </w:p>
        </w:tc>
        <w:tc>
          <w:tcPr>
            <w:tcW w:w="1418" w:type="dxa"/>
            <w:shd w:val="clear" w:color="auto" w:fill="FFFFFF"/>
            <w:tcMar>
              <w:top w:w="68" w:type="dxa"/>
              <w:left w:w="28" w:type="dxa"/>
              <w:bottom w:w="0" w:type="dxa"/>
              <w:right w:w="28" w:type="dxa"/>
            </w:tcMar>
            <w:hideMark/>
          </w:tcPr>
          <w:p w:rsidRPr="006B7451" w:rsidR="00C02DED" w:rsidP="00C02DED" w:rsidRDefault="00C02DED" w14:paraId="3D8E8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C02DED" w14:paraId="5D1167A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C02DED" w:rsidP="00C02DED" w:rsidRDefault="00C02DED" w14:paraId="7FA1B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79053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12 155 200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5829F7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bl>
    <w:p w:rsidRPr="006B7451" w:rsidR="008A7FDF" w:rsidP="00ED5D60" w:rsidRDefault="008A7FDF" w14:paraId="78544741" w14:textId="77777777">
      <w:pPr>
        <w:pStyle w:val="Rubrik2numrerat"/>
      </w:pPr>
      <w:bookmarkStart w:name="_Toc121752708" w:id="204"/>
      <w:r w:rsidRPr="006B7451">
        <w:t>Utgiftsområde 27 Avgiften till Europeiska unionen</w:t>
      </w:r>
      <w:bookmarkEnd w:id="204"/>
    </w:p>
    <w:p w:rsidRPr="00F30EED" w:rsidR="00C02DED" w:rsidP="00FF02D6" w:rsidRDefault="00C02DED" w14:paraId="543E72A3" w14:textId="77777777">
      <w:pPr>
        <w:pStyle w:val="Tabellrubrik"/>
        <w:keepNext/>
      </w:pPr>
      <w:r w:rsidRPr="00F30EED">
        <w:t>Anslagsförslag 2022 för utgiftsområde 27 Avgiften till Europeiska unionen</w:t>
      </w:r>
    </w:p>
    <w:p w:rsidRPr="00F30EED" w:rsidR="00C02DED" w:rsidP="00F30EED" w:rsidRDefault="00C02DED" w14:paraId="4D77B635" w14:textId="77777777">
      <w:pPr>
        <w:pStyle w:val="Tabellunderrubrik"/>
      </w:pPr>
      <w:r w:rsidRPr="00F30EE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6B7451" w:rsidR="00C02DED" w:rsidTr="00C02DED" w14:paraId="54ADEA3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495D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C02DED" w:rsidP="00C02DED" w:rsidRDefault="00C02DED" w14:paraId="046723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C02DED" w:rsidP="00C02DED" w:rsidRDefault="00C02DED" w14:paraId="03B86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C02DED" w:rsidTr="00C02DED" w14:paraId="472E2B3F" w14:textId="77777777">
        <w:trPr>
          <w:trHeight w:val="170"/>
        </w:trPr>
        <w:tc>
          <w:tcPr>
            <w:tcW w:w="340" w:type="dxa"/>
            <w:shd w:val="clear" w:color="auto" w:fill="FFFFFF"/>
            <w:tcMar>
              <w:top w:w="68" w:type="dxa"/>
              <w:left w:w="28" w:type="dxa"/>
              <w:bottom w:w="0" w:type="dxa"/>
              <w:right w:w="28" w:type="dxa"/>
            </w:tcMar>
            <w:hideMark/>
          </w:tcPr>
          <w:p w:rsidRPr="006B7451" w:rsidR="00C02DED" w:rsidP="00C02DED" w:rsidRDefault="00C02DED" w14:paraId="2F006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B7451" w:rsidR="00C02DED" w:rsidP="00C02DED" w:rsidRDefault="00C02DED" w14:paraId="3CEAA6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6B7451" w:rsidR="00C02DED" w:rsidP="00C02DED" w:rsidRDefault="00C02DED" w14:paraId="11003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47 836 848</w:t>
            </w:r>
          </w:p>
        </w:tc>
        <w:tc>
          <w:tcPr>
            <w:tcW w:w="1418" w:type="dxa"/>
            <w:shd w:val="clear" w:color="auto" w:fill="FFFFFF"/>
            <w:tcMar>
              <w:top w:w="68" w:type="dxa"/>
              <w:left w:w="28" w:type="dxa"/>
              <w:bottom w:w="0" w:type="dxa"/>
              <w:right w:w="28" w:type="dxa"/>
            </w:tcMar>
            <w:hideMark/>
          </w:tcPr>
          <w:p w:rsidRPr="006B7451" w:rsidR="00C02DED" w:rsidP="00C02DED" w:rsidRDefault="00C02DED" w14:paraId="4FDC0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C02DED" w:rsidTr="00FF02D6" w14:paraId="7D7F40BF" w14:textId="77777777">
        <w:trPr>
          <w:trHeight w:val="170"/>
        </w:trPr>
        <w:tc>
          <w:tcPr>
            <w:tcW w:w="4139" w:type="dxa"/>
            <w:gridSpan w:val="2"/>
            <w:tcBorders>
              <w:top w:val="nil"/>
              <w:left w:val="nil"/>
              <w:bottom w:val="nil"/>
              <w:right w:val="nil"/>
            </w:tcBorders>
            <w:shd w:val="clear" w:color="auto" w:fill="FFFFFF"/>
            <w:tcMar>
              <w:top w:w="68" w:type="dxa"/>
              <w:left w:w="28" w:type="dxa"/>
              <w:bottom w:w="20" w:type="dxa"/>
              <w:right w:w="85" w:type="dxa"/>
            </w:tcMar>
            <w:vAlign w:val="center"/>
            <w:hideMark/>
          </w:tcPr>
          <w:p w:rsidRPr="006B7451" w:rsidR="00C02DED" w:rsidP="00C02DED" w:rsidRDefault="00C02DED" w14:paraId="513DF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nil"/>
              <w:right w:val="nil"/>
            </w:tcBorders>
            <w:shd w:val="clear" w:color="auto" w:fill="FFFFFF"/>
            <w:tcMar>
              <w:top w:w="68" w:type="dxa"/>
              <w:left w:w="28" w:type="dxa"/>
              <w:bottom w:w="20" w:type="dxa"/>
              <w:right w:w="28" w:type="dxa"/>
            </w:tcMar>
            <w:hideMark/>
          </w:tcPr>
          <w:p w:rsidRPr="006B7451" w:rsidR="00C02DED" w:rsidP="00C02DED" w:rsidRDefault="00C02DED" w14:paraId="5224D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47 836 848</w:t>
            </w:r>
          </w:p>
        </w:tc>
        <w:tc>
          <w:tcPr>
            <w:tcW w:w="1418" w:type="dxa"/>
            <w:tcBorders>
              <w:top w:val="nil"/>
              <w:left w:val="nil"/>
              <w:bottom w:val="nil"/>
              <w:right w:val="nil"/>
            </w:tcBorders>
            <w:shd w:val="clear" w:color="auto" w:fill="FFFFFF"/>
            <w:tcMar>
              <w:top w:w="68" w:type="dxa"/>
              <w:left w:w="28" w:type="dxa"/>
              <w:bottom w:w="20" w:type="dxa"/>
              <w:right w:w="28" w:type="dxa"/>
            </w:tcMar>
            <w:hideMark/>
          </w:tcPr>
          <w:p w:rsidRPr="006B7451" w:rsidR="00C02DED" w:rsidP="00C02DED" w:rsidRDefault="00C02DED" w14:paraId="6A028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bl>
    <w:p w:rsidRPr="006B7451" w:rsidR="00FF02D6" w:rsidP="00FF02D6" w:rsidRDefault="00FF02D6" w14:paraId="54DEA50F" w14:textId="77777777">
      <w:pPr>
        <w:pStyle w:val="Normalutanindragellerluft"/>
        <w:rPr>
          <w:rFonts w:eastAsia="Times New Roman"/>
          <w:lang w:eastAsia="sv-SE"/>
        </w:rPr>
      </w:pPr>
    </w:p>
    <w:p w:rsidR="00FF02D6" w:rsidRDefault="00FF02D6" w14:paraId="7C6F1C0B" w14:textId="05095EFA">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6B7451" w:rsidR="008A7FDF" w:rsidP="00ED5D60" w:rsidRDefault="008A7FDF" w14:paraId="146C2329" w14:textId="3A024B23">
      <w:pPr>
        <w:pStyle w:val="Rubrik1numrerat"/>
      </w:pPr>
      <w:bookmarkStart w:name="_Toc121752709" w:id="205"/>
      <w:r w:rsidRPr="006B7451">
        <w:lastRenderedPageBreak/>
        <w:t>Statsbudgeten och den offentliga sektorn</w:t>
      </w:r>
      <w:bookmarkEnd w:id="205"/>
    </w:p>
    <w:p w:rsidRPr="006B7451" w:rsidR="008A7FDF" w:rsidP="00580926" w:rsidRDefault="008A7FDF" w14:paraId="138D8688" w14:textId="3EA25C3F">
      <w:pPr>
        <w:pStyle w:val="Rubrik2numrerat"/>
        <w:spacing w:before="440"/>
      </w:pPr>
      <w:bookmarkStart w:name="_Toc121752710" w:id="206"/>
      <w:r w:rsidRPr="006B7451">
        <w:t>Utgiftstak för staten</w:t>
      </w:r>
      <w:bookmarkEnd w:id="206"/>
    </w:p>
    <w:p w:rsidRPr="008752C6" w:rsidR="00FF2DF6" w:rsidP="00252BBF" w:rsidRDefault="00FF2DF6" w14:paraId="5DC77C73" w14:textId="77777777">
      <w:pPr>
        <w:pStyle w:val="Tabellrubrik"/>
        <w:keepNext/>
      </w:pPr>
      <w:r w:rsidRPr="008752C6">
        <w:t>Utgiftstak för staten</w:t>
      </w:r>
    </w:p>
    <w:p w:rsidRPr="008752C6" w:rsidR="00FF2DF6" w:rsidP="008752C6" w:rsidRDefault="00FF2DF6" w14:paraId="48FE2BCE" w14:textId="5A09FF37">
      <w:pPr>
        <w:pStyle w:val="Tabellunderrubrik"/>
      </w:pPr>
      <w:r w:rsidRPr="008752C6">
        <w:t>Miljoner kronor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4725"/>
        <w:gridCol w:w="1260"/>
        <w:gridCol w:w="1260"/>
        <w:gridCol w:w="1260"/>
      </w:tblGrid>
      <w:tr w:rsidRPr="006B7451" w:rsidR="00FF2DF6" w:rsidTr="00FF2DF6" w14:paraId="7F08A78D" w14:textId="77777777">
        <w:trPr>
          <w:trHeight w:val="170"/>
        </w:trPr>
        <w:tc>
          <w:tcPr>
            <w:tcW w:w="340" w:type="dxa"/>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B7451" w:rsidR="00FF2DF6" w:rsidP="00FF2DF6" w:rsidRDefault="00FF2DF6" w14:paraId="59E36A7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0478D9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2B2BEF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F86B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452BA7AE" w14:textId="77777777">
        <w:trPr>
          <w:trHeight w:val="170"/>
        </w:trPr>
        <w:tc>
          <w:tcPr>
            <w:tcW w:w="4253" w:type="dxa"/>
            <w:shd w:val="clear" w:color="auto" w:fill="FFFFFF"/>
            <w:tcMar>
              <w:top w:w="68" w:type="dxa"/>
              <w:left w:w="75" w:type="dxa"/>
              <w:bottom w:w="0" w:type="dxa"/>
              <w:right w:w="28" w:type="dxa"/>
            </w:tcMar>
            <w:vAlign w:val="center"/>
            <w:hideMark/>
          </w:tcPr>
          <w:p w:rsidRPr="006B7451" w:rsidR="00FF2DF6" w:rsidP="00FF2DF6" w:rsidRDefault="00FF2DF6" w14:paraId="0A10C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Takbegränsade utgifter</w:t>
            </w:r>
          </w:p>
        </w:tc>
        <w:tc>
          <w:tcPr>
            <w:tcW w:w="1134" w:type="dxa"/>
            <w:shd w:val="clear" w:color="auto" w:fill="FFFFFF"/>
            <w:tcMar>
              <w:top w:w="68" w:type="dxa"/>
              <w:left w:w="28" w:type="dxa"/>
              <w:bottom w:w="0" w:type="dxa"/>
              <w:right w:w="28" w:type="dxa"/>
            </w:tcMar>
            <w:hideMark/>
          </w:tcPr>
          <w:p w:rsidRPr="006B7451" w:rsidR="00FF2DF6" w:rsidP="00FF2DF6" w:rsidRDefault="00FF2DF6" w14:paraId="407C8EFC" w14:textId="6D485C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−18 57</w:t>
            </w:r>
            <w:r w:rsidR="00CB2DB0">
              <w:rPr>
                <w:rFonts w:ascii="Times New Roman" w:hAnsi="Times New Roman" w:eastAsia="Times New Roman" w:cs="Times New Roman"/>
                <w:color w:val="000000"/>
                <w:kern w:val="0"/>
                <w:sz w:val="20"/>
                <w:szCs w:val="20"/>
                <w:lang w:eastAsia="sv-SE"/>
                <w14:numSpacing w14:val="default"/>
              </w:rPr>
              <w:t>3</w:t>
            </w:r>
          </w:p>
        </w:tc>
        <w:tc>
          <w:tcPr>
            <w:tcW w:w="1134" w:type="dxa"/>
            <w:shd w:val="clear" w:color="auto" w:fill="FFFFFF"/>
            <w:tcMar>
              <w:top w:w="68" w:type="dxa"/>
              <w:left w:w="28" w:type="dxa"/>
              <w:bottom w:w="0" w:type="dxa"/>
              <w:right w:w="28" w:type="dxa"/>
            </w:tcMar>
            <w:hideMark/>
          </w:tcPr>
          <w:p w:rsidRPr="006B7451" w:rsidR="00FF2DF6" w:rsidP="00FF2DF6" w:rsidRDefault="00FF2DF6" w14:paraId="05862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−25 542</w:t>
            </w:r>
          </w:p>
        </w:tc>
        <w:tc>
          <w:tcPr>
            <w:tcW w:w="1134" w:type="dxa"/>
            <w:shd w:val="clear" w:color="auto" w:fill="FFFFFF"/>
            <w:tcMar>
              <w:top w:w="68" w:type="dxa"/>
              <w:left w:w="28" w:type="dxa"/>
              <w:bottom w:w="0" w:type="dxa"/>
              <w:right w:w="28" w:type="dxa"/>
            </w:tcMar>
            <w:hideMark/>
          </w:tcPr>
          <w:p w:rsidRPr="006B7451" w:rsidR="00FF2DF6" w:rsidP="00FF2DF6" w:rsidRDefault="00FF2DF6" w14:paraId="077F9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−32 606</w:t>
            </w:r>
          </w:p>
        </w:tc>
      </w:tr>
      <w:tr w:rsidRPr="006B7451" w:rsidR="00FF2DF6" w:rsidTr="00FF2DF6" w14:paraId="6E38E0E8" w14:textId="77777777">
        <w:trPr>
          <w:trHeight w:val="170"/>
        </w:trPr>
        <w:tc>
          <w:tcPr>
            <w:tcW w:w="4253" w:type="dxa"/>
            <w:shd w:val="clear" w:color="auto" w:fill="FFFFFF"/>
            <w:tcMar>
              <w:top w:w="68" w:type="dxa"/>
              <w:left w:w="75" w:type="dxa"/>
              <w:bottom w:w="0" w:type="dxa"/>
              <w:right w:w="28" w:type="dxa"/>
            </w:tcMar>
            <w:vAlign w:val="center"/>
            <w:hideMark/>
          </w:tcPr>
          <w:p w:rsidRPr="006B7451" w:rsidR="00FF2DF6" w:rsidP="00FF2DF6" w:rsidRDefault="00FF2DF6" w14:paraId="36CC9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Budgeteringsmarginal</w:t>
            </w:r>
          </w:p>
        </w:tc>
        <w:tc>
          <w:tcPr>
            <w:tcW w:w="1134" w:type="dxa"/>
            <w:shd w:val="clear" w:color="auto" w:fill="FFFFFF"/>
            <w:tcMar>
              <w:top w:w="68" w:type="dxa"/>
              <w:left w:w="28" w:type="dxa"/>
              <w:bottom w:w="0" w:type="dxa"/>
              <w:right w:w="28" w:type="dxa"/>
            </w:tcMar>
            <w:hideMark/>
          </w:tcPr>
          <w:p w:rsidRPr="006B7451" w:rsidR="00FF2DF6" w:rsidP="00FF2DF6" w:rsidRDefault="00FF2DF6" w14:paraId="614B43E5" w14:textId="5BDA891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18 57</w:t>
            </w:r>
            <w:r w:rsidR="00CB2DB0">
              <w:rPr>
                <w:rFonts w:ascii="Times New Roman" w:hAnsi="Times New Roman" w:eastAsia="Times New Roman" w:cs="Times New Roman"/>
                <w:color w:val="000000"/>
                <w:kern w:val="0"/>
                <w:sz w:val="20"/>
                <w:szCs w:val="20"/>
                <w:lang w:eastAsia="sv-SE"/>
                <w14:numSpacing w14:val="default"/>
              </w:rPr>
              <w:t>3</w:t>
            </w:r>
          </w:p>
        </w:tc>
        <w:tc>
          <w:tcPr>
            <w:tcW w:w="1134" w:type="dxa"/>
            <w:shd w:val="clear" w:color="auto" w:fill="FFFFFF"/>
            <w:tcMar>
              <w:top w:w="68" w:type="dxa"/>
              <w:left w:w="28" w:type="dxa"/>
              <w:bottom w:w="0" w:type="dxa"/>
              <w:right w:w="28" w:type="dxa"/>
            </w:tcMar>
            <w:hideMark/>
          </w:tcPr>
          <w:p w:rsidRPr="006B7451" w:rsidR="00FF2DF6" w:rsidP="00FF2DF6" w:rsidRDefault="00FF2DF6" w14:paraId="1F788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25 542</w:t>
            </w:r>
          </w:p>
        </w:tc>
        <w:tc>
          <w:tcPr>
            <w:tcW w:w="1134" w:type="dxa"/>
            <w:shd w:val="clear" w:color="auto" w:fill="FFFFFF"/>
            <w:tcMar>
              <w:top w:w="68" w:type="dxa"/>
              <w:left w:w="28" w:type="dxa"/>
              <w:bottom w:w="0" w:type="dxa"/>
              <w:right w:w="28" w:type="dxa"/>
            </w:tcMar>
            <w:hideMark/>
          </w:tcPr>
          <w:p w:rsidRPr="006B7451" w:rsidR="00FF2DF6" w:rsidP="00FF2DF6" w:rsidRDefault="00FF2DF6" w14:paraId="6E633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32 606</w:t>
            </w:r>
          </w:p>
        </w:tc>
      </w:tr>
      <w:tr w:rsidRPr="006B7451" w:rsidR="00FF2DF6" w:rsidTr="00FF2DF6" w14:paraId="4BBC1F05" w14:textId="77777777">
        <w:trPr>
          <w:trHeight w:val="170"/>
        </w:trPr>
        <w:tc>
          <w:tcPr>
            <w:tcW w:w="4139" w:type="dxa"/>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B7451" w:rsidR="00FF2DF6" w:rsidP="00FF2DF6" w:rsidRDefault="00FF2DF6" w14:paraId="17191C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Utgiftstak för staten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3968C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03E0C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610D0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bl>
    <w:p w:rsidRPr="006B7451" w:rsidR="008A7FDF" w:rsidP="00ED5D60" w:rsidRDefault="008A7FDF" w14:paraId="7E8486F9" w14:textId="0AFEEF17">
      <w:pPr>
        <w:pStyle w:val="Rubrik2numrerat"/>
      </w:pPr>
      <w:bookmarkStart w:name="_Toc121752711" w:id="207"/>
      <w:r w:rsidRPr="006B7451">
        <w:t>Statsbudgetens inkomster</w:t>
      </w:r>
      <w:bookmarkEnd w:id="207"/>
    </w:p>
    <w:p w:rsidRPr="008752C6" w:rsidR="00FF2DF6" w:rsidP="00252BBF" w:rsidRDefault="00FF2DF6" w14:paraId="1ECD5DBA" w14:textId="77777777">
      <w:pPr>
        <w:pStyle w:val="Tabellrubrik"/>
        <w:keepNext/>
      </w:pPr>
      <w:r w:rsidRPr="008752C6">
        <w:t>Inkomster i statens budget</w:t>
      </w:r>
    </w:p>
    <w:p w:rsidRPr="008752C6" w:rsidR="00FF2DF6" w:rsidP="008752C6" w:rsidRDefault="00FF2DF6" w14:paraId="47917020" w14:textId="4C90B6B3">
      <w:pPr>
        <w:pStyle w:val="Tabellunderrubrik"/>
      </w:pPr>
      <w:r w:rsidRPr="008752C6">
        <w:t>Miljoner kronor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B7451" w:rsidR="00FF2DF6" w:rsidTr="00FF2DF6" w14:paraId="45BD070A"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B7451" w:rsidR="00FF2DF6" w:rsidP="00FF2DF6" w:rsidRDefault="00FF2DF6" w14:paraId="3187676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32958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2DB55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21EAB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76829D67"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7FC3E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Direkta skatter på arbete</w:t>
            </w:r>
          </w:p>
        </w:tc>
        <w:tc>
          <w:tcPr>
            <w:tcW w:w="1134" w:type="dxa"/>
            <w:shd w:val="clear" w:color="auto" w:fill="FFFFFF"/>
            <w:tcMar>
              <w:top w:w="68" w:type="dxa"/>
              <w:left w:w="28" w:type="dxa"/>
              <w:bottom w:w="0" w:type="dxa"/>
              <w:right w:w="28" w:type="dxa"/>
            </w:tcMar>
            <w:hideMark/>
          </w:tcPr>
          <w:p w:rsidRPr="006B7451" w:rsidR="00FF2DF6" w:rsidP="00FF2DF6" w:rsidRDefault="00FF2DF6" w14:paraId="1AAD7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−11 223</w:t>
            </w:r>
          </w:p>
        </w:tc>
        <w:tc>
          <w:tcPr>
            <w:tcW w:w="1134" w:type="dxa"/>
            <w:shd w:val="clear" w:color="auto" w:fill="FFFFFF"/>
            <w:tcMar>
              <w:top w:w="68" w:type="dxa"/>
              <w:left w:w="28" w:type="dxa"/>
              <w:bottom w:w="0" w:type="dxa"/>
              <w:right w:w="28" w:type="dxa"/>
            </w:tcMar>
            <w:hideMark/>
          </w:tcPr>
          <w:p w:rsidRPr="006B7451" w:rsidR="00FF2DF6" w:rsidP="00FF2DF6" w:rsidRDefault="00FF2DF6" w14:paraId="0B8C5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−10 722</w:t>
            </w:r>
          </w:p>
        </w:tc>
        <w:tc>
          <w:tcPr>
            <w:tcW w:w="1134" w:type="dxa"/>
            <w:shd w:val="clear" w:color="auto" w:fill="FFFFFF"/>
            <w:tcMar>
              <w:top w:w="68" w:type="dxa"/>
              <w:left w:w="28" w:type="dxa"/>
              <w:bottom w:w="0" w:type="dxa"/>
              <w:right w:w="28" w:type="dxa"/>
            </w:tcMar>
            <w:hideMark/>
          </w:tcPr>
          <w:p w:rsidRPr="006B7451" w:rsidR="00FF2DF6" w:rsidP="00FF2DF6" w:rsidRDefault="00FF2DF6" w14:paraId="225D75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127 847</w:t>
            </w:r>
          </w:p>
        </w:tc>
      </w:tr>
      <w:tr w:rsidRPr="006B7451" w:rsidR="00FF2DF6" w:rsidTr="00FF2DF6" w14:paraId="51DBF55D"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0BDD6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Indirekta skatter på arbete</w:t>
            </w:r>
          </w:p>
        </w:tc>
        <w:tc>
          <w:tcPr>
            <w:tcW w:w="1134" w:type="dxa"/>
            <w:shd w:val="clear" w:color="auto" w:fill="FFFFFF"/>
            <w:tcMar>
              <w:top w:w="68" w:type="dxa"/>
              <w:left w:w="28" w:type="dxa"/>
              <w:bottom w:w="0" w:type="dxa"/>
              <w:right w:w="28" w:type="dxa"/>
            </w:tcMar>
            <w:hideMark/>
          </w:tcPr>
          <w:p w:rsidRPr="006B7451" w:rsidR="00FF2DF6" w:rsidP="00FF2DF6" w:rsidRDefault="00FF2DF6" w14:paraId="47A33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−482</w:t>
            </w:r>
          </w:p>
        </w:tc>
        <w:tc>
          <w:tcPr>
            <w:tcW w:w="1134" w:type="dxa"/>
            <w:shd w:val="clear" w:color="auto" w:fill="FFFFFF"/>
            <w:tcMar>
              <w:top w:w="68" w:type="dxa"/>
              <w:left w:w="28" w:type="dxa"/>
              <w:bottom w:w="0" w:type="dxa"/>
              <w:right w:w="28" w:type="dxa"/>
            </w:tcMar>
            <w:hideMark/>
          </w:tcPr>
          <w:p w:rsidRPr="006B7451" w:rsidR="00FF2DF6" w:rsidP="00FF2DF6" w:rsidRDefault="00FF2DF6" w14:paraId="5C7679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−645</w:t>
            </w:r>
          </w:p>
        </w:tc>
        <w:tc>
          <w:tcPr>
            <w:tcW w:w="1134" w:type="dxa"/>
            <w:shd w:val="clear" w:color="auto" w:fill="FFFFFF"/>
            <w:tcMar>
              <w:top w:w="68" w:type="dxa"/>
              <w:left w:w="28" w:type="dxa"/>
              <w:bottom w:w="0" w:type="dxa"/>
              <w:right w:w="28" w:type="dxa"/>
            </w:tcMar>
            <w:hideMark/>
          </w:tcPr>
          <w:p w:rsidRPr="006B7451" w:rsidR="00FF2DF6" w:rsidP="00FF2DF6" w:rsidRDefault="00FF2DF6" w14:paraId="48286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−164 542</w:t>
            </w:r>
          </w:p>
        </w:tc>
      </w:tr>
      <w:tr w:rsidRPr="006B7451" w:rsidR="00FF2DF6" w:rsidTr="00FF2DF6" w14:paraId="49702CAB"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7E60D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Skatt på kapital</w:t>
            </w:r>
          </w:p>
        </w:tc>
        <w:tc>
          <w:tcPr>
            <w:tcW w:w="1134" w:type="dxa"/>
            <w:shd w:val="clear" w:color="auto" w:fill="FFFFFF"/>
            <w:tcMar>
              <w:top w:w="68" w:type="dxa"/>
              <w:left w:w="28" w:type="dxa"/>
              <w:bottom w:w="0" w:type="dxa"/>
              <w:right w:w="28" w:type="dxa"/>
            </w:tcMar>
            <w:hideMark/>
          </w:tcPr>
          <w:p w:rsidRPr="006B7451" w:rsidR="00FF2DF6" w:rsidP="00FF2DF6" w:rsidRDefault="00FF2DF6" w14:paraId="640A9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−250</w:t>
            </w:r>
          </w:p>
        </w:tc>
        <w:tc>
          <w:tcPr>
            <w:tcW w:w="1134" w:type="dxa"/>
            <w:shd w:val="clear" w:color="auto" w:fill="FFFFFF"/>
            <w:tcMar>
              <w:top w:w="68" w:type="dxa"/>
              <w:left w:w="28" w:type="dxa"/>
              <w:bottom w:w="0" w:type="dxa"/>
              <w:right w:w="28" w:type="dxa"/>
            </w:tcMar>
            <w:hideMark/>
          </w:tcPr>
          <w:p w:rsidRPr="006B7451" w:rsidR="00FF2DF6" w:rsidP="00FF2DF6" w:rsidRDefault="00FF2DF6" w14:paraId="05B44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−2 190</w:t>
            </w:r>
          </w:p>
        </w:tc>
        <w:tc>
          <w:tcPr>
            <w:tcW w:w="1134" w:type="dxa"/>
            <w:shd w:val="clear" w:color="auto" w:fill="FFFFFF"/>
            <w:tcMar>
              <w:top w:w="68" w:type="dxa"/>
              <w:left w:w="28" w:type="dxa"/>
              <w:bottom w:w="0" w:type="dxa"/>
              <w:right w:w="28" w:type="dxa"/>
            </w:tcMar>
            <w:hideMark/>
          </w:tcPr>
          <w:p w:rsidRPr="006B7451" w:rsidR="00FF2DF6" w:rsidP="00FF2DF6" w:rsidRDefault="00FF2DF6" w14:paraId="70C4D0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−1 290</w:t>
            </w:r>
          </w:p>
        </w:tc>
      </w:tr>
      <w:tr w:rsidRPr="006B7451" w:rsidR="00FF2DF6" w:rsidTr="00FF2DF6" w14:paraId="1F43F00E"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6F6E71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Skatt på konsumtion och insatsvaror</w:t>
            </w:r>
          </w:p>
        </w:tc>
        <w:tc>
          <w:tcPr>
            <w:tcW w:w="1134" w:type="dxa"/>
            <w:shd w:val="clear" w:color="auto" w:fill="FFFFFF"/>
            <w:tcMar>
              <w:top w:w="68" w:type="dxa"/>
              <w:left w:w="28" w:type="dxa"/>
              <w:bottom w:w="0" w:type="dxa"/>
              <w:right w:w="28" w:type="dxa"/>
            </w:tcMar>
            <w:hideMark/>
          </w:tcPr>
          <w:p w:rsidRPr="006B7451" w:rsidR="00FF2DF6" w:rsidP="00FF2DF6" w:rsidRDefault="00FF2DF6" w14:paraId="7AF27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−6 112</w:t>
            </w:r>
          </w:p>
        </w:tc>
        <w:tc>
          <w:tcPr>
            <w:tcW w:w="1134" w:type="dxa"/>
            <w:shd w:val="clear" w:color="auto" w:fill="FFFFFF"/>
            <w:tcMar>
              <w:top w:w="68" w:type="dxa"/>
              <w:left w:w="28" w:type="dxa"/>
              <w:bottom w:w="0" w:type="dxa"/>
              <w:right w:w="28" w:type="dxa"/>
            </w:tcMar>
            <w:hideMark/>
          </w:tcPr>
          <w:p w:rsidRPr="006B7451" w:rsidR="00FF2DF6" w:rsidP="00FF2DF6" w:rsidRDefault="00FF2DF6" w14:paraId="43087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−9 237</w:t>
            </w:r>
          </w:p>
        </w:tc>
        <w:tc>
          <w:tcPr>
            <w:tcW w:w="1134" w:type="dxa"/>
            <w:shd w:val="clear" w:color="auto" w:fill="FFFFFF"/>
            <w:tcMar>
              <w:top w:w="68" w:type="dxa"/>
              <w:left w:w="28" w:type="dxa"/>
              <w:bottom w:w="0" w:type="dxa"/>
              <w:right w:w="28" w:type="dxa"/>
            </w:tcMar>
            <w:hideMark/>
          </w:tcPr>
          <w:p w:rsidRPr="006B7451" w:rsidR="00FF2DF6" w:rsidP="00FF2DF6" w:rsidRDefault="00FF2DF6" w14:paraId="37930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−122</w:t>
            </w:r>
          </w:p>
        </w:tc>
      </w:tr>
      <w:tr w:rsidRPr="006B7451" w:rsidR="00FF2DF6" w:rsidTr="00FF2DF6" w14:paraId="39940692"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0C5CF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134" w:type="dxa"/>
            <w:shd w:val="clear" w:color="auto" w:fill="FFFFFF"/>
            <w:tcMar>
              <w:top w:w="68" w:type="dxa"/>
              <w:left w:w="28" w:type="dxa"/>
              <w:bottom w:w="0" w:type="dxa"/>
              <w:right w:w="28" w:type="dxa"/>
            </w:tcMar>
            <w:hideMark/>
          </w:tcPr>
          <w:p w:rsidRPr="006B7451" w:rsidR="00FF2DF6" w:rsidP="00FF2DF6" w:rsidRDefault="00FF2DF6" w14:paraId="663533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−18 042</w:t>
            </w:r>
          </w:p>
        </w:tc>
        <w:tc>
          <w:tcPr>
            <w:tcW w:w="1134" w:type="dxa"/>
            <w:shd w:val="clear" w:color="auto" w:fill="FFFFFF"/>
            <w:tcMar>
              <w:top w:w="68" w:type="dxa"/>
              <w:left w:w="28" w:type="dxa"/>
              <w:bottom w:w="0" w:type="dxa"/>
              <w:right w:w="28" w:type="dxa"/>
            </w:tcMar>
            <w:hideMark/>
          </w:tcPr>
          <w:p w:rsidRPr="006B7451" w:rsidR="00FF2DF6" w:rsidP="00FF2DF6" w:rsidRDefault="00FF2DF6" w14:paraId="21FD0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−22 769</w:t>
            </w:r>
          </w:p>
        </w:tc>
        <w:tc>
          <w:tcPr>
            <w:tcW w:w="1134" w:type="dxa"/>
            <w:shd w:val="clear" w:color="auto" w:fill="FFFFFF"/>
            <w:tcMar>
              <w:top w:w="68" w:type="dxa"/>
              <w:left w:w="28" w:type="dxa"/>
              <w:bottom w:w="0" w:type="dxa"/>
              <w:right w:w="28" w:type="dxa"/>
            </w:tcMar>
            <w:hideMark/>
          </w:tcPr>
          <w:p w:rsidRPr="006B7451" w:rsidR="00FF2DF6" w:rsidP="00FF2DF6" w:rsidRDefault="00FF2DF6" w14:paraId="03038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−38 082</w:t>
            </w:r>
          </w:p>
        </w:tc>
      </w:tr>
      <w:tr w:rsidRPr="006B7451" w:rsidR="00FF2DF6" w:rsidTr="00FF2DF6" w14:paraId="0982BE45"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ECCE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161D47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avgår skatter till andra sektorer</w:t>
            </w:r>
          </w:p>
        </w:tc>
        <w:tc>
          <w:tcPr>
            <w:tcW w:w="1134" w:type="dxa"/>
            <w:shd w:val="clear" w:color="auto" w:fill="FFFFFF"/>
            <w:tcMar>
              <w:top w:w="68" w:type="dxa"/>
              <w:left w:w="28" w:type="dxa"/>
              <w:bottom w:w="0" w:type="dxa"/>
              <w:right w:w="28" w:type="dxa"/>
            </w:tcMar>
            <w:hideMark/>
          </w:tcPr>
          <w:p w:rsidRPr="006B7451" w:rsidR="00FF2DF6" w:rsidP="00FF2DF6" w:rsidRDefault="00FF2DF6" w14:paraId="7C570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1 437</w:t>
            </w:r>
          </w:p>
        </w:tc>
        <w:tc>
          <w:tcPr>
            <w:tcW w:w="1134" w:type="dxa"/>
            <w:shd w:val="clear" w:color="auto" w:fill="FFFFFF"/>
            <w:tcMar>
              <w:top w:w="68" w:type="dxa"/>
              <w:left w:w="28" w:type="dxa"/>
              <w:bottom w:w="0" w:type="dxa"/>
              <w:right w:w="28" w:type="dxa"/>
            </w:tcMar>
            <w:hideMark/>
          </w:tcPr>
          <w:p w:rsidRPr="006B7451" w:rsidR="00FF2DF6" w:rsidP="00FF2DF6" w:rsidRDefault="00FF2DF6" w14:paraId="3284D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597</w:t>
            </w:r>
          </w:p>
        </w:tc>
        <w:tc>
          <w:tcPr>
            <w:tcW w:w="1134" w:type="dxa"/>
            <w:shd w:val="clear" w:color="auto" w:fill="FFFFFF"/>
            <w:tcMar>
              <w:top w:w="68" w:type="dxa"/>
              <w:left w:w="28" w:type="dxa"/>
              <w:bottom w:w="0" w:type="dxa"/>
              <w:right w:w="28" w:type="dxa"/>
            </w:tcMar>
            <w:hideMark/>
          </w:tcPr>
          <w:p w:rsidRPr="006B7451" w:rsidR="00FF2DF6" w:rsidP="00FF2DF6" w:rsidRDefault="00FF2DF6" w14:paraId="2E262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361</w:t>
            </w:r>
          </w:p>
        </w:tc>
      </w:tr>
      <w:tr w:rsidRPr="006B7451" w:rsidR="00FF2DF6" w:rsidTr="00FF2DF6" w14:paraId="67CEA102"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77CA1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Statens skatteintäkter</w:t>
            </w:r>
          </w:p>
        </w:tc>
        <w:tc>
          <w:tcPr>
            <w:tcW w:w="1134" w:type="dxa"/>
            <w:shd w:val="clear" w:color="auto" w:fill="FFFFFF"/>
            <w:tcMar>
              <w:top w:w="68" w:type="dxa"/>
              <w:left w:w="28" w:type="dxa"/>
              <w:bottom w:w="0" w:type="dxa"/>
              <w:right w:w="28" w:type="dxa"/>
            </w:tcMar>
            <w:hideMark/>
          </w:tcPr>
          <w:p w:rsidRPr="006B7451" w:rsidR="00FF2DF6" w:rsidP="00FF2DF6" w:rsidRDefault="00FF2DF6" w14:paraId="1EB2A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−16 605</w:t>
            </w:r>
          </w:p>
        </w:tc>
        <w:tc>
          <w:tcPr>
            <w:tcW w:w="1134" w:type="dxa"/>
            <w:shd w:val="clear" w:color="auto" w:fill="FFFFFF"/>
            <w:tcMar>
              <w:top w:w="68" w:type="dxa"/>
              <w:left w:w="28" w:type="dxa"/>
              <w:bottom w:w="0" w:type="dxa"/>
              <w:right w:w="28" w:type="dxa"/>
            </w:tcMar>
            <w:hideMark/>
          </w:tcPr>
          <w:p w:rsidRPr="006B7451" w:rsidR="00FF2DF6" w:rsidP="00FF2DF6" w:rsidRDefault="00FF2DF6" w14:paraId="47A81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−22 172</w:t>
            </w:r>
          </w:p>
        </w:tc>
        <w:tc>
          <w:tcPr>
            <w:tcW w:w="1134" w:type="dxa"/>
            <w:shd w:val="clear" w:color="auto" w:fill="FFFFFF"/>
            <w:tcMar>
              <w:top w:w="68" w:type="dxa"/>
              <w:left w:w="28" w:type="dxa"/>
              <w:bottom w:w="0" w:type="dxa"/>
              <w:right w:w="28" w:type="dxa"/>
            </w:tcMar>
            <w:hideMark/>
          </w:tcPr>
          <w:p w:rsidRPr="006B7451" w:rsidR="00FF2DF6" w:rsidP="00FF2DF6" w:rsidRDefault="00FF2DF6" w14:paraId="177B1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−37 721</w:t>
            </w:r>
          </w:p>
        </w:tc>
      </w:tr>
      <w:tr w:rsidRPr="006B7451" w:rsidR="00FF2DF6" w:rsidTr="00FF2DF6" w14:paraId="733443B7"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7D03A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Periodiseringar</w:t>
            </w:r>
          </w:p>
        </w:tc>
        <w:tc>
          <w:tcPr>
            <w:tcW w:w="1134" w:type="dxa"/>
            <w:shd w:val="clear" w:color="auto" w:fill="FFFFFF"/>
            <w:tcMar>
              <w:top w:w="68" w:type="dxa"/>
              <w:left w:w="28" w:type="dxa"/>
              <w:bottom w:w="0" w:type="dxa"/>
              <w:right w:w="28" w:type="dxa"/>
            </w:tcMar>
            <w:hideMark/>
          </w:tcPr>
          <w:p w:rsidRPr="006B7451" w:rsidR="00FF2DF6" w:rsidP="00FF2DF6" w:rsidRDefault="00FF2DF6" w14:paraId="0FE32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1767B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00D12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6FDFC9D"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3716A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Statens skatteinkomster</w:t>
            </w:r>
          </w:p>
        </w:tc>
        <w:tc>
          <w:tcPr>
            <w:tcW w:w="1134" w:type="dxa"/>
            <w:shd w:val="clear" w:color="auto" w:fill="FFFFFF"/>
            <w:tcMar>
              <w:top w:w="68" w:type="dxa"/>
              <w:left w:w="28" w:type="dxa"/>
              <w:bottom w:w="0" w:type="dxa"/>
              <w:right w:w="28" w:type="dxa"/>
            </w:tcMar>
            <w:hideMark/>
          </w:tcPr>
          <w:p w:rsidRPr="006B7451" w:rsidR="00FF2DF6" w:rsidP="00FF2DF6" w:rsidRDefault="00FF2DF6" w14:paraId="7BBD77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−16 605</w:t>
            </w:r>
          </w:p>
        </w:tc>
        <w:tc>
          <w:tcPr>
            <w:tcW w:w="1134" w:type="dxa"/>
            <w:shd w:val="clear" w:color="auto" w:fill="FFFFFF"/>
            <w:tcMar>
              <w:top w:w="68" w:type="dxa"/>
              <w:left w:w="28" w:type="dxa"/>
              <w:bottom w:w="0" w:type="dxa"/>
              <w:right w:w="28" w:type="dxa"/>
            </w:tcMar>
            <w:hideMark/>
          </w:tcPr>
          <w:p w:rsidRPr="006B7451" w:rsidR="00FF2DF6" w:rsidP="00FF2DF6" w:rsidRDefault="00FF2DF6" w14:paraId="2EA075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−22 172</w:t>
            </w:r>
          </w:p>
        </w:tc>
        <w:tc>
          <w:tcPr>
            <w:tcW w:w="1134" w:type="dxa"/>
            <w:shd w:val="clear" w:color="auto" w:fill="FFFFFF"/>
            <w:tcMar>
              <w:top w:w="68" w:type="dxa"/>
              <w:left w:w="28" w:type="dxa"/>
              <w:bottom w:w="0" w:type="dxa"/>
              <w:right w:w="28" w:type="dxa"/>
            </w:tcMar>
            <w:hideMark/>
          </w:tcPr>
          <w:p w:rsidRPr="006B7451" w:rsidR="00FF2DF6" w:rsidP="00FF2DF6" w:rsidRDefault="00FF2DF6" w14:paraId="5CCF4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−37 721</w:t>
            </w:r>
          </w:p>
        </w:tc>
      </w:tr>
      <w:tr w:rsidRPr="006B7451" w:rsidR="00FF2DF6" w:rsidTr="00FF2DF6" w14:paraId="24C2E84E"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28D0C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Övriga inkomster</w:t>
            </w:r>
          </w:p>
        </w:tc>
        <w:tc>
          <w:tcPr>
            <w:tcW w:w="1134" w:type="dxa"/>
            <w:shd w:val="clear" w:color="auto" w:fill="FFFFFF"/>
            <w:tcMar>
              <w:top w:w="68" w:type="dxa"/>
              <w:left w:w="28" w:type="dxa"/>
              <w:bottom w:w="0" w:type="dxa"/>
              <w:right w:w="28" w:type="dxa"/>
            </w:tcMar>
            <w:hideMark/>
          </w:tcPr>
          <w:p w:rsidRPr="006B7451" w:rsidR="00FF2DF6" w:rsidP="00FF2DF6" w:rsidRDefault="00FF2DF6" w14:paraId="6C4B22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2 300</w:t>
            </w:r>
          </w:p>
        </w:tc>
        <w:tc>
          <w:tcPr>
            <w:tcW w:w="1134" w:type="dxa"/>
            <w:shd w:val="clear" w:color="auto" w:fill="FFFFFF"/>
            <w:tcMar>
              <w:top w:w="68" w:type="dxa"/>
              <w:left w:w="28" w:type="dxa"/>
              <w:bottom w:w="0" w:type="dxa"/>
              <w:right w:w="28" w:type="dxa"/>
            </w:tcMar>
            <w:hideMark/>
          </w:tcPr>
          <w:p w:rsidRPr="006B7451" w:rsidR="00FF2DF6" w:rsidP="00FF2DF6" w:rsidRDefault="00FF2DF6" w14:paraId="1965A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−1 670</w:t>
            </w:r>
          </w:p>
        </w:tc>
        <w:tc>
          <w:tcPr>
            <w:tcW w:w="1134" w:type="dxa"/>
            <w:shd w:val="clear" w:color="auto" w:fill="FFFFFF"/>
            <w:tcMar>
              <w:top w:w="68" w:type="dxa"/>
              <w:left w:w="28" w:type="dxa"/>
              <w:bottom w:w="0" w:type="dxa"/>
              <w:right w:w="28" w:type="dxa"/>
            </w:tcMar>
            <w:hideMark/>
          </w:tcPr>
          <w:p w:rsidRPr="006B7451" w:rsidR="00FF2DF6" w:rsidP="00FF2DF6" w:rsidRDefault="00FF2DF6" w14:paraId="6B869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−1 660</w:t>
            </w:r>
          </w:p>
        </w:tc>
      </w:tr>
      <w:tr w:rsidRPr="006B7451" w:rsidR="00FF2DF6" w:rsidTr="00FF2DF6" w14:paraId="58008EA0"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B7451" w:rsidR="00FF2DF6" w:rsidP="00FF2DF6" w:rsidRDefault="00FF2DF6" w14:paraId="6456C8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0656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−14 305</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DA28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−23 842</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E32A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−39 381</w:t>
            </w:r>
          </w:p>
        </w:tc>
      </w:tr>
    </w:tbl>
    <w:p w:rsidRPr="006B7451" w:rsidR="008A7FDF" w:rsidP="00ED5D60" w:rsidRDefault="008A7FDF" w14:paraId="4638ABFA" w14:textId="63F8C594">
      <w:pPr>
        <w:pStyle w:val="Rubrik2numrerat"/>
      </w:pPr>
      <w:bookmarkStart w:name="_Toc121752712" w:id="208"/>
      <w:r w:rsidRPr="006B7451">
        <w:t>Statsbudgetens saldo och statsskuld</w:t>
      </w:r>
      <w:bookmarkEnd w:id="208"/>
    </w:p>
    <w:p w:rsidRPr="008752C6" w:rsidR="00FF2DF6" w:rsidP="00252BBF" w:rsidRDefault="00FF2DF6" w14:paraId="163B576E" w14:textId="77777777">
      <w:pPr>
        <w:pStyle w:val="Tabellrubrik"/>
        <w:keepNext/>
      </w:pPr>
      <w:r w:rsidRPr="008752C6">
        <w:t>Statens budgetsaldo och statsskulden</w:t>
      </w:r>
    </w:p>
    <w:p w:rsidRPr="008752C6" w:rsidR="00FF2DF6" w:rsidP="008752C6" w:rsidRDefault="00FF2DF6" w14:paraId="7D95E09D" w14:textId="18F185C6">
      <w:pPr>
        <w:pStyle w:val="Tabellunderrubrik"/>
      </w:pPr>
      <w:r w:rsidRPr="008752C6">
        <w:t>Miljoner kronor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B7451" w:rsidR="00FF2DF6" w:rsidTr="00FF2DF6" w14:paraId="54EF054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B7451" w:rsidR="00FF2DF6" w:rsidP="00FF2DF6" w:rsidRDefault="00FF2DF6" w14:paraId="79D6D61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1DF9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3AD42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89A5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2684DC7B"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70AAF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Inkomster i statens budget</w:t>
            </w:r>
          </w:p>
        </w:tc>
        <w:tc>
          <w:tcPr>
            <w:tcW w:w="1134" w:type="dxa"/>
            <w:shd w:val="clear" w:color="auto" w:fill="FFFFFF"/>
            <w:tcMar>
              <w:top w:w="68" w:type="dxa"/>
              <w:left w:w="28" w:type="dxa"/>
              <w:bottom w:w="0" w:type="dxa"/>
              <w:right w:w="28" w:type="dxa"/>
            </w:tcMar>
            <w:hideMark/>
          </w:tcPr>
          <w:p w:rsidRPr="006B7451" w:rsidR="00FF2DF6" w:rsidP="00FF2DF6" w:rsidRDefault="00FF2DF6" w14:paraId="6A428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−14 305</w:t>
            </w:r>
          </w:p>
        </w:tc>
        <w:tc>
          <w:tcPr>
            <w:tcW w:w="1134" w:type="dxa"/>
            <w:shd w:val="clear" w:color="auto" w:fill="FFFFFF"/>
            <w:tcMar>
              <w:top w:w="68" w:type="dxa"/>
              <w:left w:w="28" w:type="dxa"/>
              <w:bottom w:w="0" w:type="dxa"/>
              <w:right w:w="28" w:type="dxa"/>
            </w:tcMar>
            <w:hideMark/>
          </w:tcPr>
          <w:p w:rsidRPr="006B7451" w:rsidR="00FF2DF6" w:rsidP="00FF2DF6" w:rsidRDefault="00FF2DF6" w14:paraId="153D7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−23 842</w:t>
            </w:r>
          </w:p>
        </w:tc>
        <w:tc>
          <w:tcPr>
            <w:tcW w:w="1134" w:type="dxa"/>
            <w:shd w:val="clear" w:color="auto" w:fill="FFFFFF"/>
            <w:tcMar>
              <w:top w:w="68" w:type="dxa"/>
              <w:left w:w="28" w:type="dxa"/>
              <w:bottom w:w="0" w:type="dxa"/>
              <w:right w:w="28" w:type="dxa"/>
            </w:tcMar>
            <w:hideMark/>
          </w:tcPr>
          <w:p w:rsidRPr="006B7451" w:rsidR="00FF2DF6" w:rsidP="00FF2DF6" w:rsidRDefault="00FF2DF6" w14:paraId="71E98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−39 381</w:t>
            </w:r>
          </w:p>
        </w:tc>
      </w:tr>
      <w:tr w:rsidRPr="006B7451" w:rsidR="00FF2DF6" w:rsidTr="00FF2DF6" w14:paraId="0E3C603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20B2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11D11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därav inkomster av försåld egendom</w:t>
            </w:r>
          </w:p>
        </w:tc>
        <w:tc>
          <w:tcPr>
            <w:tcW w:w="1134" w:type="dxa"/>
            <w:shd w:val="clear" w:color="auto" w:fill="FFFFFF"/>
            <w:tcMar>
              <w:top w:w="68" w:type="dxa"/>
              <w:left w:w="28" w:type="dxa"/>
              <w:bottom w:w="0" w:type="dxa"/>
              <w:right w:w="28" w:type="dxa"/>
            </w:tcMar>
            <w:hideMark/>
          </w:tcPr>
          <w:p w:rsidRPr="006B7451" w:rsidR="00FF2DF6" w:rsidP="00FF2DF6" w:rsidRDefault="00FF2DF6" w14:paraId="1D6D2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00A93E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7C9A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AC0842C"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3D448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Utgifter i statens budget</w:t>
            </w:r>
          </w:p>
        </w:tc>
        <w:tc>
          <w:tcPr>
            <w:tcW w:w="1134" w:type="dxa"/>
            <w:shd w:val="clear" w:color="auto" w:fill="FFFFFF"/>
            <w:tcMar>
              <w:top w:w="68" w:type="dxa"/>
              <w:left w:w="28" w:type="dxa"/>
              <w:bottom w:w="0" w:type="dxa"/>
              <w:right w:w="28" w:type="dxa"/>
            </w:tcMar>
            <w:hideMark/>
          </w:tcPr>
          <w:p w:rsidRPr="006B7451" w:rsidR="00FF2DF6" w:rsidP="00FF2DF6" w:rsidRDefault="00FF2DF6" w14:paraId="08CB5005" w14:textId="27A9B0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−18 57</w:t>
            </w:r>
            <w:r w:rsidR="00CB2DB0">
              <w:rPr>
                <w:rFonts w:ascii="Times New Roman" w:hAnsi="Times New Roman" w:eastAsia="Times New Roman" w:cs="Times New Roman"/>
                <w:b/>
                <w:bCs/>
                <w:color w:val="000000"/>
                <w:kern w:val="0"/>
                <w:sz w:val="20"/>
                <w:szCs w:val="20"/>
                <w:lang w:eastAsia="sv-SE"/>
                <w14:numSpacing w14:val="default"/>
              </w:rPr>
              <w:t>3</w:t>
            </w:r>
          </w:p>
        </w:tc>
        <w:tc>
          <w:tcPr>
            <w:tcW w:w="1134" w:type="dxa"/>
            <w:shd w:val="clear" w:color="auto" w:fill="FFFFFF"/>
            <w:tcMar>
              <w:top w:w="68" w:type="dxa"/>
              <w:left w:w="28" w:type="dxa"/>
              <w:bottom w:w="0" w:type="dxa"/>
              <w:right w:w="28" w:type="dxa"/>
            </w:tcMar>
            <w:hideMark/>
          </w:tcPr>
          <w:p w:rsidRPr="006B7451" w:rsidR="00FF2DF6" w:rsidP="00FF2DF6" w:rsidRDefault="00FF2DF6" w14:paraId="7AC99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−25 542</w:t>
            </w:r>
          </w:p>
        </w:tc>
        <w:tc>
          <w:tcPr>
            <w:tcW w:w="1134" w:type="dxa"/>
            <w:shd w:val="clear" w:color="auto" w:fill="FFFFFF"/>
            <w:tcMar>
              <w:top w:w="68" w:type="dxa"/>
              <w:left w:w="28" w:type="dxa"/>
              <w:bottom w:w="0" w:type="dxa"/>
              <w:right w:w="28" w:type="dxa"/>
            </w:tcMar>
            <w:hideMark/>
          </w:tcPr>
          <w:p w:rsidRPr="006B7451" w:rsidR="00FF2DF6" w:rsidP="00FF2DF6" w:rsidRDefault="00FF2DF6" w14:paraId="22CC8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−32 606</w:t>
            </w:r>
          </w:p>
        </w:tc>
      </w:tr>
      <w:tr w:rsidRPr="006B7451" w:rsidR="00FF2DF6" w:rsidTr="00FF2DF6" w14:paraId="407E47E9"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69B5A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70FD5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därav statsskuldsräntor</w:t>
            </w:r>
          </w:p>
        </w:tc>
        <w:tc>
          <w:tcPr>
            <w:tcW w:w="1134" w:type="dxa"/>
            <w:shd w:val="clear" w:color="auto" w:fill="FFFFFF"/>
            <w:tcMar>
              <w:top w:w="68" w:type="dxa"/>
              <w:left w:w="28" w:type="dxa"/>
              <w:bottom w:w="0" w:type="dxa"/>
              <w:right w:w="28" w:type="dxa"/>
            </w:tcMar>
            <w:hideMark/>
          </w:tcPr>
          <w:p w:rsidRPr="006B7451" w:rsidR="00FF2DF6" w:rsidP="00FF2DF6" w:rsidRDefault="00FF2DF6" w14:paraId="418F4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3172A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15F05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6B58B4D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7999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69BAB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Riksgäldskontorets nettoutlåning</w:t>
            </w:r>
          </w:p>
        </w:tc>
        <w:tc>
          <w:tcPr>
            <w:tcW w:w="1134" w:type="dxa"/>
            <w:shd w:val="clear" w:color="auto" w:fill="FFFFFF"/>
            <w:tcMar>
              <w:top w:w="68" w:type="dxa"/>
              <w:left w:w="28" w:type="dxa"/>
              <w:bottom w:w="0" w:type="dxa"/>
              <w:right w:w="28" w:type="dxa"/>
            </w:tcMar>
            <w:hideMark/>
          </w:tcPr>
          <w:p w:rsidRPr="006B7451" w:rsidR="00FF2DF6" w:rsidP="00FF2DF6" w:rsidRDefault="00FF2DF6" w14:paraId="3A6CA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6468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0A39E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8B6A8C6"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451E9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410F0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Kassamässig korrigering</w:t>
            </w:r>
          </w:p>
        </w:tc>
        <w:tc>
          <w:tcPr>
            <w:tcW w:w="1134" w:type="dxa"/>
            <w:shd w:val="clear" w:color="auto" w:fill="FFFFFF"/>
            <w:tcMar>
              <w:top w:w="68" w:type="dxa"/>
              <w:left w:w="28" w:type="dxa"/>
              <w:bottom w:w="0" w:type="dxa"/>
              <w:right w:w="28" w:type="dxa"/>
            </w:tcMar>
            <w:hideMark/>
          </w:tcPr>
          <w:p w:rsidRPr="006B7451" w:rsidR="00FF2DF6" w:rsidP="00FF2DF6" w:rsidRDefault="00FF2DF6" w14:paraId="780BF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DAD2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7ABE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317599" w14:paraId="33D429E7"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32757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Statens budgetsaldo</w:t>
            </w:r>
          </w:p>
        </w:tc>
        <w:tc>
          <w:tcPr>
            <w:tcW w:w="1134" w:type="dxa"/>
            <w:shd w:val="clear" w:color="auto" w:fill="FFFFFF"/>
            <w:tcMar>
              <w:top w:w="68" w:type="dxa"/>
              <w:left w:w="28" w:type="dxa"/>
              <w:bottom w:w="0" w:type="dxa"/>
              <w:right w:w="28" w:type="dxa"/>
            </w:tcMar>
            <w:hideMark/>
          </w:tcPr>
          <w:p w:rsidRPr="006B7451" w:rsidR="00FF2DF6" w:rsidP="00FF2DF6" w:rsidRDefault="00FF2DF6" w14:paraId="5FC47328" w14:textId="521D59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4 2</w:t>
            </w:r>
            <w:r w:rsidR="00CB2DB0">
              <w:rPr>
                <w:rFonts w:ascii="Times New Roman" w:hAnsi="Times New Roman" w:eastAsia="Times New Roman" w:cs="Times New Roman"/>
                <w:b/>
                <w:bCs/>
                <w:color w:val="000000"/>
                <w:kern w:val="0"/>
                <w:sz w:val="20"/>
                <w:szCs w:val="20"/>
                <w:lang w:eastAsia="sv-SE"/>
                <w14:numSpacing w14:val="default"/>
              </w:rPr>
              <w:t>68</w:t>
            </w:r>
          </w:p>
        </w:tc>
        <w:tc>
          <w:tcPr>
            <w:tcW w:w="1134" w:type="dxa"/>
            <w:shd w:val="clear" w:color="auto" w:fill="FFFFFF"/>
            <w:tcMar>
              <w:top w:w="68" w:type="dxa"/>
              <w:left w:w="28" w:type="dxa"/>
              <w:bottom w:w="0" w:type="dxa"/>
              <w:right w:w="28" w:type="dxa"/>
            </w:tcMar>
            <w:hideMark/>
          </w:tcPr>
          <w:p w:rsidRPr="006B7451" w:rsidR="00FF2DF6" w:rsidP="00FF2DF6" w:rsidRDefault="00FF2DF6" w14:paraId="0E829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1 700</w:t>
            </w:r>
          </w:p>
        </w:tc>
        <w:tc>
          <w:tcPr>
            <w:tcW w:w="1134" w:type="dxa"/>
            <w:shd w:val="clear" w:color="auto" w:fill="FFFFFF"/>
            <w:tcMar>
              <w:top w:w="68" w:type="dxa"/>
              <w:left w:w="28" w:type="dxa"/>
              <w:bottom w:w="0" w:type="dxa"/>
              <w:right w:w="28" w:type="dxa"/>
            </w:tcMar>
            <w:hideMark/>
          </w:tcPr>
          <w:p w:rsidRPr="006B7451" w:rsidR="00FF2DF6" w:rsidP="00FF2DF6" w:rsidRDefault="00FF2DF6" w14:paraId="441D51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−6 775</w:t>
            </w:r>
          </w:p>
        </w:tc>
      </w:tr>
      <w:tr w:rsidRPr="006B7451" w:rsidR="00FF2DF6" w:rsidTr="00317599" w14:paraId="02602746" w14:textId="77777777">
        <w:trPr>
          <w:trHeight w:val="170"/>
        </w:trPr>
        <w:tc>
          <w:tcPr>
            <w:tcW w:w="4139" w:type="dxa"/>
            <w:gridSpan w:val="2"/>
            <w:tcBorders>
              <w:top w:val="nil"/>
              <w:left w:val="nil"/>
              <w:bottom w:val="single" w:color="auto" w:sz="4" w:space="0"/>
              <w:right w:val="nil"/>
            </w:tcBorders>
            <w:shd w:val="clear" w:color="auto" w:fill="FFFFFF"/>
            <w:tcMar>
              <w:top w:w="68" w:type="dxa"/>
              <w:left w:w="75" w:type="dxa"/>
              <w:bottom w:w="20" w:type="dxa"/>
              <w:right w:w="85" w:type="dxa"/>
            </w:tcMar>
            <w:vAlign w:val="center"/>
            <w:hideMark/>
          </w:tcPr>
          <w:p w:rsidRPr="006B7451" w:rsidR="00FF2DF6" w:rsidP="00FF2DF6" w:rsidRDefault="00FF2DF6" w14:paraId="6D584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Statsskuld vid årets slut</w:t>
            </w:r>
          </w:p>
        </w:tc>
        <w:tc>
          <w:tcPr>
            <w:tcW w:w="1134"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6FF446C7" w14:textId="72010A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−4 2</w:t>
            </w:r>
            <w:r w:rsidR="00CB2DB0">
              <w:rPr>
                <w:rFonts w:ascii="Times New Roman" w:hAnsi="Times New Roman" w:eastAsia="Times New Roman" w:cs="Times New Roman"/>
                <w:b/>
                <w:bCs/>
                <w:color w:val="000000"/>
                <w:kern w:val="0"/>
                <w:sz w:val="20"/>
                <w:szCs w:val="20"/>
                <w:lang w:eastAsia="sv-SE"/>
                <w14:numSpacing w14:val="default"/>
              </w:rPr>
              <w:t>68</w:t>
            </w:r>
          </w:p>
        </w:tc>
        <w:tc>
          <w:tcPr>
            <w:tcW w:w="1134"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094C3868" w14:textId="7E6CEA6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−5 9</w:t>
            </w:r>
            <w:r w:rsidR="00CB2DB0">
              <w:rPr>
                <w:rFonts w:ascii="Times New Roman" w:hAnsi="Times New Roman" w:eastAsia="Times New Roman" w:cs="Times New Roman"/>
                <w:b/>
                <w:bCs/>
                <w:color w:val="000000"/>
                <w:kern w:val="0"/>
                <w:sz w:val="20"/>
                <w:szCs w:val="20"/>
                <w:lang w:eastAsia="sv-SE"/>
                <w14:numSpacing w14:val="default"/>
              </w:rPr>
              <w:t>68</w:t>
            </w:r>
          </w:p>
        </w:tc>
        <w:tc>
          <w:tcPr>
            <w:tcW w:w="1134"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4C1CA7DA" w14:textId="72496F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80</w:t>
            </w:r>
            <w:r w:rsidR="00CB2DB0">
              <w:rPr>
                <w:rFonts w:ascii="Times New Roman" w:hAnsi="Times New Roman" w:eastAsia="Times New Roman" w:cs="Times New Roman"/>
                <w:b/>
                <w:bCs/>
                <w:color w:val="000000"/>
                <w:kern w:val="0"/>
                <w:sz w:val="20"/>
                <w:szCs w:val="20"/>
                <w:lang w:eastAsia="sv-SE"/>
                <w14:numSpacing w14:val="default"/>
              </w:rPr>
              <w:t>7</w:t>
            </w:r>
          </w:p>
        </w:tc>
      </w:tr>
    </w:tbl>
    <w:p w:rsidRPr="006B7451" w:rsidR="00252BBF" w:rsidP="00252BBF" w:rsidRDefault="00252BBF" w14:paraId="05A6D5F3" w14:textId="77777777">
      <w:pPr>
        <w:pStyle w:val="Normalutanindragellerluft"/>
        <w:rPr>
          <w:rFonts w:eastAsia="Times New Roman"/>
          <w:lang w:eastAsia="sv-SE"/>
        </w:rPr>
      </w:pPr>
    </w:p>
    <w:p w:rsidR="00252BBF" w:rsidRDefault="00252BBF" w14:paraId="6C6A6CEB" w14:textId="1B68ED1D">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6B7451" w:rsidR="008A7FDF" w:rsidP="00ED5D60" w:rsidRDefault="008A7FDF" w14:paraId="3694386E" w14:textId="4A24D5F2">
      <w:pPr>
        <w:pStyle w:val="Rubrik2numrerat"/>
      </w:pPr>
      <w:bookmarkStart w:name="_Toc121752713" w:id="209"/>
      <w:r w:rsidRPr="006B7451">
        <w:lastRenderedPageBreak/>
        <w:t>Den offentliga sektorns finanser</w:t>
      </w:r>
      <w:bookmarkEnd w:id="209"/>
    </w:p>
    <w:p w:rsidRPr="008752C6" w:rsidR="00FF2DF6" w:rsidP="00252BBF" w:rsidRDefault="00FF2DF6" w14:paraId="3EEFAD3A" w14:textId="77777777">
      <w:pPr>
        <w:pStyle w:val="Tabellrubrik"/>
        <w:keepNext/>
      </w:pPr>
      <w:r w:rsidRPr="008752C6">
        <w:t>Den offentliga sektorns finanser</w:t>
      </w:r>
    </w:p>
    <w:p w:rsidRPr="00E4107B" w:rsidR="00FF2DF6" w:rsidP="00E4107B" w:rsidRDefault="00FF2DF6" w14:paraId="0BD55873" w14:textId="73C71665">
      <w:pPr>
        <w:pStyle w:val="Tabellunderrubrik"/>
      </w:pPr>
      <w:r w:rsidRPr="00E4107B">
        <w:t>Miljoner kronor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B7451" w:rsidR="00FF2DF6" w:rsidTr="00FF2DF6" w14:paraId="4C2A19D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B7451" w:rsidR="00FF2DF6" w:rsidP="00FF2DF6" w:rsidRDefault="00FF2DF6" w14:paraId="12AEF57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D0CA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8A4B3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1790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2421711D"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062F7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6B7451" w:rsidR="00FF2DF6" w:rsidP="00FF2DF6" w:rsidRDefault="00FF2DF6" w14:paraId="64FAE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−15 772</w:t>
            </w:r>
          </w:p>
        </w:tc>
        <w:tc>
          <w:tcPr>
            <w:tcW w:w="1134" w:type="dxa"/>
            <w:shd w:val="clear" w:color="auto" w:fill="FFFFFF"/>
            <w:tcMar>
              <w:top w:w="68" w:type="dxa"/>
              <w:left w:w="28" w:type="dxa"/>
              <w:bottom w:w="0" w:type="dxa"/>
              <w:right w:w="28" w:type="dxa"/>
            </w:tcMar>
            <w:hideMark/>
          </w:tcPr>
          <w:p w:rsidRPr="006B7451" w:rsidR="00FF2DF6" w:rsidP="00FF2DF6" w:rsidRDefault="00FF2DF6" w14:paraId="090EF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−20 999</w:t>
            </w:r>
          </w:p>
        </w:tc>
        <w:tc>
          <w:tcPr>
            <w:tcW w:w="1134" w:type="dxa"/>
            <w:shd w:val="clear" w:color="auto" w:fill="FFFFFF"/>
            <w:tcMar>
              <w:top w:w="68" w:type="dxa"/>
              <w:left w:w="28" w:type="dxa"/>
              <w:bottom w:w="0" w:type="dxa"/>
              <w:right w:w="28" w:type="dxa"/>
            </w:tcMar>
            <w:hideMark/>
          </w:tcPr>
          <w:p w:rsidRPr="006B7451" w:rsidR="00FF2DF6" w:rsidP="00FF2DF6" w:rsidRDefault="00FF2DF6" w14:paraId="1E00E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−36 322</w:t>
            </w:r>
          </w:p>
        </w:tc>
      </w:tr>
      <w:tr w:rsidRPr="006B7451" w:rsidR="00FF2DF6" w:rsidTr="00FF2DF6" w14:paraId="67BFDBB1"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31FD2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6B7451" w:rsidR="00FF2DF6" w:rsidP="00FF2DF6" w:rsidRDefault="00FF2DF6" w14:paraId="58309D2E" w14:textId="7B1FBE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w:t>
            </w:r>
            <w:r w:rsidR="00CB2DB0">
              <w:rPr>
                <w:rFonts w:ascii="Times New Roman" w:hAnsi="Times New Roman" w:eastAsia="Times New Roman" w:cs="Times New Roman"/>
                <w:color w:val="000000"/>
                <w:kern w:val="0"/>
                <w:sz w:val="20"/>
                <w:szCs w:val="20"/>
                <w:lang w:eastAsia="sv-SE"/>
                <w14:numSpacing w14:val="default"/>
              </w:rPr>
              <w:t>299</w:t>
            </w:r>
          </w:p>
        </w:tc>
        <w:tc>
          <w:tcPr>
            <w:tcW w:w="1134" w:type="dxa"/>
            <w:shd w:val="clear" w:color="auto" w:fill="FFFFFF"/>
            <w:tcMar>
              <w:top w:w="68" w:type="dxa"/>
              <w:left w:w="28" w:type="dxa"/>
              <w:bottom w:w="0" w:type="dxa"/>
              <w:right w:w="28" w:type="dxa"/>
            </w:tcMar>
            <w:hideMark/>
          </w:tcPr>
          <w:p w:rsidRPr="006B7451" w:rsidR="00FF2DF6" w:rsidP="00FF2DF6" w:rsidRDefault="00FF2DF6" w14:paraId="5C0AD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−23 453</w:t>
            </w:r>
          </w:p>
        </w:tc>
        <w:tc>
          <w:tcPr>
            <w:tcW w:w="1134" w:type="dxa"/>
            <w:shd w:val="clear" w:color="auto" w:fill="FFFFFF"/>
            <w:tcMar>
              <w:top w:w="68" w:type="dxa"/>
              <w:left w:w="28" w:type="dxa"/>
              <w:bottom w:w="0" w:type="dxa"/>
              <w:right w:w="28" w:type="dxa"/>
            </w:tcMar>
            <w:hideMark/>
          </w:tcPr>
          <w:p w:rsidRPr="006B7451" w:rsidR="00FF2DF6" w:rsidP="00FF2DF6" w:rsidRDefault="00FF2DF6" w14:paraId="26034D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−54 261</w:t>
            </w:r>
          </w:p>
        </w:tc>
      </w:tr>
      <w:tr w:rsidRPr="006B7451" w:rsidR="00FF2DF6" w:rsidTr="00FF2DF6" w14:paraId="52ADD835"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465C1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6B7451" w:rsidR="00FF2DF6" w:rsidP="00FF2DF6" w:rsidRDefault="00FF2DF6" w14:paraId="5555CBAC" w14:textId="1EC58F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4 5</w:t>
            </w:r>
            <w:r w:rsidR="00CB2DB0">
              <w:rPr>
                <w:rFonts w:ascii="Times New Roman" w:hAnsi="Times New Roman" w:eastAsia="Times New Roman" w:cs="Times New Roman"/>
                <w:b/>
                <w:bCs/>
                <w:color w:val="000000"/>
                <w:kern w:val="0"/>
                <w:sz w:val="20"/>
                <w:szCs w:val="20"/>
                <w:lang w:eastAsia="sv-SE"/>
                <w14:numSpacing w14:val="default"/>
              </w:rPr>
              <w:t>27</w:t>
            </w:r>
          </w:p>
        </w:tc>
        <w:tc>
          <w:tcPr>
            <w:tcW w:w="1134" w:type="dxa"/>
            <w:shd w:val="clear" w:color="auto" w:fill="FFFFFF"/>
            <w:tcMar>
              <w:top w:w="68" w:type="dxa"/>
              <w:left w:w="28" w:type="dxa"/>
              <w:bottom w:w="0" w:type="dxa"/>
              <w:right w:w="28" w:type="dxa"/>
            </w:tcMar>
            <w:hideMark/>
          </w:tcPr>
          <w:p w:rsidRPr="006B7451" w:rsidR="00FF2DF6" w:rsidP="00FF2DF6" w:rsidRDefault="00FF2DF6" w14:paraId="57736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2 454</w:t>
            </w:r>
          </w:p>
        </w:tc>
        <w:tc>
          <w:tcPr>
            <w:tcW w:w="1134" w:type="dxa"/>
            <w:shd w:val="clear" w:color="auto" w:fill="FFFFFF"/>
            <w:tcMar>
              <w:top w:w="68" w:type="dxa"/>
              <w:left w:w="28" w:type="dxa"/>
              <w:bottom w:w="0" w:type="dxa"/>
              <w:right w:w="28" w:type="dxa"/>
            </w:tcMar>
            <w:hideMark/>
          </w:tcPr>
          <w:p w:rsidRPr="006B7451" w:rsidR="00FF2DF6" w:rsidP="00FF2DF6" w:rsidRDefault="00FF2DF6" w14:paraId="028F6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17 939</w:t>
            </w:r>
          </w:p>
        </w:tc>
      </w:tr>
      <w:tr w:rsidRPr="006B7451" w:rsidR="00FF2DF6" w:rsidTr="00FF2DF6" w14:paraId="17271FBA"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724C3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71B70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6B7451" w:rsidR="00FF2DF6" w:rsidP="00FF2DF6" w:rsidRDefault="00FF2DF6" w14:paraId="151D9AC0" w14:textId="4E30B2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w:t>
            </w:r>
            <w:r w:rsidR="00CB2DB0">
              <w:rPr>
                <w:rFonts w:ascii="Times New Roman" w:hAnsi="Times New Roman" w:eastAsia="Times New Roman" w:cs="Times New Roman"/>
                <w:color w:val="000000"/>
                <w:kern w:val="0"/>
                <w:sz w:val="20"/>
                <w:szCs w:val="20"/>
                <w:lang w:eastAsia="sv-SE"/>
                <w14:numSpacing w14:val="default"/>
              </w:rPr>
              <w:t>68</w:t>
            </w:r>
          </w:p>
        </w:tc>
        <w:tc>
          <w:tcPr>
            <w:tcW w:w="1134" w:type="dxa"/>
            <w:shd w:val="clear" w:color="auto" w:fill="FFFFFF"/>
            <w:tcMar>
              <w:top w:w="68" w:type="dxa"/>
              <w:left w:w="28" w:type="dxa"/>
              <w:bottom w:w="0" w:type="dxa"/>
              <w:right w:w="28" w:type="dxa"/>
            </w:tcMar>
            <w:hideMark/>
          </w:tcPr>
          <w:p w:rsidRPr="006B7451" w:rsidR="00FF2DF6" w:rsidP="00FF2DF6" w:rsidRDefault="00FF2DF6" w14:paraId="2BC665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1 700</w:t>
            </w:r>
          </w:p>
        </w:tc>
        <w:tc>
          <w:tcPr>
            <w:tcW w:w="1134" w:type="dxa"/>
            <w:shd w:val="clear" w:color="auto" w:fill="FFFFFF"/>
            <w:tcMar>
              <w:top w:w="68" w:type="dxa"/>
              <w:left w:w="28" w:type="dxa"/>
              <w:bottom w:w="0" w:type="dxa"/>
              <w:right w:w="28" w:type="dxa"/>
            </w:tcMar>
            <w:hideMark/>
          </w:tcPr>
          <w:p w:rsidRPr="006B7451" w:rsidR="00FF2DF6" w:rsidP="00FF2DF6" w:rsidRDefault="00FF2DF6" w14:paraId="7531E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−6 775</w:t>
            </w:r>
          </w:p>
        </w:tc>
      </w:tr>
      <w:tr w:rsidRPr="006B7451" w:rsidR="00FF2DF6" w:rsidTr="00FF2DF6" w14:paraId="3A492E2C"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52F8D4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2EF91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6B7451" w:rsidR="00FF2DF6" w:rsidP="00FF2DF6" w:rsidRDefault="00FF2DF6" w14:paraId="26225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259</w:t>
            </w:r>
          </w:p>
        </w:tc>
        <w:tc>
          <w:tcPr>
            <w:tcW w:w="1134" w:type="dxa"/>
            <w:shd w:val="clear" w:color="auto" w:fill="FFFFFF"/>
            <w:tcMar>
              <w:top w:w="68" w:type="dxa"/>
              <w:left w:w="28" w:type="dxa"/>
              <w:bottom w:w="0" w:type="dxa"/>
              <w:right w:w="28" w:type="dxa"/>
            </w:tcMar>
            <w:hideMark/>
          </w:tcPr>
          <w:p w:rsidRPr="006B7451" w:rsidR="00FF2DF6" w:rsidP="00FF2DF6" w:rsidRDefault="00FF2DF6" w14:paraId="0F97E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754</w:t>
            </w:r>
          </w:p>
        </w:tc>
        <w:tc>
          <w:tcPr>
            <w:tcW w:w="1134" w:type="dxa"/>
            <w:shd w:val="clear" w:color="auto" w:fill="FFFFFF"/>
            <w:tcMar>
              <w:top w:w="68" w:type="dxa"/>
              <w:left w:w="28" w:type="dxa"/>
              <w:bottom w:w="0" w:type="dxa"/>
              <w:right w:w="28" w:type="dxa"/>
            </w:tcMar>
            <w:hideMark/>
          </w:tcPr>
          <w:p w:rsidRPr="006B7451" w:rsidR="00FF2DF6" w:rsidP="00FF2DF6" w:rsidRDefault="00FF2DF6" w14:paraId="51476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24 714</w:t>
            </w:r>
          </w:p>
        </w:tc>
      </w:tr>
      <w:tr w:rsidRPr="006B7451" w:rsidR="00FF2DF6" w:rsidTr="00FF2DF6" w14:paraId="7787D3FE"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247D2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710E94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6B7451" w:rsidR="00FF2DF6" w:rsidP="00FF2DF6" w:rsidRDefault="00FF2DF6" w14:paraId="5753C2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3566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6499B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FF1AF20" w14:textId="77777777">
        <w:trPr>
          <w:trHeight w:val="170"/>
        </w:trPr>
        <w:tc>
          <w:tcPr>
            <w:tcW w:w="4139"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6B7451" w:rsidR="00FF2DF6" w:rsidP="00FF2DF6" w:rsidRDefault="00FF2DF6" w14:paraId="30DCB4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1E0D3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−0,58 %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C741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0,56 %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0DE75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1,14 %</w:t>
            </w:r>
          </w:p>
        </w:tc>
      </w:tr>
    </w:tbl>
    <w:p w:rsidRPr="006B7451" w:rsidR="008A7FDF" w:rsidP="00ED5D60" w:rsidRDefault="008A7FDF" w14:paraId="54B0968B" w14:textId="53B47320">
      <w:pPr>
        <w:pStyle w:val="Rubrik2numrerat"/>
      </w:pPr>
      <w:bookmarkStart w:name="_Toc121752714" w:id="210"/>
      <w:r w:rsidRPr="006B7451">
        <w:t>Kommunsektorns finanser</w:t>
      </w:r>
      <w:bookmarkEnd w:id="210"/>
    </w:p>
    <w:p w:rsidRPr="00575531" w:rsidR="00FF2DF6" w:rsidP="00252BBF" w:rsidRDefault="00FF2DF6" w14:paraId="0E279659" w14:textId="77777777">
      <w:pPr>
        <w:pStyle w:val="Tabellrubrik"/>
        <w:keepNext/>
      </w:pPr>
      <w:r w:rsidRPr="00575531">
        <w:t>Kommunsektorns finanser</w:t>
      </w:r>
    </w:p>
    <w:p w:rsidRPr="00575531" w:rsidR="00FF2DF6" w:rsidP="00575531" w:rsidRDefault="00FF2DF6" w14:paraId="1FBF948C" w14:textId="1F0491FC">
      <w:pPr>
        <w:pStyle w:val="Tabellunderrubrik"/>
      </w:pPr>
      <w:r w:rsidRPr="00575531">
        <w:t>Miljoner kronor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6B7451" w:rsidR="00FF2DF6" w:rsidTr="00FF2DF6" w14:paraId="5B0321C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6B7451" w:rsidR="00FF2DF6" w:rsidP="00FF2DF6" w:rsidRDefault="00FF2DF6" w14:paraId="13B28BE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3AD52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6B4ED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B857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1C82D9C4"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2234F5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6B7451" w:rsidR="00FF2DF6" w:rsidP="00FF2DF6" w:rsidRDefault="00FF2DF6" w14:paraId="64BE7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1 533</w:t>
            </w:r>
          </w:p>
        </w:tc>
        <w:tc>
          <w:tcPr>
            <w:tcW w:w="1134" w:type="dxa"/>
            <w:shd w:val="clear" w:color="auto" w:fill="FFFFFF"/>
            <w:tcMar>
              <w:top w:w="68" w:type="dxa"/>
              <w:left w:w="28" w:type="dxa"/>
              <w:bottom w:w="0" w:type="dxa"/>
              <w:right w:w="28" w:type="dxa"/>
            </w:tcMar>
            <w:hideMark/>
          </w:tcPr>
          <w:p w:rsidRPr="006B7451" w:rsidR="00FF2DF6" w:rsidP="00FF2DF6" w:rsidRDefault="00FF2DF6" w14:paraId="7909B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5 843</w:t>
            </w:r>
          </w:p>
        </w:tc>
        <w:tc>
          <w:tcPr>
            <w:tcW w:w="1134" w:type="dxa"/>
            <w:shd w:val="clear" w:color="auto" w:fill="FFFFFF"/>
            <w:tcMar>
              <w:top w:w="68" w:type="dxa"/>
              <w:left w:w="28" w:type="dxa"/>
              <w:bottom w:w="0" w:type="dxa"/>
              <w:right w:w="28" w:type="dxa"/>
            </w:tcMar>
            <w:hideMark/>
          </w:tcPr>
          <w:p w:rsidRPr="006B7451" w:rsidR="00FF2DF6" w:rsidP="00FF2DF6" w:rsidRDefault="00FF2DF6" w14:paraId="06022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6 059</w:t>
            </w:r>
          </w:p>
        </w:tc>
      </w:tr>
      <w:tr w:rsidRPr="006B7451" w:rsidR="00FF2DF6" w:rsidTr="00FF2DF6" w14:paraId="06AF5695"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62E90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6B7451" w:rsidR="00FF2DF6" w:rsidP="00FF2DF6" w:rsidRDefault="00FF2DF6" w14:paraId="1FE10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−1 467</w:t>
            </w:r>
          </w:p>
        </w:tc>
        <w:tc>
          <w:tcPr>
            <w:tcW w:w="1134" w:type="dxa"/>
            <w:shd w:val="clear" w:color="auto" w:fill="FFFFFF"/>
            <w:tcMar>
              <w:top w:w="68" w:type="dxa"/>
              <w:left w:w="28" w:type="dxa"/>
              <w:bottom w:w="0" w:type="dxa"/>
              <w:right w:w="28" w:type="dxa"/>
            </w:tcMar>
            <w:hideMark/>
          </w:tcPr>
          <w:p w:rsidRPr="006B7451" w:rsidR="00FF2DF6" w:rsidP="00FF2DF6" w:rsidRDefault="00FF2DF6" w14:paraId="165AF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−607</w:t>
            </w:r>
          </w:p>
        </w:tc>
        <w:tc>
          <w:tcPr>
            <w:tcW w:w="1134" w:type="dxa"/>
            <w:shd w:val="clear" w:color="auto" w:fill="FFFFFF"/>
            <w:tcMar>
              <w:top w:w="68" w:type="dxa"/>
              <w:left w:w="28" w:type="dxa"/>
              <w:bottom w:w="0" w:type="dxa"/>
              <w:right w:w="28" w:type="dxa"/>
            </w:tcMar>
            <w:hideMark/>
          </w:tcPr>
          <w:p w:rsidRPr="006B7451" w:rsidR="00FF2DF6" w:rsidP="00FF2DF6" w:rsidRDefault="00FF2DF6" w14:paraId="3ACA8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−391</w:t>
            </w:r>
          </w:p>
        </w:tc>
      </w:tr>
      <w:tr w:rsidRPr="006B7451" w:rsidR="00FF2DF6" w:rsidTr="00FF2DF6" w14:paraId="7C2822C0"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0F995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6B7451" w:rsidR="00FF2DF6" w:rsidP="00FF2DF6" w:rsidRDefault="00FF2DF6" w14:paraId="08D8F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076B3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3 450</w:t>
            </w:r>
          </w:p>
        </w:tc>
        <w:tc>
          <w:tcPr>
            <w:tcW w:w="1134" w:type="dxa"/>
            <w:shd w:val="clear" w:color="auto" w:fill="FFFFFF"/>
            <w:tcMar>
              <w:top w:w="68" w:type="dxa"/>
              <w:left w:w="28" w:type="dxa"/>
              <w:bottom w:w="0" w:type="dxa"/>
              <w:right w:w="28" w:type="dxa"/>
            </w:tcMar>
            <w:hideMark/>
          </w:tcPr>
          <w:p w:rsidRPr="006B7451" w:rsidR="00FF2DF6" w:rsidP="00FF2DF6" w:rsidRDefault="00FF2DF6" w14:paraId="373B6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3 450</w:t>
            </w:r>
          </w:p>
        </w:tc>
      </w:tr>
      <w:tr w:rsidRPr="006B7451" w:rsidR="00FF2DF6" w:rsidTr="00FF2DF6" w14:paraId="45B90FAB"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2ACA0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6B7451" w:rsidR="00FF2DF6" w:rsidP="00FF2DF6" w:rsidRDefault="00FF2DF6" w14:paraId="23F9E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c>
          <w:tcPr>
            <w:tcW w:w="1134" w:type="dxa"/>
            <w:shd w:val="clear" w:color="auto" w:fill="FFFFFF"/>
            <w:tcMar>
              <w:top w:w="68" w:type="dxa"/>
              <w:left w:w="28" w:type="dxa"/>
              <w:bottom w:w="0" w:type="dxa"/>
              <w:right w:w="28" w:type="dxa"/>
            </w:tcMar>
            <w:hideMark/>
          </w:tcPr>
          <w:p w:rsidRPr="006B7451" w:rsidR="00FF2DF6" w:rsidP="00FF2DF6" w:rsidRDefault="00FF2DF6" w14:paraId="45B2F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c>
          <w:tcPr>
            <w:tcW w:w="1134" w:type="dxa"/>
            <w:shd w:val="clear" w:color="auto" w:fill="FFFFFF"/>
            <w:tcMar>
              <w:top w:w="68" w:type="dxa"/>
              <w:left w:w="28" w:type="dxa"/>
              <w:bottom w:w="0" w:type="dxa"/>
              <w:right w:w="28" w:type="dxa"/>
            </w:tcMar>
            <w:hideMark/>
          </w:tcPr>
          <w:p w:rsidRPr="006B7451" w:rsidR="00FF2DF6" w:rsidP="00FF2DF6" w:rsidRDefault="00FF2DF6" w14:paraId="7E98C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r>
      <w:tr w:rsidRPr="006B7451" w:rsidR="00FF2DF6" w:rsidTr="00FF2DF6" w14:paraId="317F2017" w14:textId="77777777">
        <w:trPr>
          <w:trHeight w:val="170"/>
        </w:trPr>
        <w:tc>
          <w:tcPr>
            <w:tcW w:w="340" w:type="dxa"/>
            <w:shd w:val="clear" w:color="auto" w:fill="FFFFFF"/>
            <w:tcMar>
              <w:top w:w="68" w:type="dxa"/>
              <w:left w:w="28" w:type="dxa"/>
              <w:bottom w:w="0" w:type="dxa"/>
              <w:right w:w="28" w:type="dxa"/>
            </w:tcMar>
            <w:hideMark/>
          </w:tcPr>
          <w:p w:rsidRPr="006B7451" w:rsidR="00FF2DF6" w:rsidP="00FF2DF6" w:rsidRDefault="00FF2DF6" w14:paraId="679AE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6B7451" w:rsidR="00FF2DF6" w:rsidP="00FF2DF6" w:rsidRDefault="00FF2DF6" w14:paraId="3BAA0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6B7451" w:rsidR="00FF2DF6" w:rsidP="00FF2DF6" w:rsidRDefault="00FF2DF6" w14:paraId="03D86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1F32A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5DCC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3185B1E"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74FEF3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6B7451" w:rsidR="00FF2DF6" w:rsidP="00FF2DF6" w:rsidRDefault="00FF2DF6" w14:paraId="73C07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3AF8F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C577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CC004C" w14:paraId="19EE9D92" w14:textId="77777777">
        <w:trPr>
          <w:trHeight w:val="170"/>
        </w:trPr>
        <w:tc>
          <w:tcPr>
            <w:tcW w:w="4253" w:type="dxa"/>
            <w:gridSpan w:val="2"/>
            <w:shd w:val="clear" w:color="auto" w:fill="FFFFFF"/>
            <w:tcMar>
              <w:top w:w="68" w:type="dxa"/>
              <w:left w:w="75" w:type="dxa"/>
              <w:bottom w:w="0" w:type="dxa"/>
              <w:right w:w="28" w:type="dxa"/>
            </w:tcMar>
            <w:vAlign w:val="center"/>
            <w:hideMark/>
          </w:tcPr>
          <w:p w:rsidRPr="006B7451" w:rsidR="00FF2DF6" w:rsidP="00FF2DF6" w:rsidRDefault="00FF2DF6" w14:paraId="186C6D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6B7451" w:rsidR="00FF2DF6" w:rsidP="00FF2DF6" w:rsidRDefault="00FF2DF6" w14:paraId="12A38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1 533</w:t>
            </w:r>
          </w:p>
        </w:tc>
        <w:tc>
          <w:tcPr>
            <w:tcW w:w="1134" w:type="dxa"/>
            <w:shd w:val="clear" w:color="auto" w:fill="FFFFFF"/>
            <w:tcMar>
              <w:top w:w="68" w:type="dxa"/>
              <w:left w:w="28" w:type="dxa"/>
              <w:bottom w:w="0" w:type="dxa"/>
              <w:right w:w="28" w:type="dxa"/>
            </w:tcMar>
            <w:hideMark/>
          </w:tcPr>
          <w:p w:rsidRPr="006B7451" w:rsidR="00FF2DF6" w:rsidP="00FF2DF6" w:rsidRDefault="00FF2DF6" w14:paraId="26595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5 843</w:t>
            </w:r>
          </w:p>
        </w:tc>
        <w:tc>
          <w:tcPr>
            <w:tcW w:w="1134" w:type="dxa"/>
            <w:shd w:val="clear" w:color="auto" w:fill="FFFFFF"/>
            <w:tcMar>
              <w:top w:w="68" w:type="dxa"/>
              <w:left w:w="28" w:type="dxa"/>
              <w:bottom w:w="0" w:type="dxa"/>
              <w:right w:w="28" w:type="dxa"/>
            </w:tcMar>
            <w:hideMark/>
          </w:tcPr>
          <w:p w:rsidRPr="006B7451" w:rsidR="00FF2DF6" w:rsidP="00FF2DF6" w:rsidRDefault="00FF2DF6" w14:paraId="4B947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6 059</w:t>
            </w:r>
          </w:p>
        </w:tc>
      </w:tr>
      <w:tr w:rsidRPr="006B7451" w:rsidR="00FF2DF6" w:rsidTr="00CC004C" w14:paraId="549C2015" w14:textId="77777777">
        <w:trPr>
          <w:trHeight w:val="170"/>
        </w:trPr>
        <w:tc>
          <w:tcPr>
            <w:tcW w:w="4139" w:type="dxa"/>
            <w:gridSpan w:val="2"/>
            <w:tcBorders>
              <w:top w:val="nil"/>
              <w:left w:val="nil"/>
              <w:bottom w:val="single" w:color="auto" w:sz="4" w:space="0"/>
              <w:right w:val="nil"/>
            </w:tcBorders>
            <w:shd w:val="clear" w:color="auto" w:fill="FFFFFF"/>
            <w:tcMar>
              <w:top w:w="68" w:type="dxa"/>
              <w:left w:w="75" w:type="dxa"/>
              <w:bottom w:w="20" w:type="dxa"/>
              <w:right w:w="85" w:type="dxa"/>
            </w:tcMar>
            <w:vAlign w:val="center"/>
            <w:hideMark/>
          </w:tcPr>
          <w:p w:rsidRPr="006B7451" w:rsidR="00FF2DF6" w:rsidP="00FF2DF6" w:rsidRDefault="00FF2DF6" w14:paraId="721F9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41B9C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0EC0A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0F97F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bl>
    <w:p w:rsidRPr="006B7451" w:rsidR="008A7FDF" w:rsidP="00ED5D60" w:rsidRDefault="008A7FDF" w14:paraId="5E042417" w14:textId="1DACF08A">
      <w:pPr>
        <w:pStyle w:val="Rubrik2numrerat"/>
      </w:pPr>
      <w:bookmarkStart w:name="_Toc121752715" w:id="211"/>
      <w:r w:rsidRPr="006B7451">
        <w:t>Förslag till utgiftsramar 202</w:t>
      </w:r>
      <w:r w:rsidRPr="006B7451" w:rsidR="00C02DED">
        <w:t>2</w:t>
      </w:r>
      <w:bookmarkEnd w:id="211"/>
    </w:p>
    <w:p w:rsidRPr="000D5DD9" w:rsidR="00FF2DF6" w:rsidP="000D5DD9" w:rsidRDefault="00FF2DF6" w14:paraId="2AF22FAF" w14:textId="77777777">
      <w:pPr>
        <w:pStyle w:val="Tabellrubrik"/>
      </w:pPr>
      <w:r w:rsidRPr="000D5DD9">
        <w:t>Förslag till utgiftsramar 2022</w:t>
      </w:r>
    </w:p>
    <w:p w:rsidRPr="000D5DD9" w:rsidR="00FF2DF6" w:rsidP="000D5DD9" w:rsidRDefault="00FF2DF6" w14:paraId="576B4B2D" w14:textId="77777777">
      <w:pPr>
        <w:pStyle w:val="Tabellunderrubrik"/>
      </w:pPr>
      <w:r w:rsidRPr="000D5DD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6B7451" w:rsidR="00FF2DF6" w:rsidTr="00024FB5" w14:paraId="0B0C83CD" w14:textId="77777777">
        <w:trPr>
          <w:trHeight w:val="170"/>
          <w:tblHeader/>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6B7451" w:rsidR="00FF2DF6" w:rsidP="00FF2DF6" w:rsidRDefault="00FF2DF6" w14:paraId="4A2FD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289B7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6FD9A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FF2DF6" w:rsidTr="00FF2DF6" w14:paraId="19A14ABD"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A28F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6B7451" w:rsidR="00FF2DF6" w:rsidP="00FF2DF6" w:rsidRDefault="00FF2DF6" w14:paraId="10B3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6B7451" w:rsidR="00FF2DF6" w:rsidP="00FF2DF6" w:rsidRDefault="00FF2DF6" w14:paraId="5C403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17 268 338</w:t>
            </w:r>
          </w:p>
        </w:tc>
        <w:tc>
          <w:tcPr>
            <w:tcW w:w="1418" w:type="dxa"/>
            <w:shd w:val="clear" w:color="auto" w:fill="FFFFFF"/>
            <w:tcMar>
              <w:top w:w="68" w:type="dxa"/>
              <w:left w:w="28" w:type="dxa"/>
              <w:bottom w:w="0" w:type="dxa"/>
              <w:right w:w="28" w:type="dxa"/>
            </w:tcMar>
            <w:hideMark/>
          </w:tcPr>
          <w:p w:rsidRPr="006B7451" w:rsidR="00FF2DF6" w:rsidP="00FF2DF6" w:rsidRDefault="00FF2DF6" w14:paraId="26DA2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−169 000</w:t>
            </w:r>
          </w:p>
        </w:tc>
      </w:tr>
      <w:tr w:rsidRPr="006B7451" w:rsidR="00FF2DF6" w:rsidTr="00FF2DF6" w14:paraId="1CD1FDD6"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5BBCF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6B7451" w:rsidR="00FF2DF6" w:rsidP="00FF2DF6" w:rsidRDefault="00FF2DF6" w14:paraId="7A502A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6B7451" w:rsidR="00FF2DF6" w:rsidP="00FF2DF6" w:rsidRDefault="00FF2DF6" w14:paraId="70871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17 971 183</w:t>
            </w:r>
          </w:p>
        </w:tc>
        <w:tc>
          <w:tcPr>
            <w:tcW w:w="1418" w:type="dxa"/>
            <w:shd w:val="clear" w:color="auto" w:fill="FFFFFF"/>
            <w:tcMar>
              <w:top w:w="68" w:type="dxa"/>
              <w:left w:w="28" w:type="dxa"/>
              <w:bottom w:w="0" w:type="dxa"/>
              <w:right w:w="28" w:type="dxa"/>
            </w:tcMar>
            <w:hideMark/>
          </w:tcPr>
          <w:p w:rsidRPr="006B7451" w:rsidR="00FF2DF6" w:rsidP="00FF2DF6" w:rsidRDefault="00FF2DF6" w14:paraId="095F0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5 000</w:t>
            </w:r>
          </w:p>
        </w:tc>
      </w:tr>
      <w:tr w:rsidRPr="006B7451" w:rsidR="00FF2DF6" w:rsidTr="00FF2DF6" w14:paraId="75A816E5"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F03B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6B7451" w:rsidR="00FF2DF6" w:rsidP="00FF2DF6" w:rsidRDefault="00FF2DF6" w14:paraId="0C72F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6B7451" w:rsidR="00FF2DF6" w:rsidP="00FF2DF6" w:rsidRDefault="00FF2DF6" w14:paraId="328DF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12 729 734</w:t>
            </w:r>
          </w:p>
        </w:tc>
        <w:tc>
          <w:tcPr>
            <w:tcW w:w="1418" w:type="dxa"/>
            <w:shd w:val="clear" w:color="auto" w:fill="FFFFFF"/>
            <w:tcMar>
              <w:top w:w="68" w:type="dxa"/>
              <w:left w:w="28" w:type="dxa"/>
              <w:bottom w:w="0" w:type="dxa"/>
              <w:right w:w="28" w:type="dxa"/>
            </w:tcMar>
            <w:hideMark/>
          </w:tcPr>
          <w:p w:rsidRPr="006B7451" w:rsidR="00FF2DF6" w:rsidP="00FF2DF6" w:rsidRDefault="00FF2DF6" w14:paraId="0A68E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1 055 000</w:t>
            </w:r>
          </w:p>
        </w:tc>
      </w:tr>
      <w:tr w:rsidRPr="006B7451" w:rsidR="00FF2DF6" w:rsidTr="00FF2DF6" w14:paraId="40EE6D17"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4C835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6B7451" w:rsidR="00FF2DF6" w:rsidP="00FF2DF6" w:rsidRDefault="00FF2DF6" w14:paraId="6580D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6B7451" w:rsidR="00FF2DF6" w:rsidP="00FF2DF6" w:rsidRDefault="00FF2DF6" w14:paraId="1B90E6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61 688 986</w:t>
            </w:r>
          </w:p>
        </w:tc>
        <w:tc>
          <w:tcPr>
            <w:tcW w:w="1418" w:type="dxa"/>
            <w:shd w:val="clear" w:color="auto" w:fill="FFFFFF"/>
            <w:tcMar>
              <w:top w:w="68" w:type="dxa"/>
              <w:left w:w="28" w:type="dxa"/>
              <w:bottom w:w="0" w:type="dxa"/>
              <w:right w:w="28" w:type="dxa"/>
            </w:tcMar>
            <w:hideMark/>
          </w:tcPr>
          <w:p w:rsidRPr="006B7451" w:rsidR="00FF2DF6" w:rsidP="00FF2DF6" w:rsidRDefault="00FF2DF6" w14:paraId="20ED0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4 452 000</w:t>
            </w:r>
          </w:p>
        </w:tc>
      </w:tr>
      <w:tr w:rsidRPr="006B7451" w:rsidR="00FF2DF6" w:rsidTr="00FF2DF6" w14:paraId="17AAA7AE"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15DBF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6B7451" w:rsidR="00FF2DF6" w:rsidP="00FF2DF6" w:rsidRDefault="00FF2DF6" w14:paraId="31FFA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6B7451" w:rsidR="00FF2DF6" w:rsidP="00FF2DF6" w:rsidRDefault="00FF2DF6" w14:paraId="380EB3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2 235 117</w:t>
            </w:r>
          </w:p>
        </w:tc>
        <w:tc>
          <w:tcPr>
            <w:tcW w:w="1418" w:type="dxa"/>
            <w:shd w:val="clear" w:color="auto" w:fill="FFFFFF"/>
            <w:tcMar>
              <w:top w:w="68" w:type="dxa"/>
              <w:left w:w="28" w:type="dxa"/>
              <w:bottom w:w="0" w:type="dxa"/>
              <w:right w:w="28" w:type="dxa"/>
            </w:tcMar>
            <w:hideMark/>
          </w:tcPr>
          <w:p w:rsidRPr="006B7451" w:rsidR="00FF2DF6" w:rsidP="00FF2DF6" w:rsidRDefault="00FF2DF6" w14:paraId="26FEC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21 000</w:t>
            </w:r>
          </w:p>
        </w:tc>
      </w:tr>
      <w:tr w:rsidRPr="006B7451" w:rsidR="00FF2DF6" w:rsidTr="00FF2DF6" w14:paraId="497C4CB0"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8EF6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6B7451" w:rsidR="00FF2DF6" w:rsidP="00FF2DF6" w:rsidRDefault="00FF2DF6" w14:paraId="643FA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6B7451" w:rsidR="00FF2DF6" w:rsidP="00FF2DF6" w:rsidRDefault="00FF2DF6" w14:paraId="78D95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76 525 799</w:t>
            </w:r>
          </w:p>
        </w:tc>
        <w:tc>
          <w:tcPr>
            <w:tcW w:w="1418" w:type="dxa"/>
            <w:shd w:val="clear" w:color="auto" w:fill="FFFFFF"/>
            <w:tcMar>
              <w:top w:w="68" w:type="dxa"/>
              <w:left w:w="28" w:type="dxa"/>
              <w:bottom w:w="0" w:type="dxa"/>
              <w:right w:w="28" w:type="dxa"/>
            </w:tcMar>
            <w:hideMark/>
          </w:tcPr>
          <w:p w:rsidRPr="006B7451" w:rsidR="00FF2DF6" w:rsidP="00FF2DF6" w:rsidRDefault="00FF2DF6" w14:paraId="45257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2 933 000</w:t>
            </w:r>
          </w:p>
        </w:tc>
      </w:tr>
      <w:tr w:rsidRPr="006B7451" w:rsidR="00FF2DF6" w:rsidTr="00FF2DF6" w14:paraId="11DD3A37"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4096E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6B7451" w:rsidR="00FF2DF6" w:rsidP="00FF2DF6" w:rsidRDefault="00FF2DF6" w14:paraId="78824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6B7451" w:rsidR="00FF2DF6" w:rsidP="00FF2DF6" w:rsidRDefault="00FF2DF6" w14:paraId="38594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51 939 762</w:t>
            </w:r>
          </w:p>
        </w:tc>
        <w:tc>
          <w:tcPr>
            <w:tcW w:w="1418" w:type="dxa"/>
            <w:shd w:val="clear" w:color="auto" w:fill="FFFFFF"/>
            <w:tcMar>
              <w:top w:w="68" w:type="dxa"/>
              <w:left w:w="28" w:type="dxa"/>
              <w:bottom w:w="0" w:type="dxa"/>
              <w:right w:w="28" w:type="dxa"/>
            </w:tcMar>
            <w:hideMark/>
          </w:tcPr>
          <w:p w:rsidRPr="006B7451" w:rsidR="00FF2DF6" w:rsidP="00FF2DF6" w:rsidRDefault="00FF2DF6" w14:paraId="53F5A5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−17 025 000</w:t>
            </w:r>
          </w:p>
        </w:tc>
      </w:tr>
      <w:tr w:rsidRPr="006B7451" w:rsidR="00FF2DF6" w:rsidTr="00FF2DF6" w14:paraId="1FC0D73D"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6F0F0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6B7451" w:rsidR="00FF2DF6" w:rsidP="00FF2DF6" w:rsidRDefault="00FF2DF6" w14:paraId="2F632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6B7451" w:rsidR="00FF2DF6" w:rsidP="00FF2DF6" w:rsidRDefault="00FF2DF6" w14:paraId="09051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8 456 364</w:t>
            </w:r>
          </w:p>
        </w:tc>
        <w:tc>
          <w:tcPr>
            <w:tcW w:w="1418" w:type="dxa"/>
            <w:shd w:val="clear" w:color="auto" w:fill="FFFFFF"/>
            <w:tcMar>
              <w:top w:w="68" w:type="dxa"/>
              <w:left w:w="28" w:type="dxa"/>
              <w:bottom w:w="0" w:type="dxa"/>
              <w:right w:w="28" w:type="dxa"/>
            </w:tcMar>
            <w:hideMark/>
          </w:tcPr>
          <w:p w:rsidRPr="006B7451" w:rsidR="00FF2DF6" w:rsidP="00FF2DF6" w:rsidRDefault="00FF2DF6" w14:paraId="23F8E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−1 237 013</w:t>
            </w:r>
          </w:p>
        </w:tc>
      </w:tr>
      <w:tr w:rsidRPr="006B7451" w:rsidR="00FF2DF6" w:rsidTr="00FF2DF6" w14:paraId="3406EECE"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440DF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6B7451" w:rsidR="00FF2DF6" w:rsidP="00FF2DF6" w:rsidRDefault="00FF2DF6" w14:paraId="66C60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6B7451" w:rsidR="00FF2DF6" w:rsidP="00FF2DF6" w:rsidRDefault="00FF2DF6" w14:paraId="5534F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112 483 613</w:t>
            </w:r>
          </w:p>
        </w:tc>
        <w:tc>
          <w:tcPr>
            <w:tcW w:w="1418" w:type="dxa"/>
            <w:shd w:val="clear" w:color="auto" w:fill="FFFFFF"/>
            <w:tcMar>
              <w:top w:w="68" w:type="dxa"/>
              <w:left w:w="28" w:type="dxa"/>
              <w:bottom w:w="0" w:type="dxa"/>
              <w:right w:w="28" w:type="dxa"/>
            </w:tcMar>
            <w:hideMark/>
          </w:tcPr>
          <w:p w:rsidRPr="006B7451" w:rsidR="00FF2DF6" w:rsidP="00FF2DF6" w:rsidRDefault="00FF2DF6" w14:paraId="6C592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2 959 000</w:t>
            </w:r>
          </w:p>
        </w:tc>
      </w:tr>
      <w:tr w:rsidRPr="006B7451" w:rsidR="00FF2DF6" w:rsidTr="009156F2" w14:paraId="5F3028D4"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9042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6B7451" w:rsidR="00FF2DF6" w:rsidP="00FF2DF6" w:rsidRDefault="00FF2DF6" w14:paraId="00A1F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6B7451" w:rsidR="00FF2DF6" w:rsidP="009156F2" w:rsidRDefault="00FF2DF6" w14:paraId="5FF2E2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97 721 457</w:t>
            </w:r>
          </w:p>
        </w:tc>
        <w:tc>
          <w:tcPr>
            <w:tcW w:w="1418" w:type="dxa"/>
            <w:shd w:val="clear" w:color="auto" w:fill="FFFFFF"/>
            <w:tcMar>
              <w:top w:w="68" w:type="dxa"/>
              <w:left w:w="28" w:type="dxa"/>
              <w:bottom w:w="0" w:type="dxa"/>
              <w:right w:w="28" w:type="dxa"/>
            </w:tcMar>
            <w:vAlign w:val="bottom"/>
            <w:hideMark/>
          </w:tcPr>
          <w:p w:rsidRPr="006B7451" w:rsidR="00FF2DF6" w:rsidP="009156F2" w:rsidRDefault="00FF2DF6" w14:paraId="03E40F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2 907 000</w:t>
            </w:r>
          </w:p>
        </w:tc>
      </w:tr>
      <w:tr w:rsidRPr="006B7451" w:rsidR="00FF2DF6" w:rsidTr="00FF2DF6" w14:paraId="0C7A698B"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559B26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B7451" w:rsidR="00FF2DF6" w:rsidP="00FF2DF6" w:rsidRDefault="00FF2DF6" w14:paraId="3C177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6B7451" w:rsidR="00FF2DF6" w:rsidP="00FF2DF6" w:rsidRDefault="00FF2DF6" w14:paraId="6A876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41 786 128</w:t>
            </w:r>
          </w:p>
        </w:tc>
        <w:tc>
          <w:tcPr>
            <w:tcW w:w="1418" w:type="dxa"/>
            <w:shd w:val="clear" w:color="auto" w:fill="FFFFFF"/>
            <w:tcMar>
              <w:top w:w="68" w:type="dxa"/>
              <w:left w:w="28" w:type="dxa"/>
              <w:bottom w:w="0" w:type="dxa"/>
              <w:right w:w="28" w:type="dxa"/>
            </w:tcMar>
            <w:hideMark/>
          </w:tcPr>
          <w:p w:rsidRPr="006B7451" w:rsidR="00FF2DF6" w:rsidP="00FF2DF6" w:rsidRDefault="00FF2DF6" w14:paraId="68AE94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800 000</w:t>
            </w:r>
          </w:p>
        </w:tc>
      </w:tr>
      <w:tr w:rsidRPr="006B7451" w:rsidR="00FF2DF6" w:rsidTr="00FF2DF6" w14:paraId="0DBCF1CF"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4F2FAA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B7451" w:rsidR="00FF2DF6" w:rsidP="00FF2DF6" w:rsidRDefault="00FF2DF6" w14:paraId="72ACC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6B7451" w:rsidR="00FF2DF6" w:rsidP="00FF2DF6" w:rsidRDefault="00FF2DF6" w14:paraId="68AA8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103 040 770</w:t>
            </w:r>
          </w:p>
        </w:tc>
        <w:tc>
          <w:tcPr>
            <w:tcW w:w="1418" w:type="dxa"/>
            <w:shd w:val="clear" w:color="auto" w:fill="FFFFFF"/>
            <w:tcMar>
              <w:top w:w="68" w:type="dxa"/>
              <w:left w:w="28" w:type="dxa"/>
              <w:bottom w:w="0" w:type="dxa"/>
              <w:right w:w="28" w:type="dxa"/>
            </w:tcMar>
            <w:hideMark/>
          </w:tcPr>
          <w:p w:rsidRPr="006B7451" w:rsidR="00FF2DF6" w:rsidP="00FF2DF6" w:rsidRDefault="00CB2DB0" w14:paraId="71A2CDC5" w14:textId="32DCE47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31</w:t>
            </w:r>
            <w:r w:rsidRPr="006B7451" w:rsidR="00FF2DF6">
              <w:rPr>
                <w:rFonts w:ascii="Times New Roman" w:hAnsi="Times New Roman" w:eastAsia="Times New Roman" w:cs="Times New Roman"/>
                <w:color w:val="000000"/>
                <w:kern w:val="0"/>
                <w:sz w:val="20"/>
                <w:szCs w:val="20"/>
                <w:lang w:eastAsia="sv-SE"/>
                <w14:numSpacing w14:val="default"/>
              </w:rPr>
              <w:t> 000</w:t>
            </w:r>
          </w:p>
        </w:tc>
      </w:tr>
      <w:tr w:rsidRPr="006B7451" w:rsidR="00FF2DF6" w:rsidTr="00FF2DF6" w14:paraId="2F78F54F"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49553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B7451" w:rsidR="00FF2DF6" w:rsidP="00FF2DF6" w:rsidRDefault="00FF2DF6" w14:paraId="0FBB3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6B7451" w:rsidR="00FF2DF6" w:rsidP="00FF2DF6" w:rsidRDefault="00FF2DF6" w14:paraId="1C41B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6 319 015</w:t>
            </w:r>
          </w:p>
        </w:tc>
        <w:tc>
          <w:tcPr>
            <w:tcW w:w="1418" w:type="dxa"/>
            <w:shd w:val="clear" w:color="auto" w:fill="FFFFFF"/>
            <w:tcMar>
              <w:top w:w="68" w:type="dxa"/>
              <w:left w:w="28" w:type="dxa"/>
              <w:bottom w:w="0" w:type="dxa"/>
              <w:right w:w="28" w:type="dxa"/>
            </w:tcMar>
            <w:hideMark/>
          </w:tcPr>
          <w:p w:rsidRPr="006B7451" w:rsidR="00FF2DF6" w:rsidP="00FF2DF6" w:rsidRDefault="00FF2DF6" w14:paraId="2128A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−2 719 301</w:t>
            </w:r>
          </w:p>
        </w:tc>
      </w:tr>
      <w:tr w:rsidRPr="006B7451" w:rsidR="00FF2DF6" w:rsidTr="00FF2DF6" w14:paraId="46F93B87"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4E67A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14</w:t>
            </w:r>
          </w:p>
        </w:tc>
        <w:tc>
          <w:tcPr>
            <w:tcW w:w="4139" w:type="dxa"/>
            <w:shd w:val="clear" w:color="auto" w:fill="FFFFFF"/>
            <w:tcMar>
              <w:top w:w="68" w:type="dxa"/>
              <w:left w:w="28" w:type="dxa"/>
              <w:bottom w:w="0" w:type="dxa"/>
              <w:right w:w="28" w:type="dxa"/>
            </w:tcMar>
            <w:hideMark/>
          </w:tcPr>
          <w:p w:rsidRPr="006B7451" w:rsidR="00FF2DF6" w:rsidP="00FF2DF6" w:rsidRDefault="00FF2DF6" w14:paraId="79218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6B7451" w:rsidR="00FF2DF6" w:rsidP="00FF2DF6" w:rsidRDefault="00FF2DF6" w14:paraId="15B24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94 025 726</w:t>
            </w:r>
          </w:p>
        </w:tc>
        <w:tc>
          <w:tcPr>
            <w:tcW w:w="1418" w:type="dxa"/>
            <w:shd w:val="clear" w:color="auto" w:fill="FFFFFF"/>
            <w:tcMar>
              <w:top w:w="68" w:type="dxa"/>
              <w:left w:w="28" w:type="dxa"/>
              <w:bottom w:w="0" w:type="dxa"/>
              <w:right w:w="28" w:type="dxa"/>
            </w:tcMar>
            <w:hideMark/>
          </w:tcPr>
          <w:p w:rsidRPr="006B7451" w:rsidR="00FF2DF6" w:rsidP="00FF2DF6" w:rsidRDefault="00FF2DF6" w14:paraId="73135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−5 060 000</w:t>
            </w:r>
          </w:p>
        </w:tc>
      </w:tr>
      <w:tr w:rsidRPr="006B7451" w:rsidR="00FF2DF6" w:rsidTr="00FF2DF6" w14:paraId="5C50758D"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626D7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B7451" w:rsidR="00FF2DF6" w:rsidP="00FF2DF6" w:rsidRDefault="00FF2DF6" w14:paraId="1BE56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6B7451" w:rsidR="00FF2DF6" w:rsidP="00FF2DF6" w:rsidRDefault="00FF2DF6" w14:paraId="4A304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27 801 485</w:t>
            </w:r>
          </w:p>
        </w:tc>
        <w:tc>
          <w:tcPr>
            <w:tcW w:w="1418" w:type="dxa"/>
            <w:shd w:val="clear" w:color="auto" w:fill="FFFFFF"/>
            <w:tcMar>
              <w:top w:w="68" w:type="dxa"/>
              <w:left w:w="28" w:type="dxa"/>
              <w:bottom w:w="0" w:type="dxa"/>
              <w:right w:w="28" w:type="dxa"/>
            </w:tcMar>
            <w:hideMark/>
          </w:tcPr>
          <w:p w:rsidRPr="006B7451" w:rsidR="00FF2DF6" w:rsidP="00FF2DF6" w:rsidRDefault="00FF2DF6" w14:paraId="39D93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200 000</w:t>
            </w:r>
          </w:p>
        </w:tc>
      </w:tr>
      <w:tr w:rsidRPr="006B7451" w:rsidR="00FF2DF6" w:rsidTr="00FF2DF6" w14:paraId="49C8FF89"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15BA7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B7451" w:rsidR="00FF2DF6" w:rsidP="00FF2DF6" w:rsidRDefault="00FF2DF6" w14:paraId="2DEE6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2DE76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94 529 445</w:t>
            </w:r>
          </w:p>
        </w:tc>
        <w:tc>
          <w:tcPr>
            <w:tcW w:w="1418" w:type="dxa"/>
            <w:shd w:val="clear" w:color="auto" w:fill="FFFFFF"/>
            <w:tcMar>
              <w:top w:w="68" w:type="dxa"/>
              <w:left w:w="28" w:type="dxa"/>
              <w:bottom w:w="0" w:type="dxa"/>
              <w:right w:w="28" w:type="dxa"/>
            </w:tcMar>
            <w:hideMark/>
          </w:tcPr>
          <w:p w:rsidRPr="006B7451" w:rsidR="00FF2DF6" w:rsidP="00FF2DF6" w:rsidRDefault="00FF2DF6" w14:paraId="227A5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448 500</w:t>
            </w:r>
          </w:p>
        </w:tc>
      </w:tr>
      <w:tr w:rsidRPr="006B7451" w:rsidR="00FF2DF6" w:rsidTr="00FF2DF6" w14:paraId="7412508C"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F000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B7451" w:rsidR="00FF2DF6" w:rsidP="00FF2DF6" w:rsidRDefault="00FF2DF6" w14:paraId="7F1F61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6B7451" w:rsidR="00FF2DF6" w:rsidP="00FF2DF6" w:rsidRDefault="00FF2DF6" w14:paraId="71FD6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18 454 593</w:t>
            </w:r>
          </w:p>
        </w:tc>
        <w:tc>
          <w:tcPr>
            <w:tcW w:w="1418" w:type="dxa"/>
            <w:shd w:val="clear" w:color="auto" w:fill="FFFFFF"/>
            <w:tcMar>
              <w:top w:w="68" w:type="dxa"/>
              <w:left w:w="28" w:type="dxa"/>
              <w:bottom w:w="0" w:type="dxa"/>
              <w:right w:w="28" w:type="dxa"/>
            </w:tcMar>
            <w:hideMark/>
          </w:tcPr>
          <w:p w:rsidRPr="006B7451" w:rsidR="00FF2DF6" w:rsidP="00FF2DF6" w:rsidRDefault="00FF2DF6" w14:paraId="217DD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248 197</w:t>
            </w:r>
          </w:p>
        </w:tc>
      </w:tr>
      <w:tr w:rsidRPr="006B7451" w:rsidR="00FF2DF6" w:rsidTr="009156F2" w14:paraId="531C6A5E"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DA8F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6B7451" w:rsidR="00FF2DF6" w:rsidP="00FF2DF6" w:rsidRDefault="00FF2DF6" w14:paraId="55F27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6B7451" w:rsidR="00FF2DF6" w:rsidP="009156F2" w:rsidRDefault="00FF2DF6" w14:paraId="52649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7 025 334</w:t>
            </w:r>
          </w:p>
        </w:tc>
        <w:tc>
          <w:tcPr>
            <w:tcW w:w="1418" w:type="dxa"/>
            <w:shd w:val="clear" w:color="auto" w:fill="FFFFFF"/>
            <w:tcMar>
              <w:top w:w="68" w:type="dxa"/>
              <w:left w:w="28" w:type="dxa"/>
              <w:bottom w:w="0" w:type="dxa"/>
              <w:right w:w="28" w:type="dxa"/>
            </w:tcMar>
            <w:vAlign w:val="bottom"/>
            <w:hideMark/>
          </w:tcPr>
          <w:p w:rsidRPr="006B7451" w:rsidR="00FF2DF6" w:rsidP="009156F2" w:rsidRDefault="00FF2DF6" w14:paraId="771A9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−4 707 200</w:t>
            </w:r>
          </w:p>
        </w:tc>
      </w:tr>
      <w:tr w:rsidRPr="006B7451" w:rsidR="00FF2DF6" w:rsidTr="00FF2DF6" w14:paraId="641119C9"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42981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6B7451" w:rsidR="00FF2DF6" w:rsidP="00FF2DF6" w:rsidRDefault="00FF2DF6" w14:paraId="474B6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6B7451" w:rsidR="00FF2DF6" w:rsidP="00FF2DF6" w:rsidRDefault="00FF2DF6" w14:paraId="33D96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5 241 801</w:t>
            </w:r>
          </w:p>
        </w:tc>
        <w:tc>
          <w:tcPr>
            <w:tcW w:w="1418" w:type="dxa"/>
            <w:shd w:val="clear" w:color="auto" w:fill="FFFFFF"/>
            <w:tcMar>
              <w:top w:w="68" w:type="dxa"/>
              <w:left w:w="28" w:type="dxa"/>
              <w:bottom w:w="0" w:type="dxa"/>
              <w:right w:w="28" w:type="dxa"/>
            </w:tcMar>
            <w:hideMark/>
          </w:tcPr>
          <w:p w:rsidRPr="006B7451" w:rsidR="00FF2DF6" w:rsidP="00FF2DF6" w:rsidRDefault="00FF2DF6" w14:paraId="35C866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45DF722"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F171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6B7451" w:rsidR="00FF2DF6" w:rsidP="00FF2DF6" w:rsidRDefault="00FF2DF6" w14:paraId="334D59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6B7451" w:rsidR="00FF2DF6" w:rsidP="00FF2DF6" w:rsidRDefault="00FF2DF6" w14:paraId="39620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21 851 580</w:t>
            </w:r>
          </w:p>
        </w:tc>
        <w:tc>
          <w:tcPr>
            <w:tcW w:w="1418" w:type="dxa"/>
            <w:shd w:val="clear" w:color="auto" w:fill="FFFFFF"/>
            <w:tcMar>
              <w:top w:w="68" w:type="dxa"/>
              <w:left w:w="28" w:type="dxa"/>
              <w:bottom w:w="0" w:type="dxa"/>
              <w:right w:w="28" w:type="dxa"/>
            </w:tcMar>
            <w:hideMark/>
          </w:tcPr>
          <w:p w:rsidRPr="006B7451" w:rsidR="00FF2DF6" w:rsidP="00FF2DF6" w:rsidRDefault="00FF2DF6" w14:paraId="018E1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−9 038 000</w:t>
            </w:r>
          </w:p>
        </w:tc>
      </w:tr>
      <w:tr w:rsidRPr="006B7451" w:rsidR="00FF2DF6" w:rsidTr="00FF2DF6" w14:paraId="636A839E"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63DEB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6B7451" w:rsidR="00FF2DF6" w:rsidP="00FF2DF6" w:rsidRDefault="00FF2DF6" w14:paraId="732DD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6B7451" w:rsidR="00FF2DF6" w:rsidP="00FF2DF6" w:rsidRDefault="00FF2DF6" w14:paraId="3FB19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4 454 924</w:t>
            </w:r>
          </w:p>
        </w:tc>
        <w:tc>
          <w:tcPr>
            <w:tcW w:w="1418" w:type="dxa"/>
            <w:shd w:val="clear" w:color="auto" w:fill="FFFFFF"/>
            <w:tcMar>
              <w:top w:w="68" w:type="dxa"/>
              <w:left w:w="28" w:type="dxa"/>
              <w:bottom w:w="0" w:type="dxa"/>
              <w:right w:w="28" w:type="dxa"/>
            </w:tcMar>
            <w:hideMark/>
          </w:tcPr>
          <w:p w:rsidRPr="006B7451" w:rsidR="00FF2DF6" w:rsidP="00FF2DF6" w:rsidRDefault="00FF2DF6" w14:paraId="1A5FA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−562 000</w:t>
            </w:r>
          </w:p>
        </w:tc>
      </w:tr>
      <w:tr w:rsidRPr="006B7451" w:rsidR="00FF2DF6" w:rsidTr="00FF2DF6" w14:paraId="7651CBCA"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8483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6B7451" w:rsidR="00FF2DF6" w:rsidP="00FF2DF6" w:rsidRDefault="00FF2DF6" w14:paraId="5565F1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6B7451" w:rsidR="00FF2DF6" w:rsidP="00FF2DF6" w:rsidRDefault="00FF2DF6" w14:paraId="42F52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76 964 552</w:t>
            </w:r>
          </w:p>
        </w:tc>
        <w:tc>
          <w:tcPr>
            <w:tcW w:w="1418" w:type="dxa"/>
            <w:shd w:val="clear" w:color="auto" w:fill="FFFFFF"/>
            <w:tcMar>
              <w:top w:w="68" w:type="dxa"/>
              <w:left w:w="28" w:type="dxa"/>
              <w:bottom w:w="0" w:type="dxa"/>
              <w:right w:w="28" w:type="dxa"/>
            </w:tcMar>
            <w:hideMark/>
          </w:tcPr>
          <w:p w:rsidRPr="006B7451" w:rsidR="00FF2DF6" w:rsidP="00FF2DF6" w:rsidRDefault="00FF2DF6" w14:paraId="52AA9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2 215 000</w:t>
            </w:r>
          </w:p>
        </w:tc>
      </w:tr>
      <w:tr w:rsidRPr="006B7451" w:rsidR="00FF2DF6" w:rsidTr="00FF2DF6" w14:paraId="448EB372"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B03F2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6B7451" w:rsidR="00FF2DF6" w:rsidP="00FF2DF6" w:rsidRDefault="00FF2DF6" w14:paraId="218D3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6B7451" w:rsidR="00FF2DF6" w:rsidP="00FF2DF6" w:rsidRDefault="00FF2DF6" w14:paraId="42A5B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22 044 754</w:t>
            </w:r>
          </w:p>
        </w:tc>
        <w:tc>
          <w:tcPr>
            <w:tcW w:w="1418" w:type="dxa"/>
            <w:shd w:val="clear" w:color="auto" w:fill="FFFFFF"/>
            <w:tcMar>
              <w:top w:w="68" w:type="dxa"/>
              <w:left w:w="28" w:type="dxa"/>
              <w:bottom w:w="0" w:type="dxa"/>
              <w:right w:w="28" w:type="dxa"/>
            </w:tcMar>
            <w:hideMark/>
          </w:tcPr>
          <w:p w:rsidRPr="006B7451" w:rsidR="00FF2DF6" w:rsidP="00FF2DF6" w:rsidRDefault="00FF2DF6" w14:paraId="696AE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1 222 000</w:t>
            </w:r>
          </w:p>
        </w:tc>
      </w:tr>
      <w:tr w:rsidRPr="006B7451" w:rsidR="00FF2DF6" w:rsidTr="00FF2DF6" w14:paraId="7FFAEE31"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186F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6B7451" w:rsidR="00FF2DF6" w:rsidP="00FF2DF6" w:rsidRDefault="00FF2DF6" w14:paraId="20D2F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6B7451" w:rsidR="00FF2DF6" w:rsidP="00FF2DF6" w:rsidRDefault="00FF2DF6" w14:paraId="584B1A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9 344 901</w:t>
            </w:r>
          </w:p>
        </w:tc>
        <w:tc>
          <w:tcPr>
            <w:tcW w:w="1418" w:type="dxa"/>
            <w:shd w:val="clear" w:color="auto" w:fill="FFFFFF"/>
            <w:tcMar>
              <w:top w:w="68" w:type="dxa"/>
              <w:left w:w="28" w:type="dxa"/>
              <w:bottom w:w="0" w:type="dxa"/>
              <w:right w:w="28" w:type="dxa"/>
            </w:tcMar>
            <w:hideMark/>
          </w:tcPr>
          <w:p w:rsidRPr="006B7451" w:rsidR="00FF2DF6" w:rsidP="00FF2DF6" w:rsidRDefault="00FF2DF6" w14:paraId="544F4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−552 000</w:t>
            </w:r>
          </w:p>
        </w:tc>
      </w:tr>
      <w:tr w:rsidRPr="006B7451" w:rsidR="00FF2DF6" w:rsidTr="00FF2DF6" w14:paraId="2E8D48AB"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5890D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6B7451" w:rsidR="00FF2DF6" w:rsidP="00FF2DF6" w:rsidRDefault="00FF2DF6" w14:paraId="4804D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6B7451" w:rsidR="00FF2DF6" w:rsidP="00FF2DF6" w:rsidRDefault="00FF2DF6" w14:paraId="7D1D8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152 322 194</w:t>
            </w:r>
          </w:p>
        </w:tc>
        <w:tc>
          <w:tcPr>
            <w:tcW w:w="1418" w:type="dxa"/>
            <w:shd w:val="clear" w:color="auto" w:fill="FFFFFF"/>
            <w:tcMar>
              <w:top w:w="68" w:type="dxa"/>
              <w:left w:w="28" w:type="dxa"/>
              <w:bottom w:w="0" w:type="dxa"/>
              <w:right w:w="28" w:type="dxa"/>
            </w:tcMar>
            <w:hideMark/>
          </w:tcPr>
          <w:p w:rsidRPr="006B7451" w:rsidR="00FF2DF6" w:rsidP="00FF2DF6" w:rsidRDefault="00FF2DF6" w14:paraId="71B7A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3 000 000</w:t>
            </w:r>
          </w:p>
        </w:tc>
      </w:tr>
      <w:tr w:rsidRPr="006B7451" w:rsidR="00FF2DF6" w:rsidTr="00FF2DF6" w14:paraId="403368C7"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D298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6B7451" w:rsidR="00FF2DF6" w:rsidP="00FF2DF6" w:rsidRDefault="00FF2DF6" w14:paraId="3CD61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6B7451" w:rsidR="00FF2DF6" w:rsidP="00FF2DF6" w:rsidRDefault="00FF2DF6" w14:paraId="7D5C0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12 155 200</w:t>
            </w:r>
          </w:p>
        </w:tc>
        <w:tc>
          <w:tcPr>
            <w:tcW w:w="1418" w:type="dxa"/>
            <w:shd w:val="clear" w:color="auto" w:fill="FFFFFF"/>
            <w:tcMar>
              <w:top w:w="68" w:type="dxa"/>
              <w:left w:w="28" w:type="dxa"/>
              <w:bottom w:w="0" w:type="dxa"/>
              <w:right w:w="28" w:type="dxa"/>
            </w:tcMar>
            <w:hideMark/>
          </w:tcPr>
          <w:p w:rsidRPr="006B7451" w:rsidR="00FF2DF6" w:rsidP="00FF2DF6" w:rsidRDefault="00FF2DF6" w14:paraId="4E0566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7A17E33"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F475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6B7451" w:rsidR="00FF2DF6" w:rsidP="00FF2DF6" w:rsidRDefault="00FF2DF6" w14:paraId="4039D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6B7451" w:rsidR="00FF2DF6" w:rsidP="00FF2DF6" w:rsidRDefault="00FF2DF6" w14:paraId="050C9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47 836 848</w:t>
            </w:r>
          </w:p>
        </w:tc>
        <w:tc>
          <w:tcPr>
            <w:tcW w:w="1418" w:type="dxa"/>
            <w:shd w:val="clear" w:color="auto" w:fill="FFFFFF"/>
            <w:tcMar>
              <w:top w:w="68" w:type="dxa"/>
              <w:left w:w="28" w:type="dxa"/>
              <w:bottom w:w="0" w:type="dxa"/>
              <w:right w:w="28" w:type="dxa"/>
            </w:tcMar>
            <w:hideMark/>
          </w:tcPr>
          <w:p w:rsidRPr="006B7451" w:rsidR="00FF2DF6" w:rsidP="00FF2DF6" w:rsidRDefault="00FF2DF6" w14:paraId="4E22C9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82C063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79732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1051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1 204 219 603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B2A7DE1" w14:textId="33F4F74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−18 57</w:t>
            </w:r>
            <w:r w:rsidR="00CB2DB0">
              <w:rPr>
                <w:rFonts w:ascii="Times New Roman" w:hAnsi="Times New Roman" w:eastAsia="Times New Roman" w:cs="Times New Roman"/>
                <w:b/>
                <w:bCs/>
                <w:color w:val="000000"/>
                <w:kern w:val="0"/>
                <w:sz w:val="20"/>
                <w:szCs w:val="20"/>
                <w:lang w:eastAsia="sv-SE"/>
                <w14:numSpacing w14:val="default"/>
              </w:rPr>
              <w:t>2</w:t>
            </w:r>
            <w:r w:rsidRPr="006B7451">
              <w:rPr>
                <w:rFonts w:ascii="Times New Roman" w:hAnsi="Times New Roman" w:eastAsia="Times New Roman" w:cs="Times New Roman"/>
                <w:b/>
                <w:bCs/>
                <w:color w:val="000000"/>
                <w:kern w:val="0"/>
                <w:sz w:val="20"/>
                <w:szCs w:val="20"/>
                <w:lang w:eastAsia="sv-SE"/>
                <w14:numSpacing w14:val="default"/>
              </w:rPr>
              <w:t> 817</w:t>
            </w:r>
          </w:p>
        </w:tc>
      </w:tr>
      <w:tr w:rsidRPr="006B7451" w:rsidR="00FF2DF6" w:rsidTr="00FF2DF6" w14:paraId="2DEFD3B9" w14:textId="77777777">
        <w:trPr>
          <w:trHeight w:val="170"/>
        </w:trPr>
        <w:tc>
          <w:tcPr>
            <w:tcW w:w="4139" w:type="dxa"/>
            <w:gridSpan w:val="2"/>
            <w:shd w:val="clear" w:color="auto" w:fill="FFFFFF"/>
            <w:tcMar>
              <w:top w:w="68" w:type="dxa"/>
              <w:left w:w="28" w:type="dxa"/>
              <w:bottom w:w="0" w:type="dxa"/>
              <w:right w:w="28" w:type="dxa"/>
            </w:tcMar>
            <w:hideMark/>
          </w:tcPr>
          <w:p w:rsidRPr="006B7451" w:rsidR="00FF2DF6" w:rsidP="00FF2DF6" w:rsidRDefault="00FF2DF6" w14:paraId="0BF65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6B7451" w:rsidR="00FF2DF6" w:rsidP="00FF2DF6" w:rsidRDefault="00FF2DF6" w14:paraId="0569A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−6 681 205</w:t>
            </w:r>
          </w:p>
        </w:tc>
        <w:tc>
          <w:tcPr>
            <w:tcW w:w="1418" w:type="dxa"/>
            <w:shd w:val="clear" w:color="auto" w:fill="FFFFFF"/>
            <w:tcMar>
              <w:top w:w="68" w:type="dxa"/>
              <w:left w:w="28" w:type="dxa"/>
              <w:bottom w:w="0" w:type="dxa"/>
              <w:right w:w="28" w:type="dxa"/>
            </w:tcMar>
            <w:hideMark/>
          </w:tcPr>
          <w:p w:rsidRPr="006B7451" w:rsidR="00FF2DF6" w:rsidP="00FF2DF6" w:rsidRDefault="00FF2DF6" w14:paraId="41FD4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6D35E2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649A2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082B1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1 197 538 398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85D1AA0" w14:textId="65137E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−18 57</w:t>
            </w:r>
            <w:r w:rsidR="00CB2DB0">
              <w:rPr>
                <w:rFonts w:ascii="Times New Roman" w:hAnsi="Times New Roman" w:eastAsia="Times New Roman" w:cs="Times New Roman"/>
                <w:b/>
                <w:bCs/>
                <w:color w:val="000000"/>
                <w:kern w:val="0"/>
                <w:sz w:val="20"/>
                <w:szCs w:val="20"/>
                <w:lang w:eastAsia="sv-SE"/>
                <w14:numSpacing w14:val="default"/>
              </w:rPr>
              <w:t>2</w:t>
            </w:r>
            <w:r w:rsidRPr="006B7451">
              <w:rPr>
                <w:rFonts w:ascii="Times New Roman" w:hAnsi="Times New Roman" w:eastAsia="Times New Roman" w:cs="Times New Roman"/>
                <w:b/>
                <w:bCs/>
                <w:color w:val="000000"/>
                <w:kern w:val="0"/>
                <w:sz w:val="20"/>
                <w:szCs w:val="20"/>
                <w:lang w:eastAsia="sv-SE"/>
                <w14:numSpacing w14:val="default"/>
              </w:rPr>
              <w:t> 817</w:t>
            </w:r>
          </w:p>
        </w:tc>
      </w:tr>
      <w:tr w:rsidRPr="006B7451" w:rsidR="00FF2DF6" w:rsidTr="00FF2DF6" w14:paraId="19DF2B05" w14:textId="77777777">
        <w:trPr>
          <w:trHeight w:val="170"/>
        </w:trPr>
        <w:tc>
          <w:tcPr>
            <w:tcW w:w="4139" w:type="dxa"/>
            <w:gridSpan w:val="2"/>
            <w:shd w:val="clear" w:color="auto" w:fill="FFFFFF"/>
            <w:tcMar>
              <w:top w:w="68" w:type="dxa"/>
              <w:left w:w="28" w:type="dxa"/>
              <w:bottom w:w="0" w:type="dxa"/>
              <w:right w:w="28" w:type="dxa"/>
            </w:tcMar>
            <w:hideMark/>
          </w:tcPr>
          <w:p w:rsidRPr="006B7451" w:rsidR="00FF2DF6" w:rsidP="00FF2DF6" w:rsidRDefault="00FF2DF6" w14:paraId="15D05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6B7451" w:rsidR="00FF2DF6" w:rsidP="00FF2DF6" w:rsidRDefault="00FF2DF6" w14:paraId="758431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−60 090 130</w:t>
            </w:r>
          </w:p>
        </w:tc>
        <w:tc>
          <w:tcPr>
            <w:tcW w:w="1418" w:type="dxa"/>
            <w:shd w:val="clear" w:color="auto" w:fill="FFFFFF"/>
            <w:tcMar>
              <w:top w:w="68" w:type="dxa"/>
              <w:left w:w="28" w:type="dxa"/>
              <w:bottom w:w="0" w:type="dxa"/>
              <w:right w:w="28" w:type="dxa"/>
            </w:tcMar>
            <w:hideMark/>
          </w:tcPr>
          <w:p w:rsidRPr="006B7451" w:rsidR="00FF2DF6" w:rsidP="00FF2DF6" w:rsidRDefault="00FF2DF6" w14:paraId="6B6196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024FB5" w14:paraId="35139EE2" w14:textId="77777777">
        <w:trPr>
          <w:trHeight w:val="170"/>
        </w:trPr>
        <w:tc>
          <w:tcPr>
            <w:tcW w:w="4139" w:type="dxa"/>
            <w:gridSpan w:val="2"/>
            <w:shd w:val="clear" w:color="auto" w:fill="FFFFFF"/>
            <w:tcMar>
              <w:top w:w="68" w:type="dxa"/>
              <w:left w:w="28" w:type="dxa"/>
              <w:bottom w:w="0" w:type="dxa"/>
              <w:right w:w="28" w:type="dxa"/>
            </w:tcMar>
            <w:hideMark/>
          </w:tcPr>
          <w:p w:rsidRPr="006B7451" w:rsidR="00FF2DF6" w:rsidP="00FF2DF6" w:rsidRDefault="00FF2DF6" w14:paraId="218218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6B7451" w:rsidR="00FF2DF6" w:rsidP="00FF2DF6" w:rsidRDefault="00FF2DF6" w14:paraId="16E4C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hideMark/>
          </w:tcPr>
          <w:p w:rsidRPr="006B7451" w:rsidR="00FF2DF6" w:rsidP="00FF2DF6" w:rsidRDefault="00FF2DF6" w14:paraId="62DF8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024FB5" w14:paraId="448782A3" w14:textId="77777777">
        <w:trPr>
          <w:trHeight w:val="170"/>
        </w:trPr>
        <w:tc>
          <w:tcPr>
            <w:tcW w:w="4139"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4CC30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71585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1 137 819 105</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65AD4D9E" w14:textId="6B9177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−18 57</w:t>
            </w:r>
            <w:r w:rsidR="00CB2DB0">
              <w:rPr>
                <w:rFonts w:ascii="Times New Roman" w:hAnsi="Times New Roman" w:eastAsia="Times New Roman" w:cs="Times New Roman"/>
                <w:b/>
                <w:bCs/>
                <w:color w:val="000000"/>
                <w:kern w:val="0"/>
                <w:sz w:val="20"/>
                <w:szCs w:val="20"/>
                <w:lang w:eastAsia="sv-SE"/>
                <w14:numSpacing w14:val="default"/>
              </w:rPr>
              <w:t>2</w:t>
            </w:r>
            <w:r w:rsidRPr="006B7451">
              <w:rPr>
                <w:rFonts w:ascii="Times New Roman" w:hAnsi="Times New Roman" w:eastAsia="Times New Roman" w:cs="Times New Roman"/>
                <w:b/>
                <w:bCs/>
                <w:color w:val="000000"/>
                <w:kern w:val="0"/>
                <w:sz w:val="20"/>
                <w:szCs w:val="20"/>
                <w:lang w:eastAsia="sv-SE"/>
                <w14:numSpacing w14:val="default"/>
              </w:rPr>
              <w:t> 817</w:t>
            </w:r>
          </w:p>
        </w:tc>
      </w:tr>
    </w:tbl>
    <w:p w:rsidRPr="006B7451" w:rsidR="008A7FDF" w:rsidP="00ED5D60" w:rsidRDefault="008A7FDF" w14:paraId="7561FFF7" w14:textId="2E71D88A">
      <w:pPr>
        <w:pStyle w:val="Rubrik2numrerat"/>
      </w:pPr>
      <w:bookmarkStart w:name="_Toc121752716" w:id="212"/>
      <w:r w:rsidRPr="006B7451">
        <w:t>Förslag till utgiftsramar 202</w:t>
      </w:r>
      <w:r w:rsidRPr="006B7451" w:rsidR="00C02DED">
        <w:t>3</w:t>
      </w:r>
      <w:r w:rsidRPr="006B7451">
        <w:t>–202</w:t>
      </w:r>
      <w:r w:rsidRPr="006B7451" w:rsidR="00C02DED">
        <w:t>4</w:t>
      </w:r>
      <w:bookmarkEnd w:id="212"/>
    </w:p>
    <w:p w:rsidRPr="0076255F" w:rsidR="00FF2DF6" w:rsidP="00024FB5" w:rsidRDefault="00FF2DF6" w14:paraId="60FF1745" w14:textId="53A1F172">
      <w:pPr>
        <w:pStyle w:val="Tabellrubrik"/>
        <w:keepNext/>
      </w:pPr>
      <w:r w:rsidRPr="0076255F">
        <w:t>Förslag till utgiftsramar 2023</w:t>
      </w:r>
      <w:r w:rsidR="00EA2309">
        <w:t>–</w:t>
      </w:r>
      <w:r w:rsidRPr="0076255F">
        <w:t>2024</w:t>
      </w:r>
    </w:p>
    <w:p w:rsidRPr="0076255F" w:rsidR="00FF2DF6" w:rsidP="0076255F" w:rsidRDefault="00FF2DF6" w14:paraId="0D8680D7" w14:textId="77777777">
      <w:pPr>
        <w:pStyle w:val="Tabellunderrubrik"/>
      </w:pPr>
      <w:r w:rsidRPr="0076255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6B7451" w:rsidR="00FF2DF6" w:rsidTr="00024FB5" w14:paraId="162FE8E3" w14:textId="77777777">
        <w:trPr>
          <w:trHeight w:val="170"/>
          <w:tblHeader/>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6B7451" w:rsidR="00FF2DF6" w:rsidP="00FF2DF6" w:rsidRDefault="00FF2DF6" w14:paraId="7C095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6B7451" w:rsidR="00FF2DF6" w:rsidP="00FF2DF6" w:rsidRDefault="00FF2DF6" w14:paraId="0EB37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FF2DF6" w:rsidTr="00024FB5" w14:paraId="11A1193A" w14:textId="77777777">
        <w:trPr>
          <w:trHeight w:val="170"/>
          <w:tblHeader/>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7060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E521A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3EBDC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0CAF5914"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6C518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6B7451" w:rsidR="00FF2DF6" w:rsidP="00FF2DF6" w:rsidRDefault="00FF2DF6" w14:paraId="0F5FC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6B7451" w:rsidR="00FF2DF6" w:rsidP="00FF2DF6" w:rsidRDefault="00FF2DF6" w14:paraId="67BA3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−334</w:t>
            </w:r>
          </w:p>
        </w:tc>
        <w:tc>
          <w:tcPr>
            <w:tcW w:w="1418" w:type="dxa"/>
            <w:shd w:val="clear" w:color="auto" w:fill="FFFFFF"/>
            <w:tcMar>
              <w:top w:w="68" w:type="dxa"/>
              <w:left w:w="28" w:type="dxa"/>
              <w:bottom w:w="0" w:type="dxa"/>
              <w:right w:w="28" w:type="dxa"/>
            </w:tcMar>
            <w:hideMark/>
          </w:tcPr>
          <w:p w:rsidRPr="006B7451" w:rsidR="00FF2DF6" w:rsidP="00FF2DF6" w:rsidRDefault="00FF2DF6" w14:paraId="6D5FB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−524</w:t>
            </w:r>
          </w:p>
        </w:tc>
      </w:tr>
      <w:tr w:rsidRPr="006B7451" w:rsidR="00FF2DF6" w:rsidTr="00FF2DF6" w14:paraId="4BFA37F3"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DF91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6B7451" w:rsidR="00FF2DF6" w:rsidP="00FF2DF6" w:rsidRDefault="00FF2DF6" w14:paraId="1748C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6B7451" w:rsidR="00FF2DF6" w:rsidP="00FF2DF6" w:rsidRDefault="00FF2DF6" w14:paraId="5D707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w:t>
            </w:r>
          </w:p>
        </w:tc>
        <w:tc>
          <w:tcPr>
            <w:tcW w:w="1418" w:type="dxa"/>
            <w:shd w:val="clear" w:color="auto" w:fill="FFFFFF"/>
            <w:tcMar>
              <w:top w:w="68" w:type="dxa"/>
              <w:left w:w="28" w:type="dxa"/>
              <w:bottom w:w="0" w:type="dxa"/>
              <w:right w:w="28" w:type="dxa"/>
            </w:tcMar>
            <w:hideMark/>
          </w:tcPr>
          <w:p w:rsidRPr="006B7451" w:rsidR="00FF2DF6" w:rsidP="00FF2DF6" w:rsidRDefault="00FF2DF6" w14:paraId="3E9DE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w:t>
            </w:r>
          </w:p>
        </w:tc>
      </w:tr>
      <w:tr w:rsidRPr="006B7451" w:rsidR="00FF2DF6" w:rsidTr="00FF2DF6" w14:paraId="6A9CF0E8"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59414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6B7451" w:rsidR="00FF2DF6" w:rsidP="00FF2DF6" w:rsidRDefault="00FF2DF6" w14:paraId="38D14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6B7451" w:rsidR="00FF2DF6" w:rsidP="00FF2DF6" w:rsidRDefault="00FF2DF6" w14:paraId="4E92B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590</w:t>
            </w:r>
          </w:p>
        </w:tc>
        <w:tc>
          <w:tcPr>
            <w:tcW w:w="1418" w:type="dxa"/>
            <w:shd w:val="clear" w:color="auto" w:fill="FFFFFF"/>
            <w:tcMar>
              <w:top w:w="68" w:type="dxa"/>
              <w:left w:w="28" w:type="dxa"/>
              <w:bottom w:w="0" w:type="dxa"/>
              <w:right w:w="28" w:type="dxa"/>
            </w:tcMar>
            <w:hideMark/>
          </w:tcPr>
          <w:p w:rsidRPr="006B7451" w:rsidR="00FF2DF6" w:rsidP="00FF2DF6" w:rsidRDefault="00FF2DF6" w14:paraId="6D803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611</w:t>
            </w:r>
          </w:p>
        </w:tc>
      </w:tr>
      <w:tr w:rsidRPr="006B7451" w:rsidR="00FF2DF6" w:rsidTr="00FF2DF6" w14:paraId="6F2540D9"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1D2E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6B7451" w:rsidR="00FF2DF6" w:rsidP="00FF2DF6" w:rsidRDefault="00FF2DF6" w14:paraId="3253A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6B7451" w:rsidR="00FF2DF6" w:rsidP="00FF2DF6" w:rsidRDefault="00FF2DF6" w14:paraId="4E907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4 490</w:t>
            </w:r>
          </w:p>
        </w:tc>
        <w:tc>
          <w:tcPr>
            <w:tcW w:w="1418" w:type="dxa"/>
            <w:shd w:val="clear" w:color="auto" w:fill="FFFFFF"/>
            <w:tcMar>
              <w:top w:w="68" w:type="dxa"/>
              <w:left w:w="28" w:type="dxa"/>
              <w:bottom w:w="0" w:type="dxa"/>
              <w:right w:w="28" w:type="dxa"/>
            </w:tcMar>
            <w:hideMark/>
          </w:tcPr>
          <w:p w:rsidRPr="006B7451" w:rsidR="00FF2DF6" w:rsidP="00FF2DF6" w:rsidRDefault="00FF2DF6" w14:paraId="1626F2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6 858</w:t>
            </w:r>
          </w:p>
        </w:tc>
      </w:tr>
      <w:tr w:rsidRPr="006B7451" w:rsidR="00FF2DF6" w:rsidTr="00FF2DF6" w14:paraId="6907EDBA"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335A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6B7451" w:rsidR="00FF2DF6" w:rsidP="00FF2DF6" w:rsidRDefault="00FF2DF6" w14:paraId="3D5C8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6B7451" w:rsidR="00FF2DF6" w:rsidP="00FF2DF6" w:rsidRDefault="00FF2DF6" w14:paraId="2142D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1418" w:type="dxa"/>
            <w:shd w:val="clear" w:color="auto" w:fill="FFFFFF"/>
            <w:tcMar>
              <w:top w:w="68" w:type="dxa"/>
              <w:left w:w="28" w:type="dxa"/>
              <w:bottom w:w="0" w:type="dxa"/>
              <w:right w:w="28" w:type="dxa"/>
            </w:tcMar>
            <w:hideMark/>
          </w:tcPr>
          <w:p w:rsidRPr="006B7451" w:rsidR="00FF2DF6" w:rsidP="00FF2DF6" w:rsidRDefault="00FF2DF6" w14:paraId="1C043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r>
      <w:tr w:rsidRPr="006B7451" w:rsidR="00FF2DF6" w:rsidTr="00FF2DF6" w14:paraId="5C14B812"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037E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6B7451" w:rsidR="00FF2DF6" w:rsidP="00FF2DF6" w:rsidRDefault="00FF2DF6" w14:paraId="2B1C5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6B7451" w:rsidR="00FF2DF6" w:rsidP="00FF2DF6" w:rsidRDefault="00FF2DF6" w14:paraId="79C72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2 618</w:t>
            </w:r>
          </w:p>
        </w:tc>
        <w:tc>
          <w:tcPr>
            <w:tcW w:w="1418" w:type="dxa"/>
            <w:shd w:val="clear" w:color="auto" w:fill="FFFFFF"/>
            <w:tcMar>
              <w:top w:w="68" w:type="dxa"/>
              <w:left w:w="28" w:type="dxa"/>
              <w:bottom w:w="0" w:type="dxa"/>
              <w:right w:w="28" w:type="dxa"/>
            </w:tcMar>
            <w:hideMark/>
          </w:tcPr>
          <w:p w:rsidRPr="006B7451" w:rsidR="00FF2DF6" w:rsidP="00FF2DF6" w:rsidRDefault="00FF2DF6" w14:paraId="68DF5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2 103</w:t>
            </w:r>
          </w:p>
        </w:tc>
      </w:tr>
      <w:tr w:rsidRPr="006B7451" w:rsidR="00FF2DF6" w:rsidTr="00FF2DF6" w14:paraId="6F8766C9"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1E68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6B7451" w:rsidR="00FF2DF6" w:rsidP="00FF2DF6" w:rsidRDefault="00FF2DF6" w14:paraId="22D01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6B7451" w:rsidR="00FF2DF6" w:rsidP="00FF2DF6" w:rsidRDefault="00FF2DF6" w14:paraId="253F6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−23 127</w:t>
            </w:r>
          </w:p>
        </w:tc>
        <w:tc>
          <w:tcPr>
            <w:tcW w:w="1418" w:type="dxa"/>
            <w:shd w:val="clear" w:color="auto" w:fill="FFFFFF"/>
            <w:tcMar>
              <w:top w:w="68" w:type="dxa"/>
              <w:left w:w="28" w:type="dxa"/>
              <w:bottom w:w="0" w:type="dxa"/>
              <w:right w:w="28" w:type="dxa"/>
            </w:tcMar>
            <w:hideMark/>
          </w:tcPr>
          <w:p w:rsidRPr="006B7451" w:rsidR="00FF2DF6" w:rsidP="00FF2DF6" w:rsidRDefault="00FF2DF6" w14:paraId="0DA43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−29 227</w:t>
            </w:r>
          </w:p>
        </w:tc>
      </w:tr>
      <w:tr w:rsidRPr="006B7451" w:rsidR="00FF2DF6" w:rsidTr="00FF2DF6" w14:paraId="33F7949F"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87F1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6B7451" w:rsidR="00FF2DF6" w:rsidP="00FF2DF6" w:rsidRDefault="00FF2DF6" w14:paraId="7E591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6B7451" w:rsidR="00FF2DF6" w:rsidP="00FF2DF6" w:rsidRDefault="00FF2DF6" w14:paraId="3C0AD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−2 784</w:t>
            </w:r>
          </w:p>
        </w:tc>
        <w:tc>
          <w:tcPr>
            <w:tcW w:w="1418" w:type="dxa"/>
            <w:shd w:val="clear" w:color="auto" w:fill="FFFFFF"/>
            <w:tcMar>
              <w:top w:w="68" w:type="dxa"/>
              <w:left w:w="28" w:type="dxa"/>
              <w:bottom w:w="0" w:type="dxa"/>
              <w:right w:w="28" w:type="dxa"/>
            </w:tcMar>
            <w:hideMark/>
          </w:tcPr>
          <w:p w:rsidRPr="006B7451" w:rsidR="00FF2DF6" w:rsidP="00FF2DF6" w:rsidRDefault="00FF2DF6" w14:paraId="06422E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−3 724</w:t>
            </w:r>
          </w:p>
        </w:tc>
      </w:tr>
      <w:tr w:rsidRPr="006B7451" w:rsidR="00FF2DF6" w:rsidTr="00FF2DF6" w14:paraId="5229F639"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3C0D5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6B7451" w:rsidR="00FF2DF6" w:rsidP="00FF2DF6" w:rsidRDefault="00FF2DF6" w14:paraId="67E653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6B7451" w:rsidR="00FF2DF6" w:rsidP="00FF2DF6" w:rsidRDefault="00FF2DF6" w14:paraId="0A30B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2 875</w:t>
            </w:r>
          </w:p>
        </w:tc>
        <w:tc>
          <w:tcPr>
            <w:tcW w:w="1418" w:type="dxa"/>
            <w:shd w:val="clear" w:color="auto" w:fill="FFFFFF"/>
            <w:tcMar>
              <w:top w:w="68" w:type="dxa"/>
              <w:left w:w="28" w:type="dxa"/>
              <w:bottom w:w="0" w:type="dxa"/>
              <w:right w:w="28" w:type="dxa"/>
            </w:tcMar>
            <w:hideMark/>
          </w:tcPr>
          <w:p w:rsidRPr="006B7451" w:rsidR="00FF2DF6" w:rsidP="00FF2DF6" w:rsidRDefault="00FF2DF6" w14:paraId="0A35E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3 410</w:t>
            </w:r>
          </w:p>
        </w:tc>
      </w:tr>
      <w:tr w:rsidRPr="006B7451" w:rsidR="00FF2DF6" w:rsidTr="0076255F" w14:paraId="37BC2A37"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ED7CA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6B7451" w:rsidR="00FF2DF6" w:rsidP="00FF2DF6" w:rsidRDefault="00FF2DF6" w14:paraId="27889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6B7451" w:rsidR="00FF2DF6" w:rsidP="0076255F" w:rsidRDefault="00FF2DF6" w14:paraId="3E4CB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5 517</w:t>
            </w:r>
          </w:p>
        </w:tc>
        <w:tc>
          <w:tcPr>
            <w:tcW w:w="1418" w:type="dxa"/>
            <w:shd w:val="clear" w:color="auto" w:fill="FFFFFF"/>
            <w:tcMar>
              <w:top w:w="68" w:type="dxa"/>
              <w:left w:w="28" w:type="dxa"/>
              <w:bottom w:w="0" w:type="dxa"/>
              <w:right w:w="28" w:type="dxa"/>
            </w:tcMar>
            <w:vAlign w:val="bottom"/>
            <w:hideMark/>
          </w:tcPr>
          <w:p w:rsidRPr="006B7451" w:rsidR="00FF2DF6" w:rsidP="0076255F" w:rsidRDefault="00FF2DF6" w14:paraId="21438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6 247</w:t>
            </w:r>
          </w:p>
        </w:tc>
      </w:tr>
      <w:tr w:rsidRPr="006B7451" w:rsidR="00FF2DF6" w:rsidTr="00FF2DF6" w14:paraId="5E9582DA"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48AC5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6B7451" w:rsidR="00FF2DF6" w:rsidP="00FF2DF6" w:rsidRDefault="00FF2DF6" w14:paraId="17889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6B7451" w:rsidR="00FF2DF6" w:rsidP="00FF2DF6" w:rsidRDefault="00FF2DF6" w14:paraId="6E58F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800</w:t>
            </w:r>
          </w:p>
        </w:tc>
        <w:tc>
          <w:tcPr>
            <w:tcW w:w="1418" w:type="dxa"/>
            <w:shd w:val="clear" w:color="auto" w:fill="FFFFFF"/>
            <w:tcMar>
              <w:top w:w="68" w:type="dxa"/>
              <w:left w:w="28" w:type="dxa"/>
              <w:bottom w:w="0" w:type="dxa"/>
              <w:right w:w="28" w:type="dxa"/>
            </w:tcMar>
            <w:hideMark/>
          </w:tcPr>
          <w:p w:rsidRPr="006B7451" w:rsidR="00FF2DF6" w:rsidP="00FF2DF6" w:rsidRDefault="00FF2DF6" w14:paraId="661C1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750</w:t>
            </w:r>
          </w:p>
        </w:tc>
      </w:tr>
      <w:tr w:rsidRPr="006B7451" w:rsidR="00FF2DF6" w:rsidTr="00FF2DF6" w14:paraId="34573709"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8C9D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6B7451" w:rsidR="00FF2DF6" w:rsidP="00FF2DF6" w:rsidRDefault="00FF2DF6" w14:paraId="63A07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6B7451" w:rsidR="00FF2DF6" w:rsidP="00FF2DF6" w:rsidRDefault="00FF2DF6" w14:paraId="1DBBC5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−662</w:t>
            </w:r>
          </w:p>
        </w:tc>
        <w:tc>
          <w:tcPr>
            <w:tcW w:w="1418" w:type="dxa"/>
            <w:shd w:val="clear" w:color="auto" w:fill="FFFFFF"/>
            <w:tcMar>
              <w:top w:w="68" w:type="dxa"/>
              <w:left w:w="28" w:type="dxa"/>
              <w:bottom w:w="0" w:type="dxa"/>
              <w:right w:w="28" w:type="dxa"/>
            </w:tcMar>
            <w:hideMark/>
          </w:tcPr>
          <w:p w:rsidRPr="006B7451" w:rsidR="00FF2DF6" w:rsidP="00FF2DF6" w:rsidRDefault="00FF2DF6" w14:paraId="47A58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w:t>
            </w:r>
          </w:p>
        </w:tc>
      </w:tr>
      <w:tr w:rsidRPr="006B7451" w:rsidR="00FF2DF6" w:rsidTr="00FF2DF6" w14:paraId="5D1C98C6"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10E728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6B7451" w:rsidR="00FF2DF6" w:rsidP="00FF2DF6" w:rsidRDefault="00FF2DF6" w14:paraId="0F008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6B7451" w:rsidR="00FF2DF6" w:rsidP="00FF2DF6" w:rsidRDefault="00FF2DF6" w14:paraId="21D22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−3 730</w:t>
            </w:r>
          </w:p>
        </w:tc>
        <w:tc>
          <w:tcPr>
            <w:tcW w:w="1418" w:type="dxa"/>
            <w:shd w:val="clear" w:color="auto" w:fill="FFFFFF"/>
            <w:tcMar>
              <w:top w:w="68" w:type="dxa"/>
              <w:left w:w="28" w:type="dxa"/>
              <w:bottom w:w="0" w:type="dxa"/>
              <w:right w:w="28" w:type="dxa"/>
            </w:tcMar>
            <w:hideMark/>
          </w:tcPr>
          <w:p w:rsidRPr="006B7451" w:rsidR="00FF2DF6" w:rsidP="00FF2DF6" w:rsidRDefault="00FF2DF6" w14:paraId="168A92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−4 257</w:t>
            </w:r>
          </w:p>
        </w:tc>
      </w:tr>
      <w:tr w:rsidRPr="006B7451" w:rsidR="00FF2DF6" w:rsidTr="00FF2DF6" w14:paraId="11A1EB03"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D1DD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6B7451" w:rsidR="00FF2DF6" w:rsidP="00FF2DF6" w:rsidRDefault="00FF2DF6" w14:paraId="6C16B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6B7451" w:rsidR="00FF2DF6" w:rsidP="00FF2DF6" w:rsidRDefault="00FF2DF6" w14:paraId="3F5AE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−6 600</w:t>
            </w:r>
          </w:p>
        </w:tc>
        <w:tc>
          <w:tcPr>
            <w:tcW w:w="1418" w:type="dxa"/>
            <w:shd w:val="clear" w:color="auto" w:fill="FFFFFF"/>
            <w:tcMar>
              <w:top w:w="68" w:type="dxa"/>
              <w:left w:w="28" w:type="dxa"/>
              <w:bottom w:w="0" w:type="dxa"/>
              <w:right w:w="28" w:type="dxa"/>
            </w:tcMar>
            <w:hideMark/>
          </w:tcPr>
          <w:p w:rsidRPr="006B7451" w:rsidR="00FF2DF6" w:rsidP="00FF2DF6" w:rsidRDefault="00FF2DF6" w14:paraId="1DC45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−6 174</w:t>
            </w:r>
          </w:p>
        </w:tc>
      </w:tr>
      <w:tr w:rsidRPr="006B7451" w:rsidR="00FF2DF6" w:rsidTr="00FF2DF6" w14:paraId="6A1683F6"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BC17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6B7451" w:rsidR="00FF2DF6" w:rsidP="00FF2DF6" w:rsidRDefault="00FF2DF6" w14:paraId="18FD2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6B7451" w:rsidR="00FF2DF6" w:rsidP="00FF2DF6" w:rsidRDefault="00FF2DF6" w14:paraId="4369A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w:t>
            </w:r>
          </w:p>
        </w:tc>
        <w:tc>
          <w:tcPr>
            <w:tcW w:w="1418" w:type="dxa"/>
            <w:shd w:val="clear" w:color="auto" w:fill="FFFFFF"/>
            <w:tcMar>
              <w:top w:w="68" w:type="dxa"/>
              <w:left w:w="28" w:type="dxa"/>
              <w:bottom w:w="0" w:type="dxa"/>
              <w:right w:w="28" w:type="dxa"/>
            </w:tcMar>
            <w:hideMark/>
          </w:tcPr>
          <w:p w:rsidRPr="006B7451" w:rsidR="00FF2DF6" w:rsidP="00FF2DF6" w:rsidRDefault="00FF2DF6" w14:paraId="4637E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570</w:t>
            </w:r>
          </w:p>
        </w:tc>
      </w:tr>
      <w:tr w:rsidRPr="006B7451" w:rsidR="00FF2DF6" w:rsidTr="00FF2DF6" w14:paraId="1B296420"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CD16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6B7451" w:rsidR="00FF2DF6" w:rsidP="00FF2DF6" w:rsidRDefault="00FF2DF6" w14:paraId="07FC5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6B7451" w:rsidR="00FF2DF6" w:rsidP="00FF2DF6" w:rsidRDefault="00FF2DF6" w14:paraId="760A4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−579</w:t>
            </w:r>
          </w:p>
        </w:tc>
        <w:tc>
          <w:tcPr>
            <w:tcW w:w="1418" w:type="dxa"/>
            <w:shd w:val="clear" w:color="auto" w:fill="FFFFFF"/>
            <w:tcMar>
              <w:top w:w="68" w:type="dxa"/>
              <w:left w:w="28" w:type="dxa"/>
              <w:bottom w:w="0" w:type="dxa"/>
              <w:right w:w="28" w:type="dxa"/>
            </w:tcMar>
            <w:hideMark/>
          </w:tcPr>
          <w:p w:rsidRPr="006B7451" w:rsidR="00FF2DF6" w:rsidP="00FF2DF6" w:rsidRDefault="00FF2DF6" w14:paraId="0366D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−1 544</w:t>
            </w:r>
          </w:p>
        </w:tc>
      </w:tr>
      <w:tr w:rsidRPr="006B7451" w:rsidR="00FF2DF6" w:rsidTr="00FF2DF6" w14:paraId="1E3536AA"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1DF2EB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6B7451" w:rsidR="00FF2DF6" w:rsidP="00FF2DF6" w:rsidRDefault="00FF2DF6" w14:paraId="0B455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6B7451" w:rsidR="00FF2DF6" w:rsidP="00FF2DF6" w:rsidRDefault="00FF2DF6" w14:paraId="7DADC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998</w:t>
            </w:r>
          </w:p>
        </w:tc>
        <w:tc>
          <w:tcPr>
            <w:tcW w:w="1418" w:type="dxa"/>
            <w:shd w:val="clear" w:color="auto" w:fill="FFFFFF"/>
            <w:tcMar>
              <w:top w:w="68" w:type="dxa"/>
              <w:left w:w="28" w:type="dxa"/>
              <w:bottom w:w="0" w:type="dxa"/>
              <w:right w:w="28" w:type="dxa"/>
            </w:tcMar>
            <w:hideMark/>
          </w:tcPr>
          <w:p w:rsidRPr="006B7451" w:rsidR="00FF2DF6" w:rsidP="00FF2DF6" w:rsidRDefault="00FF2DF6" w14:paraId="0DC01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967</w:t>
            </w:r>
          </w:p>
        </w:tc>
      </w:tr>
      <w:tr w:rsidRPr="006B7451" w:rsidR="00FF2DF6" w:rsidTr="0076255F" w14:paraId="2F169480"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A7ED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18</w:t>
            </w:r>
          </w:p>
        </w:tc>
        <w:tc>
          <w:tcPr>
            <w:tcW w:w="4139" w:type="dxa"/>
            <w:shd w:val="clear" w:color="auto" w:fill="FFFFFF"/>
            <w:tcMar>
              <w:top w:w="68" w:type="dxa"/>
              <w:left w:w="28" w:type="dxa"/>
              <w:bottom w:w="0" w:type="dxa"/>
              <w:right w:w="28" w:type="dxa"/>
            </w:tcMar>
            <w:hideMark/>
          </w:tcPr>
          <w:p w:rsidRPr="006B7451" w:rsidR="00FF2DF6" w:rsidP="00FF2DF6" w:rsidRDefault="00FF2DF6" w14:paraId="6E58A2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6B7451" w:rsidR="00FF2DF6" w:rsidP="0076255F" w:rsidRDefault="00FF2DF6" w14:paraId="5952B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−4 078</w:t>
            </w:r>
          </w:p>
        </w:tc>
        <w:tc>
          <w:tcPr>
            <w:tcW w:w="1418" w:type="dxa"/>
            <w:shd w:val="clear" w:color="auto" w:fill="FFFFFF"/>
            <w:tcMar>
              <w:top w:w="68" w:type="dxa"/>
              <w:left w:w="28" w:type="dxa"/>
              <w:bottom w:w="0" w:type="dxa"/>
              <w:right w:w="28" w:type="dxa"/>
            </w:tcMar>
            <w:vAlign w:val="bottom"/>
            <w:hideMark/>
          </w:tcPr>
          <w:p w:rsidRPr="006B7451" w:rsidR="00FF2DF6" w:rsidP="0076255F" w:rsidRDefault="00FF2DF6" w14:paraId="5536B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−5 228</w:t>
            </w:r>
          </w:p>
        </w:tc>
      </w:tr>
      <w:tr w:rsidRPr="006B7451" w:rsidR="00FF2DF6" w:rsidTr="00FF2DF6" w14:paraId="5FFC7F36"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104BB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6B7451" w:rsidR="00FF2DF6" w:rsidP="00FF2DF6" w:rsidRDefault="00FF2DF6" w14:paraId="44221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6B7451" w:rsidR="00FF2DF6" w:rsidP="00FF2DF6" w:rsidRDefault="00FF2DF6" w14:paraId="6AE6A3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2D137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DCA1725"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4A93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6B7451" w:rsidR="00FF2DF6" w:rsidP="00FF2DF6" w:rsidRDefault="00FF2DF6" w14:paraId="1A598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6B7451" w:rsidR="00FF2DF6" w:rsidP="00FF2DF6" w:rsidRDefault="00FF2DF6" w14:paraId="77874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−7 070</w:t>
            </w:r>
          </w:p>
        </w:tc>
        <w:tc>
          <w:tcPr>
            <w:tcW w:w="1418" w:type="dxa"/>
            <w:shd w:val="clear" w:color="auto" w:fill="FFFFFF"/>
            <w:tcMar>
              <w:top w:w="68" w:type="dxa"/>
              <w:left w:w="28" w:type="dxa"/>
              <w:bottom w:w="0" w:type="dxa"/>
              <w:right w:w="28" w:type="dxa"/>
            </w:tcMar>
            <w:hideMark/>
          </w:tcPr>
          <w:p w:rsidRPr="006B7451" w:rsidR="00FF2DF6" w:rsidP="00FF2DF6" w:rsidRDefault="00FF2DF6" w14:paraId="1B62F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−8 066</w:t>
            </w:r>
          </w:p>
        </w:tc>
      </w:tr>
      <w:tr w:rsidRPr="006B7451" w:rsidR="00FF2DF6" w:rsidTr="00FF2DF6" w14:paraId="78B6B7A0"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0CE6C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6B7451" w:rsidR="00FF2DF6" w:rsidP="00FF2DF6" w:rsidRDefault="00FF2DF6" w14:paraId="0C4E7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6B7451" w:rsidR="00FF2DF6" w:rsidP="00FF2DF6" w:rsidRDefault="00FF2DF6" w14:paraId="38695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w:t>
            </w:r>
          </w:p>
        </w:tc>
        <w:tc>
          <w:tcPr>
            <w:tcW w:w="1418" w:type="dxa"/>
            <w:shd w:val="clear" w:color="auto" w:fill="FFFFFF"/>
            <w:tcMar>
              <w:top w:w="68" w:type="dxa"/>
              <w:left w:w="28" w:type="dxa"/>
              <w:bottom w:w="0" w:type="dxa"/>
              <w:right w:w="28" w:type="dxa"/>
            </w:tcMar>
            <w:hideMark/>
          </w:tcPr>
          <w:p w:rsidRPr="006B7451" w:rsidR="00FF2DF6" w:rsidP="00FF2DF6" w:rsidRDefault="00FF2DF6" w14:paraId="3CCBF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w:t>
            </w:r>
          </w:p>
        </w:tc>
      </w:tr>
      <w:tr w:rsidRPr="006B7451" w:rsidR="00FF2DF6" w:rsidTr="00FF2DF6" w14:paraId="122D61AC"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14AF7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6B7451" w:rsidR="00FF2DF6" w:rsidP="00FF2DF6" w:rsidRDefault="00FF2DF6" w14:paraId="2B659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6B7451" w:rsidR="00FF2DF6" w:rsidP="00FF2DF6" w:rsidRDefault="00FF2DF6" w14:paraId="740D6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2 055</w:t>
            </w:r>
          </w:p>
        </w:tc>
        <w:tc>
          <w:tcPr>
            <w:tcW w:w="1418" w:type="dxa"/>
            <w:shd w:val="clear" w:color="auto" w:fill="FFFFFF"/>
            <w:tcMar>
              <w:top w:w="68" w:type="dxa"/>
              <w:left w:w="28" w:type="dxa"/>
              <w:bottom w:w="0" w:type="dxa"/>
              <w:right w:w="28" w:type="dxa"/>
            </w:tcMar>
            <w:hideMark/>
          </w:tcPr>
          <w:p w:rsidRPr="006B7451" w:rsidR="00FF2DF6" w:rsidP="00FF2DF6" w:rsidRDefault="00FF2DF6" w14:paraId="415F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2 035</w:t>
            </w:r>
          </w:p>
        </w:tc>
      </w:tr>
      <w:tr w:rsidRPr="006B7451" w:rsidR="00FF2DF6" w:rsidTr="00FF2DF6" w14:paraId="5B1CBBAE"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208A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6B7451" w:rsidR="00FF2DF6" w:rsidP="00FF2DF6" w:rsidRDefault="00FF2DF6" w14:paraId="5231F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6B7451" w:rsidR="00FF2DF6" w:rsidP="00FF2DF6" w:rsidRDefault="00FF2DF6" w14:paraId="62686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1 232</w:t>
            </w:r>
          </w:p>
        </w:tc>
        <w:tc>
          <w:tcPr>
            <w:tcW w:w="1418" w:type="dxa"/>
            <w:shd w:val="clear" w:color="auto" w:fill="FFFFFF"/>
            <w:tcMar>
              <w:top w:w="68" w:type="dxa"/>
              <w:left w:w="28" w:type="dxa"/>
              <w:bottom w:w="0" w:type="dxa"/>
              <w:right w:w="28" w:type="dxa"/>
            </w:tcMar>
            <w:hideMark/>
          </w:tcPr>
          <w:p w:rsidRPr="006B7451" w:rsidR="00FF2DF6" w:rsidP="00FF2DF6" w:rsidRDefault="00FF2DF6" w14:paraId="59C0F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1 232</w:t>
            </w:r>
          </w:p>
        </w:tc>
      </w:tr>
      <w:tr w:rsidRPr="006B7451" w:rsidR="00FF2DF6" w:rsidTr="00FF2DF6" w14:paraId="6842F3B0"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7858D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6B7451" w:rsidR="00FF2DF6" w:rsidP="00FF2DF6" w:rsidRDefault="00FF2DF6" w14:paraId="0440CD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6B7451" w:rsidR="00FF2DF6" w:rsidP="00FF2DF6" w:rsidRDefault="00FF2DF6" w14:paraId="45156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−1 080</w:t>
            </w:r>
          </w:p>
        </w:tc>
        <w:tc>
          <w:tcPr>
            <w:tcW w:w="1418" w:type="dxa"/>
            <w:shd w:val="clear" w:color="auto" w:fill="FFFFFF"/>
            <w:tcMar>
              <w:top w:w="68" w:type="dxa"/>
              <w:left w:w="28" w:type="dxa"/>
              <w:bottom w:w="0" w:type="dxa"/>
              <w:right w:w="28" w:type="dxa"/>
            </w:tcMar>
            <w:hideMark/>
          </w:tcPr>
          <w:p w:rsidRPr="006B7451" w:rsidR="00FF2DF6" w:rsidP="00FF2DF6" w:rsidRDefault="00FF2DF6" w14:paraId="6268C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−1 623</w:t>
            </w:r>
          </w:p>
        </w:tc>
      </w:tr>
      <w:tr w:rsidRPr="006B7451" w:rsidR="00FF2DF6" w:rsidTr="00FF2DF6" w14:paraId="098DF4C6"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6B8B8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6B7451" w:rsidR="00FF2DF6" w:rsidP="00FF2DF6" w:rsidRDefault="00FF2DF6" w14:paraId="638A3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6B7451" w:rsidR="00FF2DF6" w:rsidP="00FF2DF6" w:rsidRDefault="00FF2DF6" w14:paraId="47710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c>
          <w:tcPr>
            <w:tcW w:w="1418" w:type="dxa"/>
            <w:shd w:val="clear" w:color="auto" w:fill="FFFFFF"/>
            <w:tcMar>
              <w:top w:w="68" w:type="dxa"/>
              <w:left w:w="28" w:type="dxa"/>
              <w:bottom w:w="0" w:type="dxa"/>
              <w:right w:w="28" w:type="dxa"/>
            </w:tcMar>
            <w:hideMark/>
          </w:tcPr>
          <w:p w:rsidRPr="006B7451" w:rsidR="00FF2DF6" w:rsidP="00FF2DF6" w:rsidRDefault="00FF2DF6" w14:paraId="568D6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3 000</w:t>
            </w:r>
          </w:p>
        </w:tc>
      </w:tr>
      <w:tr w:rsidRPr="006B7451" w:rsidR="00FF2DF6" w:rsidTr="00FF2DF6" w14:paraId="6434A68D"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25F418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6B7451" w:rsidR="00FF2DF6" w:rsidP="00FF2DF6" w:rsidRDefault="00FF2DF6" w14:paraId="20557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6B7451" w:rsidR="00FF2DF6" w:rsidP="00FF2DF6" w:rsidRDefault="00FF2DF6" w14:paraId="0A446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7D7DF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59225B5" w14:textId="77777777">
        <w:trPr>
          <w:trHeight w:val="170"/>
        </w:trPr>
        <w:tc>
          <w:tcPr>
            <w:tcW w:w="340" w:type="dxa"/>
            <w:shd w:val="clear" w:color="auto" w:fill="FFFFFF"/>
            <w:tcMar>
              <w:top w:w="68" w:type="dxa"/>
              <w:left w:w="28" w:type="dxa"/>
              <w:bottom w:w="0" w:type="dxa"/>
              <w:right w:w="150" w:type="dxa"/>
            </w:tcMar>
            <w:hideMark/>
          </w:tcPr>
          <w:p w:rsidRPr="006B7451" w:rsidR="00FF2DF6" w:rsidP="00FF2DF6" w:rsidRDefault="00FF2DF6" w14:paraId="52E66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6B7451" w:rsidR="00FF2DF6" w:rsidP="00FF2DF6" w:rsidRDefault="00FF2DF6" w14:paraId="6C1708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6B7451" w:rsidR="00FF2DF6" w:rsidP="00FF2DF6" w:rsidRDefault="00FF2DF6" w14:paraId="4AA3D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0A5FB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01520B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22BD58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508B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−25 542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4ABDD8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−32 606</w:t>
            </w:r>
          </w:p>
        </w:tc>
      </w:tr>
      <w:tr w:rsidRPr="006B7451" w:rsidR="00FF2DF6" w:rsidTr="00FF2DF6" w14:paraId="0734B3DD" w14:textId="77777777">
        <w:trPr>
          <w:trHeight w:val="170"/>
        </w:trPr>
        <w:tc>
          <w:tcPr>
            <w:tcW w:w="4139" w:type="dxa"/>
            <w:gridSpan w:val="2"/>
            <w:shd w:val="clear" w:color="auto" w:fill="FFFFFF"/>
            <w:tcMar>
              <w:top w:w="68" w:type="dxa"/>
              <w:left w:w="28" w:type="dxa"/>
              <w:bottom w:w="0" w:type="dxa"/>
              <w:right w:w="28" w:type="dxa"/>
            </w:tcMar>
            <w:hideMark/>
          </w:tcPr>
          <w:p w:rsidRPr="006B7451" w:rsidR="00FF2DF6" w:rsidP="00FF2DF6" w:rsidRDefault="00FF2DF6" w14:paraId="7594F1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6B7451" w:rsidR="00FF2DF6" w:rsidP="00FF2DF6" w:rsidRDefault="00FF2DF6" w14:paraId="6E099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00C7A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7DD650E"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0BE4C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6400B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−25 542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0B78E4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−32 606</w:t>
            </w:r>
          </w:p>
        </w:tc>
      </w:tr>
      <w:tr w:rsidRPr="006B7451" w:rsidR="00FF2DF6" w:rsidTr="00FF2DF6" w14:paraId="5E5232BB" w14:textId="77777777">
        <w:trPr>
          <w:trHeight w:val="170"/>
        </w:trPr>
        <w:tc>
          <w:tcPr>
            <w:tcW w:w="4139" w:type="dxa"/>
            <w:gridSpan w:val="2"/>
            <w:shd w:val="clear" w:color="auto" w:fill="FFFFFF"/>
            <w:tcMar>
              <w:top w:w="68" w:type="dxa"/>
              <w:left w:w="28" w:type="dxa"/>
              <w:bottom w:w="0" w:type="dxa"/>
              <w:right w:w="28" w:type="dxa"/>
            </w:tcMar>
            <w:hideMark/>
          </w:tcPr>
          <w:p w:rsidRPr="006B7451" w:rsidR="00FF2DF6" w:rsidP="00FF2DF6" w:rsidRDefault="00FF2DF6" w14:paraId="437A9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6B7451" w:rsidR="00FF2DF6" w:rsidP="00FF2DF6" w:rsidRDefault="00FF2DF6" w14:paraId="50EA2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4175C6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9D6570" w14:paraId="60102CB0" w14:textId="77777777">
        <w:trPr>
          <w:trHeight w:val="170"/>
        </w:trPr>
        <w:tc>
          <w:tcPr>
            <w:tcW w:w="4139" w:type="dxa"/>
            <w:gridSpan w:val="2"/>
            <w:shd w:val="clear" w:color="auto" w:fill="FFFFFF"/>
            <w:tcMar>
              <w:top w:w="68" w:type="dxa"/>
              <w:left w:w="28" w:type="dxa"/>
              <w:bottom w:w="0" w:type="dxa"/>
              <w:right w:w="28" w:type="dxa"/>
            </w:tcMar>
            <w:hideMark/>
          </w:tcPr>
          <w:p w:rsidRPr="006B7451" w:rsidR="00FF2DF6" w:rsidP="00FF2DF6" w:rsidRDefault="00FF2DF6" w14:paraId="12710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6B7451" w:rsidR="00FF2DF6" w:rsidP="00FF2DF6" w:rsidRDefault="00FF2DF6" w14:paraId="1676B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63877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9D6570" w14:paraId="4D201E92" w14:textId="77777777">
        <w:trPr>
          <w:trHeight w:val="170"/>
        </w:trPr>
        <w:tc>
          <w:tcPr>
            <w:tcW w:w="4139" w:type="dxa"/>
            <w:gridSpan w:val="2"/>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678F4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7DB85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−25 542</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2327E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−32 606</w:t>
            </w:r>
          </w:p>
        </w:tc>
      </w:tr>
    </w:tbl>
    <w:p w:rsidRPr="006B7451" w:rsidR="008A7FDF" w:rsidP="00ED5D60" w:rsidRDefault="008A7FDF" w14:paraId="231A5496" w14:textId="29FC12F7">
      <w:pPr>
        <w:pStyle w:val="Rubrik2numrerat"/>
      </w:pPr>
      <w:bookmarkStart w:name="_Toc121752717" w:id="213"/>
      <w:r w:rsidRPr="006B7451">
        <w:t>Beräkning av statsbudgetens inkomster 202</w:t>
      </w:r>
      <w:r w:rsidRPr="006B7451" w:rsidR="00C02DED">
        <w:t>2</w:t>
      </w:r>
      <w:bookmarkEnd w:id="213"/>
    </w:p>
    <w:p w:rsidRPr="00A10312" w:rsidR="00FF2DF6" w:rsidP="009D6570" w:rsidRDefault="00FF2DF6" w14:paraId="02A36C1B" w14:textId="77777777">
      <w:pPr>
        <w:pStyle w:val="Tabellrubrik"/>
        <w:keepNext/>
      </w:pPr>
      <w:r w:rsidRPr="00A10312">
        <w:t>Inkomster</w:t>
      </w:r>
    </w:p>
    <w:p w:rsidRPr="00A10312" w:rsidR="00FF2DF6" w:rsidP="00A10312" w:rsidRDefault="00FF2DF6" w14:paraId="3A8D05F1" w14:textId="77777777">
      <w:pPr>
        <w:pStyle w:val="Tabellunderrubrik"/>
      </w:pPr>
      <w:r w:rsidRPr="00A1031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6B7451" w:rsidR="00FF2DF6" w:rsidTr="00B473CF" w14:paraId="79EF1EB1"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FF2DF6" w:rsidP="00FF2DF6" w:rsidRDefault="00FF2DF6" w14:paraId="4F29D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125DE5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B7451" w:rsidR="00FF2DF6" w:rsidP="00FF2DF6" w:rsidRDefault="00FF2DF6" w14:paraId="374C0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FF2DF6" w:rsidTr="00FF2DF6" w14:paraId="3D12A61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5797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hideMark/>
          </w:tcPr>
          <w:p w:rsidRPr="006B7451" w:rsidR="00FF2DF6" w:rsidP="00FF2DF6" w:rsidRDefault="00FF2DF6" w14:paraId="7FB45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699 968 626</w:t>
            </w:r>
          </w:p>
        </w:tc>
        <w:tc>
          <w:tcPr>
            <w:tcW w:w="1418" w:type="dxa"/>
            <w:shd w:val="clear" w:color="auto" w:fill="FFFFFF"/>
            <w:tcMar>
              <w:top w:w="68" w:type="dxa"/>
              <w:left w:w="28" w:type="dxa"/>
              <w:bottom w:w="0" w:type="dxa"/>
              <w:right w:w="28" w:type="dxa"/>
            </w:tcMar>
            <w:hideMark/>
          </w:tcPr>
          <w:p w:rsidRPr="006B7451" w:rsidR="00FF2DF6" w:rsidP="00FF2DF6" w:rsidRDefault="00FF2DF6" w14:paraId="43BCC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−11 223 000</w:t>
            </w:r>
          </w:p>
        </w:tc>
      </w:tr>
      <w:tr w:rsidRPr="006B7451" w:rsidR="00FF2DF6" w:rsidTr="00FF2DF6" w14:paraId="1F0EC80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F7B8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hideMark/>
          </w:tcPr>
          <w:p w:rsidRPr="006B7451" w:rsidR="00FF2DF6" w:rsidP="00FF2DF6" w:rsidRDefault="00FF2DF6" w14:paraId="11714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54 707 724</w:t>
            </w:r>
          </w:p>
        </w:tc>
        <w:tc>
          <w:tcPr>
            <w:tcW w:w="1418" w:type="dxa"/>
            <w:shd w:val="clear" w:color="auto" w:fill="FFFFFF"/>
            <w:tcMar>
              <w:top w:w="68" w:type="dxa"/>
              <w:left w:w="28" w:type="dxa"/>
              <w:bottom w:w="0" w:type="dxa"/>
              <w:right w:w="28" w:type="dxa"/>
            </w:tcMar>
            <w:hideMark/>
          </w:tcPr>
          <w:p w:rsidRPr="006B7451" w:rsidR="00FF2DF6" w:rsidP="00FF2DF6" w:rsidRDefault="00FF2DF6" w14:paraId="413B6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−931 000</w:t>
            </w:r>
          </w:p>
        </w:tc>
      </w:tr>
      <w:tr w:rsidRPr="006B7451" w:rsidR="00FF2DF6" w:rsidTr="00FF2DF6" w14:paraId="34B4D235"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51CF2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hideMark/>
          </w:tcPr>
          <w:p w:rsidRPr="006B7451" w:rsidR="00FF2DF6" w:rsidP="00FF2DF6" w:rsidRDefault="00FF2DF6" w14:paraId="128C8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829 121 840</w:t>
            </w:r>
          </w:p>
        </w:tc>
        <w:tc>
          <w:tcPr>
            <w:tcW w:w="1418" w:type="dxa"/>
            <w:shd w:val="clear" w:color="auto" w:fill="FFFFFF"/>
            <w:tcMar>
              <w:top w:w="68" w:type="dxa"/>
              <w:left w:w="28" w:type="dxa"/>
              <w:bottom w:w="0" w:type="dxa"/>
              <w:right w:w="28" w:type="dxa"/>
            </w:tcMar>
            <w:hideMark/>
          </w:tcPr>
          <w:p w:rsidRPr="006B7451" w:rsidR="00FF2DF6" w:rsidP="00FF2DF6" w:rsidRDefault="00FF2DF6" w14:paraId="34AEE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−1 267 000</w:t>
            </w:r>
          </w:p>
        </w:tc>
      </w:tr>
      <w:tr w:rsidRPr="006B7451" w:rsidR="00FF2DF6" w:rsidTr="00FF2DF6" w14:paraId="36F6DDC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7F11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hideMark/>
          </w:tcPr>
          <w:p w:rsidRPr="006B7451" w:rsidR="00FF2DF6" w:rsidP="00FF2DF6" w:rsidRDefault="00FF2DF6" w14:paraId="173EA5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142 000 175</w:t>
            </w:r>
          </w:p>
        </w:tc>
        <w:tc>
          <w:tcPr>
            <w:tcW w:w="1418" w:type="dxa"/>
            <w:shd w:val="clear" w:color="auto" w:fill="FFFFFF"/>
            <w:tcMar>
              <w:top w:w="68" w:type="dxa"/>
              <w:left w:w="28" w:type="dxa"/>
              <w:bottom w:w="0" w:type="dxa"/>
              <w:right w:w="28" w:type="dxa"/>
            </w:tcMar>
            <w:hideMark/>
          </w:tcPr>
          <w:p w:rsidRPr="006B7451" w:rsidR="00FF2DF6" w:rsidP="00FF2DF6" w:rsidRDefault="00FF2DF6" w14:paraId="596C9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30 000</w:t>
            </w:r>
          </w:p>
        </w:tc>
      </w:tr>
      <w:tr w:rsidRPr="006B7451" w:rsidR="00FF2DF6" w:rsidTr="00FF2DF6" w14:paraId="35DB5C12"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7A75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hideMark/>
          </w:tcPr>
          <w:p w:rsidRPr="006B7451" w:rsidR="00FF2DF6" w:rsidP="00FF2DF6" w:rsidRDefault="00FF2DF6" w14:paraId="2A8759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2575D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1C799077"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B67E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hideMark/>
          </w:tcPr>
          <w:p w:rsidRPr="006B7451" w:rsidR="00FF2DF6" w:rsidP="00FF2DF6" w:rsidRDefault="00FF2DF6" w14:paraId="1B4F39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−325 861 113</w:t>
            </w:r>
          </w:p>
        </w:tc>
        <w:tc>
          <w:tcPr>
            <w:tcW w:w="1418" w:type="dxa"/>
            <w:shd w:val="clear" w:color="auto" w:fill="FFFFFF"/>
            <w:tcMar>
              <w:top w:w="68" w:type="dxa"/>
              <w:left w:w="28" w:type="dxa"/>
              <w:bottom w:w="0" w:type="dxa"/>
              <w:right w:w="28" w:type="dxa"/>
            </w:tcMar>
            <w:hideMark/>
          </w:tcPr>
          <w:p w:rsidRPr="006B7451" w:rsidR="00FF2DF6" w:rsidP="00FF2DF6" w:rsidRDefault="00FF2DF6" w14:paraId="496AA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−9 055 000</w:t>
            </w:r>
          </w:p>
        </w:tc>
      </w:tr>
      <w:tr w:rsidRPr="006B7451" w:rsidR="00FF2DF6" w:rsidTr="00FF2DF6" w14:paraId="09B577F8"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7EA7E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53241924"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1C82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hideMark/>
          </w:tcPr>
          <w:p w:rsidRPr="006B7451" w:rsidR="00FF2DF6" w:rsidP="00FF2DF6" w:rsidRDefault="00FF2DF6" w14:paraId="47320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656 081 264</w:t>
            </w:r>
          </w:p>
        </w:tc>
        <w:tc>
          <w:tcPr>
            <w:tcW w:w="1418" w:type="dxa"/>
            <w:shd w:val="clear" w:color="auto" w:fill="FFFFFF"/>
            <w:tcMar>
              <w:top w:w="68" w:type="dxa"/>
              <w:left w:w="28" w:type="dxa"/>
              <w:bottom w:w="0" w:type="dxa"/>
              <w:right w:w="28" w:type="dxa"/>
            </w:tcMar>
            <w:hideMark/>
          </w:tcPr>
          <w:p w:rsidRPr="006B7451" w:rsidR="00FF2DF6" w:rsidP="00FF2DF6" w:rsidRDefault="00FF2DF6" w14:paraId="65C50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−482 000</w:t>
            </w:r>
          </w:p>
        </w:tc>
      </w:tr>
      <w:tr w:rsidRPr="006B7451" w:rsidR="00FF2DF6" w:rsidTr="00FF2DF6" w14:paraId="073E1E29"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AE56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hideMark/>
          </w:tcPr>
          <w:p w:rsidRPr="006B7451" w:rsidR="00FF2DF6" w:rsidP="00FF2DF6" w:rsidRDefault="00FF2DF6" w14:paraId="3EBF4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650 550 006</w:t>
            </w:r>
          </w:p>
        </w:tc>
        <w:tc>
          <w:tcPr>
            <w:tcW w:w="1418" w:type="dxa"/>
            <w:shd w:val="clear" w:color="auto" w:fill="FFFFFF"/>
            <w:tcMar>
              <w:top w:w="68" w:type="dxa"/>
              <w:left w:w="28" w:type="dxa"/>
              <w:bottom w:w="0" w:type="dxa"/>
              <w:right w:w="28" w:type="dxa"/>
            </w:tcMar>
            <w:hideMark/>
          </w:tcPr>
          <w:p w:rsidRPr="006B7451" w:rsidR="00FF2DF6" w:rsidP="00FF2DF6" w:rsidRDefault="00FF2DF6" w14:paraId="4A71B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−502 000</w:t>
            </w:r>
          </w:p>
        </w:tc>
      </w:tr>
      <w:tr w:rsidRPr="006B7451" w:rsidR="00FF2DF6" w:rsidTr="00FF2DF6" w14:paraId="5B93FFC5"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517D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hideMark/>
          </w:tcPr>
          <w:p w:rsidRPr="006B7451" w:rsidR="00FF2DF6" w:rsidP="00FF2DF6" w:rsidRDefault="00FF2DF6" w14:paraId="2DD4B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13 916 853</w:t>
            </w:r>
          </w:p>
        </w:tc>
        <w:tc>
          <w:tcPr>
            <w:tcW w:w="1418" w:type="dxa"/>
            <w:shd w:val="clear" w:color="auto" w:fill="FFFFFF"/>
            <w:tcMar>
              <w:top w:w="68" w:type="dxa"/>
              <w:left w:w="28" w:type="dxa"/>
              <w:bottom w:w="0" w:type="dxa"/>
              <w:right w:w="28" w:type="dxa"/>
            </w:tcMar>
            <w:hideMark/>
          </w:tcPr>
          <w:p w:rsidRPr="006B7451" w:rsidR="00FF2DF6" w:rsidP="00FF2DF6" w:rsidRDefault="00FF2DF6" w14:paraId="53DCE0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54EE625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7C80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hideMark/>
          </w:tcPr>
          <w:p w:rsidRPr="006B7451" w:rsidR="00FF2DF6" w:rsidP="00FF2DF6" w:rsidRDefault="00FF2DF6" w14:paraId="2EC66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−44 607 084</w:t>
            </w:r>
          </w:p>
        </w:tc>
        <w:tc>
          <w:tcPr>
            <w:tcW w:w="1418" w:type="dxa"/>
            <w:shd w:val="clear" w:color="auto" w:fill="FFFFFF"/>
            <w:tcMar>
              <w:top w:w="68" w:type="dxa"/>
              <w:left w:w="28" w:type="dxa"/>
              <w:bottom w:w="0" w:type="dxa"/>
              <w:right w:w="28" w:type="dxa"/>
            </w:tcMar>
            <w:hideMark/>
          </w:tcPr>
          <w:p w:rsidRPr="006B7451" w:rsidR="00FF2DF6" w:rsidP="00FF2DF6" w:rsidRDefault="00FF2DF6" w14:paraId="0C167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20 000</w:t>
            </w:r>
          </w:p>
        </w:tc>
      </w:tr>
      <w:tr w:rsidRPr="006B7451" w:rsidR="00FF2DF6" w:rsidTr="00FF2DF6" w14:paraId="027EE7F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8403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hideMark/>
          </w:tcPr>
          <w:p w:rsidRPr="006B7451" w:rsidR="00FF2DF6" w:rsidP="00FF2DF6" w:rsidRDefault="00FF2DF6" w14:paraId="3397C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54 580 049</w:t>
            </w:r>
          </w:p>
        </w:tc>
        <w:tc>
          <w:tcPr>
            <w:tcW w:w="1418" w:type="dxa"/>
            <w:shd w:val="clear" w:color="auto" w:fill="FFFFFF"/>
            <w:tcMar>
              <w:top w:w="68" w:type="dxa"/>
              <w:left w:w="28" w:type="dxa"/>
              <w:bottom w:w="0" w:type="dxa"/>
              <w:right w:w="28" w:type="dxa"/>
            </w:tcMar>
            <w:hideMark/>
          </w:tcPr>
          <w:p w:rsidRPr="006B7451" w:rsidR="00FF2DF6" w:rsidP="00FF2DF6" w:rsidRDefault="00FF2DF6" w14:paraId="603C4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8AC1A6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994B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hideMark/>
          </w:tcPr>
          <w:p w:rsidRPr="006B7451" w:rsidR="00FF2DF6" w:rsidP="00FF2DF6" w:rsidRDefault="00FF2DF6" w14:paraId="385A7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−18 948 405</w:t>
            </w:r>
          </w:p>
        </w:tc>
        <w:tc>
          <w:tcPr>
            <w:tcW w:w="1418" w:type="dxa"/>
            <w:shd w:val="clear" w:color="auto" w:fill="FFFFFF"/>
            <w:tcMar>
              <w:top w:w="68" w:type="dxa"/>
              <w:left w:w="28" w:type="dxa"/>
              <w:bottom w:w="0" w:type="dxa"/>
              <w:right w:w="28" w:type="dxa"/>
            </w:tcMar>
            <w:hideMark/>
          </w:tcPr>
          <w:p w:rsidRPr="006B7451" w:rsidR="00FF2DF6" w:rsidP="00FF2DF6" w:rsidRDefault="00FF2DF6" w14:paraId="027E0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DCC5CE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D7EC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hideMark/>
          </w:tcPr>
          <w:p w:rsidRPr="006B7451" w:rsidR="00FF2DF6" w:rsidP="00FF2DF6" w:rsidRDefault="00FF2DF6" w14:paraId="44174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589 845</w:t>
            </w:r>
          </w:p>
        </w:tc>
        <w:tc>
          <w:tcPr>
            <w:tcW w:w="1418" w:type="dxa"/>
            <w:shd w:val="clear" w:color="auto" w:fill="FFFFFF"/>
            <w:tcMar>
              <w:top w:w="68" w:type="dxa"/>
              <w:left w:w="28" w:type="dxa"/>
              <w:bottom w:w="0" w:type="dxa"/>
              <w:right w:w="28" w:type="dxa"/>
            </w:tcMar>
            <w:hideMark/>
          </w:tcPr>
          <w:p w:rsidRPr="006B7451" w:rsidR="00FF2DF6" w:rsidP="00FF2DF6" w:rsidRDefault="00FF2DF6" w14:paraId="4C413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6743546E"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4157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5E2530D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D0AF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hideMark/>
          </w:tcPr>
          <w:p w:rsidRPr="006B7451" w:rsidR="00FF2DF6" w:rsidP="00FF2DF6" w:rsidRDefault="00FF2DF6" w14:paraId="496E4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316 724 321</w:t>
            </w:r>
          </w:p>
        </w:tc>
        <w:tc>
          <w:tcPr>
            <w:tcW w:w="1418" w:type="dxa"/>
            <w:shd w:val="clear" w:color="auto" w:fill="FFFFFF"/>
            <w:tcMar>
              <w:top w:w="68" w:type="dxa"/>
              <w:left w:w="28" w:type="dxa"/>
              <w:bottom w:w="0" w:type="dxa"/>
              <w:right w:w="28" w:type="dxa"/>
            </w:tcMar>
            <w:hideMark/>
          </w:tcPr>
          <w:p w:rsidRPr="006B7451" w:rsidR="00FF2DF6" w:rsidP="00FF2DF6" w:rsidRDefault="00FF2DF6" w14:paraId="263F1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−250 000</w:t>
            </w:r>
          </w:p>
        </w:tc>
      </w:tr>
      <w:tr w:rsidRPr="006B7451" w:rsidR="00FF2DF6" w:rsidTr="00FF2DF6" w14:paraId="3966A63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3D062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hideMark/>
          </w:tcPr>
          <w:p w:rsidRPr="006B7451" w:rsidR="00FF2DF6" w:rsidP="00FF2DF6" w:rsidRDefault="00FF2DF6" w14:paraId="7C710E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86 042 613</w:t>
            </w:r>
          </w:p>
        </w:tc>
        <w:tc>
          <w:tcPr>
            <w:tcW w:w="1418" w:type="dxa"/>
            <w:shd w:val="clear" w:color="auto" w:fill="FFFFFF"/>
            <w:tcMar>
              <w:top w:w="68" w:type="dxa"/>
              <w:left w:w="28" w:type="dxa"/>
              <w:bottom w:w="0" w:type="dxa"/>
              <w:right w:w="28" w:type="dxa"/>
            </w:tcMar>
            <w:hideMark/>
          </w:tcPr>
          <w:p w:rsidRPr="006B7451" w:rsidR="00FF2DF6" w:rsidP="00FF2DF6" w:rsidRDefault="00FF2DF6" w14:paraId="183B6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−600 000</w:t>
            </w:r>
          </w:p>
        </w:tc>
      </w:tr>
      <w:tr w:rsidRPr="006B7451" w:rsidR="00FF2DF6" w:rsidTr="00FF2DF6" w14:paraId="7EF0FC55"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20424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hideMark/>
          </w:tcPr>
          <w:p w:rsidRPr="006B7451" w:rsidR="00FF2DF6" w:rsidP="00FF2DF6" w:rsidRDefault="00FF2DF6" w14:paraId="63F3D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166 837 235</w:t>
            </w:r>
          </w:p>
        </w:tc>
        <w:tc>
          <w:tcPr>
            <w:tcW w:w="1418" w:type="dxa"/>
            <w:shd w:val="clear" w:color="auto" w:fill="FFFFFF"/>
            <w:tcMar>
              <w:top w:w="68" w:type="dxa"/>
              <w:left w:w="28" w:type="dxa"/>
              <w:bottom w:w="0" w:type="dxa"/>
              <w:right w:w="28" w:type="dxa"/>
            </w:tcMar>
            <w:hideMark/>
          </w:tcPr>
          <w:p w:rsidRPr="006B7451" w:rsidR="00FF2DF6" w:rsidP="00FF2DF6" w:rsidRDefault="00FF2DF6" w14:paraId="1BCF6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1 010 000</w:t>
            </w:r>
          </w:p>
        </w:tc>
      </w:tr>
      <w:tr w:rsidRPr="006B7451" w:rsidR="00FF2DF6" w:rsidTr="00FF2DF6" w14:paraId="08E9C8B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E0D5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hideMark/>
          </w:tcPr>
          <w:p w:rsidRPr="006B7451" w:rsidR="00FF2DF6" w:rsidP="00FF2DF6" w:rsidRDefault="00FF2DF6" w14:paraId="5FD60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5 759 753</w:t>
            </w:r>
          </w:p>
        </w:tc>
        <w:tc>
          <w:tcPr>
            <w:tcW w:w="1418" w:type="dxa"/>
            <w:shd w:val="clear" w:color="auto" w:fill="FFFFFF"/>
            <w:tcMar>
              <w:top w:w="68" w:type="dxa"/>
              <w:left w:w="28" w:type="dxa"/>
              <w:bottom w:w="0" w:type="dxa"/>
              <w:right w:w="28" w:type="dxa"/>
            </w:tcMar>
            <w:hideMark/>
          </w:tcPr>
          <w:p w:rsidRPr="006B7451" w:rsidR="00FF2DF6" w:rsidP="00FF2DF6" w:rsidRDefault="00FF2DF6" w14:paraId="322322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7B449B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BC6B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hideMark/>
          </w:tcPr>
          <w:p w:rsidRPr="006B7451" w:rsidR="00FF2DF6" w:rsidP="00FF2DF6" w:rsidRDefault="00FF2DF6" w14:paraId="62B3E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7 423 010</w:t>
            </w:r>
          </w:p>
        </w:tc>
        <w:tc>
          <w:tcPr>
            <w:tcW w:w="1418" w:type="dxa"/>
            <w:shd w:val="clear" w:color="auto" w:fill="FFFFFF"/>
            <w:tcMar>
              <w:top w:w="68" w:type="dxa"/>
              <w:left w:w="28" w:type="dxa"/>
              <w:bottom w:w="0" w:type="dxa"/>
              <w:right w:w="28" w:type="dxa"/>
            </w:tcMar>
            <w:hideMark/>
          </w:tcPr>
          <w:p w:rsidRPr="006B7451" w:rsidR="00FF2DF6" w:rsidP="00FF2DF6" w:rsidRDefault="00FF2DF6" w14:paraId="2ADCE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−500 000</w:t>
            </w:r>
          </w:p>
        </w:tc>
      </w:tr>
      <w:tr w:rsidRPr="006B7451" w:rsidR="00FF2DF6" w:rsidTr="00FF2DF6" w14:paraId="5813BD2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A7D6A9E" w14:textId="06B874F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1350 Fastighet</w:t>
            </w:r>
            <w:r w:rsidR="00EA2309">
              <w:rPr>
                <w:rFonts w:ascii="Times New Roman" w:hAnsi="Times New Roman" w:eastAsia="Times New Roman" w:cs="Times New Roman"/>
                <w:color w:val="000000"/>
                <w:kern w:val="0"/>
                <w:sz w:val="20"/>
                <w:szCs w:val="20"/>
                <w:lang w:eastAsia="sv-SE"/>
                <w14:numSpacing w14:val="default"/>
              </w:rPr>
              <w:t>s</w:t>
            </w:r>
            <w:r w:rsidRPr="006B7451">
              <w:rPr>
                <w:rFonts w:ascii="Times New Roman" w:hAnsi="Times New Roman" w:eastAsia="Times New Roman" w:cs="Times New Roman"/>
                <w:color w:val="000000"/>
                <w:kern w:val="0"/>
                <w:sz w:val="20"/>
                <w:szCs w:val="20"/>
                <w:lang w:eastAsia="sv-SE"/>
                <w14:numSpacing w14:val="default"/>
              </w:rPr>
              <w:t>skatt</w:t>
            </w:r>
          </w:p>
        </w:tc>
        <w:tc>
          <w:tcPr>
            <w:tcW w:w="1418" w:type="dxa"/>
            <w:shd w:val="clear" w:color="auto" w:fill="FFFFFF"/>
            <w:tcMar>
              <w:top w:w="68" w:type="dxa"/>
              <w:left w:w="28" w:type="dxa"/>
              <w:bottom w:w="0" w:type="dxa"/>
              <w:right w:w="28" w:type="dxa"/>
            </w:tcMar>
            <w:hideMark/>
          </w:tcPr>
          <w:p w:rsidRPr="006B7451" w:rsidR="00FF2DF6" w:rsidP="00FF2DF6" w:rsidRDefault="00FF2DF6" w14:paraId="187007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35 927 402</w:t>
            </w:r>
          </w:p>
        </w:tc>
        <w:tc>
          <w:tcPr>
            <w:tcW w:w="1418" w:type="dxa"/>
            <w:shd w:val="clear" w:color="auto" w:fill="FFFFFF"/>
            <w:tcMar>
              <w:top w:w="68" w:type="dxa"/>
              <w:left w:w="28" w:type="dxa"/>
              <w:bottom w:w="0" w:type="dxa"/>
              <w:right w:w="28" w:type="dxa"/>
            </w:tcMar>
            <w:hideMark/>
          </w:tcPr>
          <w:p w:rsidRPr="006B7451" w:rsidR="00FF2DF6" w:rsidP="00FF2DF6" w:rsidRDefault="00FF2DF6" w14:paraId="1CDFF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−160 000</w:t>
            </w:r>
          </w:p>
        </w:tc>
      </w:tr>
      <w:tr w:rsidRPr="006B7451" w:rsidR="00FF2DF6" w:rsidTr="00FF2DF6" w14:paraId="6B2DFBC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84D2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1360 Stämpelskatt</w:t>
            </w:r>
          </w:p>
        </w:tc>
        <w:tc>
          <w:tcPr>
            <w:tcW w:w="1418" w:type="dxa"/>
            <w:shd w:val="clear" w:color="auto" w:fill="FFFFFF"/>
            <w:tcMar>
              <w:top w:w="68" w:type="dxa"/>
              <w:left w:w="28" w:type="dxa"/>
              <w:bottom w:w="0" w:type="dxa"/>
              <w:right w:w="28" w:type="dxa"/>
            </w:tcMar>
            <w:hideMark/>
          </w:tcPr>
          <w:p w:rsidRPr="006B7451" w:rsidR="00FF2DF6" w:rsidP="00FF2DF6" w:rsidRDefault="00FF2DF6" w14:paraId="13D0E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14 734 308</w:t>
            </w:r>
          </w:p>
        </w:tc>
        <w:tc>
          <w:tcPr>
            <w:tcW w:w="1418" w:type="dxa"/>
            <w:shd w:val="clear" w:color="auto" w:fill="FFFFFF"/>
            <w:tcMar>
              <w:top w:w="68" w:type="dxa"/>
              <w:left w:w="28" w:type="dxa"/>
              <w:bottom w:w="0" w:type="dxa"/>
              <w:right w:w="28" w:type="dxa"/>
            </w:tcMar>
            <w:hideMark/>
          </w:tcPr>
          <w:p w:rsidRPr="006B7451" w:rsidR="00FF2DF6" w:rsidP="00FF2DF6" w:rsidRDefault="00FF2DF6" w14:paraId="4F898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55854C62"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5E21E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6A598DB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5D03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hideMark/>
          </w:tcPr>
          <w:p w:rsidRPr="006B7451" w:rsidR="00FF2DF6" w:rsidP="00FF2DF6" w:rsidRDefault="00FF2DF6" w14:paraId="50B72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671 957 954</w:t>
            </w:r>
          </w:p>
        </w:tc>
        <w:tc>
          <w:tcPr>
            <w:tcW w:w="1418" w:type="dxa"/>
            <w:shd w:val="clear" w:color="auto" w:fill="FFFFFF"/>
            <w:tcMar>
              <w:top w:w="68" w:type="dxa"/>
              <w:left w:w="28" w:type="dxa"/>
              <w:bottom w:w="0" w:type="dxa"/>
              <w:right w:w="28" w:type="dxa"/>
            </w:tcMar>
            <w:hideMark/>
          </w:tcPr>
          <w:p w:rsidRPr="006B7451" w:rsidR="00FF2DF6" w:rsidP="00FF2DF6" w:rsidRDefault="00FF2DF6" w14:paraId="1DC00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−6 112 000</w:t>
            </w:r>
          </w:p>
        </w:tc>
      </w:tr>
      <w:tr w:rsidRPr="006B7451" w:rsidR="00FF2DF6" w:rsidTr="00FF2DF6" w14:paraId="098274A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89F64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1410 Mervärdesskatt, hushåll</w:t>
            </w:r>
          </w:p>
        </w:tc>
        <w:tc>
          <w:tcPr>
            <w:tcW w:w="1418" w:type="dxa"/>
            <w:shd w:val="clear" w:color="auto" w:fill="FFFFFF"/>
            <w:tcMar>
              <w:top w:w="68" w:type="dxa"/>
              <w:left w:w="28" w:type="dxa"/>
              <w:bottom w:w="0" w:type="dxa"/>
              <w:right w:w="28" w:type="dxa"/>
            </w:tcMar>
            <w:hideMark/>
          </w:tcPr>
          <w:p w:rsidRPr="006B7451" w:rsidR="00FF2DF6" w:rsidP="00FF2DF6" w:rsidRDefault="00FF2DF6" w14:paraId="65E33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526 816 803</w:t>
            </w:r>
          </w:p>
        </w:tc>
        <w:tc>
          <w:tcPr>
            <w:tcW w:w="1418" w:type="dxa"/>
            <w:shd w:val="clear" w:color="auto" w:fill="FFFFFF"/>
            <w:tcMar>
              <w:top w:w="68" w:type="dxa"/>
              <w:left w:w="28" w:type="dxa"/>
              <w:bottom w:w="0" w:type="dxa"/>
              <w:right w:w="28" w:type="dxa"/>
            </w:tcMar>
            <w:hideMark/>
          </w:tcPr>
          <w:p w:rsidRPr="006B7451" w:rsidR="00FF2DF6" w:rsidP="00FF2DF6" w:rsidRDefault="00FF2DF6" w14:paraId="581DC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−572 000</w:t>
            </w:r>
          </w:p>
        </w:tc>
      </w:tr>
      <w:tr w:rsidRPr="006B7451" w:rsidR="00FF2DF6" w:rsidTr="00FF2DF6" w14:paraId="7A9FA5A4"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CC29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hideMark/>
          </w:tcPr>
          <w:p w:rsidRPr="006B7451" w:rsidR="00FF2DF6" w:rsidP="00FF2DF6" w:rsidRDefault="00FF2DF6" w14:paraId="7FABC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28 519 640</w:t>
            </w:r>
          </w:p>
        </w:tc>
        <w:tc>
          <w:tcPr>
            <w:tcW w:w="1418" w:type="dxa"/>
            <w:shd w:val="clear" w:color="auto" w:fill="FFFFFF"/>
            <w:tcMar>
              <w:top w:w="68" w:type="dxa"/>
              <w:left w:w="28" w:type="dxa"/>
              <w:bottom w:w="0" w:type="dxa"/>
              <w:right w:w="28" w:type="dxa"/>
            </w:tcMar>
            <w:hideMark/>
          </w:tcPr>
          <w:p w:rsidRPr="006B7451" w:rsidR="00FF2DF6" w:rsidP="00FF2DF6" w:rsidRDefault="00FF2DF6" w14:paraId="7C62F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10 000</w:t>
            </w:r>
          </w:p>
        </w:tc>
      </w:tr>
      <w:tr w:rsidRPr="006B7451" w:rsidR="00FF2DF6" w:rsidTr="00FF2DF6" w14:paraId="5E52465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9A28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6B7451" w:rsidR="00FF2DF6" w:rsidP="00FF2DF6" w:rsidRDefault="00FF2DF6" w14:paraId="4B4B38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56 482 051</w:t>
            </w:r>
          </w:p>
        </w:tc>
        <w:tc>
          <w:tcPr>
            <w:tcW w:w="1418" w:type="dxa"/>
            <w:shd w:val="clear" w:color="auto" w:fill="FFFFFF"/>
            <w:tcMar>
              <w:top w:w="68" w:type="dxa"/>
              <w:left w:w="28" w:type="dxa"/>
              <w:bottom w:w="0" w:type="dxa"/>
              <w:right w:w="28" w:type="dxa"/>
            </w:tcMar>
            <w:hideMark/>
          </w:tcPr>
          <w:p w:rsidRPr="006B7451" w:rsidR="00FF2DF6" w:rsidP="00FF2DF6" w:rsidRDefault="00FF2DF6" w14:paraId="1FCB8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2 420 000</w:t>
            </w:r>
          </w:p>
        </w:tc>
      </w:tr>
      <w:tr w:rsidRPr="006B7451" w:rsidR="00FF2DF6" w:rsidTr="00FF2DF6" w14:paraId="2905429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5608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6B7451" w:rsidR="00FF2DF6" w:rsidP="00FF2DF6" w:rsidRDefault="00FF2DF6" w14:paraId="32781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B7451" w:rsidR="00FF2DF6" w:rsidP="00FF2DF6" w:rsidRDefault="00FF2DF6" w14:paraId="4473C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BDEAF38"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9D83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hideMark/>
          </w:tcPr>
          <w:p w:rsidRPr="006B7451" w:rsidR="00FF2DF6" w:rsidP="00FF2DF6" w:rsidRDefault="00FF2DF6" w14:paraId="060BF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21 954 815</w:t>
            </w:r>
          </w:p>
        </w:tc>
        <w:tc>
          <w:tcPr>
            <w:tcW w:w="1418" w:type="dxa"/>
            <w:shd w:val="clear" w:color="auto" w:fill="FFFFFF"/>
            <w:tcMar>
              <w:top w:w="68" w:type="dxa"/>
              <w:left w:w="28" w:type="dxa"/>
              <w:bottom w:w="0" w:type="dxa"/>
              <w:right w:w="28" w:type="dxa"/>
            </w:tcMar>
            <w:hideMark/>
          </w:tcPr>
          <w:p w:rsidRPr="006B7451" w:rsidR="00FF2DF6" w:rsidP="00FF2DF6" w:rsidRDefault="00FF2DF6" w14:paraId="13C4B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−460 000</w:t>
            </w:r>
          </w:p>
        </w:tc>
      </w:tr>
      <w:tr w:rsidRPr="006B7451" w:rsidR="00FF2DF6" w:rsidTr="00FF2DF6" w14:paraId="7C64873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8F4F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hideMark/>
          </w:tcPr>
          <w:p w:rsidRPr="006B7451" w:rsidR="00FF2DF6" w:rsidP="00FF2DF6" w:rsidRDefault="00FF2DF6" w14:paraId="591CE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7 223 481</w:t>
            </w:r>
          </w:p>
        </w:tc>
        <w:tc>
          <w:tcPr>
            <w:tcW w:w="1418" w:type="dxa"/>
            <w:shd w:val="clear" w:color="auto" w:fill="FFFFFF"/>
            <w:tcMar>
              <w:top w:w="68" w:type="dxa"/>
              <w:left w:w="28" w:type="dxa"/>
              <w:bottom w:w="0" w:type="dxa"/>
              <w:right w:w="28" w:type="dxa"/>
            </w:tcMar>
            <w:hideMark/>
          </w:tcPr>
          <w:p w:rsidRPr="006B7451" w:rsidR="00FF2DF6" w:rsidP="00FF2DF6" w:rsidRDefault="00FF2DF6" w14:paraId="445B4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−3 180 000</w:t>
            </w:r>
          </w:p>
        </w:tc>
      </w:tr>
      <w:tr w:rsidRPr="006B7451" w:rsidR="00FF2DF6" w:rsidTr="00FF2DF6" w14:paraId="013346A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7A421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hideMark/>
          </w:tcPr>
          <w:p w:rsidRPr="006B7451" w:rsidR="00FF2DF6" w:rsidP="00FF2DF6" w:rsidRDefault="00FF2DF6" w14:paraId="2EAD85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23 400 368</w:t>
            </w:r>
          </w:p>
        </w:tc>
        <w:tc>
          <w:tcPr>
            <w:tcW w:w="1418" w:type="dxa"/>
            <w:shd w:val="clear" w:color="auto" w:fill="FFFFFF"/>
            <w:tcMar>
              <w:top w:w="68" w:type="dxa"/>
              <w:left w:w="28" w:type="dxa"/>
              <w:bottom w:w="0" w:type="dxa"/>
              <w:right w:w="28" w:type="dxa"/>
            </w:tcMar>
            <w:hideMark/>
          </w:tcPr>
          <w:p w:rsidRPr="006B7451" w:rsidR="00FF2DF6" w:rsidP="00FF2DF6" w:rsidRDefault="00FF2DF6" w14:paraId="51F6B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−4 330 000</w:t>
            </w:r>
          </w:p>
        </w:tc>
      </w:tr>
      <w:tr w:rsidRPr="006B7451" w:rsidR="00FF2DF6" w:rsidTr="00FF2DF6" w14:paraId="37F3F0EF"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72A9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hideMark/>
          </w:tcPr>
          <w:p w:rsidRPr="006B7451" w:rsidR="00FF2DF6" w:rsidP="00FF2DF6" w:rsidRDefault="00FF2DF6" w14:paraId="28A07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7 560 796</w:t>
            </w:r>
          </w:p>
        </w:tc>
        <w:tc>
          <w:tcPr>
            <w:tcW w:w="1418" w:type="dxa"/>
            <w:shd w:val="clear" w:color="auto" w:fill="FFFFFF"/>
            <w:tcMar>
              <w:top w:w="68" w:type="dxa"/>
              <w:left w:w="28" w:type="dxa"/>
              <w:bottom w:w="0" w:type="dxa"/>
              <w:right w:w="28" w:type="dxa"/>
            </w:tcMar>
            <w:hideMark/>
          </w:tcPr>
          <w:p w:rsidRPr="006B7451" w:rsidR="00FF2DF6" w:rsidP="00FF2DF6" w:rsidRDefault="00FF2DF6" w14:paraId="3007D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CD7212C"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46EE1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008C835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4206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hideMark/>
          </w:tcPr>
          <w:p w:rsidRPr="006B7451" w:rsidR="00FF2DF6" w:rsidP="00FF2DF6" w:rsidRDefault="00FF2DF6" w14:paraId="19D2B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6 990 812</w:t>
            </w:r>
          </w:p>
        </w:tc>
        <w:tc>
          <w:tcPr>
            <w:tcW w:w="1418" w:type="dxa"/>
            <w:shd w:val="clear" w:color="auto" w:fill="FFFFFF"/>
            <w:tcMar>
              <w:top w:w="68" w:type="dxa"/>
              <w:left w:w="28" w:type="dxa"/>
              <w:bottom w:w="0" w:type="dxa"/>
              <w:right w:w="28" w:type="dxa"/>
            </w:tcMar>
            <w:hideMark/>
          </w:tcPr>
          <w:p w:rsidRPr="006B7451" w:rsidR="00FF2DF6" w:rsidP="00FF2DF6" w:rsidRDefault="00FF2DF6" w14:paraId="43C89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53418882"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9984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3BDA300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41EC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hideMark/>
          </w:tcPr>
          <w:p w:rsidRPr="006B7451" w:rsidR="00FF2DF6" w:rsidP="00FF2DF6" w:rsidRDefault="00FF2DF6" w14:paraId="7B0FCD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14 227 748</w:t>
            </w:r>
          </w:p>
        </w:tc>
        <w:tc>
          <w:tcPr>
            <w:tcW w:w="1418" w:type="dxa"/>
            <w:shd w:val="clear" w:color="auto" w:fill="FFFFFF"/>
            <w:tcMar>
              <w:top w:w="68" w:type="dxa"/>
              <w:left w:w="28" w:type="dxa"/>
              <w:bottom w:w="0" w:type="dxa"/>
              <w:right w:w="28" w:type="dxa"/>
            </w:tcMar>
            <w:hideMark/>
          </w:tcPr>
          <w:p w:rsidRPr="006B7451" w:rsidR="00FF2DF6" w:rsidP="00FF2DF6" w:rsidRDefault="00FF2DF6" w14:paraId="285AB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25 000</w:t>
            </w:r>
          </w:p>
        </w:tc>
      </w:tr>
      <w:tr w:rsidRPr="006B7451" w:rsidR="00FF2DF6" w:rsidTr="00FF2DF6" w14:paraId="7C917950"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3C720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56DCA7B9"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3E7E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hideMark/>
          </w:tcPr>
          <w:p w:rsidRPr="006B7451" w:rsidR="00FF2DF6" w:rsidP="00FF2DF6" w:rsidRDefault="00FF2DF6" w14:paraId="233A98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−6 990 812</w:t>
            </w:r>
          </w:p>
        </w:tc>
        <w:tc>
          <w:tcPr>
            <w:tcW w:w="1418" w:type="dxa"/>
            <w:shd w:val="clear" w:color="auto" w:fill="FFFFFF"/>
            <w:tcMar>
              <w:top w:w="68" w:type="dxa"/>
              <w:left w:w="28" w:type="dxa"/>
              <w:bottom w:w="0" w:type="dxa"/>
              <w:right w:w="28" w:type="dxa"/>
            </w:tcMar>
            <w:hideMark/>
          </w:tcPr>
          <w:p w:rsidRPr="006B7451" w:rsidR="00FF2DF6" w:rsidP="00FF2DF6" w:rsidRDefault="00FF2DF6" w14:paraId="19FB4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32A0DE9A"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6A1B4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33143043"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0887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418" w:type="dxa"/>
            <w:shd w:val="clear" w:color="auto" w:fill="FFFFFF"/>
            <w:tcMar>
              <w:top w:w="68" w:type="dxa"/>
              <w:left w:w="28" w:type="dxa"/>
              <w:bottom w:w="0" w:type="dxa"/>
              <w:right w:w="28" w:type="dxa"/>
            </w:tcMar>
            <w:hideMark/>
          </w:tcPr>
          <w:p w:rsidRPr="006B7451" w:rsidR="00FF2DF6" w:rsidP="00FF2DF6" w:rsidRDefault="00FF2DF6" w14:paraId="6F97F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2 358 959 913</w:t>
            </w:r>
          </w:p>
        </w:tc>
        <w:tc>
          <w:tcPr>
            <w:tcW w:w="1418" w:type="dxa"/>
            <w:shd w:val="clear" w:color="auto" w:fill="FFFFFF"/>
            <w:tcMar>
              <w:top w:w="68" w:type="dxa"/>
              <w:left w:w="28" w:type="dxa"/>
              <w:bottom w:w="0" w:type="dxa"/>
              <w:right w:w="28" w:type="dxa"/>
            </w:tcMar>
            <w:hideMark/>
          </w:tcPr>
          <w:p w:rsidRPr="006B7451" w:rsidR="00FF2DF6" w:rsidP="00FF2DF6" w:rsidRDefault="00FF2DF6" w14:paraId="346C1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−18 042 000</w:t>
            </w:r>
          </w:p>
        </w:tc>
      </w:tr>
      <w:tr w:rsidRPr="006B7451" w:rsidR="00FF2DF6" w:rsidTr="00FF2DF6" w14:paraId="272AC10E"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88C3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4AEB8690"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E3CE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hideMark/>
          </w:tcPr>
          <w:p w:rsidRPr="006B7451" w:rsidR="00FF2DF6" w:rsidP="00FF2DF6" w:rsidRDefault="00FF2DF6" w14:paraId="72772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−1 142 287 113</w:t>
            </w:r>
          </w:p>
        </w:tc>
        <w:tc>
          <w:tcPr>
            <w:tcW w:w="1418" w:type="dxa"/>
            <w:shd w:val="clear" w:color="auto" w:fill="FFFFFF"/>
            <w:tcMar>
              <w:top w:w="68" w:type="dxa"/>
              <w:left w:w="28" w:type="dxa"/>
              <w:bottom w:w="0" w:type="dxa"/>
              <w:right w:w="28" w:type="dxa"/>
            </w:tcMar>
            <w:hideMark/>
          </w:tcPr>
          <w:p w:rsidRPr="006B7451" w:rsidR="00FF2DF6" w:rsidP="00FF2DF6" w:rsidRDefault="00FF2DF6" w14:paraId="5FA7F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1 437 000</w:t>
            </w:r>
          </w:p>
        </w:tc>
      </w:tr>
      <w:tr w:rsidRPr="006B7451" w:rsidR="00FF2DF6" w:rsidTr="00FF2DF6" w14:paraId="451E4F2C"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48963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65F2CE22"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6D01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418" w:type="dxa"/>
            <w:shd w:val="clear" w:color="auto" w:fill="FFFFFF"/>
            <w:tcMar>
              <w:top w:w="68" w:type="dxa"/>
              <w:left w:w="28" w:type="dxa"/>
              <w:bottom w:w="0" w:type="dxa"/>
              <w:right w:w="28" w:type="dxa"/>
            </w:tcMar>
            <w:hideMark/>
          </w:tcPr>
          <w:p w:rsidRPr="006B7451" w:rsidR="00FF2DF6" w:rsidP="00FF2DF6" w:rsidRDefault="00FF2DF6" w14:paraId="6960EC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1 216 672 800</w:t>
            </w:r>
          </w:p>
        </w:tc>
        <w:tc>
          <w:tcPr>
            <w:tcW w:w="1418" w:type="dxa"/>
            <w:shd w:val="clear" w:color="auto" w:fill="FFFFFF"/>
            <w:tcMar>
              <w:top w:w="68" w:type="dxa"/>
              <w:left w:w="28" w:type="dxa"/>
              <w:bottom w:w="0" w:type="dxa"/>
              <w:right w:w="28" w:type="dxa"/>
            </w:tcMar>
            <w:hideMark/>
          </w:tcPr>
          <w:p w:rsidRPr="006B7451" w:rsidR="00FF2DF6" w:rsidP="00FF2DF6" w:rsidRDefault="00FF2DF6" w14:paraId="46708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−16 605 000</w:t>
            </w:r>
          </w:p>
        </w:tc>
      </w:tr>
      <w:tr w:rsidRPr="006B7451" w:rsidR="00FF2DF6" w:rsidTr="00FF2DF6" w14:paraId="1EBF7D9E"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EDAE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536813D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342C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6B7451" w:rsidR="00FF2DF6" w:rsidP="00FF2DF6" w:rsidRDefault="00FF2DF6" w14:paraId="23C60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5 124 024</w:t>
            </w:r>
          </w:p>
        </w:tc>
        <w:tc>
          <w:tcPr>
            <w:tcW w:w="1418" w:type="dxa"/>
            <w:shd w:val="clear" w:color="auto" w:fill="FFFFFF"/>
            <w:tcMar>
              <w:top w:w="68" w:type="dxa"/>
              <w:left w:w="28" w:type="dxa"/>
              <w:bottom w:w="0" w:type="dxa"/>
              <w:right w:w="28" w:type="dxa"/>
            </w:tcMar>
            <w:hideMark/>
          </w:tcPr>
          <w:p w:rsidRPr="006B7451" w:rsidR="00FF2DF6" w:rsidP="00FF2DF6" w:rsidRDefault="00FF2DF6" w14:paraId="000ED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3AB7A43A"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5ACE6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3AEE12D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2242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418" w:type="dxa"/>
            <w:shd w:val="clear" w:color="auto" w:fill="FFFFFF"/>
            <w:tcMar>
              <w:top w:w="68" w:type="dxa"/>
              <w:left w:w="28" w:type="dxa"/>
              <w:bottom w:w="0" w:type="dxa"/>
              <w:right w:w="28" w:type="dxa"/>
            </w:tcMar>
            <w:hideMark/>
          </w:tcPr>
          <w:p w:rsidRPr="006B7451" w:rsidR="00FF2DF6" w:rsidP="00FF2DF6" w:rsidRDefault="00FF2DF6" w14:paraId="2F04B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1 221 796 824</w:t>
            </w:r>
          </w:p>
        </w:tc>
        <w:tc>
          <w:tcPr>
            <w:tcW w:w="1418" w:type="dxa"/>
            <w:shd w:val="clear" w:color="auto" w:fill="FFFFFF"/>
            <w:tcMar>
              <w:top w:w="68" w:type="dxa"/>
              <w:left w:w="28" w:type="dxa"/>
              <w:bottom w:w="0" w:type="dxa"/>
              <w:right w:w="28" w:type="dxa"/>
            </w:tcMar>
            <w:hideMark/>
          </w:tcPr>
          <w:p w:rsidRPr="006B7451" w:rsidR="00FF2DF6" w:rsidP="00FF2DF6" w:rsidRDefault="00FF2DF6" w14:paraId="642D5A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−16 605 000</w:t>
            </w:r>
          </w:p>
        </w:tc>
      </w:tr>
      <w:tr w:rsidRPr="006B7451" w:rsidR="00FF2DF6" w:rsidTr="00FF2DF6" w14:paraId="7C0DB18E"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5A54A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389E236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461A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418" w:type="dxa"/>
            <w:shd w:val="clear" w:color="auto" w:fill="FFFFFF"/>
            <w:tcMar>
              <w:top w:w="68" w:type="dxa"/>
              <w:left w:w="28" w:type="dxa"/>
              <w:bottom w:w="0" w:type="dxa"/>
              <w:right w:w="28" w:type="dxa"/>
            </w:tcMar>
            <w:hideMark/>
          </w:tcPr>
          <w:p w:rsidRPr="006B7451" w:rsidR="00FF2DF6" w:rsidP="00FF2DF6" w:rsidRDefault="00FF2DF6" w14:paraId="205926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−30 802 590</w:t>
            </w:r>
          </w:p>
        </w:tc>
        <w:tc>
          <w:tcPr>
            <w:tcW w:w="1418" w:type="dxa"/>
            <w:shd w:val="clear" w:color="auto" w:fill="FFFFFF"/>
            <w:tcMar>
              <w:top w:w="68" w:type="dxa"/>
              <w:left w:w="28" w:type="dxa"/>
              <w:bottom w:w="0" w:type="dxa"/>
              <w:right w:w="28" w:type="dxa"/>
            </w:tcMar>
            <w:hideMark/>
          </w:tcPr>
          <w:p w:rsidRPr="006B7451" w:rsidR="00FF2DF6" w:rsidP="00FF2DF6" w:rsidRDefault="00FF2DF6" w14:paraId="173072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2 300 000</w:t>
            </w:r>
          </w:p>
        </w:tc>
      </w:tr>
      <w:tr w:rsidRPr="006B7451" w:rsidR="00FF2DF6" w:rsidTr="00FF2DF6" w14:paraId="56FA1453"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5C02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261651F3"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2EA8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6B7451" w:rsidR="00FF2DF6" w:rsidP="00FF2DF6" w:rsidRDefault="00FF2DF6" w14:paraId="0A78C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44 456 316</w:t>
            </w:r>
          </w:p>
        </w:tc>
        <w:tc>
          <w:tcPr>
            <w:tcW w:w="1418" w:type="dxa"/>
            <w:shd w:val="clear" w:color="auto" w:fill="FFFFFF"/>
            <w:tcMar>
              <w:top w:w="68" w:type="dxa"/>
              <w:left w:w="28" w:type="dxa"/>
              <w:bottom w:w="0" w:type="dxa"/>
              <w:right w:w="28" w:type="dxa"/>
            </w:tcMar>
            <w:hideMark/>
          </w:tcPr>
          <w:p w:rsidRPr="006B7451" w:rsidR="00FF2DF6" w:rsidP="00FF2DF6" w:rsidRDefault="00FF2DF6" w14:paraId="5626B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2 300 000</w:t>
            </w:r>
          </w:p>
        </w:tc>
      </w:tr>
      <w:tr w:rsidRPr="006B7451" w:rsidR="00FF2DF6" w:rsidTr="00FF2DF6" w14:paraId="2248322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152A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6B7451" w:rsidR="00FF2DF6" w:rsidP="00FF2DF6" w:rsidRDefault="00FF2DF6" w14:paraId="1AA9D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6B7451" w:rsidR="00FF2DF6" w:rsidP="00FF2DF6" w:rsidRDefault="00FF2DF6" w14:paraId="7FD17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3E4EEDD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6B94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6B7451" w:rsidR="00FF2DF6" w:rsidP="00FF2DF6" w:rsidRDefault="00FF2DF6" w14:paraId="4C44D8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528 834</w:t>
            </w:r>
          </w:p>
        </w:tc>
        <w:tc>
          <w:tcPr>
            <w:tcW w:w="1418" w:type="dxa"/>
            <w:shd w:val="clear" w:color="auto" w:fill="FFFFFF"/>
            <w:tcMar>
              <w:top w:w="68" w:type="dxa"/>
              <w:left w:w="28" w:type="dxa"/>
              <w:bottom w:w="0" w:type="dxa"/>
              <w:right w:w="28" w:type="dxa"/>
            </w:tcMar>
            <w:hideMark/>
          </w:tcPr>
          <w:p w:rsidRPr="006B7451" w:rsidR="00FF2DF6" w:rsidP="00FF2DF6" w:rsidRDefault="00FF2DF6" w14:paraId="084446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4E0759CF"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506F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6B7451" w:rsidR="00FF2DF6" w:rsidP="00FF2DF6" w:rsidRDefault="00FF2DF6" w14:paraId="277BA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18 038 000</w:t>
            </w:r>
          </w:p>
        </w:tc>
        <w:tc>
          <w:tcPr>
            <w:tcW w:w="1418" w:type="dxa"/>
            <w:shd w:val="clear" w:color="auto" w:fill="FFFFFF"/>
            <w:tcMar>
              <w:top w:w="68" w:type="dxa"/>
              <w:left w:w="28" w:type="dxa"/>
              <w:bottom w:w="0" w:type="dxa"/>
              <w:right w:w="28" w:type="dxa"/>
            </w:tcMar>
            <w:hideMark/>
          </w:tcPr>
          <w:p w:rsidRPr="006B7451" w:rsidR="00FF2DF6" w:rsidP="00FF2DF6" w:rsidRDefault="00FF2DF6" w14:paraId="4EE1F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6C6DFAB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B0D3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6B7451" w:rsidR="00FF2DF6" w:rsidP="00FF2DF6" w:rsidRDefault="00FF2DF6" w14:paraId="152D6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27 786 900</w:t>
            </w:r>
          </w:p>
        </w:tc>
        <w:tc>
          <w:tcPr>
            <w:tcW w:w="1418" w:type="dxa"/>
            <w:shd w:val="clear" w:color="auto" w:fill="FFFFFF"/>
            <w:tcMar>
              <w:top w:w="68" w:type="dxa"/>
              <w:left w:w="28" w:type="dxa"/>
              <w:bottom w:w="0" w:type="dxa"/>
              <w:right w:w="28" w:type="dxa"/>
            </w:tcMar>
            <w:hideMark/>
          </w:tcPr>
          <w:p w:rsidRPr="006B7451" w:rsidR="00FF2DF6" w:rsidP="00FF2DF6" w:rsidRDefault="00FF2DF6" w14:paraId="0AEE2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37A96BF7"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2393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6B7451" w:rsidR="00FF2DF6" w:rsidP="00FF2DF6" w:rsidRDefault="00FF2DF6" w14:paraId="792A9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−126 612 640</w:t>
            </w:r>
          </w:p>
        </w:tc>
        <w:tc>
          <w:tcPr>
            <w:tcW w:w="1418" w:type="dxa"/>
            <w:shd w:val="clear" w:color="auto" w:fill="FFFFFF"/>
            <w:tcMar>
              <w:top w:w="68" w:type="dxa"/>
              <w:left w:w="28" w:type="dxa"/>
              <w:bottom w:w="0" w:type="dxa"/>
              <w:right w:w="28" w:type="dxa"/>
            </w:tcMar>
            <w:hideMark/>
          </w:tcPr>
          <w:p w:rsidRPr="006B7451" w:rsidR="00FF2DF6" w:rsidP="00FF2DF6" w:rsidRDefault="00FF2DF6" w14:paraId="71FAA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52F80" w14:paraId="0016EE1B"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99FB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6B7451" w:rsidR="00FF2DF6" w:rsidP="00B86B08" w:rsidRDefault="00FF2DF6" w14:paraId="7F6586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B7451" w:rsidR="00FF2DF6" w:rsidP="00B86B08" w:rsidRDefault="00FF2DF6" w14:paraId="74E49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52F80" w14:paraId="4F54B9F1" w14:textId="77777777">
        <w:trPr>
          <w:trHeight w:val="170"/>
        </w:trPr>
        <w:tc>
          <w:tcPr>
            <w:tcW w:w="4139" w:type="dxa"/>
            <w:tcBorders>
              <w:top w:val="nil"/>
              <w:left w:val="nil"/>
              <w:bottom w:val="single" w:color="auto" w:sz="4"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0AB93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7EDEF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1 190 994 234</w:t>
            </w:r>
          </w:p>
        </w:tc>
        <w:tc>
          <w:tcPr>
            <w:tcW w:w="1418" w:type="dxa"/>
            <w:tcBorders>
              <w:top w:val="nil"/>
              <w:left w:val="nil"/>
              <w:bottom w:val="single" w:color="auto" w:sz="4" w:space="0"/>
              <w:right w:val="nil"/>
            </w:tcBorders>
            <w:shd w:val="clear" w:color="auto" w:fill="FFFFFF"/>
            <w:tcMar>
              <w:top w:w="68" w:type="dxa"/>
              <w:left w:w="28" w:type="dxa"/>
              <w:bottom w:w="20" w:type="dxa"/>
              <w:right w:w="28" w:type="dxa"/>
            </w:tcMar>
            <w:hideMark/>
          </w:tcPr>
          <w:p w:rsidRPr="006B7451" w:rsidR="00FF2DF6" w:rsidP="00FF2DF6" w:rsidRDefault="00FF2DF6" w14:paraId="4B747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−14 305 000</w:t>
            </w:r>
          </w:p>
        </w:tc>
      </w:tr>
    </w:tbl>
    <w:p w:rsidRPr="006B7451" w:rsidR="00F52F80" w:rsidP="00F52F80" w:rsidRDefault="00F52F80" w14:paraId="7D806B2B" w14:textId="77777777">
      <w:pPr>
        <w:pStyle w:val="Normalutanindragellerluft"/>
        <w:rPr>
          <w:rFonts w:eastAsia="Times New Roman"/>
          <w:lang w:eastAsia="sv-SE"/>
        </w:rPr>
      </w:pPr>
    </w:p>
    <w:p w:rsidR="00F52F80" w:rsidRDefault="00F52F80" w14:paraId="429C4642" w14:textId="39E636B3">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lang w:eastAsia="sv-SE"/>
        </w:rPr>
      </w:pPr>
      <w:r>
        <w:rPr>
          <w:rFonts w:eastAsia="Times New Roman"/>
          <w:lang w:eastAsia="sv-SE"/>
        </w:rPr>
        <w:br w:type="page"/>
      </w:r>
    </w:p>
    <w:p w:rsidRPr="006B7451" w:rsidR="008A7FDF" w:rsidP="009D6570" w:rsidRDefault="008A7FDF" w14:paraId="7B973F9F" w14:textId="27BF1FC1">
      <w:pPr>
        <w:pStyle w:val="Rubrik2numrerat"/>
        <w:ind w:left="794" w:hanging="794"/>
      </w:pPr>
      <w:bookmarkStart w:name="_Toc121752718" w:id="214"/>
      <w:r w:rsidRPr="006B7451">
        <w:lastRenderedPageBreak/>
        <w:t>Beräkning av statsbudgetens inkomster 202</w:t>
      </w:r>
      <w:r w:rsidRPr="006B7451" w:rsidR="00C02DED">
        <w:t>3</w:t>
      </w:r>
      <w:r w:rsidRPr="006B7451">
        <w:t>–202</w:t>
      </w:r>
      <w:r w:rsidRPr="006B7451" w:rsidR="00C02DED">
        <w:t>4</w:t>
      </w:r>
      <w:bookmarkEnd w:id="214"/>
    </w:p>
    <w:p w:rsidRPr="00B473CF" w:rsidR="00FF2DF6" w:rsidP="009D6570" w:rsidRDefault="00FF2DF6" w14:paraId="572BD72A" w14:textId="42DE35DB">
      <w:pPr>
        <w:pStyle w:val="Tabellrubrik"/>
        <w:keepNext/>
      </w:pPr>
      <w:r w:rsidRPr="00B473CF">
        <w:t>Inkomster 2023</w:t>
      </w:r>
      <w:r w:rsidR="00093485">
        <w:t>–</w:t>
      </w:r>
      <w:r w:rsidRPr="00B473CF">
        <w:t>2024</w:t>
      </w:r>
    </w:p>
    <w:p w:rsidRPr="00B473CF" w:rsidR="00FF2DF6" w:rsidP="009D6570" w:rsidRDefault="00FF2DF6" w14:paraId="040B09D5" w14:textId="77777777">
      <w:pPr>
        <w:pStyle w:val="Tabellunderrubrik"/>
        <w:keepNext/>
      </w:pPr>
      <w:r w:rsidRPr="00B473CF">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6B7451" w:rsidR="00FF2DF6" w:rsidTr="00B473CF" w14:paraId="4919EC2D" w14:textId="77777777">
        <w:trPr>
          <w:trHeight w:val="170"/>
          <w:tblHeader/>
        </w:trPr>
        <w:tc>
          <w:tcPr>
            <w:tcW w:w="41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6B7451" w:rsidR="00FF2DF6" w:rsidP="00FF2DF6" w:rsidRDefault="00FF2DF6" w14:paraId="3684D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Inkomsttitel</w:t>
            </w:r>
          </w:p>
        </w:tc>
        <w:tc>
          <w:tcPr>
            <w:tcW w:w="141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6B7451" w:rsidR="00FF2DF6" w:rsidP="00FF2DF6" w:rsidRDefault="00FF2DF6" w14:paraId="21295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Avvikelse från regeringen</w:t>
            </w:r>
          </w:p>
        </w:tc>
      </w:tr>
      <w:tr w:rsidRPr="006B7451" w:rsidR="00FF2DF6" w:rsidTr="00B473CF" w14:paraId="435D744C"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6B7451" w:rsidR="00FF2DF6" w:rsidP="00FF2DF6" w:rsidRDefault="00FF2DF6" w14:paraId="02865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762A8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58DD7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2024</w:t>
            </w:r>
          </w:p>
        </w:tc>
      </w:tr>
      <w:tr w:rsidRPr="006B7451" w:rsidR="00FF2DF6" w:rsidTr="00FF2DF6" w14:paraId="0CDA3CC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3435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134" w:type="dxa"/>
            <w:shd w:val="clear" w:color="auto" w:fill="FFFFFF"/>
            <w:tcMar>
              <w:top w:w="68" w:type="dxa"/>
              <w:left w:w="28" w:type="dxa"/>
              <w:bottom w:w="0" w:type="dxa"/>
              <w:right w:w="28" w:type="dxa"/>
            </w:tcMar>
            <w:hideMark/>
          </w:tcPr>
          <w:p w:rsidRPr="006B7451" w:rsidR="00FF2DF6" w:rsidP="00FF2DF6" w:rsidRDefault="00FF2DF6" w14:paraId="7A37F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−10 722</w:t>
            </w:r>
          </w:p>
        </w:tc>
        <w:tc>
          <w:tcPr>
            <w:tcW w:w="1134" w:type="dxa"/>
            <w:shd w:val="clear" w:color="auto" w:fill="FFFFFF"/>
            <w:tcMar>
              <w:top w:w="68" w:type="dxa"/>
              <w:left w:w="28" w:type="dxa"/>
              <w:bottom w:w="0" w:type="dxa"/>
              <w:right w:w="28" w:type="dxa"/>
            </w:tcMar>
            <w:hideMark/>
          </w:tcPr>
          <w:p w:rsidRPr="006B7451" w:rsidR="00FF2DF6" w:rsidP="00FF2DF6" w:rsidRDefault="00FF2DF6" w14:paraId="4F806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127 847</w:t>
            </w:r>
          </w:p>
        </w:tc>
      </w:tr>
      <w:tr w:rsidRPr="006B7451" w:rsidR="00FF2DF6" w:rsidTr="00FF2DF6" w14:paraId="51D72792"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B5B5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1111 Statlig inkomstskatt</w:t>
            </w:r>
          </w:p>
        </w:tc>
        <w:tc>
          <w:tcPr>
            <w:tcW w:w="1134" w:type="dxa"/>
            <w:shd w:val="clear" w:color="auto" w:fill="FFFFFF"/>
            <w:tcMar>
              <w:top w:w="68" w:type="dxa"/>
              <w:left w:w="28" w:type="dxa"/>
              <w:bottom w:w="0" w:type="dxa"/>
              <w:right w:w="28" w:type="dxa"/>
            </w:tcMar>
            <w:hideMark/>
          </w:tcPr>
          <w:p w:rsidRPr="006B7451" w:rsidR="00FF2DF6" w:rsidP="00FF2DF6" w:rsidRDefault="00FF2DF6" w14:paraId="6B7A5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−858</w:t>
            </w:r>
          </w:p>
        </w:tc>
        <w:tc>
          <w:tcPr>
            <w:tcW w:w="1134" w:type="dxa"/>
            <w:shd w:val="clear" w:color="auto" w:fill="FFFFFF"/>
            <w:tcMar>
              <w:top w:w="68" w:type="dxa"/>
              <w:left w:w="28" w:type="dxa"/>
              <w:bottom w:w="0" w:type="dxa"/>
              <w:right w:w="28" w:type="dxa"/>
            </w:tcMar>
            <w:hideMark/>
          </w:tcPr>
          <w:p w:rsidRPr="006B7451" w:rsidR="00FF2DF6" w:rsidP="00FF2DF6" w:rsidRDefault="00FF2DF6" w14:paraId="4EA95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−1 911</w:t>
            </w:r>
          </w:p>
        </w:tc>
      </w:tr>
      <w:tr w:rsidRPr="006B7451" w:rsidR="00FF2DF6" w:rsidTr="00FF2DF6" w14:paraId="48147817"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615E8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1115 Kommunal inkomstskatt</w:t>
            </w:r>
          </w:p>
        </w:tc>
        <w:tc>
          <w:tcPr>
            <w:tcW w:w="1134" w:type="dxa"/>
            <w:shd w:val="clear" w:color="auto" w:fill="FFFFFF"/>
            <w:tcMar>
              <w:top w:w="68" w:type="dxa"/>
              <w:left w:w="28" w:type="dxa"/>
              <w:bottom w:w="0" w:type="dxa"/>
              <w:right w:w="28" w:type="dxa"/>
            </w:tcMar>
            <w:hideMark/>
          </w:tcPr>
          <w:p w:rsidRPr="006B7451" w:rsidR="00FF2DF6" w:rsidP="00FF2DF6" w:rsidRDefault="00FF2DF6" w14:paraId="518555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−407</w:t>
            </w:r>
          </w:p>
        </w:tc>
        <w:tc>
          <w:tcPr>
            <w:tcW w:w="1134" w:type="dxa"/>
            <w:shd w:val="clear" w:color="auto" w:fill="FFFFFF"/>
            <w:tcMar>
              <w:top w:w="68" w:type="dxa"/>
              <w:left w:w="28" w:type="dxa"/>
              <w:bottom w:w="0" w:type="dxa"/>
              <w:right w:w="28" w:type="dxa"/>
            </w:tcMar>
            <w:hideMark/>
          </w:tcPr>
          <w:p w:rsidRPr="006B7451" w:rsidR="00FF2DF6" w:rsidP="00FF2DF6" w:rsidRDefault="00FF2DF6" w14:paraId="033CA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−191</w:t>
            </w:r>
          </w:p>
        </w:tc>
      </w:tr>
      <w:tr w:rsidRPr="006B7451" w:rsidR="00FF2DF6" w:rsidTr="00FF2DF6" w14:paraId="56C2189B"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44FF4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1120 Allmän pensionsavgift</w:t>
            </w:r>
          </w:p>
        </w:tc>
        <w:tc>
          <w:tcPr>
            <w:tcW w:w="1134" w:type="dxa"/>
            <w:shd w:val="clear" w:color="auto" w:fill="FFFFFF"/>
            <w:tcMar>
              <w:top w:w="68" w:type="dxa"/>
              <w:left w:w="28" w:type="dxa"/>
              <w:bottom w:w="0" w:type="dxa"/>
              <w:right w:w="28" w:type="dxa"/>
            </w:tcMar>
            <w:hideMark/>
          </w:tcPr>
          <w:p w:rsidRPr="006B7451" w:rsidR="00FF2DF6" w:rsidP="00FF2DF6" w:rsidRDefault="00FF2DF6" w14:paraId="1A5C3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w:t>
            </w:r>
          </w:p>
        </w:tc>
        <w:tc>
          <w:tcPr>
            <w:tcW w:w="1134" w:type="dxa"/>
            <w:shd w:val="clear" w:color="auto" w:fill="FFFFFF"/>
            <w:tcMar>
              <w:top w:w="68" w:type="dxa"/>
              <w:left w:w="28" w:type="dxa"/>
              <w:bottom w:w="0" w:type="dxa"/>
              <w:right w:w="28" w:type="dxa"/>
            </w:tcMar>
            <w:hideMark/>
          </w:tcPr>
          <w:p w:rsidRPr="006B7451" w:rsidR="00FF2DF6" w:rsidP="00FF2DF6" w:rsidRDefault="00FF2DF6" w14:paraId="5FEB0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w:t>
            </w:r>
          </w:p>
        </w:tc>
      </w:tr>
      <w:tr w:rsidRPr="006B7451" w:rsidR="00FF2DF6" w:rsidTr="00FF2DF6" w14:paraId="2AF5FD65"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F36C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1130 Artistskatt</w:t>
            </w:r>
          </w:p>
        </w:tc>
        <w:tc>
          <w:tcPr>
            <w:tcW w:w="1134" w:type="dxa"/>
            <w:shd w:val="clear" w:color="auto" w:fill="FFFFFF"/>
            <w:tcMar>
              <w:top w:w="68" w:type="dxa"/>
              <w:left w:w="28" w:type="dxa"/>
              <w:bottom w:w="0" w:type="dxa"/>
              <w:right w:w="28" w:type="dxa"/>
            </w:tcMar>
            <w:hideMark/>
          </w:tcPr>
          <w:p w:rsidRPr="006B7451" w:rsidR="00FF2DF6" w:rsidP="00FF2DF6" w:rsidRDefault="00FF2DF6" w14:paraId="23A766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68128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6202CA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A06D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1140 Skattereduktioner</w:t>
            </w:r>
          </w:p>
        </w:tc>
        <w:tc>
          <w:tcPr>
            <w:tcW w:w="1134" w:type="dxa"/>
            <w:shd w:val="clear" w:color="auto" w:fill="FFFFFF"/>
            <w:tcMar>
              <w:top w:w="68" w:type="dxa"/>
              <w:left w:w="28" w:type="dxa"/>
              <w:bottom w:w="0" w:type="dxa"/>
              <w:right w:w="28" w:type="dxa"/>
            </w:tcMar>
            <w:hideMark/>
          </w:tcPr>
          <w:p w:rsidRPr="006B7451" w:rsidR="00FF2DF6" w:rsidP="00FF2DF6" w:rsidRDefault="00FF2DF6" w14:paraId="3344B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−9 467</w:t>
            </w:r>
          </w:p>
        </w:tc>
        <w:tc>
          <w:tcPr>
            <w:tcW w:w="1134" w:type="dxa"/>
            <w:shd w:val="clear" w:color="auto" w:fill="FFFFFF"/>
            <w:tcMar>
              <w:top w:w="68" w:type="dxa"/>
              <w:left w:w="28" w:type="dxa"/>
              <w:bottom w:w="0" w:type="dxa"/>
              <w:right w:w="28" w:type="dxa"/>
            </w:tcMar>
            <w:hideMark/>
          </w:tcPr>
          <w:p w:rsidRPr="006B7451" w:rsidR="00FF2DF6" w:rsidP="00FF2DF6" w:rsidRDefault="00FF2DF6" w14:paraId="6F694F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129 919</w:t>
            </w:r>
          </w:p>
        </w:tc>
      </w:tr>
      <w:tr w:rsidRPr="006B7451" w:rsidR="00FF2DF6" w:rsidTr="00FF2DF6" w14:paraId="4CE1314D"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0B5EB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0D1BF210"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62D2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134" w:type="dxa"/>
            <w:shd w:val="clear" w:color="auto" w:fill="FFFFFF"/>
            <w:tcMar>
              <w:top w:w="68" w:type="dxa"/>
              <w:left w:w="28" w:type="dxa"/>
              <w:bottom w:w="0" w:type="dxa"/>
              <w:right w:w="28" w:type="dxa"/>
            </w:tcMar>
            <w:hideMark/>
          </w:tcPr>
          <w:p w:rsidRPr="006B7451" w:rsidR="00FF2DF6" w:rsidP="00FF2DF6" w:rsidRDefault="00FF2DF6" w14:paraId="3D12C0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−645</w:t>
            </w:r>
          </w:p>
        </w:tc>
        <w:tc>
          <w:tcPr>
            <w:tcW w:w="1134" w:type="dxa"/>
            <w:shd w:val="clear" w:color="auto" w:fill="FFFFFF"/>
            <w:tcMar>
              <w:top w:w="68" w:type="dxa"/>
              <w:left w:w="28" w:type="dxa"/>
              <w:bottom w:w="0" w:type="dxa"/>
              <w:right w:w="28" w:type="dxa"/>
            </w:tcMar>
            <w:hideMark/>
          </w:tcPr>
          <w:p w:rsidRPr="006B7451" w:rsidR="00FF2DF6" w:rsidP="00FF2DF6" w:rsidRDefault="00FF2DF6" w14:paraId="13610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−164 542</w:t>
            </w:r>
          </w:p>
        </w:tc>
      </w:tr>
      <w:tr w:rsidRPr="006B7451" w:rsidR="00FF2DF6" w:rsidTr="00FF2DF6" w14:paraId="66C4BFB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4220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1210 Arbetsgivaravgifter</w:t>
            </w:r>
          </w:p>
        </w:tc>
        <w:tc>
          <w:tcPr>
            <w:tcW w:w="1134" w:type="dxa"/>
            <w:shd w:val="clear" w:color="auto" w:fill="FFFFFF"/>
            <w:tcMar>
              <w:top w:w="68" w:type="dxa"/>
              <w:left w:w="28" w:type="dxa"/>
              <w:bottom w:w="0" w:type="dxa"/>
              <w:right w:w="28" w:type="dxa"/>
            </w:tcMar>
            <w:hideMark/>
          </w:tcPr>
          <w:p w:rsidRPr="006B7451" w:rsidR="00FF2DF6" w:rsidP="00FF2DF6" w:rsidRDefault="00FF2DF6" w14:paraId="2818B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−665</w:t>
            </w:r>
          </w:p>
        </w:tc>
        <w:tc>
          <w:tcPr>
            <w:tcW w:w="1134" w:type="dxa"/>
            <w:shd w:val="clear" w:color="auto" w:fill="FFFFFF"/>
            <w:tcMar>
              <w:top w:w="68" w:type="dxa"/>
              <w:left w:w="28" w:type="dxa"/>
              <w:bottom w:w="0" w:type="dxa"/>
              <w:right w:w="28" w:type="dxa"/>
            </w:tcMar>
            <w:hideMark/>
          </w:tcPr>
          <w:p w:rsidRPr="006B7451" w:rsidR="00FF2DF6" w:rsidP="00FF2DF6" w:rsidRDefault="00FF2DF6" w14:paraId="582036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−164 552</w:t>
            </w:r>
          </w:p>
        </w:tc>
      </w:tr>
      <w:tr w:rsidRPr="006B7451" w:rsidR="00FF2DF6" w:rsidTr="00FF2DF6" w14:paraId="75D87117"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4FAE8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1240 Egenavgifter</w:t>
            </w:r>
          </w:p>
        </w:tc>
        <w:tc>
          <w:tcPr>
            <w:tcW w:w="1134" w:type="dxa"/>
            <w:shd w:val="clear" w:color="auto" w:fill="FFFFFF"/>
            <w:tcMar>
              <w:top w:w="68" w:type="dxa"/>
              <w:left w:w="28" w:type="dxa"/>
              <w:bottom w:w="0" w:type="dxa"/>
              <w:right w:w="28" w:type="dxa"/>
            </w:tcMar>
            <w:hideMark/>
          </w:tcPr>
          <w:p w:rsidRPr="006B7451" w:rsidR="00FF2DF6" w:rsidP="00FF2DF6" w:rsidRDefault="00FF2DF6" w14:paraId="48C00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0AB8F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9BDCCA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B776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134" w:type="dxa"/>
            <w:shd w:val="clear" w:color="auto" w:fill="FFFFFF"/>
            <w:tcMar>
              <w:top w:w="68" w:type="dxa"/>
              <w:left w:w="28" w:type="dxa"/>
              <w:bottom w:w="0" w:type="dxa"/>
              <w:right w:w="28" w:type="dxa"/>
            </w:tcMar>
            <w:hideMark/>
          </w:tcPr>
          <w:p w:rsidRPr="006B7451" w:rsidR="00FF2DF6" w:rsidP="00FF2DF6" w:rsidRDefault="00FF2DF6" w14:paraId="7FD04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20</w:t>
            </w:r>
          </w:p>
        </w:tc>
        <w:tc>
          <w:tcPr>
            <w:tcW w:w="1134" w:type="dxa"/>
            <w:shd w:val="clear" w:color="auto" w:fill="FFFFFF"/>
            <w:tcMar>
              <w:top w:w="68" w:type="dxa"/>
              <w:left w:w="28" w:type="dxa"/>
              <w:bottom w:w="0" w:type="dxa"/>
              <w:right w:w="28" w:type="dxa"/>
            </w:tcMar>
            <w:hideMark/>
          </w:tcPr>
          <w:p w:rsidRPr="006B7451" w:rsidR="00FF2DF6" w:rsidP="00FF2DF6" w:rsidRDefault="00FF2DF6" w14:paraId="7345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w:t>
            </w:r>
          </w:p>
        </w:tc>
      </w:tr>
      <w:tr w:rsidRPr="006B7451" w:rsidR="00FF2DF6" w:rsidTr="00FF2DF6" w14:paraId="67E6792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160C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1270 Särskild löneskatt</w:t>
            </w:r>
          </w:p>
        </w:tc>
        <w:tc>
          <w:tcPr>
            <w:tcW w:w="1134" w:type="dxa"/>
            <w:shd w:val="clear" w:color="auto" w:fill="FFFFFF"/>
            <w:tcMar>
              <w:top w:w="68" w:type="dxa"/>
              <w:left w:w="28" w:type="dxa"/>
              <w:bottom w:w="0" w:type="dxa"/>
              <w:right w:w="28" w:type="dxa"/>
            </w:tcMar>
            <w:hideMark/>
          </w:tcPr>
          <w:p w:rsidRPr="006B7451" w:rsidR="00FF2DF6" w:rsidP="00FF2DF6" w:rsidRDefault="00FF2DF6" w14:paraId="399FAB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3D75B6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CDF66F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0FC3B4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1280 Nedsättningar</w:t>
            </w:r>
          </w:p>
        </w:tc>
        <w:tc>
          <w:tcPr>
            <w:tcW w:w="1134" w:type="dxa"/>
            <w:shd w:val="clear" w:color="auto" w:fill="FFFFFF"/>
            <w:tcMar>
              <w:top w:w="68" w:type="dxa"/>
              <w:left w:w="28" w:type="dxa"/>
              <w:bottom w:w="0" w:type="dxa"/>
              <w:right w:w="28" w:type="dxa"/>
            </w:tcMar>
            <w:hideMark/>
          </w:tcPr>
          <w:p w:rsidRPr="006B7451" w:rsidR="00FF2DF6" w:rsidP="00FF2DF6" w:rsidRDefault="00FF2DF6" w14:paraId="61E2F8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5B71E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D63D25C"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17E5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1290 Tjänstegruppliv</w:t>
            </w:r>
          </w:p>
        </w:tc>
        <w:tc>
          <w:tcPr>
            <w:tcW w:w="1134" w:type="dxa"/>
            <w:shd w:val="clear" w:color="auto" w:fill="FFFFFF"/>
            <w:tcMar>
              <w:top w:w="68" w:type="dxa"/>
              <w:left w:w="28" w:type="dxa"/>
              <w:bottom w:w="0" w:type="dxa"/>
              <w:right w:w="28" w:type="dxa"/>
            </w:tcMar>
            <w:hideMark/>
          </w:tcPr>
          <w:p w:rsidRPr="006B7451" w:rsidR="00FF2DF6" w:rsidP="00FF2DF6" w:rsidRDefault="00FF2DF6" w14:paraId="476CD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34B92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7F61C53"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3989D6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27AAC65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7A98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1300 Skatt på kapital</w:t>
            </w:r>
          </w:p>
        </w:tc>
        <w:tc>
          <w:tcPr>
            <w:tcW w:w="1134" w:type="dxa"/>
            <w:shd w:val="clear" w:color="auto" w:fill="FFFFFF"/>
            <w:tcMar>
              <w:top w:w="68" w:type="dxa"/>
              <w:left w:w="28" w:type="dxa"/>
              <w:bottom w:w="0" w:type="dxa"/>
              <w:right w:w="28" w:type="dxa"/>
            </w:tcMar>
            <w:hideMark/>
          </w:tcPr>
          <w:p w:rsidRPr="006B7451" w:rsidR="00FF2DF6" w:rsidP="00FF2DF6" w:rsidRDefault="00FF2DF6" w14:paraId="7ED4F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−2 190</w:t>
            </w:r>
          </w:p>
        </w:tc>
        <w:tc>
          <w:tcPr>
            <w:tcW w:w="1134" w:type="dxa"/>
            <w:shd w:val="clear" w:color="auto" w:fill="FFFFFF"/>
            <w:tcMar>
              <w:top w:w="68" w:type="dxa"/>
              <w:left w:w="28" w:type="dxa"/>
              <w:bottom w:w="0" w:type="dxa"/>
              <w:right w:w="28" w:type="dxa"/>
            </w:tcMar>
            <w:hideMark/>
          </w:tcPr>
          <w:p w:rsidRPr="006B7451" w:rsidR="00FF2DF6" w:rsidP="00FF2DF6" w:rsidRDefault="00FF2DF6" w14:paraId="4B481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−1 290</w:t>
            </w:r>
          </w:p>
        </w:tc>
      </w:tr>
      <w:tr w:rsidRPr="006B7451" w:rsidR="00FF2DF6" w:rsidTr="00FF2DF6" w14:paraId="2089E60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D88C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1310 Skatt på kapital, hushåll</w:t>
            </w:r>
          </w:p>
        </w:tc>
        <w:tc>
          <w:tcPr>
            <w:tcW w:w="1134" w:type="dxa"/>
            <w:shd w:val="clear" w:color="auto" w:fill="FFFFFF"/>
            <w:tcMar>
              <w:top w:w="68" w:type="dxa"/>
              <w:left w:w="28" w:type="dxa"/>
              <w:bottom w:w="0" w:type="dxa"/>
              <w:right w:w="28" w:type="dxa"/>
            </w:tcMar>
            <w:hideMark/>
          </w:tcPr>
          <w:p w:rsidRPr="006B7451" w:rsidR="00FF2DF6" w:rsidP="00FF2DF6" w:rsidRDefault="00FF2DF6" w14:paraId="62FBC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300</w:t>
            </w:r>
          </w:p>
        </w:tc>
        <w:tc>
          <w:tcPr>
            <w:tcW w:w="1134" w:type="dxa"/>
            <w:shd w:val="clear" w:color="auto" w:fill="FFFFFF"/>
            <w:tcMar>
              <w:top w:w="68" w:type="dxa"/>
              <w:left w:w="28" w:type="dxa"/>
              <w:bottom w:w="0" w:type="dxa"/>
              <w:right w:w="28" w:type="dxa"/>
            </w:tcMar>
            <w:hideMark/>
          </w:tcPr>
          <w:p w:rsidRPr="006B7451" w:rsidR="00FF2DF6" w:rsidP="00FF2DF6" w:rsidRDefault="00FF2DF6" w14:paraId="7159E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1 200</w:t>
            </w:r>
          </w:p>
        </w:tc>
      </w:tr>
      <w:tr w:rsidRPr="006B7451" w:rsidR="00FF2DF6" w:rsidTr="00FF2DF6" w14:paraId="2613D6F9"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54A2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1320 Skatt på företagsvinster</w:t>
            </w:r>
          </w:p>
        </w:tc>
        <w:tc>
          <w:tcPr>
            <w:tcW w:w="1134" w:type="dxa"/>
            <w:shd w:val="clear" w:color="auto" w:fill="FFFFFF"/>
            <w:tcMar>
              <w:top w:w="68" w:type="dxa"/>
              <w:left w:w="28" w:type="dxa"/>
              <w:bottom w:w="0" w:type="dxa"/>
              <w:right w:w="28" w:type="dxa"/>
            </w:tcMar>
            <w:hideMark/>
          </w:tcPr>
          <w:p w:rsidRPr="006B7451" w:rsidR="00FF2DF6" w:rsidP="00FF2DF6" w:rsidRDefault="00FF2DF6" w14:paraId="6A0B1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1 720</w:t>
            </w:r>
          </w:p>
        </w:tc>
        <w:tc>
          <w:tcPr>
            <w:tcW w:w="1134" w:type="dxa"/>
            <w:shd w:val="clear" w:color="auto" w:fill="FFFFFF"/>
            <w:tcMar>
              <w:top w:w="68" w:type="dxa"/>
              <w:left w:w="28" w:type="dxa"/>
              <w:bottom w:w="0" w:type="dxa"/>
              <w:right w:w="28" w:type="dxa"/>
            </w:tcMar>
            <w:hideMark/>
          </w:tcPr>
          <w:p w:rsidRPr="006B7451" w:rsidR="00FF2DF6" w:rsidP="00FF2DF6" w:rsidRDefault="00FF2DF6" w14:paraId="4747B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1 820</w:t>
            </w:r>
          </w:p>
        </w:tc>
      </w:tr>
      <w:tr w:rsidRPr="006B7451" w:rsidR="00FF2DF6" w:rsidTr="00FF2DF6" w14:paraId="45A0863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22AC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1330 Kupongskatt</w:t>
            </w:r>
          </w:p>
        </w:tc>
        <w:tc>
          <w:tcPr>
            <w:tcW w:w="1134" w:type="dxa"/>
            <w:shd w:val="clear" w:color="auto" w:fill="FFFFFF"/>
            <w:tcMar>
              <w:top w:w="68" w:type="dxa"/>
              <w:left w:w="28" w:type="dxa"/>
              <w:bottom w:w="0" w:type="dxa"/>
              <w:right w:w="28" w:type="dxa"/>
            </w:tcMar>
            <w:hideMark/>
          </w:tcPr>
          <w:p w:rsidRPr="006B7451" w:rsidR="00FF2DF6" w:rsidP="00FF2DF6" w:rsidRDefault="00FF2DF6" w14:paraId="1DDD3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AFF7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3E7C8FA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A48D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1340 Avkastningsskatt</w:t>
            </w:r>
          </w:p>
        </w:tc>
        <w:tc>
          <w:tcPr>
            <w:tcW w:w="1134" w:type="dxa"/>
            <w:shd w:val="clear" w:color="auto" w:fill="FFFFFF"/>
            <w:tcMar>
              <w:top w:w="68" w:type="dxa"/>
              <w:left w:w="28" w:type="dxa"/>
              <w:bottom w:w="0" w:type="dxa"/>
              <w:right w:w="28" w:type="dxa"/>
            </w:tcMar>
            <w:hideMark/>
          </w:tcPr>
          <w:p w:rsidRPr="006B7451" w:rsidR="00FF2DF6" w:rsidP="00FF2DF6" w:rsidRDefault="00FF2DF6" w14:paraId="166283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−600</w:t>
            </w:r>
          </w:p>
        </w:tc>
        <w:tc>
          <w:tcPr>
            <w:tcW w:w="1134" w:type="dxa"/>
            <w:shd w:val="clear" w:color="auto" w:fill="FFFFFF"/>
            <w:tcMar>
              <w:top w:w="68" w:type="dxa"/>
              <w:left w:w="28" w:type="dxa"/>
              <w:bottom w:w="0" w:type="dxa"/>
              <w:right w:w="28" w:type="dxa"/>
            </w:tcMar>
            <w:hideMark/>
          </w:tcPr>
          <w:p w:rsidRPr="006B7451" w:rsidR="00FF2DF6" w:rsidP="00FF2DF6" w:rsidRDefault="00FF2DF6" w14:paraId="5C4E2F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−700</w:t>
            </w:r>
          </w:p>
        </w:tc>
      </w:tr>
      <w:tr w:rsidRPr="006B7451" w:rsidR="00FF2DF6" w:rsidTr="00FF2DF6" w14:paraId="3831A1DB"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B9EE2D6" w14:textId="61C4DD0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1350 Fastighet</w:t>
            </w:r>
            <w:r w:rsidR="00093485">
              <w:rPr>
                <w:rFonts w:ascii="Times New Roman" w:hAnsi="Times New Roman" w:eastAsia="Times New Roman" w:cs="Times New Roman"/>
                <w:color w:val="000000"/>
                <w:kern w:val="0"/>
                <w:sz w:val="20"/>
                <w:szCs w:val="20"/>
                <w:lang w:eastAsia="sv-SE"/>
                <w14:numSpacing w14:val="default"/>
              </w:rPr>
              <w:t>s</w:t>
            </w:r>
            <w:r w:rsidRPr="006B7451">
              <w:rPr>
                <w:rFonts w:ascii="Times New Roman" w:hAnsi="Times New Roman" w:eastAsia="Times New Roman" w:cs="Times New Roman"/>
                <w:color w:val="000000"/>
                <w:kern w:val="0"/>
                <w:sz w:val="20"/>
                <w:szCs w:val="20"/>
                <w:lang w:eastAsia="sv-SE"/>
                <w14:numSpacing w14:val="default"/>
              </w:rPr>
              <w:t>skatt</w:t>
            </w:r>
          </w:p>
        </w:tc>
        <w:tc>
          <w:tcPr>
            <w:tcW w:w="1134" w:type="dxa"/>
            <w:shd w:val="clear" w:color="auto" w:fill="FFFFFF"/>
            <w:tcMar>
              <w:top w:w="68" w:type="dxa"/>
              <w:left w:w="28" w:type="dxa"/>
              <w:bottom w:w="0" w:type="dxa"/>
              <w:right w:w="28" w:type="dxa"/>
            </w:tcMar>
            <w:hideMark/>
          </w:tcPr>
          <w:p w:rsidRPr="006B7451" w:rsidR="00FF2DF6" w:rsidP="00FF2DF6" w:rsidRDefault="00FF2DF6" w14:paraId="297113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−3 610</w:t>
            </w:r>
          </w:p>
        </w:tc>
        <w:tc>
          <w:tcPr>
            <w:tcW w:w="1134" w:type="dxa"/>
            <w:shd w:val="clear" w:color="auto" w:fill="FFFFFF"/>
            <w:tcMar>
              <w:top w:w="68" w:type="dxa"/>
              <w:left w:w="28" w:type="dxa"/>
              <w:bottom w:w="0" w:type="dxa"/>
              <w:right w:w="28" w:type="dxa"/>
            </w:tcMar>
            <w:hideMark/>
          </w:tcPr>
          <w:p w:rsidRPr="006B7451" w:rsidR="00FF2DF6" w:rsidP="00FF2DF6" w:rsidRDefault="00FF2DF6" w14:paraId="71FDF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−3 610</w:t>
            </w:r>
          </w:p>
        </w:tc>
      </w:tr>
      <w:tr w:rsidRPr="006B7451" w:rsidR="00FF2DF6" w:rsidTr="00FF2DF6" w14:paraId="2AA40010"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31B1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1360 Stämpelskatt</w:t>
            </w:r>
          </w:p>
        </w:tc>
        <w:tc>
          <w:tcPr>
            <w:tcW w:w="1134" w:type="dxa"/>
            <w:shd w:val="clear" w:color="auto" w:fill="FFFFFF"/>
            <w:tcMar>
              <w:top w:w="68" w:type="dxa"/>
              <w:left w:w="28" w:type="dxa"/>
              <w:bottom w:w="0" w:type="dxa"/>
              <w:right w:w="28" w:type="dxa"/>
            </w:tcMar>
            <w:hideMark/>
          </w:tcPr>
          <w:p w:rsidRPr="006B7451" w:rsidR="00FF2DF6" w:rsidP="00FF2DF6" w:rsidRDefault="00FF2DF6" w14:paraId="20F2C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1C775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410A4422"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70A33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7D2D6173"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1E4B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134" w:type="dxa"/>
            <w:shd w:val="clear" w:color="auto" w:fill="FFFFFF"/>
            <w:tcMar>
              <w:top w:w="68" w:type="dxa"/>
              <w:left w:w="28" w:type="dxa"/>
              <w:bottom w:w="0" w:type="dxa"/>
              <w:right w:w="28" w:type="dxa"/>
            </w:tcMar>
            <w:hideMark/>
          </w:tcPr>
          <w:p w:rsidRPr="006B7451" w:rsidR="00FF2DF6" w:rsidP="00FF2DF6" w:rsidRDefault="00FF2DF6" w14:paraId="7D7D6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−9 237</w:t>
            </w:r>
          </w:p>
        </w:tc>
        <w:tc>
          <w:tcPr>
            <w:tcW w:w="1134" w:type="dxa"/>
            <w:shd w:val="clear" w:color="auto" w:fill="FFFFFF"/>
            <w:tcMar>
              <w:top w:w="68" w:type="dxa"/>
              <w:left w:w="28" w:type="dxa"/>
              <w:bottom w:w="0" w:type="dxa"/>
              <w:right w:w="28" w:type="dxa"/>
            </w:tcMar>
            <w:hideMark/>
          </w:tcPr>
          <w:p w:rsidRPr="006B7451" w:rsidR="00FF2DF6" w:rsidP="00FF2DF6" w:rsidRDefault="00FF2DF6" w14:paraId="4E6B1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−122</w:t>
            </w:r>
          </w:p>
        </w:tc>
      </w:tr>
      <w:tr w:rsidRPr="006B7451" w:rsidR="00FF2DF6" w:rsidTr="00FF2DF6" w14:paraId="5A6A721B"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1007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1410 Mervärdesskatt, hushåll</w:t>
            </w:r>
          </w:p>
        </w:tc>
        <w:tc>
          <w:tcPr>
            <w:tcW w:w="1134" w:type="dxa"/>
            <w:shd w:val="clear" w:color="auto" w:fill="FFFFFF"/>
            <w:tcMar>
              <w:top w:w="68" w:type="dxa"/>
              <w:left w:w="28" w:type="dxa"/>
              <w:bottom w:w="0" w:type="dxa"/>
              <w:right w:w="28" w:type="dxa"/>
            </w:tcMar>
            <w:hideMark/>
          </w:tcPr>
          <w:p w:rsidRPr="006B7451" w:rsidR="00FF2DF6" w:rsidP="00FF2DF6" w:rsidRDefault="00FF2DF6" w14:paraId="1961F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−842</w:t>
            </w:r>
          </w:p>
        </w:tc>
        <w:tc>
          <w:tcPr>
            <w:tcW w:w="1134" w:type="dxa"/>
            <w:shd w:val="clear" w:color="auto" w:fill="FFFFFF"/>
            <w:tcMar>
              <w:top w:w="68" w:type="dxa"/>
              <w:left w:w="28" w:type="dxa"/>
              <w:bottom w:w="0" w:type="dxa"/>
              <w:right w:w="28" w:type="dxa"/>
            </w:tcMar>
            <w:hideMark/>
          </w:tcPr>
          <w:p w:rsidRPr="006B7451" w:rsidR="00FF2DF6" w:rsidP="00FF2DF6" w:rsidRDefault="00FF2DF6" w14:paraId="5D427A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11 538</w:t>
            </w:r>
          </w:p>
        </w:tc>
      </w:tr>
      <w:tr w:rsidRPr="006B7451" w:rsidR="00FF2DF6" w:rsidTr="00FF2DF6" w14:paraId="0376997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0A85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1420 Skatt på alkohol och tobak</w:t>
            </w:r>
          </w:p>
        </w:tc>
        <w:tc>
          <w:tcPr>
            <w:tcW w:w="1134" w:type="dxa"/>
            <w:shd w:val="clear" w:color="auto" w:fill="FFFFFF"/>
            <w:tcMar>
              <w:top w:w="68" w:type="dxa"/>
              <w:left w:w="28" w:type="dxa"/>
              <w:bottom w:w="0" w:type="dxa"/>
              <w:right w:w="28" w:type="dxa"/>
            </w:tcMar>
            <w:hideMark/>
          </w:tcPr>
          <w:p w:rsidRPr="006B7451" w:rsidR="00FF2DF6" w:rsidP="00FF2DF6" w:rsidRDefault="00FF2DF6" w14:paraId="14E1BB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10</w:t>
            </w:r>
          </w:p>
        </w:tc>
        <w:tc>
          <w:tcPr>
            <w:tcW w:w="1134" w:type="dxa"/>
            <w:shd w:val="clear" w:color="auto" w:fill="FFFFFF"/>
            <w:tcMar>
              <w:top w:w="68" w:type="dxa"/>
              <w:left w:w="28" w:type="dxa"/>
              <w:bottom w:w="0" w:type="dxa"/>
              <w:right w:w="28" w:type="dxa"/>
            </w:tcMar>
            <w:hideMark/>
          </w:tcPr>
          <w:p w:rsidRPr="006B7451" w:rsidR="00FF2DF6" w:rsidP="00FF2DF6" w:rsidRDefault="00FF2DF6" w14:paraId="32D07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−760</w:t>
            </w:r>
          </w:p>
        </w:tc>
      </w:tr>
      <w:tr w:rsidRPr="006B7451" w:rsidR="00FF2DF6" w:rsidTr="00FF2DF6" w14:paraId="150CD2F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7E9E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6B7451" w:rsidR="00FF2DF6" w:rsidP="00FF2DF6" w:rsidRDefault="00FF2DF6" w14:paraId="6341B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745</w:t>
            </w:r>
          </w:p>
        </w:tc>
        <w:tc>
          <w:tcPr>
            <w:tcW w:w="1134" w:type="dxa"/>
            <w:shd w:val="clear" w:color="auto" w:fill="FFFFFF"/>
            <w:tcMar>
              <w:top w:w="68" w:type="dxa"/>
              <w:left w:w="28" w:type="dxa"/>
              <w:bottom w:w="0" w:type="dxa"/>
              <w:right w:w="28" w:type="dxa"/>
            </w:tcMar>
            <w:hideMark/>
          </w:tcPr>
          <w:p w:rsidRPr="006B7451" w:rsidR="00FF2DF6" w:rsidP="00FF2DF6" w:rsidRDefault="00FF2DF6" w14:paraId="6B757B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−1 120</w:t>
            </w:r>
          </w:p>
        </w:tc>
      </w:tr>
      <w:tr w:rsidRPr="006B7451" w:rsidR="00FF2DF6" w:rsidTr="00FF2DF6" w14:paraId="13CCE11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8067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1430 Energiskatt</w:t>
            </w:r>
          </w:p>
        </w:tc>
        <w:tc>
          <w:tcPr>
            <w:tcW w:w="1134" w:type="dxa"/>
            <w:shd w:val="clear" w:color="auto" w:fill="FFFFFF"/>
            <w:tcMar>
              <w:top w:w="68" w:type="dxa"/>
              <w:left w:w="28" w:type="dxa"/>
              <w:bottom w:w="0" w:type="dxa"/>
              <w:right w:w="28" w:type="dxa"/>
            </w:tcMar>
            <w:hideMark/>
          </w:tcPr>
          <w:p w:rsidRPr="006B7451" w:rsidR="00FF2DF6" w:rsidP="00FF2DF6" w:rsidRDefault="00FF2DF6" w14:paraId="1AA85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775F8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725B2BA4"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5E3D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1440 Koldioxidskatt</w:t>
            </w:r>
          </w:p>
        </w:tc>
        <w:tc>
          <w:tcPr>
            <w:tcW w:w="1134" w:type="dxa"/>
            <w:shd w:val="clear" w:color="auto" w:fill="FFFFFF"/>
            <w:tcMar>
              <w:top w:w="68" w:type="dxa"/>
              <w:left w:w="28" w:type="dxa"/>
              <w:bottom w:w="0" w:type="dxa"/>
              <w:right w:w="28" w:type="dxa"/>
            </w:tcMar>
            <w:hideMark/>
          </w:tcPr>
          <w:p w:rsidRPr="006B7451" w:rsidR="00FF2DF6" w:rsidP="00FF2DF6" w:rsidRDefault="00FF2DF6" w14:paraId="00656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−810</w:t>
            </w:r>
          </w:p>
        </w:tc>
        <w:tc>
          <w:tcPr>
            <w:tcW w:w="1134" w:type="dxa"/>
            <w:shd w:val="clear" w:color="auto" w:fill="FFFFFF"/>
            <w:tcMar>
              <w:top w:w="68" w:type="dxa"/>
              <w:left w:w="28" w:type="dxa"/>
              <w:bottom w:w="0" w:type="dxa"/>
              <w:right w:w="28" w:type="dxa"/>
            </w:tcMar>
            <w:hideMark/>
          </w:tcPr>
          <w:p w:rsidRPr="006B7451" w:rsidR="00FF2DF6" w:rsidP="00FF2DF6" w:rsidRDefault="00FF2DF6" w14:paraId="4E6E2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−1 230</w:t>
            </w:r>
          </w:p>
        </w:tc>
      </w:tr>
      <w:tr w:rsidRPr="006B7451" w:rsidR="00FF2DF6" w:rsidTr="00FF2DF6" w14:paraId="68211728"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EA616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134" w:type="dxa"/>
            <w:shd w:val="clear" w:color="auto" w:fill="FFFFFF"/>
            <w:tcMar>
              <w:top w:w="68" w:type="dxa"/>
              <w:left w:w="28" w:type="dxa"/>
              <w:bottom w:w="0" w:type="dxa"/>
              <w:right w:w="28" w:type="dxa"/>
            </w:tcMar>
            <w:hideMark/>
          </w:tcPr>
          <w:p w:rsidRPr="006B7451" w:rsidR="00FF2DF6" w:rsidP="00FF2DF6" w:rsidRDefault="00FF2DF6" w14:paraId="34BE2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−4 120</w:t>
            </w:r>
          </w:p>
        </w:tc>
        <w:tc>
          <w:tcPr>
            <w:tcW w:w="1134" w:type="dxa"/>
            <w:shd w:val="clear" w:color="auto" w:fill="FFFFFF"/>
            <w:tcMar>
              <w:top w:w="68" w:type="dxa"/>
              <w:left w:w="28" w:type="dxa"/>
              <w:bottom w:w="0" w:type="dxa"/>
              <w:right w:w="28" w:type="dxa"/>
            </w:tcMar>
            <w:hideMark/>
          </w:tcPr>
          <w:p w:rsidRPr="006B7451" w:rsidR="00FF2DF6" w:rsidP="00FF2DF6" w:rsidRDefault="00FF2DF6" w14:paraId="7D9F6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−4 260</w:t>
            </w:r>
          </w:p>
        </w:tc>
      </w:tr>
      <w:tr w:rsidRPr="006B7451" w:rsidR="00FF2DF6" w:rsidTr="00FF2DF6" w14:paraId="22992516"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8823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1470 Skatt på vägtrafik</w:t>
            </w:r>
          </w:p>
        </w:tc>
        <w:tc>
          <w:tcPr>
            <w:tcW w:w="1134" w:type="dxa"/>
            <w:shd w:val="clear" w:color="auto" w:fill="FFFFFF"/>
            <w:tcMar>
              <w:top w:w="68" w:type="dxa"/>
              <w:left w:w="28" w:type="dxa"/>
              <w:bottom w:w="0" w:type="dxa"/>
              <w:right w:w="28" w:type="dxa"/>
            </w:tcMar>
            <w:hideMark/>
          </w:tcPr>
          <w:p w:rsidRPr="006B7451" w:rsidR="00FF2DF6" w:rsidP="00FF2DF6" w:rsidRDefault="00FF2DF6" w14:paraId="16E54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−4 220</w:t>
            </w:r>
          </w:p>
        </w:tc>
        <w:tc>
          <w:tcPr>
            <w:tcW w:w="1134" w:type="dxa"/>
            <w:shd w:val="clear" w:color="auto" w:fill="FFFFFF"/>
            <w:tcMar>
              <w:top w:w="68" w:type="dxa"/>
              <w:left w:w="28" w:type="dxa"/>
              <w:bottom w:w="0" w:type="dxa"/>
              <w:right w:w="28" w:type="dxa"/>
            </w:tcMar>
            <w:hideMark/>
          </w:tcPr>
          <w:p w:rsidRPr="006B7451" w:rsidR="00FF2DF6" w:rsidP="00FF2DF6" w:rsidRDefault="00FF2DF6" w14:paraId="756AF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−4 290</w:t>
            </w:r>
          </w:p>
        </w:tc>
      </w:tr>
      <w:tr w:rsidRPr="006B7451" w:rsidR="00FF2DF6" w:rsidTr="00FF2DF6" w14:paraId="4296B94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8307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1480 Övriga skatter</w:t>
            </w:r>
          </w:p>
        </w:tc>
        <w:tc>
          <w:tcPr>
            <w:tcW w:w="1134" w:type="dxa"/>
            <w:shd w:val="clear" w:color="auto" w:fill="FFFFFF"/>
            <w:tcMar>
              <w:top w:w="68" w:type="dxa"/>
              <w:left w:w="28" w:type="dxa"/>
              <w:bottom w:w="0" w:type="dxa"/>
              <w:right w:w="28" w:type="dxa"/>
            </w:tcMar>
            <w:hideMark/>
          </w:tcPr>
          <w:p w:rsidRPr="006B7451" w:rsidR="00FF2DF6" w:rsidP="00FF2DF6" w:rsidRDefault="00FF2DF6" w14:paraId="25F876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7D49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±0</w:t>
            </w:r>
          </w:p>
        </w:tc>
      </w:tr>
      <w:tr w:rsidRPr="006B7451" w:rsidR="00FF2DF6" w:rsidTr="00FF2DF6" w14:paraId="24BAD6DC"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B4F8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0FC939E5"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ED18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1500 Skatt på import</w:t>
            </w:r>
          </w:p>
        </w:tc>
        <w:tc>
          <w:tcPr>
            <w:tcW w:w="1134" w:type="dxa"/>
            <w:shd w:val="clear" w:color="auto" w:fill="FFFFFF"/>
            <w:tcMar>
              <w:top w:w="68" w:type="dxa"/>
              <w:left w:w="28" w:type="dxa"/>
              <w:bottom w:w="0" w:type="dxa"/>
              <w:right w:w="28" w:type="dxa"/>
            </w:tcMar>
            <w:hideMark/>
          </w:tcPr>
          <w:p w:rsidRPr="006B7451" w:rsidR="00FF2DF6" w:rsidP="00FF2DF6" w:rsidRDefault="00FF2DF6" w14:paraId="380C4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9710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73B44675"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35BEC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6EA52CD0"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5FFF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134" w:type="dxa"/>
            <w:shd w:val="clear" w:color="auto" w:fill="FFFFFF"/>
            <w:tcMar>
              <w:top w:w="68" w:type="dxa"/>
              <w:left w:w="28" w:type="dxa"/>
              <w:bottom w:w="0" w:type="dxa"/>
              <w:right w:w="28" w:type="dxa"/>
            </w:tcMar>
            <w:hideMark/>
          </w:tcPr>
          <w:p w:rsidRPr="006B7451" w:rsidR="00FF2DF6" w:rsidP="00FF2DF6" w:rsidRDefault="00FF2DF6" w14:paraId="286BC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w:t>
            </w:r>
          </w:p>
        </w:tc>
        <w:tc>
          <w:tcPr>
            <w:tcW w:w="1134" w:type="dxa"/>
            <w:shd w:val="clear" w:color="auto" w:fill="FFFFFF"/>
            <w:tcMar>
              <w:top w:w="68" w:type="dxa"/>
              <w:left w:w="28" w:type="dxa"/>
              <w:bottom w:w="0" w:type="dxa"/>
              <w:right w:w="28" w:type="dxa"/>
            </w:tcMar>
            <w:hideMark/>
          </w:tcPr>
          <w:p w:rsidRPr="006B7451" w:rsidR="00FF2DF6" w:rsidP="00FF2DF6" w:rsidRDefault="00FF2DF6" w14:paraId="49B2E2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25</w:t>
            </w:r>
          </w:p>
        </w:tc>
      </w:tr>
      <w:tr w:rsidRPr="006B7451" w:rsidR="00FF2DF6" w:rsidTr="00FF2DF6" w14:paraId="2A50E394"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51B51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03DE592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C377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134" w:type="dxa"/>
            <w:shd w:val="clear" w:color="auto" w:fill="FFFFFF"/>
            <w:tcMar>
              <w:top w:w="68" w:type="dxa"/>
              <w:left w:w="28" w:type="dxa"/>
              <w:bottom w:w="0" w:type="dxa"/>
              <w:right w:w="28" w:type="dxa"/>
            </w:tcMar>
            <w:hideMark/>
          </w:tcPr>
          <w:p w:rsidRPr="006B7451" w:rsidR="00FF2DF6" w:rsidP="00FF2DF6" w:rsidRDefault="00FF2DF6" w14:paraId="77CFF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FD75B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28DB270F"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040E0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5D440A00"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A762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134" w:type="dxa"/>
            <w:shd w:val="clear" w:color="auto" w:fill="FFFFFF"/>
            <w:tcMar>
              <w:top w:w="68" w:type="dxa"/>
              <w:left w:w="28" w:type="dxa"/>
              <w:bottom w:w="0" w:type="dxa"/>
              <w:right w:w="28" w:type="dxa"/>
            </w:tcMar>
            <w:hideMark/>
          </w:tcPr>
          <w:p w:rsidRPr="006B7451" w:rsidR="00FF2DF6" w:rsidP="00FF2DF6" w:rsidRDefault="00FF2DF6" w14:paraId="21585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−22 769</w:t>
            </w:r>
          </w:p>
        </w:tc>
        <w:tc>
          <w:tcPr>
            <w:tcW w:w="1134" w:type="dxa"/>
            <w:shd w:val="clear" w:color="auto" w:fill="FFFFFF"/>
            <w:tcMar>
              <w:top w:w="68" w:type="dxa"/>
              <w:left w:w="28" w:type="dxa"/>
              <w:bottom w:w="0" w:type="dxa"/>
              <w:right w:w="28" w:type="dxa"/>
            </w:tcMar>
            <w:hideMark/>
          </w:tcPr>
          <w:p w:rsidRPr="006B7451" w:rsidR="00FF2DF6" w:rsidP="00FF2DF6" w:rsidRDefault="00FF2DF6" w14:paraId="5497C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−38 082</w:t>
            </w:r>
          </w:p>
        </w:tc>
      </w:tr>
      <w:tr w:rsidRPr="006B7451" w:rsidR="00FF2DF6" w:rsidTr="00FF2DF6" w14:paraId="46EC49F6"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16409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75C2DAF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1DE4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134" w:type="dxa"/>
            <w:shd w:val="clear" w:color="auto" w:fill="FFFFFF"/>
            <w:tcMar>
              <w:top w:w="68" w:type="dxa"/>
              <w:left w:w="28" w:type="dxa"/>
              <w:bottom w:w="0" w:type="dxa"/>
              <w:right w:w="28" w:type="dxa"/>
            </w:tcMar>
            <w:hideMark/>
          </w:tcPr>
          <w:p w:rsidRPr="006B7451" w:rsidR="00FF2DF6" w:rsidP="00FF2DF6" w:rsidRDefault="00FF2DF6" w14:paraId="764E0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597</w:t>
            </w:r>
          </w:p>
        </w:tc>
        <w:tc>
          <w:tcPr>
            <w:tcW w:w="1134" w:type="dxa"/>
            <w:shd w:val="clear" w:color="auto" w:fill="FFFFFF"/>
            <w:tcMar>
              <w:top w:w="68" w:type="dxa"/>
              <w:left w:w="28" w:type="dxa"/>
              <w:bottom w:w="0" w:type="dxa"/>
              <w:right w:w="28" w:type="dxa"/>
            </w:tcMar>
            <w:hideMark/>
          </w:tcPr>
          <w:p w:rsidRPr="006B7451" w:rsidR="00FF2DF6" w:rsidP="00FF2DF6" w:rsidRDefault="00FF2DF6" w14:paraId="2A9D7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361</w:t>
            </w:r>
          </w:p>
        </w:tc>
      </w:tr>
      <w:tr w:rsidRPr="006B7451" w:rsidR="00FF2DF6" w:rsidTr="00FF2DF6" w14:paraId="06FB3FA8"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4F583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lastRenderedPageBreak/>
              <w:t> </w:t>
            </w:r>
          </w:p>
        </w:tc>
      </w:tr>
      <w:tr w:rsidRPr="006B7451" w:rsidR="00FF2DF6" w:rsidTr="00FF2DF6" w14:paraId="2D8663E3"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FC5C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134" w:type="dxa"/>
            <w:shd w:val="clear" w:color="auto" w:fill="FFFFFF"/>
            <w:tcMar>
              <w:top w:w="68" w:type="dxa"/>
              <w:left w:w="28" w:type="dxa"/>
              <w:bottom w:w="0" w:type="dxa"/>
              <w:right w:w="28" w:type="dxa"/>
            </w:tcMar>
            <w:hideMark/>
          </w:tcPr>
          <w:p w:rsidRPr="006B7451" w:rsidR="00FF2DF6" w:rsidP="00FF2DF6" w:rsidRDefault="00FF2DF6" w14:paraId="1068C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−22 172</w:t>
            </w:r>
          </w:p>
        </w:tc>
        <w:tc>
          <w:tcPr>
            <w:tcW w:w="1134" w:type="dxa"/>
            <w:shd w:val="clear" w:color="auto" w:fill="FFFFFF"/>
            <w:tcMar>
              <w:top w:w="68" w:type="dxa"/>
              <w:left w:w="28" w:type="dxa"/>
              <w:bottom w:w="0" w:type="dxa"/>
              <w:right w:w="28" w:type="dxa"/>
            </w:tcMar>
            <w:hideMark/>
          </w:tcPr>
          <w:p w:rsidRPr="006B7451" w:rsidR="00FF2DF6" w:rsidP="00FF2DF6" w:rsidRDefault="00FF2DF6" w14:paraId="1F0F6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−37 721</w:t>
            </w:r>
          </w:p>
        </w:tc>
      </w:tr>
      <w:tr w:rsidRPr="006B7451" w:rsidR="00FF2DF6" w:rsidTr="00FF2DF6" w14:paraId="40B3F9C5"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17B2C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2546B6AF"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381D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1900 Periodiseringar</w:t>
            </w:r>
          </w:p>
        </w:tc>
        <w:tc>
          <w:tcPr>
            <w:tcW w:w="1134" w:type="dxa"/>
            <w:shd w:val="clear" w:color="auto" w:fill="FFFFFF"/>
            <w:tcMar>
              <w:top w:w="68" w:type="dxa"/>
              <w:left w:w="28" w:type="dxa"/>
              <w:bottom w:w="0" w:type="dxa"/>
              <w:right w:w="28" w:type="dxa"/>
            </w:tcMar>
            <w:hideMark/>
          </w:tcPr>
          <w:p w:rsidRPr="006B7451" w:rsidR="00FF2DF6" w:rsidP="00FF2DF6" w:rsidRDefault="00FF2DF6" w14:paraId="362332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7F52C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05AD9C15"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24DB2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21882F9A"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70499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134" w:type="dxa"/>
            <w:shd w:val="clear" w:color="auto" w:fill="FFFFFF"/>
            <w:tcMar>
              <w:top w:w="68" w:type="dxa"/>
              <w:left w:w="28" w:type="dxa"/>
              <w:bottom w:w="0" w:type="dxa"/>
              <w:right w:w="28" w:type="dxa"/>
            </w:tcMar>
            <w:hideMark/>
          </w:tcPr>
          <w:p w:rsidRPr="006B7451" w:rsidR="00FF2DF6" w:rsidP="00FF2DF6" w:rsidRDefault="00FF2DF6" w14:paraId="516CD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−22 172</w:t>
            </w:r>
          </w:p>
        </w:tc>
        <w:tc>
          <w:tcPr>
            <w:tcW w:w="1134" w:type="dxa"/>
            <w:shd w:val="clear" w:color="auto" w:fill="FFFFFF"/>
            <w:tcMar>
              <w:top w:w="68" w:type="dxa"/>
              <w:left w:w="28" w:type="dxa"/>
              <w:bottom w:w="0" w:type="dxa"/>
              <w:right w:w="28" w:type="dxa"/>
            </w:tcMar>
            <w:hideMark/>
          </w:tcPr>
          <w:p w:rsidRPr="006B7451" w:rsidR="00FF2DF6" w:rsidP="00FF2DF6" w:rsidRDefault="00FF2DF6" w14:paraId="57BA4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−37 721</w:t>
            </w:r>
          </w:p>
        </w:tc>
      </w:tr>
      <w:tr w:rsidRPr="006B7451" w:rsidR="00FF2DF6" w:rsidTr="00FF2DF6" w14:paraId="366E7119"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0096DB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70806D19"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45F59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134" w:type="dxa"/>
            <w:shd w:val="clear" w:color="auto" w:fill="FFFFFF"/>
            <w:tcMar>
              <w:top w:w="68" w:type="dxa"/>
              <w:left w:w="28" w:type="dxa"/>
              <w:bottom w:w="0" w:type="dxa"/>
              <w:right w:w="28" w:type="dxa"/>
            </w:tcMar>
            <w:hideMark/>
          </w:tcPr>
          <w:p w:rsidRPr="006B7451" w:rsidR="00FF2DF6" w:rsidP="00FF2DF6" w:rsidRDefault="00FF2DF6" w14:paraId="78F44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−1 670</w:t>
            </w:r>
          </w:p>
        </w:tc>
        <w:tc>
          <w:tcPr>
            <w:tcW w:w="1134" w:type="dxa"/>
            <w:shd w:val="clear" w:color="auto" w:fill="FFFFFF"/>
            <w:tcMar>
              <w:top w:w="68" w:type="dxa"/>
              <w:left w:w="28" w:type="dxa"/>
              <w:bottom w:w="0" w:type="dxa"/>
              <w:right w:w="28" w:type="dxa"/>
            </w:tcMar>
            <w:hideMark/>
          </w:tcPr>
          <w:p w:rsidRPr="006B7451" w:rsidR="00FF2DF6" w:rsidP="00FF2DF6" w:rsidRDefault="00FF2DF6" w14:paraId="4F61A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−1 660</w:t>
            </w:r>
          </w:p>
        </w:tc>
      </w:tr>
      <w:tr w:rsidRPr="006B7451" w:rsidR="00FF2DF6" w:rsidTr="00FF2DF6" w14:paraId="63406C93" w14:textId="77777777">
        <w:trPr>
          <w:trHeight w:val="170"/>
        </w:trPr>
        <w:tc>
          <w:tcPr>
            <w:tcW w:w="4139" w:type="dxa"/>
            <w:gridSpan w:val="3"/>
            <w:shd w:val="clear" w:color="auto" w:fill="FFFFFF"/>
            <w:tcMar>
              <w:top w:w="68" w:type="dxa"/>
              <w:left w:w="28" w:type="dxa"/>
              <w:bottom w:w="0" w:type="dxa"/>
              <w:right w:w="28" w:type="dxa"/>
            </w:tcMar>
            <w:hideMark/>
          </w:tcPr>
          <w:p w:rsidRPr="006B7451" w:rsidR="00FF2DF6" w:rsidP="00FF2DF6" w:rsidRDefault="00FF2DF6" w14:paraId="09E64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B7451">
              <w:rPr>
                <w:rFonts w:ascii="Times New Roman" w:hAnsi="Times New Roman" w:eastAsia="Times New Roman" w:cs="Times New Roman"/>
                <w:color w:val="000000"/>
                <w:kern w:val="0"/>
                <w:sz w:val="20"/>
                <w:szCs w:val="20"/>
                <w:lang w:eastAsia="sv-SE"/>
                <w14:numSpacing w14:val="default"/>
              </w:rPr>
              <w:t> </w:t>
            </w:r>
          </w:p>
        </w:tc>
      </w:tr>
      <w:tr w:rsidRPr="006B7451" w:rsidR="00FF2DF6" w:rsidTr="00FF2DF6" w14:paraId="67FE2184"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39923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134" w:type="dxa"/>
            <w:shd w:val="clear" w:color="auto" w:fill="FFFFFF"/>
            <w:tcMar>
              <w:top w:w="68" w:type="dxa"/>
              <w:left w:w="28" w:type="dxa"/>
              <w:bottom w:w="0" w:type="dxa"/>
              <w:right w:w="28" w:type="dxa"/>
            </w:tcMar>
            <w:hideMark/>
          </w:tcPr>
          <w:p w:rsidRPr="006B7451" w:rsidR="00FF2DF6" w:rsidP="00FF2DF6" w:rsidRDefault="00FF2DF6" w14:paraId="3855A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−1 670</w:t>
            </w:r>
          </w:p>
        </w:tc>
        <w:tc>
          <w:tcPr>
            <w:tcW w:w="1134" w:type="dxa"/>
            <w:shd w:val="clear" w:color="auto" w:fill="FFFFFF"/>
            <w:tcMar>
              <w:top w:w="68" w:type="dxa"/>
              <w:left w:w="28" w:type="dxa"/>
              <w:bottom w:w="0" w:type="dxa"/>
              <w:right w:w="28" w:type="dxa"/>
            </w:tcMar>
            <w:hideMark/>
          </w:tcPr>
          <w:p w:rsidRPr="006B7451" w:rsidR="00FF2DF6" w:rsidP="00FF2DF6" w:rsidRDefault="00FF2DF6" w14:paraId="4889C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−1 660</w:t>
            </w:r>
          </w:p>
        </w:tc>
      </w:tr>
      <w:tr w:rsidRPr="006B7451" w:rsidR="00FF2DF6" w:rsidTr="00FF2DF6" w14:paraId="7B8FF4E1"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1B58A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134" w:type="dxa"/>
            <w:shd w:val="clear" w:color="auto" w:fill="FFFFFF"/>
            <w:tcMar>
              <w:top w:w="68" w:type="dxa"/>
              <w:left w:w="28" w:type="dxa"/>
              <w:bottom w:w="0" w:type="dxa"/>
              <w:right w:w="28" w:type="dxa"/>
            </w:tcMar>
            <w:hideMark/>
          </w:tcPr>
          <w:p w:rsidRPr="006B7451" w:rsidR="00FF2DF6" w:rsidP="00FF2DF6" w:rsidRDefault="00FF2DF6" w14:paraId="331B3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35BBAA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6E4D5AFE"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5CB25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4000 Återbetalning av lån</w:t>
            </w:r>
          </w:p>
        </w:tc>
        <w:tc>
          <w:tcPr>
            <w:tcW w:w="1134" w:type="dxa"/>
            <w:shd w:val="clear" w:color="auto" w:fill="FFFFFF"/>
            <w:tcMar>
              <w:top w:w="68" w:type="dxa"/>
              <w:left w:w="28" w:type="dxa"/>
              <w:bottom w:w="0" w:type="dxa"/>
              <w:right w:w="28" w:type="dxa"/>
            </w:tcMar>
            <w:hideMark/>
          </w:tcPr>
          <w:p w:rsidRPr="006B7451" w:rsidR="00FF2DF6" w:rsidP="00FF2DF6" w:rsidRDefault="00FF2DF6" w14:paraId="41EE1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664E8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75FDEFA2"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8A8C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5000 Kalkylmässiga inkomster</w:t>
            </w:r>
          </w:p>
        </w:tc>
        <w:tc>
          <w:tcPr>
            <w:tcW w:w="1134" w:type="dxa"/>
            <w:shd w:val="clear" w:color="auto" w:fill="FFFFFF"/>
            <w:tcMar>
              <w:top w:w="68" w:type="dxa"/>
              <w:left w:w="28" w:type="dxa"/>
              <w:bottom w:w="0" w:type="dxa"/>
              <w:right w:w="28" w:type="dxa"/>
            </w:tcMar>
            <w:hideMark/>
          </w:tcPr>
          <w:p w:rsidRPr="006B7451" w:rsidR="00FF2DF6" w:rsidP="00FF2DF6" w:rsidRDefault="00FF2DF6" w14:paraId="6DA3E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51C9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4DDE483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29DF0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6000 Bidrag m.m. från EU</w:t>
            </w:r>
          </w:p>
        </w:tc>
        <w:tc>
          <w:tcPr>
            <w:tcW w:w="1134" w:type="dxa"/>
            <w:shd w:val="clear" w:color="auto" w:fill="FFFFFF"/>
            <w:tcMar>
              <w:top w:w="68" w:type="dxa"/>
              <w:left w:w="28" w:type="dxa"/>
              <w:bottom w:w="0" w:type="dxa"/>
              <w:right w:w="28" w:type="dxa"/>
            </w:tcMar>
            <w:hideMark/>
          </w:tcPr>
          <w:p w:rsidRPr="006B7451" w:rsidR="00FF2DF6" w:rsidP="00FF2DF6" w:rsidRDefault="00FF2DF6" w14:paraId="6CAA1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54514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4F25585D"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3861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134" w:type="dxa"/>
            <w:shd w:val="clear" w:color="auto" w:fill="FFFFFF"/>
            <w:tcMar>
              <w:top w:w="68" w:type="dxa"/>
              <w:left w:w="28" w:type="dxa"/>
              <w:bottom w:w="0" w:type="dxa"/>
              <w:right w:w="28" w:type="dxa"/>
            </w:tcMar>
            <w:hideMark/>
          </w:tcPr>
          <w:p w:rsidRPr="006B7451" w:rsidR="00FF2DF6" w:rsidP="00FF2DF6" w:rsidRDefault="00FF2DF6" w14:paraId="2B784A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hideMark/>
          </w:tcPr>
          <w:p w:rsidRPr="006B7451" w:rsidR="00FF2DF6" w:rsidP="00FF2DF6" w:rsidRDefault="00FF2DF6" w14:paraId="40D53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093485" w14:paraId="7D76E0F0" w14:textId="77777777">
        <w:trPr>
          <w:trHeight w:val="170"/>
        </w:trPr>
        <w:tc>
          <w:tcPr>
            <w:tcW w:w="4139" w:type="dxa"/>
            <w:shd w:val="clear" w:color="auto" w:fill="FFFFFF"/>
            <w:tcMar>
              <w:top w:w="68" w:type="dxa"/>
              <w:left w:w="28" w:type="dxa"/>
              <w:bottom w:w="0" w:type="dxa"/>
              <w:right w:w="28" w:type="dxa"/>
            </w:tcMar>
            <w:hideMark/>
          </w:tcPr>
          <w:p w:rsidRPr="006B7451" w:rsidR="00FF2DF6" w:rsidP="00FF2DF6" w:rsidRDefault="00FF2DF6" w14:paraId="66BBD2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134" w:type="dxa"/>
            <w:shd w:val="clear" w:color="auto" w:fill="FFFFFF"/>
            <w:tcMar>
              <w:top w:w="68" w:type="dxa"/>
              <w:left w:w="28" w:type="dxa"/>
              <w:bottom w:w="0" w:type="dxa"/>
              <w:right w:w="28" w:type="dxa"/>
            </w:tcMar>
            <w:vAlign w:val="bottom"/>
            <w:hideMark/>
          </w:tcPr>
          <w:p w:rsidRPr="006B7451" w:rsidR="00FF2DF6" w:rsidP="00093485" w:rsidRDefault="00FF2DF6" w14:paraId="4E80E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c>
          <w:tcPr>
            <w:tcW w:w="1134" w:type="dxa"/>
            <w:shd w:val="clear" w:color="auto" w:fill="FFFFFF"/>
            <w:tcMar>
              <w:top w:w="68" w:type="dxa"/>
              <w:left w:w="28" w:type="dxa"/>
              <w:bottom w:w="0" w:type="dxa"/>
              <w:right w:w="28" w:type="dxa"/>
            </w:tcMar>
            <w:vAlign w:val="bottom"/>
            <w:hideMark/>
          </w:tcPr>
          <w:p w:rsidRPr="006B7451" w:rsidR="00FF2DF6" w:rsidP="00093485" w:rsidRDefault="00FF2DF6" w14:paraId="42E8F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±0</w:t>
            </w:r>
          </w:p>
        </w:tc>
      </w:tr>
      <w:tr w:rsidRPr="006B7451" w:rsidR="00FF2DF6" w:rsidTr="00FF2DF6" w14:paraId="674BE52A"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B7451" w:rsidR="00FF2DF6" w:rsidP="00FF2DF6" w:rsidRDefault="00FF2DF6" w14:paraId="54A05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2733F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−23 842</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B7451" w:rsidR="00FF2DF6" w:rsidP="00FF2DF6" w:rsidRDefault="00FF2DF6" w14:paraId="10B413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B7451">
              <w:rPr>
                <w:rFonts w:ascii="Times New Roman" w:hAnsi="Times New Roman" w:eastAsia="Times New Roman" w:cs="Times New Roman"/>
                <w:b/>
                <w:bCs/>
                <w:color w:val="000000"/>
                <w:kern w:val="0"/>
                <w:sz w:val="20"/>
                <w:szCs w:val="20"/>
                <w:lang w:eastAsia="sv-SE"/>
                <w14:numSpacing w14:val="default"/>
              </w:rPr>
              <w:t>−39 381</w:t>
            </w:r>
          </w:p>
        </w:tc>
      </w:tr>
    </w:tbl>
    <w:sdt>
      <w:sdtPr>
        <w:rPr>
          <w:i/>
          <w:noProof/>
        </w:rPr>
        <w:alias w:val="CC_Underskrifter"/>
        <w:tag w:val="CC_Underskrifter"/>
        <w:id w:val="583496634"/>
        <w:lock w:val="sdtContentLocked"/>
        <w:placeholder>
          <w:docPart w:val="FED4425899884C979B3719775EF81C2E"/>
        </w:placeholder>
      </w:sdtPr>
      <w:sdtEndPr>
        <w:rPr>
          <w:i w:val="0"/>
          <w:noProof w:val="0"/>
        </w:rPr>
      </w:sdtEndPr>
      <w:sdtContent>
        <w:p w:rsidR="0083369A" w:rsidP="006B7451" w:rsidRDefault="0083369A" w14:paraId="4560E085" w14:textId="3BEFB390"/>
        <w:p w:rsidRPr="00173BB5" w:rsidR="004801AC" w:rsidP="006B7451" w:rsidRDefault="002F39CB" w14:paraId="3E6979D5" w14:textId="433C9F5B"/>
      </w:sdtContent>
    </w:sdt>
    <w:tbl>
      <w:tblPr>
        <w:tblW w:w="5000" w:type="pct"/>
        <w:tblLook w:val="04A0" w:firstRow="1" w:lastRow="0" w:firstColumn="1" w:lastColumn="0" w:noHBand="0" w:noVBand="1"/>
        <w:tblCaption w:val="underskrifter"/>
      </w:tblPr>
      <w:tblGrid>
        <w:gridCol w:w="4252"/>
        <w:gridCol w:w="4252"/>
      </w:tblGrid>
      <w:tr w:rsidR="005E6866" w14:paraId="2FA962DD" w14:textId="77777777">
        <w:trPr>
          <w:cantSplit/>
        </w:trPr>
        <w:tc>
          <w:tcPr>
            <w:tcW w:w="50" w:type="pct"/>
            <w:vAlign w:val="bottom"/>
          </w:tcPr>
          <w:p w:rsidR="005E6866" w:rsidRDefault="009567EC" w14:paraId="6582ACC1" w14:textId="77777777">
            <w:pPr>
              <w:pStyle w:val="Underskrifter"/>
            </w:pPr>
            <w:r>
              <w:t>Jimmie Åkesson (SD)</w:t>
            </w:r>
          </w:p>
        </w:tc>
        <w:tc>
          <w:tcPr>
            <w:tcW w:w="50" w:type="pct"/>
            <w:vAlign w:val="bottom"/>
          </w:tcPr>
          <w:p w:rsidR="005E6866" w:rsidRDefault="009567EC" w14:paraId="612A526F" w14:textId="77777777">
            <w:pPr>
              <w:pStyle w:val="Underskrifter"/>
            </w:pPr>
            <w:r>
              <w:t>Oscar Sjöstedt (SD)</w:t>
            </w:r>
          </w:p>
        </w:tc>
      </w:tr>
      <w:tr w:rsidR="005E6866" w14:paraId="3F166815" w14:textId="77777777">
        <w:trPr>
          <w:cantSplit/>
        </w:trPr>
        <w:tc>
          <w:tcPr>
            <w:tcW w:w="50" w:type="pct"/>
            <w:vAlign w:val="bottom"/>
          </w:tcPr>
          <w:p w:rsidR="005E6866" w:rsidRDefault="009567EC" w14:paraId="10427967" w14:textId="77777777">
            <w:pPr>
              <w:pStyle w:val="Underskrifter"/>
            </w:pPr>
            <w:r>
              <w:t>Henrik Vinge (SD)</w:t>
            </w:r>
          </w:p>
        </w:tc>
        <w:tc>
          <w:tcPr>
            <w:tcW w:w="50" w:type="pct"/>
            <w:vAlign w:val="bottom"/>
          </w:tcPr>
          <w:p w:rsidR="005E6866" w:rsidRDefault="009567EC" w14:paraId="613811F9" w14:textId="77777777">
            <w:pPr>
              <w:pStyle w:val="Underskrifter"/>
            </w:pPr>
            <w:r>
              <w:t>Julia Kronlid (SD)</w:t>
            </w:r>
          </w:p>
        </w:tc>
      </w:tr>
      <w:tr w:rsidR="005E6866" w14:paraId="6C3A7D80" w14:textId="77777777">
        <w:trPr>
          <w:cantSplit/>
        </w:trPr>
        <w:tc>
          <w:tcPr>
            <w:tcW w:w="50" w:type="pct"/>
            <w:vAlign w:val="bottom"/>
          </w:tcPr>
          <w:p w:rsidR="005E6866" w:rsidRDefault="009567EC" w14:paraId="59A3B350" w14:textId="77777777">
            <w:pPr>
              <w:pStyle w:val="Underskrifter"/>
            </w:pPr>
            <w:r>
              <w:t>Richard Jomshof (SD)</w:t>
            </w:r>
          </w:p>
        </w:tc>
        <w:tc>
          <w:tcPr>
            <w:tcW w:w="50" w:type="pct"/>
            <w:vAlign w:val="bottom"/>
          </w:tcPr>
          <w:p w:rsidR="005E6866" w:rsidRDefault="009567EC" w14:paraId="7822DB0D" w14:textId="77777777">
            <w:pPr>
              <w:pStyle w:val="Underskrifter"/>
            </w:pPr>
            <w:r>
              <w:t>Mattias Bäckström Johansson (SD)</w:t>
            </w:r>
          </w:p>
        </w:tc>
      </w:tr>
      <w:tr w:rsidR="005E6866" w14:paraId="18965124" w14:textId="77777777">
        <w:trPr>
          <w:cantSplit/>
        </w:trPr>
        <w:tc>
          <w:tcPr>
            <w:tcW w:w="50" w:type="pct"/>
            <w:vAlign w:val="bottom"/>
          </w:tcPr>
          <w:p w:rsidR="005E6866" w:rsidRDefault="009567EC" w14:paraId="1AED9A67" w14:textId="77777777">
            <w:pPr>
              <w:pStyle w:val="Underskrifter"/>
            </w:pPr>
            <w:r>
              <w:t>Mattias Karlsson i Norrhult (SD)</w:t>
            </w:r>
          </w:p>
        </w:tc>
        <w:tc>
          <w:tcPr>
            <w:tcW w:w="50" w:type="pct"/>
            <w:vAlign w:val="bottom"/>
          </w:tcPr>
          <w:p w:rsidR="005E6866" w:rsidRDefault="009567EC" w14:paraId="2849217C" w14:textId="77777777">
            <w:pPr>
              <w:pStyle w:val="Underskrifter"/>
            </w:pPr>
            <w:r>
              <w:t>Carina Ståhl Herrstedt (SD)</w:t>
            </w:r>
          </w:p>
        </w:tc>
      </w:tr>
      <w:tr w:rsidR="005E6866" w14:paraId="4C13D6A5" w14:textId="77777777">
        <w:trPr>
          <w:cantSplit/>
        </w:trPr>
        <w:tc>
          <w:tcPr>
            <w:tcW w:w="50" w:type="pct"/>
            <w:vAlign w:val="bottom"/>
          </w:tcPr>
          <w:p w:rsidR="005E6866" w:rsidRDefault="009567EC" w14:paraId="59B3834E" w14:textId="77777777">
            <w:pPr>
              <w:pStyle w:val="Underskrifter"/>
            </w:pPr>
            <w:r>
              <w:t>Bo Broman (SD)</w:t>
            </w:r>
          </w:p>
        </w:tc>
        <w:tc>
          <w:tcPr>
            <w:tcW w:w="50" w:type="pct"/>
            <w:vAlign w:val="bottom"/>
          </w:tcPr>
          <w:p w:rsidR="005E6866" w:rsidRDefault="009567EC" w14:paraId="56C12E23" w14:textId="77777777">
            <w:pPr>
              <w:pStyle w:val="Underskrifter"/>
            </w:pPr>
            <w:r>
              <w:t>Aron Emilsson (SD)</w:t>
            </w:r>
          </w:p>
        </w:tc>
      </w:tr>
      <w:tr w:rsidR="005E6866" w14:paraId="18873C8F" w14:textId="77777777">
        <w:trPr>
          <w:gridAfter w:val="1"/>
          <w:wAfter w:w="4252" w:type="dxa"/>
          <w:cantSplit/>
        </w:trPr>
        <w:tc>
          <w:tcPr>
            <w:tcW w:w="50" w:type="pct"/>
            <w:vAlign w:val="bottom"/>
          </w:tcPr>
          <w:p w:rsidR="005E6866" w:rsidRDefault="009567EC" w14:paraId="301E614B" w14:textId="77777777">
            <w:pPr>
              <w:pStyle w:val="Underskrifter"/>
            </w:pPr>
            <w:r>
              <w:t>Martin Kinnunen (SD)</w:t>
            </w:r>
          </w:p>
        </w:tc>
      </w:tr>
    </w:tbl>
    <w:p w:rsidR="00CA757A" w:rsidRDefault="00CA757A" w14:paraId="7E3973CC" w14:textId="77777777"/>
    <w:sectPr w:rsidR="00CA757A" w:rsidSect="002C63EE">
      <w:headerReference w:type="even" r:id="rId38"/>
      <w:headerReference w:type="default" r:id="rId39"/>
      <w:footerReference w:type="even" r:id="rId40"/>
      <w:footerReference w:type="default" r:id="rId41"/>
      <w:headerReference w:type="first" r:id="rId42"/>
      <w:footerReference w:type="first" r:id="rId4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3B13" w14:textId="77777777" w:rsidR="00CB2DB0" w:rsidRDefault="00CB2DB0" w:rsidP="000C1CAD">
      <w:pPr>
        <w:spacing w:line="240" w:lineRule="auto"/>
      </w:pPr>
      <w:r>
        <w:separator/>
      </w:r>
    </w:p>
  </w:endnote>
  <w:endnote w:type="continuationSeparator" w:id="0">
    <w:p w14:paraId="0583D7AE" w14:textId="77777777" w:rsidR="00CB2DB0" w:rsidRDefault="00CB2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rlow">
    <w:altName w:val="Calibri"/>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9FC3" w14:textId="77777777" w:rsidR="00CB2DB0" w:rsidRDefault="00CB2DB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E027" w14:textId="77777777" w:rsidR="00CB2DB0" w:rsidRDefault="00CB2DB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2035" w14:textId="77777777" w:rsidR="00D8346B" w:rsidRDefault="00D83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48FF" w14:textId="63E80F6C" w:rsidR="00CB2DB0" w:rsidRDefault="00CB2DB0" w:rsidP="000C1CAD">
      <w:pPr>
        <w:spacing w:line="240" w:lineRule="auto"/>
      </w:pPr>
    </w:p>
  </w:footnote>
  <w:footnote w:type="continuationSeparator" w:id="0">
    <w:p w14:paraId="6E690D68" w14:textId="77777777" w:rsidR="00CB2DB0" w:rsidRDefault="00CB2DB0" w:rsidP="000C1CAD">
      <w:pPr>
        <w:spacing w:line="240" w:lineRule="auto"/>
      </w:pPr>
      <w:r>
        <w:continuationSeparator/>
      </w:r>
    </w:p>
  </w:footnote>
  <w:footnote w:id="1">
    <w:p w14:paraId="01A98285" w14:textId="77777777" w:rsidR="00CB2DB0" w:rsidRDefault="00CB2DB0">
      <w:pPr>
        <w:pStyle w:val="Fotnotstext"/>
      </w:pPr>
      <w:r>
        <w:rPr>
          <w:rStyle w:val="Fotnotsreferens"/>
        </w:rPr>
        <w:footnoteRef/>
      </w:r>
      <w:r>
        <w:t xml:space="preserve"> Ekonomirapporten, SKR, maj 2021.</w:t>
      </w:r>
    </w:p>
  </w:footnote>
  <w:footnote w:id="2">
    <w:p w14:paraId="67DDE7CD" w14:textId="483DDA37" w:rsidR="00CB2DB0" w:rsidRDefault="00CB2DB0">
      <w:pPr>
        <w:pStyle w:val="Fotnotstext"/>
      </w:pPr>
      <w:r>
        <w:rPr>
          <w:rStyle w:val="Fotnotsreferens"/>
        </w:rPr>
        <w:footnoteRef/>
      </w:r>
      <w:r>
        <w:t xml:space="preserve"> Arbetslöshetsrapporten 2020, Akademikernas A-kassa.</w:t>
      </w:r>
    </w:p>
  </w:footnote>
  <w:footnote w:id="3">
    <w:p w14:paraId="3DE8D8D6" w14:textId="77777777" w:rsidR="00CB2DB0" w:rsidRDefault="00CB2DB0">
      <w:pPr>
        <w:pStyle w:val="Fotnotstext"/>
      </w:pPr>
      <w:r>
        <w:rPr>
          <w:rStyle w:val="Fotnotsreferens"/>
        </w:rPr>
        <w:footnoteRef/>
      </w:r>
      <w:r>
        <w:t xml:space="preserve"> </w:t>
      </w:r>
      <w:r w:rsidRPr="00450C2E">
        <w:t>Utvecklingen av ekonomiskt bistånd i spåren av covid-19 – faktablad 3, Socialstyrelsen, 2021.</w:t>
      </w:r>
    </w:p>
  </w:footnote>
  <w:footnote w:id="4">
    <w:p w14:paraId="28D35439" w14:textId="6570BCBB" w:rsidR="00CB2DB0" w:rsidRDefault="00CB2DB0">
      <w:pPr>
        <w:pStyle w:val="Fotnotstext"/>
      </w:pPr>
      <w:r>
        <w:rPr>
          <w:rStyle w:val="Fotnotsreferens"/>
        </w:rPr>
        <w:footnoteRef/>
      </w:r>
      <w:r>
        <w:t xml:space="preserve"> </w:t>
      </w:r>
      <w:r w:rsidRPr="00450C2E">
        <w:t>SOU 2015:21 s.</w:t>
      </w:r>
      <w:r w:rsidR="00CA72F0">
        <w:t xml:space="preserve"> </w:t>
      </w:r>
      <w:r w:rsidRPr="00450C2E">
        <w:t>150.</w:t>
      </w:r>
    </w:p>
  </w:footnote>
  <w:footnote w:id="5">
    <w:p w14:paraId="4E52D750" w14:textId="77777777" w:rsidR="00CB2DB0" w:rsidRDefault="00CB2DB0">
      <w:pPr>
        <w:pStyle w:val="Fotnotstext"/>
      </w:pPr>
      <w:r>
        <w:rPr>
          <w:rStyle w:val="Fotnotsreferens"/>
        </w:rPr>
        <w:footnoteRef/>
      </w:r>
      <w:r>
        <w:t xml:space="preserve"> </w:t>
      </w:r>
      <w:r w:rsidRPr="00D63DC5">
        <w:t xml:space="preserve">SOU 2015:55, s. </w:t>
      </w:r>
      <w:r>
        <w:t>105.</w:t>
      </w:r>
      <w:r w:rsidRPr="00D63DC5">
        <w:t xml:space="preserve"> </w:t>
      </w:r>
    </w:p>
  </w:footnote>
  <w:footnote w:id="6">
    <w:p w14:paraId="5B1AF246" w14:textId="77777777" w:rsidR="00CB2DB0" w:rsidRDefault="00CB2DB0">
      <w:pPr>
        <w:pStyle w:val="Fotnotstext"/>
      </w:pPr>
      <w:r>
        <w:rPr>
          <w:rStyle w:val="Fotnotsreferens"/>
        </w:rPr>
        <w:footnoteRef/>
      </w:r>
      <w:r>
        <w:t xml:space="preserve"> Brå (2014). Brott i nära relationer – en nationell kartläggning.</w:t>
      </w:r>
    </w:p>
  </w:footnote>
  <w:footnote w:id="7">
    <w:p w14:paraId="33CD5BF2" w14:textId="77777777" w:rsidR="00CB2DB0" w:rsidRDefault="00CB2DB0">
      <w:pPr>
        <w:pStyle w:val="Fotnotstext"/>
      </w:pPr>
      <w:r>
        <w:rPr>
          <w:rStyle w:val="Fotnotsreferens"/>
        </w:rPr>
        <w:footnoteRef/>
      </w:r>
      <w:r>
        <w:t xml:space="preserve"> </w:t>
      </w:r>
      <w:r w:rsidRPr="00E415DC">
        <w:t xml:space="preserve">NCK (2014). Våld och hälsa – en befolkningsundersökning om kvinnors och mäns våldsutsatthet samt kopplingen till hälsa. </w:t>
      </w:r>
    </w:p>
  </w:footnote>
  <w:footnote w:id="8">
    <w:p w14:paraId="684D17B2" w14:textId="265C3ED5" w:rsidR="00CB2DB0" w:rsidRDefault="00CB2DB0">
      <w:pPr>
        <w:pStyle w:val="Fotnotstext"/>
      </w:pPr>
      <w:r>
        <w:rPr>
          <w:rStyle w:val="Fotnotsreferens"/>
        </w:rPr>
        <w:footnoteRef/>
      </w:r>
      <w:r>
        <w:t xml:space="preserve"> Skolverket (2018)</w:t>
      </w:r>
      <w:r w:rsidR="00A519C8">
        <w:t>.</w:t>
      </w:r>
      <w:r>
        <w:t xml:space="preserve"> Attityder till skolan 2018, s.</w:t>
      </w:r>
      <w:r w:rsidR="00DA3CC2">
        <w:t xml:space="preserve"> </w:t>
      </w:r>
      <w:r>
        <w:t>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D280" w14:textId="77777777" w:rsidR="00CB2DB0" w:rsidRDefault="00CB2DB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C8E059" wp14:editId="4F539D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2BF222" w14:textId="0E1E38A5" w:rsidR="00CB2DB0" w:rsidRDefault="002F39CB" w:rsidP="008103B5">
                          <w:pPr>
                            <w:jc w:val="right"/>
                          </w:pPr>
                          <w:sdt>
                            <w:sdtPr>
                              <w:alias w:val="CC_Noformat_Partikod"/>
                              <w:tag w:val="CC_Noformat_Partikod"/>
                              <w:id w:val="-53464382"/>
                              <w:placeholder>
                                <w:docPart w:val="527692968AC640B19C8DB2178C12D60A"/>
                              </w:placeholder>
                              <w:text/>
                            </w:sdtPr>
                            <w:sdtEndPr/>
                            <w:sdtContent>
                              <w:r w:rsidR="00CB2DB0">
                                <w:t>SD</w:t>
                              </w:r>
                            </w:sdtContent>
                          </w:sdt>
                          <w:sdt>
                            <w:sdtPr>
                              <w:alias w:val="CC_Noformat_Partinummer"/>
                              <w:tag w:val="CC_Noformat_Partinummer"/>
                              <w:id w:val="-1709555926"/>
                              <w:placeholder>
                                <w:docPart w:val="6C4B4D311A464339914DC5A95AE8E82E"/>
                              </w:placeholder>
                              <w:text/>
                            </w:sdtPr>
                            <w:sdtEndPr/>
                            <w:sdtContent>
                              <w:r w:rsidR="00CB2DB0">
                                <w:t>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8E0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2BF222" w14:textId="0E1E38A5" w:rsidR="00CB2DB0" w:rsidRDefault="002F39CB" w:rsidP="008103B5">
                    <w:pPr>
                      <w:jc w:val="right"/>
                    </w:pPr>
                    <w:sdt>
                      <w:sdtPr>
                        <w:alias w:val="CC_Noformat_Partikod"/>
                        <w:tag w:val="CC_Noformat_Partikod"/>
                        <w:id w:val="-53464382"/>
                        <w:placeholder>
                          <w:docPart w:val="527692968AC640B19C8DB2178C12D60A"/>
                        </w:placeholder>
                        <w:text/>
                      </w:sdtPr>
                      <w:sdtEndPr/>
                      <w:sdtContent>
                        <w:r w:rsidR="00CB2DB0">
                          <w:t>SD</w:t>
                        </w:r>
                      </w:sdtContent>
                    </w:sdt>
                    <w:sdt>
                      <w:sdtPr>
                        <w:alias w:val="CC_Noformat_Partinummer"/>
                        <w:tag w:val="CC_Noformat_Partinummer"/>
                        <w:id w:val="-1709555926"/>
                        <w:placeholder>
                          <w:docPart w:val="6C4B4D311A464339914DC5A95AE8E82E"/>
                        </w:placeholder>
                        <w:text/>
                      </w:sdtPr>
                      <w:sdtEndPr/>
                      <w:sdtContent>
                        <w:r w:rsidR="00CB2DB0">
                          <w:t>752</w:t>
                        </w:r>
                      </w:sdtContent>
                    </w:sdt>
                  </w:p>
                </w:txbxContent>
              </v:textbox>
              <w10:wrap anchorx="page"/>
            </v:shape>
          </w:pict>
        </mc:Fallback>
      </mc:AlternateContent>
    </w:r>
  </w:p>
  <w:p w14:paraId="27EF4228" w14:textId="77777777" w:rsidR="00CB2DB0" w:rsidRPr="00293C4F" w:rsidRDefault="00CB2DB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15CC" w14:textId="77777777" w:rsidR="00CB2DB0" w:rsidRDefault="00CB2DB0" w:rsidP="008563AC">
    <w:pPr>
      <w:jc w:val="right"/>
    </w:pPr>
  </w:p>
  <w:p w14:paraId="3F7F2381" w14:textId="77777777" w:rsidR="00CB2DB0" w:rsidRDefault="00CB2DB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AA78" w14:textId="77777777" w:rsidR="00CB2DB0" w:rsidRDefault="002F39CB" w:rsidP="008563AC">
    <w:pPr>
      <w:jc w:val="right"/>
    </w:pPr>
    <w:sdt>
      <w:sdtPr>
        <w:alias w:val="cc_Logo"/>
        <w:tag w:val="cc_Logo"/>
        <w:id w:val="-2124838662"/>
        <w:lock w:val="sdtContentLocked"/>
      </w:sdtPr>
      <w:sdtEndPr/>
      <w:sdtContent>
        <w:r w:rsidR="00CB2DB0">
          <w:rPr>
            <w:noProof/>
            <w:lang w:eastAsia="sv-SE"/>
          </w:rPr>
          <w:drawing>
            <wp:anchor distT="0" distB="0" distL="114300" distR="114300" simplePos="0" relativeHeight="251663360" behindDoc="0" locked="0" layoutInCell="1" allowOverlap="1" wp14:anchorId="55DFA1DC" wp14:editId="7F51574D">
              <wp:simplePos x="0" y="0"/>
              <wp:positionH relativeFrom="leftMargin">
                <wp:posOffset>5688965</wp:posOffset>
              </wp:positionH>
              <wp:positionV relativeFrom="page">
                <wp:posOffset>431800</wp:posOffset>
              </wp:positionV>
              <wp:extent cx="1440000" cy="385200"/>
              <wp:effectExtent l="0" t="0" r="8255" b="0"/>
              <wp:wrapNone/>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98C31" w14:textId="34B017A1" w:rsidR="00CB2DB0" w:rsidRDefault="002F39CB" w:rsidP="00A314CF">
    <w:pPr>
      <w:pStyle w:val="FSHNormal"/>
      <w:spacing w:before="40"/>
    </w:pPr>
    <w:sdt>
      <w:sdtPr>
        <w:alias w:val="CC_Noformat_Motionstyp"/>
        <w:tag w:val="CC_Noformat_Motionstyp"/>
        <w:id w:val="1162973129"/>
        <w:lock w:val="sdtContentLocked"/>
        <w15:appearance w15:val="hidden"/>
        <w:text/>
      </w:sdtPr>
      <w:sdtEndPr/>
      <w:sdtContent>
        <w:r w:rsidR="00CB2DB0">
          <w:t>Partimotion</w:t>
        </w:r>
      </w:sdtContent>
    </w:sdt>
    <w:r w:rsidR="00CB2DB0">
      <w:t xml:space="preserve"> </w:t>
    </w:r>
    <w:sdt>
      <w:sdtPr>
        <w:alias w:val="CC_Noformat_Partikod"/>
        <w:tag w:val="CC_Noformat_Partikod"/>
        <w:id w:val="1471015553"/>
        <w:text/>
      </w:sdtPr>
      <w:sdtEndPr/>
      <w:sdtContent>
        <w:r w:rsidR="00CB2DB0">
          <w:t>SD</w:t>
        </w:r>
      </w:sdtContent>
    </w:sdt>
    <w:sdt>
      <w:sdtPr>
        <w:alias w:val="CC_Noformat_Partinummer"/>
        <w:tag w:val="CC_Noformat_Partinummer"/>
        <w:id w:val="-2014525982"/>
        <w:text/>
      </w:sdtPr>
      <w:sdtEndPr/>
      <w:sdtContent>
        <w:r w:rsidR="00CB2DB0">
          <w:t>752</w:t>
        </w:r>
      </w:sdtContent>
    </w:sdt>
  </w:p>
  <w:p w14:paraId="22942266" w14:textId="77777777" w:rsidR="00CB2DB0" w:rsidRPr="008227B3" w:rsidRDefault="002F39CB" w:rsidP="008227B3">
    <w:pPr>
      <w:pStyle w:val="MotionTIllRiksdagen"/>
    </w:pPr>
    <w:sdt>
      <w:sdtPr>
        <w:alias w:val="CC_Boilerplate_1"/>
        <w:tag w:val="CC_Boilerplate_1"/>
        <w:id w:val="2134750458"/>
        <w:lock w:val="sdtContentLocked"/>
        <w15:appearance w15:val="hidden"/>
        <w:text/>
      </w:sdtPr>
      <w:sdtEndPr/>
      <w:sdtContent>
        <w:r w:rsidR="00CB2DB0" w:rsidRPr="008227B3">
          <w:t>Motion till riksdagen </w:t>
        </w:r>
      </w:sdtContent>
    </w:sdt>
  </w:p>
  <w:p w14:paraId="27F85A6E" w14:textId="33DA6068" w:rsidR="00CB2DB0" w:rsidRPr="008227B3" w:rsidRDefault="002F39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DB0">
          <w:t>2021/22</w:t>
        </w:r>
      </w:sdtContent>
    </w:sdt>
    <w:sdt>
      <w:sdtPr>
        <w:rPr>
          <w:rStyle w:val="BeteckningChar"/>
        </w:rPr>
        <w:alias w:val="CC_Noformat_Partibet"/>
        <w:tag w:val="CC_Noformat_Partibet"/>
        <w:id w:val="405810658"/>
        <w:lock w:val="sdtContentLocked"/>
        <w:placeholder>
          <w:docPart w:val="C02C5609311444229D2392A8663485F5"/>
        </w:placeholder>
        <w:showingPlcHdr/>
        <w15:appearance w15:val="hidden"/>
        <w:text/>
      </w:sdtPr>
      <w:sdtEndPr>
        <w:rPr>
          <w:rStyle w:val="Rubrik1Char"/>
          <w:rFonts w:asciiTheme="majorHAnsi" w:hAnsiTheme="majorHAnsi"/>
          <w:sz w:val="38"/>
        </w:rPr>
      </w:sdtEndPr>
      <w:sdtContent>
        <w:r w:rsidR="00CB2DB0">
          <w:t>:3938</w:t>
        </w:r>
      </w:sdtContent>
    </w:sdt>
  </w:p>
  <w:p w14:paraId="7DB1EA5A" w14:textId="4623BB96" w:rsidR="00CB2DB0" w:rsidRDefault="002F39CB" w:rsidP="00E03A3D">
    <w:pPr>
      <w:pStyle w:val="Motionr"/>
    </w:pPr>
    <w:sdt>
      <w:sdtPr>
        <w:alias w:val="CC_Noformat_Avtext"/>
        <w:tag w:val="CC_Noformat_Avtext"/>
        <w:id w:val="-2020768203"/>
        <w:lock w:val="sdtContentLocked"/>
        <w15:appearance w15:val="hidden"/>
        <w:text/>
      </w:sdtPr>
      <w:sdtEndPr/>
      <w:sdtContent>
        <w:r w:rsidR="00CB2DB0">
          <w:t>av Jimmie Åkesson m.fl. (SD)</w:t>
        </w:r>
      </w:sdtContent>
    </w:sdt>
  </w:p>
  <w:sdt>
    <w:sdtPr>
      <w:alias w:val="CC_Noformat_Rubtext"/>
      <w:tag w:val="CC_Noformat_Rubtext"/>
      <w:id w:val="-218060500"/>
      <w:lock w:val="sdtLocked"/>
      <w:text/>
    </w:sdtPr>
    <w:sdtEndPr/>
    <w:sdtContent>
      <w:p w14:paraId="2D7867F9" w14:textId="2EC48579" w:rsidR="00CB2DB0" w:rsidRDefault="00CB2DB0" w:rsidP="00283E0F">
        <w:pPr>
          <w:pStyle w:val="FSHRub2"/>
        </w:pPr>
        <w:r>
          <w:t>Nu är det dags för Sverige – Sverigedemokraternas förslag till statsbudget 2022</w:t>
        </w:r>
      </w:p>
    </w:sdtContent>
  </w:sdt>
  <w:sdt>
    <w:sdtPr>
      <w:alias w:val="CC_Boilerplate_3"/>
      <w:tag w:val="CC_Boilerplate_3"/>
      <w:id w:val="1606463544"/>
      <w:lock w:val="sdtContentLocked"/>
      <w15:appearance w15:val="hidden"/>
      <w:text w:multiLine="1"/>
    </w:sdtPr>
    <w:sdtEndPr/>
    <w:sdtContent>
      <w:p w14:paraId="7F3976DF" w14:textId="77777777" w:rsidR="00CB2DB0" w:rsidRDefault="00CB2DB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1890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AA4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06E4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4AC1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659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78C6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E46C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895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C046F0"/>
    <w:multiLevelType w:val="multilevel"/>
    <w:tmpl w:val="5B4E1C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499716A"/>
    <w:multiLevelType w:val="hybridMultilevel"/>
    <w:tmpl w:val="6542EE9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195036C2"/>
    <w:multiLevelType w:val="hybridMultilevel"/>
    <w:tmpl w:val="F6781E4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212E1E11"/>
    <w:multiLevelType w:val="hybridMultilevel"/>
    <w:tmpl w:val="A2F4EB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06493F"/>
    <w:multiLevelType w:val="hybridMultilevel"/>
    <w:tmpl w:val="7B969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F4F0022"/>
    <w:multiLevelType w:val="multilevel"/>
    <w:tmpl w:val="B3069CC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E6A09EE"/>
    <w:multiLevelType w:val="hybridMultilevel"/>
    <w:tmpl w:val="6674F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9"/>
  </w:num>
  <w:num w:numId="14">
    <w:abstractNumId w:val="23"/>
  </w:num>
  <w:num w:numId="15">
    <w:abstractNumId w:val="16"/>
  </w:num>
  <w:num w:numId="16">
    <w:abstractNumId w:val="34"/>
  </w:num>
  <w:num w:numId="17">
    <w:abstractNumId w:val="38"/>
  </w:num>
  <w:num w:numId="18">
    <w:abstractNumId w:val="32"/>
  </w:num>
  <w:num w:numId="19">
    <w:abstractNumId w:val="32"/>
  </w:num>
  <w:num w:numId="20">
    <w:abstractNumId w:val="32"/>
  </w:num>
  <w:num w:numId="21">
    <w:abstractNumId w:val="27"/>
  </w:num>
  <w:num w:numId="22">
    <w:abstractNumId w:val="17"/>
  </w:num>
  <w:num w:numId="23">
    <w:abstractNumId w:val="24"/>
  </w:num>
  <w:num w:numId="24">
    <w:abstractNumId w:val="10"/>
  </w:num>
  <w:num w:numId="25">
    <w:abstractNumId w:val="26"/>
  </w:num>
  <w:num w:numId="26">
    <w:abstractNumId w:val="36"/>
  </w:num>
  <w:num w:numId="27">
    <w:abstractNumId w:val="33"/>
  </w:num>
  <w:num w:numId="28">
    <w:abstractNumId w:val="29"/>
  </w:num>
  <w:num w:numId="29">
    <w:abstractNumId w:val="35"/>
  </w:num>
  <w:num w:numId="30">
    <w:abstractNumId w:val="18"/>
  </w:num>
  <w:num w:numId="31">
    <w:abstractNumId w:val="20"/>
  </w:num>
  <w:num w:numId="32">
    <w:abstractNumId w:val="15"/>
  </w:num>
  <w:num w:numId="33">
    <w:abstractNumId w:val="25"/>
  </w:num>
  <w:num w:numId="34">
    <w:abstractNumId w:val="28"/>
  </w:num>
  <w:num w:numId="35">
    <w:abstractNumId w:val="35"/>
    <w:lvlOverride w:ilvl="0">
      <w:startOverride w:val="1"/>
    </w:lvlOverride>
  </w:num>
  <w:num w:numId="36">
    <w:abstractNumId w:val="11"/>
  </w:num>
  <w:num w:numId="37">
    <w:abstractNumId w:val="14"/>
  </w:num>
  <w:num w:numId="38">
    <w:abstractNumId w:val="12"/>
  </w:num>
  <w:num w:numId="39">
    <w:abstractNumId w:val="37"/>
  </w:num>
  <w:num w:numId="40">
    <w:abstractNumId w:val="13"/>
  </w:num>
  <w:num w:numId="41">
    <w:abstractNumId w:val="2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71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1C"/>
    <w:rsid w:val="000076F0"/>
    <w:rsid w:val="000079D7"/>
    <w:rsid w:val="00007A9B"/>
    <w:rsid w:val="00007D10"/>
    <w:rsid w:val="0001001E"/>
    <w:rsid w:val="00010168"/>
    <w:rsid w:val="0001026A"/>
    <w:rsid w:val="0001036B"/>
    <w:rsid w:val="000103BF"/>
    <w:rsid w:val="000108DA"/>
    <w:rsid w:val="0001091A"/>
    <w:rsid w:val="00010B01"/>
    <w:rsid w:val="00010CF7"/>
    <w:rsid w:val="00010DF8"/>
    <w:rsid w:val="00011447"/>
    <w:rsid w:val="00011724"/>
    <w:rsid w:val="00011754"/>
    <w:rsid w:val="00011820"/>
    <w:rsid w:val="00011B85"/>
    <w:rsid w:val="00011C61"/>
    <w:rsid w:val="00011CEC"/>
    <w:rsid w:val="00011F06"/>
    <w:rsid w:val="00011F33"/>
    <w:rsid w:val="00012EAF"/>
    <w:rsid w:val="000136A6"/>
    <w:rsid w:val="00014034"/>
    <w:rsid w:val="00014823"/>
    <w:rsid w:val="00014F39"/>
    <w:rsid w:val="00015064"/>
    <w:rsid w:val="00015205"/>
    <w:rsid w:val="000156D9"/>
    <w:rsid w:val="00016FE7"/>
    <w:rsid w:val="000171D9"/>
    <w:rsid w:val="000200F6"/>
    <w:rsid w:val="0002068F"/>
    <w:rsid w:val="00022F1A"/>
    <w:rsid w:val="00022F5C"/>
    <w:rsid w:val="000232AB"/>
    <w:rsid w:val="00023762"/>
    <w:rsid w:val="00024356"/>
    <w:rsid w:val="000243A4"/>
    <w:rsid w:val="00024712"/>
    <w:rsid w:val="00024921"/>
    <w:rsid w:val="00024C7B"/>
    <w:rsid w:val="00024FB5"/>
    <w:rsid w:val="000250DC"/>
    <w:rsid w:val="0002521D"/>
    <w:rsid w:val="00025359"/>
    <w:rsid w:val="00026034"/>
    <w:rsid w:val="000265CA"/>
    <w:rsid w:val="000269AE"/>
    <w:rsid w:val="000269D1"/>
    <w:rsid w:val="00026D19"/>
    <w:rsid w:val="00026FE5"/>
    <w:rsid w:val="0002759A"/>
    <w:rsid w:val="000300BF"/>
    <w:rsid w:val="00030C4D"/>
    <w:rsid w:val="000311F6"/>
    <w:rsid w:val="000314C1"/>
    <w:rsid w:val="00031AF0"/>
    <w:rsid w:val="00031AF1"/>
    <w:rsid w:val="00032006"/>
    <w:rsid w:val="0003208D"/>
    <w:rsid w:val="0003287D"/>
    <w:rsid w:val="00032A5E"/>
    <w:rsid w:val="00033025"/>
    <w:rsid w:val="00033C04"/>
    <w:rsid w:val="00034E84"/>
    <w:rsid w:val="00035355"/>
    <w:rsid w:val="000356A2"/>
    <w:rsid w:val="00035775"/>
    <w:rsid w:val="00035BF0"/>
    <w:rsid w:val="00036A17"/>
    <w:rsid w:val="00036E35"/>
    <w:rsid w:val="00036E88"/>
    <w:rsid w:val="000370AD"/>
    <w:rsid w:val="00037776"/>
    <w:rsid w:val="00037E4A"/>
    <w:rsid w:val="000405FF"/>
    <w:rsid w:val="00040E0A"/>
    <w:rsid w:val="00040F34"/>
    <w:rsid w:val="00040F89"/>
    <w:rsid w:val="00041716"/>
    <w:rsid w:val="00041BE8"/>
    <w:rsid w:val="00041C31"/>
    <w:rsid w:val="00042A31"/>
    <w:rsid w:val="00042A9E"/>
    <w:rsid w:val="00043110"/>
    <w:rsid w:val="0004311E"/>
    <w:rsid w:val="00043426"/>
    <w:rsid w:val="00043AA9"/>
    <w:rsid w:val="00043F2E"/>
    <w:rsid w:val="000443CA"/>
    <w:rsid w:val="000444CA"/>
    <w:rsid w:val="00045385"/>
    <w:rsid w:val="0004587D"/>
    <w:rsid w:val="00045F2A"/>
    <w:rsid w:val="000466E4"/>
    <w:rsid w:val="00046AC8"/>
    <w:rsid w:val="00046B18"/>
    <w:rsid w:val="0004795D"/>
    <w:rsid w:val="00047CB1"/>
    <w:rsid w:val="00050A98"/>
    <w:rsid w:val="00050DBC"/>
    <w:rsid w:val="0005184F"/>
    <w:rsid w:val="00051929"/>
    <w:rsid w:val="0005206D"/>
    <w:rsid w:val="00052A07"/>
    <w:rsid w:val="00052DEA"/>
    <w:rsid w:val="00053AC8"/>
    <w:rsid w:val="00053B01"/>
    <w:rsid w:val="00053FFF"/>
    <w:rsid w:val="000541B8"/>
    <w:rsid w:val="000542C8"/>
    <w:rsid w:val="00054CAF"/>
    <w:rsid w:val="000556D8"/>
    <w:rsid w:val="00055933"/>
    <w:rsid w:val="00055B43"/>
    <w:rsid w:val="0005734F"/>
    <w:rsid w:val="000577E2"/>
    <w:rsid w:val="00057B8B"/>
    <w:rsid w:val="0006032F"/>
    <w:rsid w:val="0006039A"/>
    <w:rsid w:val="000603CF"/>
    <w:rsid w:val="0006043F"/>
    <w:rsid w:val="0006106D"/>
    <w:rsid w:val="00061B19"/>
    <w:rsid w:val="00061E36"/>
    <w:rsid w:val="00061FD5"/>
    <w:rsid w:val="00062030"/>
    <w:rsid w:val="0006339B"/>
    <w:rsid w:val="0006386B"/>
    <w:rsid w:val="0006435B"/>
    <w:rsid w:val="00064AE2"/>
    <w:rsid w:val="00064CB8"/>
    <w:rsid w:val="000654F6"/>
    <w:rsid w:val="0006570C"/>
    <w:rsid w:val="0006571A"/>
    <w:rsid w:val="00065CDF"/>
    <w:rsid w:val="00065CE6"/>
    <w:rsid w:val="00065FED"/>
    <w:rsid w:val="0006666B"/>
    <w:rsid w:val="0006753D"/>
    <w:rsid w:val="0006767D"/>
    <w:rsid w:val="000705E4"/>
    <w:rsid w:val="00070A5C"/>
    <w:rsid w:val="00070FC7"/>
    <w:rsid w:val="000710A5"/>
    <w:rsid w:val="00071630"/>
    <w:rsid w:val="00071671"/>
    <w:rsid w:val="000719B7"/>
    <w:rsid w:val="000721ED"/>
    <w:rsid w:val="000723A9"/>
    <w:rsid w:val="000724B8"/>
    <w:rsid w:val="00072835"/>
    <w:rsid w:val="0007290B"/>
    <w:rsid w:val="00072C5F"/>
    <w:rsid w:val="000732C2"/>
    <w:rsid w:val="000734AE"/>
    <w:rsid w:val="00073DBB"/>
    <w:rsid w:val="000743FF"/>
    <w:rsid w:val="00074588"/>
    <w:rsid w:val="000756EB"/>
    <w:rsid w:val="00075A2C"/>
    <w:rsid w:val="00075AAA"/>
    <w:rsid w:val="00075B69"/>
    <w:rsid w:val="000769DA"/>
    <w:rsid w:val="00076CCB"/>
    <w:rsid w:val="00077488"/>
    <w:rsid w:val="0007749C"/>
    <w:rsid w:val="000777E3"/>
    <w:rsid w:val="00077950"/>
    <w:rsid w:val="000779A3"/>
    <w:rsid w:val="00077CD4"/>
    <w:rsid w:val="0008003A"/>
    <w:rsid w:val="000802AB"/>
    <w:rsid w:val="00080390"/>
    <w:rsid w:val="000808B8"/>
    <w:rsid w:val="000808FE"/>
    <w:rsid w:val="00080B5C"/>
    <w:rsid w:val="00082BEA"/>
    <w:rsid w:val="000830F1"/>
    <w:rsid w:val="00083467"/>
    <w:rsid w:val="00084188"/>
    <w:rsid w:val="00084478"/>
    <w:rsid w:val="000845E2"/>
    <w:rsid w:val="00084C74"/>
    <w:rsid w:val="00084CE8"/>
    <w:rsid w:val="00084E2A"/>
    <w:rsid w:val="00084E38"/>
    <w:rsid w:val="000859E4"/>
    <w:rsid w:val="00086446"/>
    <w:rsid w:val="0008692C"/>
    <w:rsid w:val="00086B78"/>
    <w:rsid w:val="00087231"/>
    <w:rsid w:val="00087AED"/>
    <w:rsid w:val="00087CF5"/>
    <w:rsid w:val="000908BE"/>
    <w:rsid w:val="000909BE"/>
    <w:rsid w:val="00091064"/>
    <w:rsid w:val="00091476"/>
    <w:rsid w:val="00091494"/>
    <w:rsid w:val="00091975"/>
    <w:rsid w:val="00091A21"/>
    <w:rsid w:val="00092309"/>
    <w:rsid w:val="0009327C"/>
    <w:rsid w:val="00093485"/>
    <w:rsid w:val="00093636"/>
    <w:rsid w:val="00093646"/>
    <w:rsid w:val="00093E5C"/>
    <w:rsid w:val="00093F48"/>
    <w:rsid w:val="0009421F"/>
    <w:rsid w:val="0009440B"/>
    <w:rsid w:val="00094A50"/>
    <w:rsid w:val="00094A68"/>
    <w:rsid w:val="00094AC0"/>
    <w:rsid w:val="00094BFD"/>
    <w:rsid w:val="000953C2"/>
    <w:rsid w:val="0009550E"/>
    <w:rsid w:val="00095B69"/>
    <w:rsid w:val="00095FD5"/>
    <w:rsid w:val="000A06E9"/>
    <w:rsid w:val="000A1014"/>
    <w:rsid w:val="000A19A5"/>
    <w:rsid w:val="000A1D1D"/>
    <w:rsid w:val="000A2547"/>
    <w:rsid w:val="000A2668"/>
    <w:rsid w:val="000A3770"/>
    <w:rsid w:val="000A3A14"/>
    <w:rsid w:val="000A4671"/>
    <w:rsid w:val="000A4821"/>
    <w:rsid w:val="000A4FED"/>
    <w:rsid w:val="000A52B8"/>
    <w:rsid w:val="000A620B"/>
    <w:rsid w:val="000A68FF"/>
    <w:rsid w:val="000A6935"/>
    <w:rsid w:val="000A6F87"/>
    <w:rsid w:val="000A70E8"/>
    <w:rsid w:val="000B1F20"/>
    <w:rsid w:val="000B22C0"/>
    <w:rsid w:val="000B2DAD"/>
    <w:rsid w:val="000B2E6B"/>
    <w:rsid w:val="000B3279"/>
    <w:rsid w:val="000B3BB1"/>
    <w:rsid w:val="000B3D5A"/>
    <w:rsid w:val="000B4478"/>
    <w:rsid w:val="000B472D"/>
    <w:rsid w:val="000B480A"/>
    <w:rsid w:val="000B48B5"/>
    <w:rsid w:val="000B4FD1"/>
    <w:rsid w:val="000B559E"/>
    <w:rsid w:val="000B5A17"/>
    <w:rsid w:val="000B5BD0"/>
    <w:rsid w:val="000B5FA9"/>
    <w:rsid w:val="000B612A"/>
    <w:rsid w:val="000B680E"/>
    <w:rsid w:val="000B7943"/>
    <w:rsid w:val="000B79EA"/>
    <w:rsid w:val="000B7CDF"/>
    <w:rsid w:val="000C1CAD"/>
    <w:rsid w:val="000C22F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49"/>
    <w:rsid w:val="000D1089"/>
    <w:rsid w:val="000D10B4"/>
    <w:rsid w:val="000D121B"/>
    <w:rsid w:val="000D147F"/>
    <w:rsid w:val="000D2039"/>
    <w:rsid w:val="000D2097"/>
    <w:rsid w:val="000D23A4"/>
    <w:rsid w:val="000D264E"/>
    <w:rsid w:val="000D298A"/>
    <w:rsid w:val="000D30D6"/>
    <w:rsid w:val="000D3A36"/>
    <w:rsid w:val="000D3A56"/>
    <w:rsid w:val="000D4068"/>
    <w:rsid w:val="000D44D2"/>
    <w:rsid w:val="000D4796"/>
    <w:rsid w:val="000D48DD"/>
    <w:rsid w:val="000D4D53"/>
    <w:rsid w:val="000D5030"/>
    <w:rsid w:val="000D51C0"/>
    <w:rsid w:val="000D5DD9"/>
    <w:rsid w:val="000D6584"/>
    <w:rsid w:val="000D69BA"/>
    <w:rsid w:val="000D7A5F"/>
    <w:rsid w:val="000E06CC"/>
    <w:rsid w:val="000E0CE1"/>
    <w:rsid w:val="000E1B08"/>
    <w:rsid w:val="000E2141"/>
    <w:rsid w:val="000E2252"/>
    <w:rsid w:val="000E24B9"/>
    <w:rsid w:val="000E3115"/>
    <w:rsid w:val="000E394D"/>
    <w:rsid w:val="000E3D42"/>
    <w:rsid w:val="000E3EF7"/>
    <w:rsid w:val="000E472B"/>
    <w:rsid w:val="000E4A72"/>
    <w:rsid w:val="000E4B2C"/>
    <w:rsid w:val="000E4CD8"/>
    <w:rsid w:val="000E4D0E"/>
    <w:rsid w:val="000E504A"/>
    <w:rsid w:val="000E58DE"/>
    <w:rsid w:val="000E5DF7"/>
    <w:rsid w:val="000E61A9"/>
    <w:rsid w:val="000E64C3"/>
    <w:rsid w:val="000E6606"/>
    <w:rsid w:val="000E712B"/>
    <w:rsid w:val="000E718F"/>
    <w:rsid w:val="000E79FF"/>
    <w:rsid w:val="000E7A08"/>
    <w:rsid w:val="000F1549"/>
    <w:rsid w:val="000F18CF"/>
    <w:rsid w:val="000F1E4C"/>
    <w:rsid w:val="000F2D42"/>
    <w:rsid w:val="000F3030"/>
    <w:rsid w:val="000F3685"/>
    <w:rsid w:val="000F4411"/>
    <w:rsid w:val="000F4EA7"/>
    <w:rsid w:val="000F4ECF"/>
    <w:rsid w:val="000F527F"/>
    <w:rsid w:val="000F5329"/>
    <w:rsid w:val="000F5B00"/>
    <w:rsid w:val="000F5CF0"/>
    <w:rsid w:val="000F5DE8"/>
    <w:rsid w:val="000F627F"/>
    <w:rsid w:val="000F6708"/>
    <w:rsid w:val="000F6943"/>
    <w:rsid w:val="000F7264"/>
    <w:rsid w:val="000F7498"/>
    <w:rsid w:val="000F7BDA"/>
    <w:rsid w:val="0010013B"/>
    <w:rsid w:val="001009EF"/>
    <w:rsid w:val="00100EC4"/>
    <w:rsid w:val="00101FEF"/>
    <w:rsid w:val="001020F3"/>
    <w:rsid w:val="0010210A"/>
    <w:rsid w:val="00102143"/>
    <w:rsid w:val="00102980"/>
    <w:rsid w:val="00103567"/>
    <w:rsid w:val="0010386F"/>
    <w:rsid w:val="0010493C"/>
    <w:rsid w:val="00104A2F"/>
    <w:rsid w:val="00104ACE"/>
    <w:rsid w:val="00104D61"/>
    <w:rsid w:val="00104F19"/>
    <w:rsid w:val="00105035"/>
    <w:rsid w:val="0010503F"/>
    <w:rsid w:val="0010535A"/>
    <w:rsid w:val="0010544C"/>
    <w:rsid w:val="00105778"/>
    <w:rsid w:val="0010587C"/>
    <w:rsid w:val="00105DEF"/>
    <w:rsid w:val="0010642A"/>
    <w:rsid w:val="00106455"/>
    <w:rsid w:val="00106AE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51"/>
    <w:rsid w:val="0011426C"/>
    <w:rsid w:val="00114C71"/>
    <w:rsid w:val="00114CAC"/>
    <w:rsid w:val="0011505A"/>
    <w:rsid w:val="001152A4"/>
    <w:rsid w:val="001153D8"/>
    <w:rsid w:val="0011557C"/>
    <w:rsid w:val="00115783"/>
    <w:rsid w:val="00116172"/>
    <w:rsid w:val="00116CAF"/>
    <w:rsid w:val="00116EC0"/>
    <w:rsid w:val="00116EED"/>
    <w:rsid w:val="00117500"/>
    <w:rsid w:val="00117F43"/>
    <w:rsid w:val="001207D0"/>
    <w:rsid w:val="0012124B"/>
    <w:rsid w:val="001214B7"/>
    <w:rsid w:val="00121851"/>
    <w:rsid w:val="00121C4A"/>
    <w:rsid w:val="0012208D"/>
    <w:rsid w:val="0012239C"/>
    <w:rsid w:val="001225BD"/>
    <w:rsid w:val="00122A01"/>
    <w:rsid w:val="00122A74"/>
    <w:rsid w:val="001232A0"/>
    <w:rsid w:val="00123785"/>
    <w:rsid w:val="0012443D"/>
    <w:rsid w:val="00124543"/>
    <w:rsid w:val="001247ED"/>
    <w:rsid w:val="00124ACE"/>
    <w:rsid w:val="00124ED7"/>
    <w:rsid w:val="0012523F"/>
    <w:rsid w:val="00125A4E"/>
    <w:rsid w:val="001266F2"/>
    <w:rsid w:val="00126707"/>
    <w:rsid w:val="00130490"/>
    <w:rsid w:val="00130765"/>
    <w:rsid w:val="00130FEC"/>
    <w:rsid w:val="0013146B"/>
    <w:rsid w:val="00131549"/>
    <w:rsid w:val="0013185A"/>
    <w:rsid w:val="00132514"/>
    <w:rsid w:val="0013270B"/>
    <w:rsid w:val="001332AB"/>
    <w:rsid w:val="00133355"/>
    <w:rsid w:val="00133438"/>
    <w:rsid w:val="00133BE2"/>
    <w:rsid w:val="0013458A"/>
    <w:rsid w:val="001354CF"/>
    <w:rsid w:val="0013597D"/>
    <w:rsid w:val="00135E5D"/>
    <w:rsid w:val="001364A1"/>
    <w:rsid w:val="00136BC5"/>
    <w:rsid w:val="0013783E"/>
    <w:rsid w:val="00137C91"/>
    <w:rsid w:val="00137D27"/>
    <w:rsid w:val="00137DC4"/>
    <w:rsid w:val="00137E1A"/>
    <w:rsid w:val="00140321"/>
    <w:rsid w:val="001403B1"/>
    <w:rsid w:val="00140735"/>
    <w:rsid w:val="00140AEC"/>
    <w:rsid w:val="00140AFA"/>
    <w:rsid w:val="0014115F"/>
    <w:rsid w:val="00141C2A"/>
    <w:rsid w:val="0014285A"/>
    <w:rsid w:val="00143D44"/>
    <w:rsid w:val="0014498E"/>
    <w:rsid w:val="00144BFE"/>
    <w:rsid w:val="001454F3"/>
    <w:rsid w:val="00146460"/>
    <w:rsid w:val="00146B8E"/>
    <w:rsid w:val="00146C68"/>
    <w:rsid w:val="00146DB1"/>
    <w:rsid w:val="00147063"/>
    <w:rsid w:val="0014776C"/>
    <w:rsid w:val="00147EBC"/>
    <w:rsid w:val="001500C1"/>
    <w:rsid w:val="00151546"/>
    <w:rsid w:val="00151EA2"/>
    <w:rsid w:val="001532BF"/>
    <w:rsid w:val="0015385D"/>
    <w:rsid w:val="001544D6"/>
    <w:rsid w:val="001545B9"/>
    <w:rsid w:val="0015542A"/>
    <w:rsid w:val="0015610E"/>
    <w:rsid w:val="00156688"/>
    <w:rsid w:val="001567C6"/>
    <w:rsid w:val="00156B09"/>
    <w:rsid w:val="00157076"/>
    <w:rsid w:val="00157681"/>
    <w:rsid w:val="00160034"/>
    <w:rsid w:val="00160091"/>
    <w:rsid w:val="001600AA"/>
    <w:rsid w:val="00160531"/>
    <w:rsid w:val="00160AE9"/>
    <w:rsid w:val="0016163F"/>
    <w:rsid w:val="00161EC6"/>
    <w:rsid w:val="00162178"/>
    <w:rsid w:val="00162EFD"/>
    <w:rsid w:val="0016354B"/>
    <w:rsid w:val="00163563"/>
    <w:rsid w:val="00163AAF"/>
    <w:rsid w:val="0016444A"/>
    <w:rsid w:val="001645D9"/>
    <w:rsid w:val="00164C00"/>
    <w:rsid w:val="001654D5"/>
    <w:rsid w:val="00165805"/>
    <w:rsid w:val="001660EA"/>
    <w:rsid w:val="0016692F"/>
    <w:rsid w:val="0016706E"/>
    <w:rsid w:val="00167229"/>
    <w:rsid w:val="00167246"/>
    <w:rsid w:val="001679A5"/>
    <w:rsid w:val="00167A54"/>
    <w:rsid w:val="00167B25"/>
    <w:rsid w:val="00167B65"/>
    <w:rsid w:val="001701C2"/>
    <w:rsid w:val="0017077B"/>
    <w:rsid w:val="00170FE5"/>
    <w:rsid w:val="001712D6"/>
    <w:rsid w:val="001718AD"/>
    <w:rsid w:val="00171D39"/>
    <w:rsid w:val="00171EF9"/>
    <w:rsid w:val="001721ED"/>
    <w:rsid w:val="001734CF"/>
    <w:rsid w:val="00173BB5"/>
    <w:rsid w:val="00173D59"/>
    <w:rsid w:val="00173DFF"/>
    <w:rsid w:val="00174454"/>
    <w:rsid w:val="001748A6"/>
    <w:rsid w:val="001751B0"/>
    <w:rsid w:val="00175515"/>
    <w:rsid w:val="00175F8E"/>
    <w:rsid w:val="00176706"/>
    <w:rsid w:val="001769E6"/>
    <w:rsid w:val="0017746C"/>
    <w:rsid w:val="00177478"/>
    <w:rsid w:val="00177678"/>
    <w:rsid w:val="001776B8"/>
    <w:rsid w:val="0018024E"/>
    <w:rsid w:val="00182F4B"/>
    <w:rsid w:val="00182F7B"/>
    <w:rsid w:val="00183669"/>
    <w:rsid w:val="001839DB"/>
    <w:rsid w:val="00184516"/>
    <w:rsid w:val="0018464C"/>
    <w:rsid w:val="00185B0C"/>
    <w:rsid w:val="00185D30"/>
    <w:rsid w:val="00185F89"/>
    <w:rsid w:val="001869FD"/>
    <w:rsid w:val="00186CE7"/>
    <w:rsid w:val="00186FDD"/>
    <w:rsid w:val="001878F9"/>
    <w:rsid w:val="00187CED"/>
    <w:rsid w:val="001903F2"/>
    <w:rsid w:val="001908EC"/>
    <w:rsid w:val="00190ADD"/>
    <w:rsid w:val="00190E1F"/>
    <w:rsid w:val="0019158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AD"/>
    <w:rsid w:val="00197D0A"/>
    <w:rsid w:val="001A0693"/>
    <w:rsid w:val="001A0B9C"/>
    <w:rsid w:val="001A193E"/>
    <w:rsid w:val="001A1E0F"/>
    <w:rsid w:val="001A2309"/>
    <w:rsid w:val="001A25FF"/>
    <w:rsid w:val="001A2F45"/>
    <w:rsid w:val="001A3711"/>
    <w:rsid w:val="001A3EC3"/>
    <w:rsid w:val="001A40C3"/>
    <w:rsid w:val="001A4463"/>
    <w:rsid w:val="001A50EB"/>
    <w:rsid w:val="001A50F8"/>
    <w:rsid w:val="001A5115"/>
    <w:rsid w:val="001A5829"/>
    <w:rsid w:val="001A58AD"/>
    <w:rsid w:val="001A5B64"/>
    <w:rsid w:val="001A5B65"/>
    <w:rsid w:val="001A6048"/>
    <w:rsid w:val="001A679A"/>
    <w:rsid w:val="001A78AD"/>
    <w:rsid w:val="001A7B72"/>
    <w:rsid w:val="001A7B84"/>
    <w:rsid w:val="001A7F59"/>
    <w:rsid w:val="001B030F"/>
    <w:rsid w:val="001B0912"/>
    <w:rsid w:val="001B1273"/>
    <w:rsid w:val="001B1478"/>
    <w:rsid w:val="001B20A4"/>
    <w:rsid w:val="001B2732"/>
    <w:rsid w:val="001B2CC2"/>
    <w:rsid w:val="001B33E9"/>
    <w:rsid w:val="001B423D"/>
    <w:rsid w:val="001B474A"/>
    <w:rsid w:val="001B481B"/>
    <w:rsid w:val="001B4838"/>
    <w:rsid w:val="001B5338"/>
    <w:rsid w:val="001B5424"/>
    <w:rsid w:val="001B63AC"/>
    <w:rsid w:val="001B6645"/>
    <w:rsid w:val="001B66CE"/>
    <w:rsid w:val="001B6716"/>
    <w:rsid w:val="001B697A"/>
    <w:rsid w:val="001B6D12"/>
    <w:rsid w:val="001B7753"/>
    <w:rsid w:val="001B77C9"/>
    <w:rsid w:val="001B7C7C"/>
    <w:rsid w:val="001C0645"/>
    <w:rsid w:val="001C0D6B"/>
    <w:rsid w:val="001C1DDA"/>
    <w:rsid w:val="001C227C"/>
    <w:rsid w:val="001C2470"/>
    <w:rsid w:val="001C2C99"/>
    <w:rsid w:val="001C3B42"/>
    <w:rsid w:val="001C40A6"/>
    <w:rsid w:val="001C4DE2"/>
    <w:rsid w:val="001C56A7"/>
    <w:rsid w:val="001C574E"/>
    <w:rsid w:val="001C5944"/>
    <w:rsid w:val="001C5EFB"/>
    <w:rsid w:val="001C71C7"/>
    <w:rsid w:val="001C756B"/>
    <w:rsid w:val="001C774A"/>
    <w:rsid w:val="001C77F8"/>
    <w:rsid w:val="001D0E3E"/>
    <w:rsid w:val="001D218A"/>
    <w:rsid w:val="001D2BAE"/>
    <w:rsid w:val="001D2F8E"/>
    <w:rsid w:val="001D2FF1"/>
    <w:rsid w:val="001D37F3"/>
    <w:rsid w:val="001D3EE8"/>
    <w:rsid w:val="001D4232"/>
    <w:rsid w:val="001D4A48"/>
    <w:rsid w:val="001D4A9A"/>
    <w:rsid w:val="001D5A93"/>
    <w:rsid w:val="001D5C51"/>
    <w:rsid w:val="001D6A7A"/>
    <w:rsid w:val="001D7002"/>
    <w:rsid w:val="001D71AC"/>
    <w:rsid w:val="001D7E6D"/>
    <w:rsid w:val="001E000C"/>
    <w:rsid w:val="001E055F"/>
    <w:rsid w:val="001E06C1"/>
    <w:rsid w:val="001E09D5"/>
    <w:rsid w:val="001E10E8"/>
    <w:rsid w:val="001E189E"/>
    <w:rsid w:val="001E1919"/>
    <w:rsid w:val="001E1962"/>
    <w:rsid w:val="001E1C98"/>
    <w:rsid w:val="001E1DC3"/>
    <w:rsid w:val="001E1ECB"/>
    <w:rsid w:val="001E2120"/>
    <w:rsid w:val="001E22BA"/>
    <w:rsid w:val="001E2474"/>
    <w:rsid w:val="001E25EB"/>
    <w:rsid w:val="001E3788"/>
    <w:rsid w:val="001E37F3"/>
    <w:rsid w:val="001E3C94"/>
    <w:rsid w:val="001E4A86"/>
    <w:rsid w:val="001E4EC4"/>
    <w:rsid w:val="001E5F06"/>
    <w:rsid w:val="001E632C"/>
    <w:rsid w:val="001E6C8B"/>
    <w:rsid w:val="001E7F5E"/>
    <w:rsid w:val="001F0615"/>
    <w:rsid w:val="001F1053"/>
    <w:rsid w:val="001F1454"/>
    <w:rsid w:val="001F21FD"/>
    <w:rsid w:val="001F22DC"/>
    <w:rsid w:val="001F2507"/>
    <w:rsid w:val="001F2513"/>
    <w:rsid w:val="001F369D"/>
    <w:rsid w:val="001F3A0A"/>
    <w:rsid w:val="001F3D18"/>
    <w:rsid w:val="001F3FA8"/>
    <w:rsid w:val="001F4096"/>
    <w:rsid w:val="001F4293"/>
    <w:rsid w:val="001F4FF8"/>
    <w:rsid w:val="001F5A5C"/>
    <w:rsid w:val="001F5DD1"/>
    <w:rsid w:val="001F5E90"/>
    <w:rsid w:val="001F6B5C"/>
    <w:rsid w:val="001F6E2C"/>
    <w:rsid w:val="001F7729"/>
    <w:rsid w:val="0020030E"/>
    <w:rsid w:val="00200B9A"/>
    <w:rsid w:val="00200BAB"/>
    <w:rsid w:val="00200D78"/>
    <w:rsid w:val="00201355"/>
    <w:rsid w:val="002013EA"/>
    <w:rsid w:val="0020140E"/>
    <w:rsid w:val="00201655"/>
    <w:rsid w:val="00201E08"/>
    <w:rsid w:val="002022D5"/>
    <w:rsid w:val="002028D0"/>
    <w:rsid w:val="00202BA6"/>
    <w:rsid w:val="00202D08"/>
    <w:rsid w:val="002032E3"/>
    <w:rsid w:val="0020395E"/>
    <w:rsid w:val="002039A9"/>
    <w:rsid w:val="00203C39"/>
    <w:rsid w:val="00203DE2"/>
    <w:rsid w:val="002044DC"/>
    <w:rsid w:val="002048F3"/>
    <w:rsid w:val="00204A38"/>
    <w:rsid w:val="00206041"/>
    <w:rsid w:val="002064B1"/>
    <w:rsid w:val="00206C33"/>
    <w:rsid w:val="0020768B"/>
    <w:rsid w:val="00207EDF"/>
    <w:rsid w:val="002106FB"/>
    <w:rsid w:val="00210904"/>
    <w:rsid w:val="00210D4F"/>
    <w:rsid w:val="00211651"/>
    <w:rsid w:val="0021178C"/>
    <w:rsid w:val="0021181B"/>
    <w:rsid w:val="00211A06"/>
    <w:rsid w:val="00211D44"/>
    <w:rsid w:val="0021239A"/>
    <w:rsid w:val="00212A8C"/>
    <w:rsid w:val="00212E10"/>
    <w:rsid w:val="002139F6"/>
    <w:rsid w:val="00213E34"/>
    <w:rsid w:val="002140EF"/>
    <w:rsid w:val="002141AE"/>
    <w:rsid w:val="0021450A"/>
    <w:rsid w:val="00214FC4"/>
    <w:rsid w:val="00215274"/>
    <w:rsid w:val="00215432"/>
    <w:rsid w:val="00215AD1"/>
    <w:rsid w:val="00215B12"/>
    <w:rsid w:val="00215D92"/>
    <w:rsid w:val="00215FE8"/>
    <w:rsid w:val="00216208"/>
    <w:rsid w:val="0021667F"/>
    <w:rsid w:val="002166EB"/>
    <w:rsid w:val="00216C56"/>
    <w:rsid w:val="0021750F"/>
    <w:rsid w:val="002175A5"/>
    <w:rsid w:val="00217A05"/>
    <w:rsid w:val="00217B43"/>
    <w:rsid w:val="00217FB0"/>
    <w:rsid w:val="002201C3"/>
    <w:rsid w:val="002201E2"/>
    <w:rsid w:val="00220CDE"/>
    <w:rsid w:val="00220DA8"/>
    <w:rsid w:val="00220F88"/>
    <w:rsid w:val="002218C1"/>
    <w:rsid w:val="0022253B"/>
    <w:rsid w:val="00222AE7"/>
    <w:rsid w:val="00222C9E"/>
    <w:rsid w:val="00223315"/>
    <w:rsid w:val="00223328"/>
    <w:rsid w:val="0022373F"/>
    <w:rsid w:val="00224466"/>
    <w:rsid w:val="00224866"/>
    <w:rsid w:val="00225404"/>
    <w:rsid w:val="002257F5"/>
    <w:rsid w:val="00225CF0"/>
    <w:rsid w:val="00225DB9"/>
    <w:rsid w:val="00226C39"/>
    <w:rsid w:val="00230143"/>
    <w:rsid w:val="0023042C"/>
    <w:rsid w:val="0023134B"/>
    <w:rsid w:val="00231451"/>
    <w:rsid w:val="0023177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2D"/>
    <w:rsid w:val="00244BF3"/>
    <w:rsid w:val="002453AE"/>
    <w:rsid w:val="002454BA"/>
    <w:rsid w:val="00245B13"/>
    <w:rsid w:val="00246DC7"/>
    <w:rsid w:val="00246FD0"/>
    <w:rsid w:val="002474C8"/>
    <w:rsid w:val="0024775C"/>
    <w:rsid w:val="002477A3"/>
    <w:rsid w:val="00247AA6"/>
    <w:rsid w:val="00247FE0"/>
    <w:rsid w:val="0025056B"/>
    <w:rsid w:val="002510EB"/>
    <w:rsid w:val="002512C0"/>
    <w:rsid w:val="00251533"/>
    <w:rsid w:val="00251565"/>
    <w:rsid w:val="002515CB"/>
    <w:rsid w:val="00251C52"/>
    <w:rsid w:val="00251F8B"/>
    <w:rsid w:val="00252BBF"/>
    <w:rsid w:val="002539E9"/>
    <w:rsid w:val="00253FFE"/>
    <w:rsid w:val="002543B3"/>
    <w:rsid w:val="00254493"/>
    <w:rsid w:val="00254847"/>
    <w:rsid w:val="00254E5A"/>
    <w:rsid w:val="0025501B"/>
    <w:rsid w:val="002551EA"/>
    <w:rsid w:val="00256E82"/>
    <w:rsid w:val="00257E6C"/>
    <w:rsid w:val="00257F10"/>
    <w:rsid w:val="0026051F"/>
    <w:rsid w:val="00260671"/>
    <w:rsid w:val="00260A22"/>
    <w:rsid w:val="00260A58"/>
    <w:rsid w:val="00260A63"/>
    <w:rsid w:val="0026112F"/>
    <w:rsid w:val="002611B9"/>
    <w:rsid w:val="00261543"/>
    <w:rsid w:val="002616A8"/>
    <w:rsid w:val="00261749"/>
    <w:rsid w:val="002618F3"/>
    <w:rsid w:val="00261988"/>
    <w:rsid w:val="002629DF"/>
    <w:rsid w:val="00262A0C"/>
    <w:rsid w:val="00262EA3"/>
    <w:rsid w:val="002633CE"/>
    <w:rsid w:val="00263613"/>
    <w:rsid w:val="00263A75"/>
    <w:rsid w:val="00263B31"/>
    <w:rsid w:val="00263CFF"/>
    <w:rsid w:val="002643C2"/>
    <w:rsid w:val="0026451C"/>
    <w:rsid w:val="00264811"/>
    <w:rsid w:val="0026527E"/>
    <w:rsid w:val="002662C5"/>
    <w:rsid w:val="0026644A"/>
    <w:rsid w:val="00266609"/>
    <w:rsid w:val="00266633"/>
    <w:rsid w:val="0026758D"/>
    <w:rsid w:val="002678AB"/>
    <w:rsid w:val="002679DA"/>
    <w:rsid w:val="002700E9"/>
    <w:rsid w:val="0027081A"/>
    <w:rsid w:val="00270A2E"/>
    <w:rsid w:val="00270B86"/>
    <w:rsid w:val="00271469"/>
    <w:rsid w:val="002720E5"/>
    <w:rsid w:val="002726C9"/>
    <w:rsid w:val="00274367"/>
    <w:rsid w:val="00274466"/>
    <w:rsid w:val="00274C89"/>
    <w:rsid w:val="002751ED"/>
    <w:rsid w:val="002755AF"/>
    <w:rsid w:val="002756BD"/>
    <w:rsid w:val="002757F2"/>
    <w:rsid w:val="00275FBA"/>
    <w:rsid w:val="00275FBD"/>
    <w:rsid w:val="002760B2"/>
    <w:rsid w:val="002766FE"/>
    <w:rsid w:val="00276819"/>
    <w:rsid w:val="00276928"/>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68C"/>
    <w:rsid w:val="00287E4A"/>
    <w:rsid w:val="00287FD2"/>
    <w:rsid w:val="002900CF"/>
    <w:rsid w:val="00291595"/>
    <w:rsid w:val="00292188"/>
    <w:rsid w:val="002923F3"/>
    <w:rsid w:val="00292F33"/>
    <w:rsid w:val="0029328D"/>
    <w:rsid w:val="00293810"/>
    <w:rsid w:val="00293AC7"/>
    <w:rsid w:val="00293C4F"/>
    <w:rsid w:val="00293D90"/>
    <w:rsid w:val="00294728"/>
    <w:rsid w:val="002947AF"/>
    <w:rsid w:val="00294BDD"/>
    <w:rsid w:val="00294CB6"/>
    <w:rsid w:val="00294D0A"/>
    <w:rsid w:val="00294F6F"/>
    <w:rsid w:val="0029533F"/>
    <w:rsid w:val="00295616"/>
    <w:rsid w:val="00295CD4"/>
    <w:rsid w:val="00296108"/>
    <w:rsid w:val="002961F4"/>
    <w:rsid w:val="002967B5"/>
    <w:rsid w:val="0029730A"/>
    <w:rsid w:val="00297661"/>
    <w:rsid w:val="00297885"/>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FA"/>
    <w:rsid w:val="002A49B7"/>
    <w:rsid w:val="002A4E10"/>
    <w:rsid w:val="002A4EBC"/>
    <w:rsid w:val="002A5437"/>
    <w:rsid w:val="002A5523"/>
    <w:rsid w:val="002A5E89"/>
    <w:rsid w:val="002A63C7"/>
    <w:rsid w:val="002A7116"/>
    <w:rsid w:val="002A7737"/>
    <w:rsid w:val="002B0EC2"/>
    <w:rsid w:val="002B0FB4"/>
    <w:rsid w:val="002B1874"/>
    <w:rsid w:val="002B1B4E"/>
    <w:rsid w:val="002B1DD3"/>
    <w:rsid w:val="002B2021"/>
    <w:rsid w:val="002B21B2"/>
    <w:rsid w:val="002B221E"/>
    <w:rsid w:val="002B26FD"/>
    <w:rsid w:val="002B2C6C"/>
    <w:rsid w:val="002B2C9F"/>
    <w:rsid w:val="002B2EF2"/>
    <w:rsid w:val="002B33E4"/>
    <w:rsid w:val="002B375C"/>
    <w:rsid w:val="002B3E98"/>
    <w:rsid w:val="002B4286"/>
    <w:rsid w:val="002B5D56"/>
    <w:rsid w:val="002B6044"/>
    <w:rsid w:val="002B6349"/>
    <w:rsid w:val="002B639F"/>
    <w:rsid w:val="002B6FC6"/>
    <w:rsid w:val="002B7046"/>
    <w:rsid w:val="002B738D"/>
    <w:rsid w:val="002B79EF"/>
    <w:rsid w:val="002B7E1C"/>
    <w:rsid w:val="002B7FFA"/>
    <w:rsid w:val="002C2627"/>
    <w:rsid w:val="002C2E98"/>
    <w:rsid w:val="002C3879"/>
    <w:rsid w:val="002C3E32"/>
    <w:rsid w:val="002C456D"/>
    <w:rsid w:val="002C4B2D"/>
    <w:rsid w:val="002C4D23"/>
    <w:rsid w:val="002C4E34"/>
    <w:rsid w:val="002C51D6"/>
    <w:rsid w:val="002C52A4"/>
    <w:rsid w:val="002C563C"/>
    <w:rsid w:val="002C5D51"/>
    <w:rsid w:val="002C6280"/>
    <w:rsid w:val="002C63EE"/>
    <w:rsid w:val="002C686F"/>
    <w:rsid w:val="002C6A56"/>
    <w:rsid w:val="002C740B"/>
    <w:rsid w:val="002C7993"/>
    <w:rsid w:val="002C7C89"/>
    <w:rsid w:val="002C7CA4"/>
    <w:rsid w:val="002D0057"/>
    <w:rsid w:val="002D0111"/>
    <w:rsid w:val="002D01CA"/>
    <w:rsid w:val="002D0EF1"/>
    <w:rsid w:val="002D14A2"/>
    <w:rsid w:val="002D1779"/>
    <w:rsid w:val="002D280F"/>
    <w:rsid w:val="002D2A33"/>
    <w:rsid w:val="002D35E1"/>
    <w:rsid w:val="002D4C1F"/>
    <w:rsid w:val="002D5149"/>
    <w:rsid w:val="002D5B8F"/>
    <w:rsid w:val="002D5CED"/>
    <w:rsid w:val="002D5F1C"/>
    <w:rsid w:val="002D61FA"/>
    <w:rsid w:val="002D63F1"/>
    <w:rsid w:val="002D64BA"/>
    <w:rsid w:val="002D778F"/>
    <w:rsid w:val="002D7A20"/>
    <w:rsid w:val="002E0A17"/>
    <w:rsid w:val="002E0C77"/>
    <w:rsid w:val="002E0E38"/>
    <w:rsid w:val="002E19D1"/>
    <w:rsid w:val="002E1ED5"/>
    <w:rsid w:val="002E250F"/>
    <w:rsid w:val="002E4921"/>
    <w:rsid w:val="002E500B"/>
    <w:rsid w:val="002E5922"/>
    <w:rsid w:val="002E59A6"/>
    <w:rsid w:val="002E59D4"/>
    <w:rsid w:val="002E5B01"/>
    <w:rsid w:val="002E5D82"/>
    <w:rsid w:val="002E6D85"/>
    <w:rsid w:val="002E6E29"/>
    <w:rsid w:val="002E6FB3"/>
    <w:rsid w:val="002E6FF5"/>
    <w:rsid w:val="002E70CE"/>
    <w:rsid w:val="002E78B7"/>
    <w:rsid w:val="002E7DF0"/>
    <w:rsid w:val="002F00BD"/>
    <w:rsid w:val="002F01E7"/>
    <w:rsid w:val="002F07FD"/>
    <w:rsid w:val="002F101C"/>
    <w:rsid w:val="002F1469"/>
    <w:rsid w:val="002F2617"/>
    <w:rsid w:val="002F295A"/>
    <w:rsid w:val="002F298C"/>
    <w:rsid w:val="002F2F9E"/>
    <w:rsid w:val="002F3291"/>
    <w:rsid w:val="002F3404"/>
    <w:rsid w:val="002F39CB"/>
    <w:rsid w:val="002F3D93"/>
    <w:rsid w:val="002F4358"/>
    <w:rsid w:val="002F4437"/>
    <w:rsid w:val="002F4843"/>
    <w:rsid w:val="002F60C4"/>
    <w:rsid w:val="002F6E41"/>
    <w:rsid w:val="002F7F17"/>
    <w:rsid w:val="003010E0"/>
    <w:rsid w:val="003032C9"/>
    <w:rsid w:val="00303C09"/>
    <w:rsid w:val="0030446D"/>
    <w:rsid w:val="00304E25"/>
    <w:rsid w:val="0030528A"/>
    <w:rsid w:val="0030531E"/>
    <w:rsid w:val="003053E0"/>
    <w:rsid w:val="0030562F"/>
    <w:rsid w:val="00307246"/>
    <w:rsid w:val="003101B3"/>
    <w:rsid w:val="00310241"/>
    <w:rsid w:val="00310461"/>
    <w:rsid w:val="00311594"/>
    <w:rsid w:val="00311EB7"/>
    <w:rsid w:val="00312304"/>
    <w:rsid w:val="003123AB"/>
    <w:rsid w:val="00313374"/>
    <w:rsid w:val="00313E6D"/>
    <w:rsid w:val="00313F21"/>
    <w:rsid w:val="00314099"/>
    <w:rsid w:val="003140DC"/>
    <w:rsid w:val="0031417D"/>
    <w:rsid w:val="00314D2A"/>
    <w:rsid w:val="00314E5A"/>
    <w:rsid w:val="00315437"/>
    <w:rsid w:val="00316334"/>
    <w:rsid w:val="0031675A"/>
    <w:rsid w:val="00316DC7"/>
    <w:rsid w:val="003170AE"/>
    <w:rsid w:val="00317544"/>
    <w:rsid w:val="00317599"/>
    <w:rsid w:val="00317A26"/>
    <w:rsid w:val="00317FAB"/>
    <w:rsid w:val="00320780"/>
    <w:rsid w:val="00321173"/>
    <w:rsid w:val="003211C8"/>
    <w:rsid w:val="00321492"/>
    <w:rsid w:val="0032169A"/>
    <w:rsid w:val="0032197E"/>
    <w:rsid w:val="003224B5"/>
    <w:rsid w:val="00322651"/>
    <w:rsid w:val="003226A0"/>
    <w:rsid w:val="003229EC"/>
    <w:rsid w:val="003230C7"/>
    <w:rsid w:val="003234B5"/>
    <w:rsid w:val="003238E8"/>
    <w:rsid w:val="00323D66"/>
    <w:rsid w:val="00323EAC"/>
    <w:rsid w:val="00323F94"/>
    <w:rsid w:val="003247B5"/>
    <w:rsid w:val="00324864"/>
    <w:rsid w:val="00324BD9"/>
    <w:rsid w:val="00324C74"/>
    <w:rsid w:val="00324E87"/>
    <w:rsid w:val="003250AC"/>
    <w:rsid w:val="003250F9"/>
    <w:rsid w:val="0032550C"/>
    <w:rsid w:val="00325515"/>
    <w:rsid w:val="003258C5"/>
    <w:rsid w:val="00325E7A"/>
    <w:rsid w:val="00325EDF"/>
    <w:rsid w:val="00326AD4"/>
    <w:rsid w:val="00326E82"/>
    <w:rsid w:val="00327B4A"/>
    <w:rsid w:val="003303AA"/>
    <w:rsid w:val="003307CC"/>
    <w:rsid w:val="00331427"/>
    <w:rsid w:val="00331E35"/>
    <w:rsid w:val="00331F52"/>
    <w:rsid w:val="0033295C"/>
    <w:rsid w:val="00333B07"/>
    <w:rsid w:val="00333E95"/>
    <w:rsid w:val="00334938"/>
    <w:rsid w:val="00334EC9"/>
    <w:rsid w:val="00335FFF"/>
    <w:rsid w:val="003366FF"/>
    <w:rsid w:val="00336F3D"/>
    <w:rsid w:val="003370B9"/>
    <w:rsid w:val="003371FF"/>
    <w:rsid w:val="00337327"/>
    <w:rsid w:val="003373C0"/>
    <w:rsid w:val="00337447"/>
    <w:rsid w:val="00337855"/>
    <w:rsid w:val="00340A99"/>
    <w:rsid w:val="00341459"/>
    <w:rsid w:val="0034266A"/>
    <w:rsid w:val="00342BD2"/>
    <w:rsid w:val="003430B4"/>
    <w:rsid w:val="003430E4"/>
    <w:rsid w:val="00343684"/>
    <w:rsid w:val="00343927"/>
    <w:rsid w:val="003447BC"/>
    <w:rsid w:val="003457F0"/>
    <w:rsid w:val="003464B6"/>
    <w:rsid w:val="00347230"/>
    <w:rsid w:val="00347453"/>
    <w:rsid w:val="00347F27"/>
    <w:rsid w:val="003504DC"/>
    <w:rsid w:val="0035054C"/>
    <w:rsid w:val="00350FCC"/>
    <w:rsid w:val="00351240"/>
    <w:rsid w:val="0035132E"/>
    <w:rsid w:val="0035148D"/>
    <w:rsid w:val="003515E5"/>
    <w:rsid w:val="00351B38"/>
    <w:rsid w:val="003524A9"/>
    <w:rsid w:val="003524E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C8"/>
    <w:rsid w:val="0036331D"/>
    <w:rsid w:val="003633AC"/>
    <w:rsid w:val="00363439"/>
    <w:rsid w:val="00364E54"/>
    <w:rsid w:val="00365AC8"/>
    <w:rsid w:val="00365CB8"/>
    <w:rsid w:val="00365ED9"/>
    <w:rsid w:val="003661FC"/>
    <w:rsid w:val="00366306"/>
    <w:rsid w:val="003702CD"/>
    <w:rsid w:val="00370C71"/>
    <w:rsid w:val="003711D4"/>
    <w:rsid w:val="0037271B"/>
    <w:rsid w:val="00374408"/>
    <w:rsid w:val="003745D6"/>
    <w:rsid w:val="003753D6"/>
    <w:rsid w:val="003756B0"/>
    <w:rsid w:val="003761DB"/>
    <w:rsid w:val="0037649D"/>
    <w:rsid w:val="00376A32"/>
    <w:rsid w:val="00376A4C"/>
    <w:rsid w:val="00377173"/>
    <w:rsid w:val="003805D2"/>
    <w:rsid w:val="003809C1"/>
    <w:rsid w:val="00381104"/>
    <w:rsid w:val="003811A4"/>
    <w:rsid w:val="003813C3"/>
    <w:rsid w:val="00381484"/>
    <w:rsid w:val="00381892"/>
    <w:rsid w:val="00381B4B"/>
    <w:rsid w:val="00381FD6"/>
    <w:rsid w:val="003830EF"/>
    <w:rsid w:val="00383742"/>
    <w:rsid w:val="00383AF3"/>
    <w:rsid w:val="00383B34"/>
    <w:rsid w:val="00383C72"/>
    <w:rsid w:val="00384563"/>
    <w:rsid w:val="0038458E"/>
    <w:rsid w:val="00385870"/>
    <w:rsid w:val="00385CB1"/>
    <w:rsid w:val="00385E4D"/>
    <w:rsid w:val="00386373"/>
    <w:rsid w:val="003866AA"/>
    <w:rsid w:val="00386C5E"/>
    <w:rsid w:val="00386CC5"/>
    <w:rsid w:val="0038704C"/>
    <w:rsid w:val="00387073"/>
    <w:rsid w:val="0038723A"/>
    <w:rsid w:val="003877B7"/>
    <w:rsid w:val="00387970"/>
    <w:rsid w:val="003901BC"/>
    <w:rsid w:val="00390382"/>
    <w:rsid w:val="003910EE"/>
    <w:rsid w:val="00391371"/>
    <w:rsid w:val="00391CB9"/>
    <w:rsid w:val="00391CCF"/>
    <w:rsid w:val="00392318"/>
    <w:rsid w:val="003931CE"/>
    <w:rsid w:val="003934D0"/>
    <w:rsid w:val="00393526"/>
    <w:rsid w:val="00393D06"/>
    <w:rsid w:val="00394AAE"/>
    <w:rsid w:val="00394D29"/>
    <w:rsid w:val="00394EF2"/>
    <w:rsid w:val="00395026"/>
    <w:rsid w:val="00395434"/>
    <w:rsid w:val="003958F6"/>
    <w:rsid w:val="00395F33"/>
    <w:rsid w:val="0039603E"/>
    <w:rsid w:val="003962BE"/>
    <w:rsid w:val="00396398"/>
    <w:rsid w:val="0039678F"/>
    <w:rsid w:val="00396C72"/>
    <w:rsid w:val="00396FA3"/>
    <w:rsid w:val="0039739C"/>
    <w:rsid w:val="00397D42"/>
    <w:rsid w:val="003A0A78"/>
    <w:rsid w:val="003A1D3C"/>
    <w:rsid w:val="003A223C"/>
    <w:rsid w:val="003A2952"/>
    <w:rsid w:val="003A2A68"/>
    <w:rsid w:val="003A3B3A"/>
    <w:rsid w:val="003A40A5"/>
    <w:rsid w:val="003A415A"/>
    <w:rsid w:val="003A4576"/>
    <w:rsid w:val="003A45BC"/>
    <w:rsid w:val="003A4E67"/>
    <w:rsid w:val="003A5093"/>
    <w:rsid w:val="003A50FA"/>
    <w:rsid w:val="003A517F"/>
    <w:rsid w:val="003A54B9"/>
    <w:rsid w:val="003A6283"/>
    <w:rsid w:val="003A63D3"/>
    <w:rsid w:val="003A69D1"/>
    <w:rsid w:val="003A6F73"/>
    <w:rsid w:val="003A70AD"/>
    <w:rsid w:val="003A70C6"/>
    <w:rsid w:val="003A7434"/>
    <w:rsid w:val="003A7A55"/>
    <w:rsid w:val="003A7C19"/>
    <w:rsid w:val="003B0D95"/>
    <w:rsid w:val="003B1AFC"/>
    <w:rsid w:val="003B2109"/>
    <w:rsid w:val="003B2154"/>
    <w:rsid w:val="003B2811"/>
    <w:rsid w:val="003B2CE4"/>
    <w:rsid w:val="003B344F"/>
    <w:rsid w:val="003B38E9"/>
    <w:rsid w:val="003B4CEA"/>
    <w:rsid w:val="003B6FEE"/>
    <w:rsid w:val="003B7796"/>
    <w:rsid w:val="003C06ED"/>
    <w:rsid w:val="003C0D8C"/>
    <w:rsid w:val="003C0E35"/>
    <w:rsid w:val="003C0F20"/>
    <w:rsid w:val="003C10FB"/>
    <w:rsid w:val="003C1239"/>
    <w:rsid w:val="003C134E"/>
    <w:rsid w:val="003C1A2D"/>
    <w:rsid w:val="003C22C9"/>
    <w:rsid w:val="003C2383"/>
    <w:rsid w:val="003C267A"/>
    <w:rsid w:val="003C28AE"/>
    <w:rsid w:val="003C3343"/>
    <w:rsid w:val="003C4294"/>
    <w:rsid w:val="003C47BD"/>
    <w:rsid w:val="003C48F5"/>
    <w:rsid w:val="003C4DA1"/>
    <w:rsid w:val="003C6151"/>
    <w:rsid w:val="003C6D11"/>
    <w:rsid w:val="003C7235"/>
    <w:rsid w:val="003C72A0"/>
    <w:rsid w:val="003C77FA"/>
    <w:rsid w:val="003D0371"/>
    <w:rsid w:val="003D0D72"/>
    <w:rsid w:val="003D122F"/>
    <w:rsid w:val="003D1A36"/>
    <w:rsid w:val="003D2C8C"/>
    <w:rsid w:val="003D3534"/>
    <w:rsid w:val="003D3D91"/>
    <w:rsid w:val="003D4127"/>
    <w:rsid w:val="003D442A"/>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DD"/>
    <w:rsid w:val="003E4E86"/>
    <w:rsid w:val="003E61EB"/>
    <w:rsid w:val="003E62F8"/>
    <w:rsid w:val="003E6404"/>
    <w:rsid w:val="003E65F8"/>
    <w:rsid w:val="003E6657"/>
    <w:rsid w:val="003E7028"/>
    <w:rsid w:val="003E7CA5"/>
    <w:rsid w:val="003F0C65"/>
    <w:rsid w:val="003F0DD3"/>
    <w:rsid w:val="003F11B3"/>
    <w:rsid w:val="003F1473"/>
    <w:rsid w:val="003F1847"/>
    <w:rsid w:val="003F1CA9"/>
    <w:rsid w:val="003F1E52"/>
    <w:rsid w:val="003F2909"/>
    <w:rsid w:val="003F2D43"/>
    <w:rsid w:val="003F4798"/>
    <w:rsid w:val="003F4B69"/>
    <w:rsid w:val="003F5993"/>
    <w:rsid w:val="003F6690"/>
    <w:rsid w:val="003F6814"/>
    <w:rsid w:val="003F6835"/>
    <w:rsid w:val="003F6C75"/>
    <w:rsid w:val="003F71DB"/>
    <w:rsid w:val="003F72C9"/>
    <w:rsid w:val="003F75A4"/>
    <w:rsid w:val="003F75CF"/>
    <w:rsid w:val="0040054D"/>
    <w:rsid w:val="00401163"/>
    <w:rsid w:val="00401C41"/>
    <w:rsid w:val="00402187"/>
    <w:rsid w:val="0040265C"/>
    <w:rsid w:val="00402AA0"/>
    <w:rsid w:val="00402C37"/>
    <w:rsid w:val="00402F29"/>
    <w:rsid w:val="00403C6E"/>
    <w:rsid w:val="00403CDC"/>
    <w:rsid w:val="004046BA"/>
    <w:rsid w:val="00405B8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1C"/>
    <w:rsid w:val="00420189"/>
    <w:rsid w:val="00420241"/>
    <w:rsid w:val="00420C14"/>
    <w:rsid w:val="00421CE9"/>
    <w:rsid w:val="0042266B"/>
    <w:rsid w:val="00422AE0"/>
    <w:rsid w:val="00422B5D"/>
    <w:rsid w:val="00422B62"/>
    <w:rsid w:val="00422B9E"/>
    <w:rsid w:val="00422D45"/>
    <w:rsid w:val="004230C3"/>
    <w:rsid w:val="004237B8"/>
    <w:rsid w:val="00423883"/>
    <w:rsid w:val="00423BE4"/>
    <w:rsid w:val="00423C8D"/>
    <w:rsid w:val="00424BC2"/>
    <w:rsid w:val="00424E2C"/>
    <w:rsid w:val="00425239"/>
    <w:rsid w:val="00425398"/>
    <w:rsid w:val="00425C71"/>
    <w:rsid w:val="00426629"/>
    <w:rsid w:val="0042666B"/>
    <w:rsid w:val="00426691"/>
    <w:rsid w:val="00426A94"/>
    <w:rsid w:val="00430342"/>
    <w:rsid w:val="0043036C"/>
    <w:rsid w:val="00430F36"/>
    <w:rsid w:val="004311F9"/>
    <w:rsid w:val="00431304"/>
    <w:rsid w:val="00431DDA"/>
    <w:rsid w:val="0043226D"/>
    <w:rsid w:val="004326B7"/>
    <w:rsid w:val="00432794"/>
    <w:rsid w:val="00432B63"/>
    <w:rsid w:val="00432D22"/>
    <w:rsid w:val="004333E5"/>
    <w:rsid w:val="00433C13"/>
    <w:rsid w:val="00433F7A"/>
    <w:rsid w:val="00433FB5"/>
    <w:rsid w:val="00434324"/>
    <w:rsid w:val="0043480A"/>
    <w:rsid w:val="00434C54"/>
    <w:rsid w:val="0043512E"/>
    <w:rsid w:val="00435275"/>
    <w:rsid w:val="00435841"/>
    <w:rsid w:val="00435E2C"/>
    <w:rsid w:val="004365A5"/>
    <w:rsid w:val="0043660E"/>
    <w:rsid w:val="00436647"/>
    <w:rsid w:val="0043684F"/>
    <w:rsid w:val="00436F91"/>
    <w:rsid w:val="00437455"/>
    <w:rsid w:val="00437AA5"/>
    <w:rsid w:val="00437FBC"/>
    <w:rsid w:val="004409FE"/>
    <w:rsid w:val="00440BFE"/>
    <w:rsid w:val="004412C0"/>
    <w:rsid w:val="00441672"/>
    <w:rsid w:val="00441D50"/>
    <w:rsid w:val="0044336A"/>
    <w:rsid w:val="00443989"/>
    <w:rsid w:val="00443EB4"/>
    <w:rsid w:val="00443EF4"/>
    <w:rsid w:val="0044488E"/>
    <w:rsid w:val="00444B14"/>
    <w:rsid w:val="00444FE1"/>
    <w:rsid w:val="0044506D"/>
    <w:rsid w:val="004452F5"/>
    <w:rsid w:val="00445847"/>
    <w:rsid w:val="00446BE7"/>
    <w:rsid w:val="00446C4A"/>
    <w:rsid w:val="00446C87"/>
    <w:rsid w:val="00446DBB"/>
    <w:rsid w:val="00446F11"/>
    <w:rsid w:val="00446FE9"/>
    <w:rsid w:val="0044767E"/>
    <w:rsid w:val="00447B47"/>
    <w:rsid w:val="00450331"/>
    <w:rsid w:val="00450C2E"/>
    <w:rsid w:val="00450E13"/>
    <w:rsid w:val="00451074"/>
    <w:rsid w:val="00451CD3"/>
    <w:rsid w:val="0045225B"/>
    <w:rsid w:val="004535C8"/>
    <w:rsid w:val="0045366D"/>
    <w:rsid w:val="0045386A"/>
    <w:rsid w:val="00453C4F"/>
    <w:rsid w:val="00453DF4"/>
    <w:rsid w:val="00454102"/>
    <w:rsid w:val="00454903"/>
    <w:rsid w:val="00454A59"/>
    <w:rsid w:val="00454DEA"/>
    <w:rsid w:val="0045554C"/>
    <w:rsid w:val="0045575E"/>
    <w:rsid w:val="004559B4"/>
    <w:rsid w:val="00456FC7"/>
    <w:rsid w:val="0045748C"/>
    <w:rsid w:val="00457938"/>
    <w:rsid w:val="00457943"/>
    <w:rsid w:val="00457F2C"/>
    <w:rsid w:val="004608D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88"/>
    <w:rsid w:val="00465E0E"/>
    <w:rsid w:val="00466051"/>
    <w:rsid w:val="00466424"/>
    <w:rsid w:val="004666A3"/>
    <w:rsid w:val="00466F63"/>
    <w:rsid w:val="00467151"/>
    <w:rsid w:val="004671C7"/>
    <w:rsid w:val="00467873"/>
    <w:rsid w:val="0046792C"/>
    <w:rsid w:val="00467BCA"/>
    <w:rsid w:val="0047003B"/>
    <w:rsid w:val="004700E1"/>
    <w:rsid w:val="004703A7"/>
    <w:rsid w:val="004705F3"/>
    <w:rsid w:val="004708E7"/>
    <w:rsid w:val="00470AE9"/>
    <w:rsid w:val="00470D1B"/>
    <w:rsid w:val="00472CF1"/>
    <w:rsid w:val="00472E4B"/>
    <w:rsid w:val="00473426"/>
    <w:rsid w:val="004734A8"/>
    <w:rsid w:val="00474043"/>
    <w:rsid w:val="004745C8"/>
    <w:rsid w:val="004745FC"/>
    <w:rsid w:val="004746C0"/>
    <w:rsid w:val="004746C9"/>
    <w:rsid w:val="004749E0"/>
    <w:rsid w:val="004752FB"/>
    <w:rsid w:val="0047554D"/>
    <w:rsid w:val="00476A7B"/>
    <w:rsid w:val="00476B79"/>
    <w:rsid w:val="00476CDA"/>
    <w:rsid w:val="00477162"/>
    <w:rsid w:val="004773BF"/>
    <w:rsid w:val="004774BF"/>
    <w:rsid w:val="004801AC"/>
    <w:rsid w:val="00480250"/>
    <w:rsid w:val="00480455"/>
    <w:rsid w:val="00480957"/>
    <w:rsid w:val="00480D74"/>
    <w:rsid w:val="00481083"/>
    <w:rsid w:val="004816AB"/>
    <w:rsid w:val="004820DC"/>
    <w:rsid w:val="004822AA"/>
    <w:rsid w:val="0048365E"/>
    <w:rsid w:val="004836FD"/>
    <w:rsid w:val="00483D90"/>
    <w:rsid w:val="00483FB9"/>
    <w:rsid w:val="004840CE"/>
    <w:rsid w:val="004843B4"/>
    <w:rsid w:val="004845E5"/>
    <w:rsid w:val="00484B1B"/>
    <w:rsid w:val="004854D7"/>
    <w:rsid w:val="004860AB"/>
    <w:rsid w:val="004869AE"/>
    <w:rsid w:val="004875E6"/>
    <w:rsid w:val="00487D43"/>
    <w:rsid w:val="00487D91"/>
    <w:rsid w:val="00487FB5"/>
    <w:rsid w:val="00490C47"/>
    <w:rsid w:val="00491103"/>
    <w:rsid w:val="00491391"/>
    <w:rsid w:val="004916B5"/>
    <w:rsid w:val="0049191E"/>
    <w:rsid w:val="00491DAE"/>
    <w:rsid w:val="0049262F"/>
    <w:rsid w:val="00492987"/>
    <w:rsid w:val="00492AE4"/>
    <w:rsid w:val="00492AF8"/>
    <w:rsid w:val="00492FC0"/>
    <w:rsid w:val="00493802"/>
    <w:rsid w:val="0049382A"/>
    <w:rsid w:val="0049397A"/>
    <w:rsid w:val="00493E3E"/>
    <w:rsid w:val="00494029"/>
    <w:rsid w:val="00494302"/>
    <w:rsid w:val="00494B04"/>
    <w:rsid w:val="00494F49"/>
    <w:rsid w:val="00495838"/>
    <w:rsid w:val="00495FA5"/>
    <w:rsid w:val="004972B7"/>
    <w:rsid w:val="004A082A"/>
    <w:rsid w:val="004A0AF2"/>
    <w:rsid w:val="004A1326"/>
    <w:rsid w:val="004A3DFF"/>
    <w:rsid w:val="004A445D"/>
    <w:rsid w:val="004A4805"/>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43"/>
    <w:rsid w:val="004B37A4"/>
    <w:rsid w:val="004B5B5E"/>
    <w:rsid w:val="004B5C44"/>
    <w:rsid w:val="004B626D"/>
    <w:rsid w:val="004B6CB9"/>
    <w:rsid w:val="004B7595"/>
    <w:rsid w:val="004B7B5D"/>
    <w:rsid w:val="004C051E"/>
    <w:rsid w:val="004C0749"/>
    <w:rsid w:val="004C08A1"/>
    <w:rsid w:val="004C1107"/>
    <w:rsid w:val="004C1277"/>
    <w:rsid w:val="004C205D"/>
    <w:rsid w:val="004C27E5"/>
    <w:rsid w:val="004C2B00"/>
    <w:rsid w:val="004C2BA2"/>
    <w:rsid w:val="004C300C"/>
    <w:rsid w:val="004C32C3"/>
    <w:rsid w:val="004C3CFE"/>
    <w:rsid w:val="004C428F"/>
    <w:rsid w:val="004C4ADF"/>
    <w:rsid w:val="004C5034"/>
    <w:rsid w:val="004C59C9"/>
    <w:rsid w:val="004C5B7D"/>
    <w:rsid w:val="004C5B93"/>
    <w:rsid w:val="004C65F5"/>
    <w:rsid w:val="004C663C"/>
    <w:rsid w:val="004C6AA7"/>
    <w:rsid w:val="004C6CF3"/>
    <w:rsid w:val="004C7951"/>
    <w:rsid w:val="004D0199"/>
    <w:rsid w:val="004D01CD"/>
    <w:rsid w:val="004D0B22"/>
    <w:rsid w:val="004D0B7F"/>
    <w:rsid w:val="004D0C2A"/>
    <w:rsid w:val="004D13F2"/>
    <w:rsid w:val="004D1A35"/>
    <w:rsid w:val="004D1A7F"/>
    <w:rsid w:val="004D1BF5"/>
    <w:rsid w:val="004D33F1"/>
    <w:rsid w:val="004D3929"/>
    <w:rsid w:val="004D3C78"/>
    <w:rsid w:val="004D471C"/>
    <w:rsid w:val="004D49F8"/>
    <w:rsid w:val="004D4EC8"/>
    <w:rsid w:val="004D50EE"/>
    <w:rsid w:val="004D61FF"/>
    <w:rsid w:val="004D6210"/>
    <w:rsid w:val="004D6C6B"/>
    <w:rsid w:val="004D6ECB"/>
    <w:rsid w:val="004D71B8"/>
    <w:rsid w:val="004D7FE2"/>
    <w:rsid w:val="004E00A1"/>
    <w:rsid w:val="004E034E"/>
    <w:rsid w:val="004E05F8"/>
    <w:rsid w:val="004E1287"/>
    <w:rsid w:val="004E1445"/>
    <w:rsid w:val="004E1564"/>
    <w:rsid w:val="004E1B8C"/>
    <w:rsid w:val="004E21AD"/>
    <w:rsid w:val="004E46C6"/>
    <w:rsid w:val="004E4AC9"/>
    <w:rsid w:val="004E5125"/>
    <w:rsid w:val="004E51DD"/>
    <w:rsid w:val="004E556C"/>
    <w:rsid w:val="004E5AE2"/>
    <w:rsid w:val="004E62BE"/>
    <w:rsid w:val="004E669D"/>
    <w:rsid w:val="004E7C93"/>
    <w:rsid w:val="004F04FB"/>
    <w:rsid w:val="004F06EC"/>
    <w:rsid w:val="004F08B5"/>
    <w:rsid w:val="004F0921"/>
    <w:rsid w:val="004F10F0"/>
    <w:rsid w:val="004F1398"/>
    <w:rsid w:val="004F1ABE"/>
    <w:rsid w:val="004F1EA3"/>
    <w:rsid w:val="004F2C12"/>
    <w:rsid w:val="004F2C26"/>
    <w:rsid w:val="004F2EB8"/>
    <w:rsid w:val="004F35FE"/>
    <w:rsid w:val="004F43F8"/>
    <w:rsid w:val="004F4518"/>
    <w:rsid w:val="004F50AF"/>
    <w:rsid w:val="004F529B"/>
    <w:rsid w:val="004F5A7B"/>
    <w:rsid w:val="004F64AD"/>
    <w:rsid w:val="004F66FC"/>
    <w:rsid w:val="004F6B7F"/>
    <w:rsid w:val="004F6C26"/>
    <w:rsid w:val="004F7611"/>
    <w:rsid w:val="004F7752"/>
    <w:rsid w:val="00500AF3"/>
    <w:rsid w:val="00500CF1"/>
    <w:rsid w:val="00500E24"/>
    <w:rsid w:val="00501184"/>
    <w:rsid w:val="00502512"/>
    <w:rsid w:val="00503035"/>
    <w:rsid w:val="005035DF"/>
    <w:rsid w:val="00503781"/>
    <w:rsid w:val="00504301"/>
    <w:rsid w:val="005043A4"/>
    <w:rsid w:val="00504B41"/>
    <w:rsid w:val="00504BA3"/>
    <w:rsid w:val="00504F15"/>
    <w:rsid w:val="00504FB1"/>
    <w:rsid w:val="00505298"/>
    <w:rsid w:val="00505683"/>
    <w:rsid w:val="005056AE"/>
    <w:rsid w:val="00506377"/>
    <w:rsid w:val="005067B7"/>
    <w:rsid w:val="00506935"/>
    <w:rsid w:val="00506B1D"/>
    <w:rsid w:val="005076A3"/>
    <w:rsid w:val="005077E1"/>
    <w:rsid w:val="005101B3"/>
    <w:rsid w:val="00510442"/>
    <w:rsid w:val="00510A71"/>
    <w:rsid w:val="00510B72"/>
    <w:rsid w:val="005112C3"/>
    <w:rsid w:val="005113E0"/>
    <w:rsid w:val="00512761"/>
    <w:rsid w:val="0051283E"/>
    <w:rsid w:val="00512A93"/>
    <w:rsid w:val="00512DB9"/>
    <w:rsid w:val="005137A5"/>
    <w:rsid w:val="00513B70"/>
    <w:rsid w:val="00514190"/>
    <w:rsid w:val="005141A0"/>
    <w:rsid w:val="0051430A"/>
    <w:rsid w:val="00514571"/>
    <w:rsid w:val="005149BA"/>
    <w:rsid w:val="0051584C"/>
    <w:rsid w:val="00515C10"/>
    <w:rsid w:val="00516222"/>
    <w:rsid w:val="00516344"/>
    <w:rsid w:val="0051649C"/>
    <w:rsid w:val="00516720"/>
    <w:rsid w:val="00516798"/>
    <w:rsid w:val="005169D5"/>
    <w:rsid w:val="00517749"/>
    <w:rsid w:val="0052069A"/>
    <w:rsid w:val="00520833"/>
    <w:rsid w:val="0052091A"/>
    <w:rsid w:val="00521A34"/>
    <w:rsid w:val="00522962"/>
    <w:rsid w:val="005231E7"/>
    <w:rsid w:val="00523453"/>
    <w:rsid w:val="0052357B"/>
    <w:rsid w:val="005240A3"/>
    <w:rsid w:val="005245CB"/>
    <w:rsid w:val="005246CA"/>
    <w:rsid w:val="00524798"/>
    <w:rsid w:val="00524D25"/>
    <w:rsid w:val="005256CB"/>
    <w:rsid w:val="00525E9C"/>
    <w:rsid w:val="005266EF"/>
    <w:rsid w:val="00526C4A"/>
    <w:rsid w:val="00526E61"/>
    <w:rsid w:val="005305C6"/>
    <w:rsid w:val="005315D0"/>
    <w:rsid w:val="00531ABE"/>
    <w:rsid w:val="005322F9"/>
    <w:rsid w:val="00532673"/>
    <w:rsid w:val="00532A3C"/>
    <w:rsid w:val="0053362D"/>
    <w:rsid w:val="00533A72"/>
    <w:rsid w:val="00533A98"/>
    <w:rsid w:val="00533AF2"/>
    <w:rsid w:val="00533DEC"/>
    <w:rsid w:val="005340D9"/>
    <w:rsid w:val="0053422F"/>
    <w:rsid w:val="005349AE"/>
    <w:rsid w:val="00534BBA"/>
    <w:rsid w:val="00535EAA"/>
    <w:rsid w:val="00535EE7"/>
    <w:rsid w:val="00536192"/>
    <w:rsid w:val="00536C91"/>
    <w:rsid w:val="00537502"/>
    <w:rsid w:val="005376A1"/>
    <w:rsid w:val="0054000D"/>
    <w:rsid w:val="00540B1D"/>
    <w:rsid w:val="00542078"/>
    <w:rsid w:val="00542379"/>
    <w:rsid w:val="00542743"/>
    <w:rsid w:val="00542806"/>
    <w:rsid w:val="00543302"/>
    <w:rsid w:val="005434AF"/>
    <w:rsid w:val="005442FA"/>
    <w:rsid w:val="005446FF"/>
    <w:rsid w:val="00544F90"/>
    <w:rsid w:val="0054517B"/>
    <w:rsid w:val="0054588C"/>
    <w:rsid w:val="00545C84"/>
    <w:rsid w:val="00547388"/>
    <w:rsid w:val="00547A51"/>
    <w:rsid w:val="005512F8"/>
    <w:rsid w:val="005518E6"/>
    <w:rsid w:val="0055213D"/>
    <w:rsid w:val="005526D9"/>
    <w:rsid w:val="00552763"/>
    <w:rsid w:val="00552A2A"/>
    <w:rsid w:val="00552AFC"/>
    <w:rsid w:val="00552D58"/>
    <w:rsid w:val="00552F3C"/>
    <w:rsid w:val="0055317D"/>
    <w:rsid w:val="00553508"/>
    <w:rsid w:val="0055392F"/>
    <w:rsid w:val="00553967"/>
    <w:rsid w:val="00553C35"/>
    <w:rsid w:val="00554169"/>
    <w:rsid w:val="0055432F"/>
    <w:rsid w:val="005544FD"/>
    <w:rsid w:val="00554971"/>
    <w:rsid w:val="00554D4C"/>
    <w:rsid w:val="0055512A"/>
    <w:rsid w:val="00555A1E"/>
    <w:rsid w:val="00555C97"/>
    <w:rsid w:val="00556FDB"/>
    <w:rsid w:val="00557103"/>
    <w:rsid w:val="005572C0"/>
    <w:rsid w:val="00557C3D"/>
    <w:rsid w:val="00557FB9"/>
    <w:rsid w:val="00560085"/>
    <w:rsid w:val="0056117A"/>
    <w:rsid w:val="00562506"/>
    <w:rsid w:val="005625CD"/>
    <w:rsid w:val="00562C61"/>
    <w:rsid w:val="0056539C"/>
    <w:rsid w:val="00565611"/>
    <w:rsid w:val="005656F2"/>
    <w:rsid w:val="00566CDC"/>
    <w:rsid w:val="00566D2D"/>
    <w:rsid w:val="00567212"/>
    <w:rsid w:val="005678B2"/>
    <w:rsid w:val="005679E5"/>
    <w:rsid w:val="005718C4"/>
    <w:rsid w:val="0057199F"/>
    <w:rsid w:val="00572360"/>
    <w:rsid w:val="005723E6"/>
    <w:rsid w:val="005726E6"/>
    <w:rsid w:val="005729D3"/>
    <w:rsid w:val="00572EFF"/>
    <w:rsid w:val="00573324"/>
    <w:rsid w:val="0057383B"/>
    <w:rsid w:val="00573A9E"/>
    <w:rsid w:val="00573E8D"/>
    <w:rsid w:val="0057436E"/>
    <w:rsid w:val="00574AFD"/>
    <w:rsid w:val="00575531"/>
    <w:rsid w:val="00575613"/>
    <w:rsid w:val="00575963"/>
    <w:rsid w:val="00575F0F"/>
    <w:rsid w:val="00576057"/>
    <w:rsid w:val="0057621F"/>
    <w:rsid w:val="00576313"/>
    <w:rsid w:val="00576F35"/>
    <w:rsid w:val="0057722E"/>
    <w:rsid w:val="0058081B"/>
    <w:rsid w:val="00580926"/>
    <w:rsid w:val="0058153A"/>
    <w:rsid w:val="005828F4"/>
    <w:rsid w:val="00583300"/>
    <w:rsid w:val="005844EF"/>
    <w:rsid w:val="0058476E"/>
    <w:rsid w:val="00584EB4"/>
    <w:rsid w:val="0058579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6F1"/>
    <w:rsid w:val="00592802"/>
    <w:rsid w:val="00592E09"/>
    <w:rsid w:val="005947B3"/>
    <w:rsid w:val="00594D4C"/>
    <w:rsid w:val="0059502C"/>
    <w:rsid w:val="0059581A"/>
    <w:rsid w:val="005966E9"/>
    <w:rsid w:val="0059712A"/>
    <w:rsid w:val="0059792E"/>
    <w:rsid w:val="00597A89"/>
    <w:rsid w:val="00597F12"/>
    <w:rsid w:val="005A0393"/>
    <w:rsid w:val="005A1764"/>
    <w:rsid w:val="005A19A4"/>
    <w:rsid w:val="005A1A53"/>
    <w:rsid w:val="005A1A59"/>
    <w:rsid w:val="005A32CE"/>
    <w:rsid w:val="005A3BEF"/>
    <w:rsid w:val="005A458B"/>
    <w:rsid w:val="005A47C9"/>
    <w:rsid w:val="005A4E53"/>
    <w:rsid w:val="005A5D2E"/>
    <w:rsid w:val="005A5E48"/>
    <w:rsid w:val="005A5FB6"/>
    <w:rsid w:val="005A6133"/>
    <w:rsid w:val="005A69C8"/>
    <w:rsid w:val="005B018D"/>
    <w:rsid w:val="005B01BD"/>
    <w:rsid w:val="005B0EF1"/>
    <w:rsid w:val="005B10F8"/>
    <w:rsid w:val="005B1405"/>
    <w:rsid w:val="005B1793"/>
    <w:rsid w:val="005B1A4B"/>
    <w:rsid w:val="005B1E81"/>
    <w:rsid w:val="005B2624"/>
    <w:rsid w:val="005B2879"/>
    <w:rsid w:val="005B2FBD"/>
    <w:rsid w:val="005B34DD"/>
    <w:rsid w:val="005B3982"/>
    <w:rsid w:val="005B42FC"/>
    <w:rsid w:val="005B4B97"/>
    <w:rsid w:val="005B579C"/>
    <w:rsid w:val="005B5B1A"/>
    <w:rsid w:val="005B5F0B"/>
    <w:rsid w:val="005B5F87"/>
    <w:rsid w:val="005B6332"/>
    <w:rsid w:val="005B65A0"/>
    <w:rsid w:val="005B7C3B"/>
    <w:rsid w:val="005C035B"/>
    <w:rsid w:val="005C06AF"/>
    <w:rsid w:val="005C0B2B"/>
    <w:rsid w:val="005C0E01"/>
    <w:rsid w:val="005C14C9"/>
    <w:rsid w:val="005C19B1"/>
    <w:rsid w:val="005C28C0"/>
    <w:rsid w:val="005C3BB1"/>
    <w:rsid w:val="005C3F29"/>
    <w:rsid w:val="005C45B7"/>
    <w:rsid w:val="005C4A81"/>
    <w:rsid w:val="005C4C30"/>
    <w:rsid w:val="005C5A53"/>
    <w:rsid w:val="005C5AA2"/>
    <w:rsid w:val="005C5E9C"/>
    <w:rsid w:val="005C63BF"/>
    <w:rsid w:val="005C6438"/>
    <w:rsid w:val="005C6940"/>
    <w:rsid w:val="005C69CF"/>
    <w:rsid w:val="005C6E36"/>
    <w:rsid w:val="005C7AF5"/>
    <w:rsid w:val="005C7C29"/>
    <w:rsid w:val="005C7C7D"/>
    <w:rsid w:val="005C7E50"/>
    <w:rsid w:val="005D0863"/>
    <w:rsid w:val="005D1FCA"/>
    <w:rsid w:val="005D2590"/>
    <w:rsid w:val="005D25BF"/>
    <w:rsid w:val="005D2AEC"/>
    <w:rsid w:val="005D2BD6"/>
    <w:rsid w:val="005D30AC"/>
    <w:rsid w:val="005D5A19"/>
    <w:rsid w:val="005D60F6"/>
    <w:rsid w:val="005D6986"/>
    <w:rsid w:val="005D6A4A"/>
    <w:rsid w:val="005D6A9E"/>
    <w:rsid w:val="005D6B44"/>
    <w:rsid w:val="005D6E77"/>
    <w:rsid w:val="005D7058"/>
    <w:rsid w:val="005D78C0"/>
    <w:rsid w:val="005D79A3"/>
    <w:rsid w:val="005E00CF"/>
    <w:rsid w:val="005E08B6"/>
    <w:rsid w:val="005E1016"/>
    <w:rsid w:val="005E1161"/>
    <w:rsid w:val="005E13A4"/>
    <w:rsid w:val="005E1473"/>
    <w:rsid w:val="005E1482"/>
    <w:rsid w:val="005E16E0"/>
    <w:rsid w:val="005E18FF"/>
    <w:rsid w:val="005E282D"/>
    <w:rsid w:val="005E31AD"/>
    <w:rsid w:val="005E3474"/>
    <w:rsid w:val="005E3559"/>
    <w:rsid w:val="005E3C8D"/>
    <w:rsid w:val="005E40F6"/>
    <w:rsid w:val="005E42A9"/>
    <w:rsid w:val="005E42D9"/>
    <w:rsid w:val="005E4949"/>
    <w:rsid w:val="005E6248"/>
    <w:rsid w:val="005E63B6"/>
    <w:rsid w:val="005E6719"/>
    <w:rsid w:val="005E6866"/>
    <w:rsid w:val="005E6914"/>
    <w:rsid w:val="005E7240"/>
    <w:rsid w:val="005E7684"/>
    <w:rsid w:val="005E7CB1"/>
    <w:rsid w:val="005F000F"/>
    <w:rsid w:val="005F06C6"/>
    <w:rsid w:val="005F0B9E"/>
    <w:rsid w:val="005F10DB"/>
    <w:rsid w:val="005F1191"/>
    <w:rsid w:val="005F1A7E"/>
    <w:rsid w:val="005F1DE3"/>
    <w:rsid w:val="005F1E1F"/>
    <w:rsid w:val="005F2892"/>
    <w:rsid w:val="005F2B7A"/>
    <w:rsid w:val="005F2B85"/>
    <w:rsid w:val="005F2FD2"/>
    <w:rsid w:val="005F3702"/>
    <w:rsid w:val="005F3703"/>
    <w:rsid w:val="005F425A"/>
    <w:rsid w:val="005F45B3"/>
    <w:rsid w:val="005F4F3D"/>
    <w:rsid w:val="005F50A8"/>
    <w:rsid w:val="005F58C5"/>
    <w:rsid w:val="005F59DC"/>
    <w:rsid w:val="005F5A9E"/>
    <w:rsid w:val="005F5ACA"/>
    <w:rsid w:val="005F5BC1"/>
    <w:rsid w:val="005F6CCB"/>
    <w:rsid w:val="005F6E34"/>
    <w:rsid w:val="005F782C"/>
    <w:rsid w:val="005F7C75"/>
    <w:rsid w:val="00600FBB"/>
    <w:rsid w:val="00601547"/>
    <w:rsid w:val="006015EC"/>
    <w:rsid w:val="006017E2"/>
    <w:rsid w:val="00601EBA"/>
    <w:rsid w:val="006026AE"/>
    <w:rsid w:val="0060272E"/>
    <w:rsid w:val="00602C61"/>
    <w:rsid w:val="00602D39"/>
    <w:rsid w:val="00602E90"/>
    <w:rsid w:val="00603219"/>
    <w:rsid w:val="0060354D"/>
    <w:rsid w:val="0060366E"/>
    <w:rsid w:val="006039EC"/>
    <w:rsid w:val="00605A11"/>
    <w:rsid w:val="006064BC"/>
    <w:rsid w:val="006065FA"/>
    <w:rsid w:val="00606834"/>
    <w:rsid w:val="00606E7A"/>
    <w:rsid w:val="006072EB"/>
    <w:rsid w:val="0060736D"/>
    <w:rsid w:val="00607870"/>
    <w:rsid w:val="00607BEF"/>
    <w:rsid w:val="00607D45"/>
    <w:rsid w:val="00610552"/>
    <w:rsid w:val="006107BD"/>
    <w:rsid w:val="006108D0"/>
    <w:rsid w:val="00611260"/>
    <w:rsid w:val="0061176B"/>
    <w:rsid w:val="006119A5"/>
    <w:rsid w:val="006120FC"/>
    <w:rsid w:val="00612AB7"/>
    <w:rsid w:val="00612D6C"/>
    <w:rsid w:val="00613397"/>
    <w:rsid w:val="006139C1"/>
    <w:rsid w:val="0061474F"/>
    <w:rsid w:val="0061478D"/>
    <w:rsid w:val="00614F73"/>
    <w:rsid w:val="006153A5"/>
    <w:rsid w:val="00615D9F"/>
    <w:rsid w:val="00615FDF"/>
    <w:rsid w:val="00616034"/>
    <w:rsid w:val="0061629F"/>
    <w:rsid w:val="006164D3"/>
    <w:rsid w:val="00616AA7"/>
    <w:rsid w:val="00616EA7"/>
    <w:rsid w:val="006178CA"/>
    <w:rsid w:val="00617DA9"/>
    <w:rsid w:val="00620542"/>
    <w:rsid w:val="00620810"/>
    <w:rsid w:val="0062096E"/>
    <w:rsid w:val="00620B0B"/>
    <w:rsid w:val="00621084"/>
    <w:rsid w:val="0062145C"/>
    <w:rsid w:val="0062170E"/>
    <w:rsid w:val="00621A22"/>
    <w:rsid w:val="006221F5"/>
    <w:rsid w:val="00622D24"/>
    <w:rsid w:val="00623190"/>
    <w:rsid w:val="00623B1C"/>
    <w:rsid w:val="00623DFF"/>
    <w:rsid w:val="006242CB"/>
    <w:rsid w:val="006243AC"/>
    <w:rsid w:val="00624F96"/>
    <w:rsid w:val="00625560"/>
    <w:rsid w:val="006257C2"/>
    <w:rsid w:val="00625E1F"/>
    <w:rsid w:val="00626890"/>
    <w:rsid w:val="006268BE"/>
    <w:rsid w:val="00626992"/>
    <w:rsid w:val="006269A5"/>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D8"/>
    <w:rsid w:val="006345A1"/>
    <w:rsid w:val="00634646"/>
    <w:rsid w:val="00634855"/>
    <w:rsid w:val="00634C9D"/>
    <w:rsid w:val="00634DE4"/>
    <w:rsid w:val="0063514E"/>
    <w:rsid w:val="00635409"/>
    <w:rsid w:val="00635915"/>
    <w:rsid w:val="0063615D"/>
    <w:rsid w:val="006368CD"/>
    <w:rsid w:val="00636F19"/>
    <w:rsid w:val="00640995"/>
    <w:rsid w:val="00640DDC"/>
    <w:rsid w:val="006414B6"/>
    <w:rsid w:val="006415A6"/>
    <w:rsid w:val="00641804"/>
    <w:rsid w:val="00641E68"/>
    <w:rsid w:val="00642242"/>
    <w:rsid w:val="00642B40"/>
    <w:rsid w:val="00642BCC"/>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1B"/>
    <w:rsid w:val="00654A01"/>
    <w:rsid w:val="006554FE"/>
    <w:rsid w:val="006555E8"/>
    <w:rsid w:val="00656257"/>
    <w:rsid w:val="00656747"/>
    <w:rsid w:val="00656D71"/>
    <w:rsid w:val="0065708F"/>
    <w:rsid w:val="00657A9F"/>
    <w:rsid w:val="0066104F"/>
    <w:rsid w:val="00661278"/>
    <w:rsid w:val="006613E7"/>
    <w:rsid w:val="00661746"/>
    <w:rsid w:val="00662789"/>
    <w:rsid w:val="00662796"/>
    <w:rsid w:val="006629C4"/>
    <w:rsid w:val="00662A20"/>
    <w:rsid w:val="00662B4C"/>
    <w:rsid w:val="006636AC"/>
    <w:rsid w:val="006652DE"/>
    <w:rsid w:val="00665632"/>
    <w:rsid w:val="00665883"/>
    <w:rsid w:val="00665A01"/>
    <w:rsid w:val="00667F61"/>
    <w:rsid w:val="006702F1"/>
    <w:rsid w:val="006711A6"/>
    <w:rsid w:val="00671AA7"/>
    <w:rsid w:val="00671B3A"/>
    <w:rsid w:val="00671EB2"/>
    <w:rsid w:val="00671FA7"/>
    <w:rsid w:val="006720A5"/>
    <w:rsid w:val="00672239"/>
    <w:rsid w:val="00672A85"/>
    <w:rsid w:val="00672B87"/>
    <w:rsid w:val="00672B90"/>
    <w:rsid w:val="00672F0C"/>
    <w:rsid w:val="0067314B"/>
    <w:rsid w:val="00673460"/>
    <w:rsid w:val="00673BCA"/>
    <w:rsid w:val="00673DD0"/>
    <w:rsid w:val="00673E89"/>
    <w:rsid w:val="00674180"/>
    <w:rsid w:val="006741FA"/>
    <w:rsid w:val="00675AFF"/>
    <w:rsid w:val="00676000"/>
    <w:rsid w:val="0067600B"/>
    <w:rsid w:val="00676347"/>
    <w:rsid w:val="006779BB"/>
    <w:rsid w:val="00677E7C"/>
    <w:rsid w:val="00677FDB"/>
    <w:rsid w:val="006806B7"/>
    <w:rsid w:val="00680CB1"/>
    <w:rsid w:val="00680E69"/>
    <w:rsid w:val="0068104A"/>
    <w:rsid w:val="006814EE"/>
    <w:rsid w:val="00681D1D"/>
    <w:rsid w:val="0068238B"/>
    <w:rsid w:val="00682536"/>
    <w:rsid w:val="006828C0"/>
    <w:rsid w:val="00682E6B"/>
    <w:rsid w:val="0068305D"/>
    <w:rsid w:val="006832A1"/>
    <w:rsid w:val="00683710"/>
    <w:rsid w:val="006838D7"/>
    <w:rsid w:val="00683D70"/>
    <w:rsid w:val="00683FAB"/>
    <w:rsid w:val="00684255"/>
    <w:rsid w:val="0068552B"/>
    <w:rsid w:val="00685846"/>
    <w:rsid w:val="00685850"/>
    <w:rsid w:val="00685A69"/>
    <w:rsid w:val="00685F3F"/>
    <w:rsid w:val="00686181"/>
    <w:rsid w:val="00686B99"/>
    <w:rsid w:val="00686CF7"/>
    <w:rsid w:val="00686E6A"/>
    <w:rsid w:val="006873A6"/>
    <w:rsid w:val="00687C7D"/>
    <w:rsid w:val="00690252"/>
    <w:rsid w:val="006904C9"/>
    <w:rsid w:val="00690927"/>
    <w:rsid w:val="00690E0D"/>
    <w:rsid w:val="00690E25"/>
    <w:rsid w:val="00692476"/>
    <w:rsid w:val="00692BFC"/>
    <w:rsid w:val="00692EC8"/>
    <w:rsid w:val="00693032"/>
    <w:rsid w:val="00693294"/>
    <w:rsid w:val="006934C8"/>
    <w:rsid w:val="00693B16"/>
    <w:rsid w:val="00693B89"/>
    <w:rsid w:val="00693BBE"/>
    <w:rsid w:val="00694559"/>
    <w:rsid w:val="00694641"/>
    <w:rsid w:val="00694848"/>
    <w:rsid w:val="00694902"/>
    <w:rsid w:val="00694A4E"/>
    <w:rsid w:val="0069595C"/>
    <w:rsid w:val="006963AF"/>
    <w:rsid w:val="00696B2A"/>
    <w:rsid w:val="00697084"/>
    <w:rsid w:val="00697223"/>
    <w:rsid w:val="006979DA"/>
    <w:rsid w:val="00697CD5"/>
    <w:rsid w:val="006A06B2"/>
    <w:rsid w:val="006A06E4"/>
    <w:rsid w:val="006A0E1B"/>
    <w:rsid w:val="006A1413"/>
    <w:rsid w:val="006A15B9"/>
    <w:rsid w:val="006A18A3"/>
    <w:rsid w:val="006A1BAD"/>
    <w:rsid w:val="006A1C59"/>
    <w:rsid w:val="006A2360"/>
    <w:rsid w:val="006A3704"/>
    <w:rsid w:val="006A42AF"/>
    <w:rsid w:val="006A46A8"/>
    <w:rsid w:val="006A55E1"/>
    <w:rsid w:val="006A56EA"/>
    <w:rsid w:val="006A5CAE"/>
    <w:rsid w:val="006A6205"/>
    <w:rsid w:val="006A64C1"/>
    <w:rsid w:val="006A663B"/>
    <w:rsid w:val="006A6D09"/>
    <w:rsid w:val="006A7198"/>
    <w:rsid w:val="006A7DDC"/>
    <w:rsid w:val="006A7E51"/>
    <w:rsid w:val="006A7F32"/>
    <w:rsid w:val="006B00CE"/>
    <w:rsid w:val="006B0420"/>
    <w:rsid w:val="006B0601"/>
    <w:rsid w:val="006B181B"/>
    <w:rsid w:val="006B225E"/>
    <w:rsid w:val="006B2260"/>
    <w:rsid w:val="006B2851"/>
    <w:rsid w:val="006B2ADF"/>
    <w:rsid w:val="006B30CB"/>
    <w:rsid w:val="006B35A5"/>
    <w:rsid w:val="006B35C4"/>
    <w:rsid w:val="006B3C99"/>
    <w:rsid w:val="006B3D40"/>
    <w:rsid w:val="006B4A81"/>
    <w:rsid w:val="006B4E46"/>
    <w:rsid w:val="006B4E93"/>
    <w:rsid w:val="006B5571"/>
    <w:rsid w:val="006B5EDE"/>
    <w:rsid w:val="006B5EF2"/>
    <w:rsid w:val="006B6447"/>
    <w:rsid w:val="006B6487"/>
    <w:rsid w:val="006B6497"/>
    <w:rsid w:val="006B69C8"/>
    <w:rsid w:val="006B7451"/>
    <w:rsid w:val="006C0D2F"/>
    <w:rsid w:val="006C1088"/>
    <w:rsid w:val="006C12F9"/>
    <w:rsid w:val="006C14E8"/>
    <w:rsid w:val="006C1D9F"/>
    <w:rsid w:val="006C2631"/>
    <w:rsid w:val="006C2C16"/>
    <w:rsid w:val="006C2E6D"/>
    <w:rsid w:val="006C31D1"/>
    <w:rsid w:val="006C3766"/>
    <w:rsid w:val="006C37E6"/>
    <w:rsid w:val="006C3B16"/>
    <w:rsid w:val="006C4B9F"/>
    <w:rsid w:val="006C4E9A"/>
    <w:rsid w:val="006C5179"/>
    <w:rsid w:val="006C5497"/>
    <w:rsid w:val="006C5E6C"/>
    <w:rsid w:val="006C7128"/>
    <w:rsid w:val="006C72FB"/>
    <w:rsid w:val="006C7A36"/>
    <w:rsid w:val="006D019F"/>
    <w:rsid w:val="006D01C3"/>
    <w:rsid w:val="006D0326"/>
    <w:rsid w:val="006D0B01"/>
    <w:rsid w:val="006D0B69"/>
    <w:rsid w:val="006D12A9"/>
    <w:rsid w:val="006D1A26"/>
    <w:rsid w:val="006D1B03"/>
    <w:rsid w:val="006D2268"/>
    <w:rsid w:val="006D253C"/>
    <w:rsid w:val="006D28C8"/>
    <w:rsid w:val="006D3730"/>
    <w:rsid w:val="006D3E7C"/>
    <w:rsid w:val="006D448A"/>
    <w:rsid w:val="006D4920"/>
    <w:rsid w:val="006D5226"/>
    <w:rsid w:val="006D5269"/>
    <w:rsid w:val="006D5599"/>
    <w:rsid w:val="006D56A1"/>
    <w:rsid w:val="006D6335"/>
    <w:rsid w:val="006D6FD5"/>
    <w:rsid w:val="006D756E"/>
    <w:rsid w:val="006D75BF"/>
    <w:rsid w:val="006D79BA"/>
    <w:rsid w:val="006D79C9"/>
    <w:rsid w:val="006D7AEE"/>
    <w:rsid w:val="006D7EF8"/>
    <w:rsid w:val="006E0173"/>
    <w:rsid w:val="006E033E"/>
    <w:rsid w:val="006E038C"/>
    <w:rsid w:val="006E0569"/>
    <w:rsid w:val="006E0ABF"/>
    <w:rsid w:val="006E1103"/>
    <w:rsid w:val="006E139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74"/>
    <w:rsid w:val="006F032D"/>
    <w:rsid w:val="006F07EB"/>
    <w:rsid w:val="006F082D"/>
    <w:rsid w:val="006F0CF5"/>
    <w:rsid w:val="006F0F3E"/>
    <w:rsid w:val="006F11FB"/>
    <w:rsid w:val="006F1225"/>
    <w:rsid w:val="006F1C25"/>
    <w:rsid w:val="006F2B39"/>
    <w:rsid w:val="006F2C14"/>
    <w:rsid w:val="006F3D7E"/>
    <w:rsid w:val="006F4134"/>
    <w:rsid w:val="006F4BAA"/>
    <w:rsid w:val="006F4DA4"/>
    <w:rsid w:val="006F4E1E"/>
    <w:rsid w:val="006F4F37"/>
    <w:rsid w:val="006F4FAF"/>
    <w:rsid w:val="006F539C"/>
    <w:rsid w:val="006F54D4"/>
    <w:rsid w:val="006F668A"/>
    <w:rsid w:val="006F6B61"/>
    <w:rsid w:val="006F6BBA"/>
    <w:rsid w:val="00700778"/>
    <w:rsid w:val="00700A93"/>
    <w:rsid w:val="00701796"/>
    <w:rsid w:val="00701C69"/>
    <w:rsid w:val="007022A3"/>
    <w:rsid w:val="007022B8"/>
    <w:rsid w:val="00702930"/>
    <w:rsid w:val="00702CEF"/>
    <w:rsid w:val="00702E4E"/>
    <w:rsid w:val="007032DB"/>
    <w:rsid w:val="00703957"/>
    <w:rsid w:val="00703997"/>
    <w:rsid w:val="00703A10"/>
    <w:rsid w:val="00703C12"/>
    <w:rsid w:val="00703C6E"/>
    <w:rsid w:val="00704663"/>
    <w:rsid w:val="00704A66"/>
    <w:rsid w:val="00704AFA"/>
    <w:rsid w:val="00704BAD"/>
    <w:rsid w:val="00704D94"/>
    <w:rsid w:val="00705850"/>
    <w:rsid w:val="00705B7F"/>
    <w:rsid w:val="007061FC"/>
    <w:rsid w:val="00706583"/>
    <w:rsid w:val="00706592"/>
    <w:rsid w:val="007069B1"/>
    <w:rsid w:val="007069C2"/>
    <w:rsid w:val="0070734D"/>
    <w:rsid w:val="00710332"/>
    <w:rsid w:val="00710346"/>
    <w:rsid w:val="0071042B"/>
    <w:rsid w:val="0071087D"/>
    <w:rsid w:val="00710C89"/>
    <w:rsid w:val="00710F68"/>
    <w:rsid w:val="00711136"/>
    <w:rsid w:val="0071143D"/>
    <w:rsid w:val="007115AA"/>
    <w:rsid w:val="00711ECC"/>
    <w:rsid w:val="00712851"/>
    <w:rsid w:val="00712F89"/>
    <w:rsid w:val="007132A6"/>
    <w:rsid w:val="00713726"/>
    <w:rsid w:val="007139CE"/>
    <w:rsid w:val="00713B2D"/>
    <w:rsid w:val="00714175"/>
    <w:rsid w:val="00714306"/>
    <w:rsid w:val="00714C6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FC"/>
    <w:rsid w:val="007237C4"/>
    <w:rsid w:val="007247E3"/>
    <w:rsid w:val="00724A63"/>
    <w:rsid w:val="00724B9A"/>
    <w:rsid w:val="00724C0A"/>
    <w:rsid w:val="00724C96"/>
    <w:rsid w:val="00724FCF"/>
    <w:rsid w:val="007251A3"/>
    <w:rsid w:val="00725B6E"/>
    <w:rsid w:val="00726E82"/>
    <w:rsid w:val="00727716"/>
    <w:rsid w:val="0073008F"/>
    <w:rsid w:val="00731450"/>
    <w:rsid w:val="007315F1"/>
    <w:rsid w:val="007316F8"/>
    <w:rsid w:val="00731BE4"/>
    <w:rsid w:val="00731C66"/>
    <w:rsid w:val="0073211E"/>
    <w:rsid w:val="00732A34"/>
    <w:rsid w:val="00732BA4"/>
    <w:rsid w:val="00733FEF"/>
    <w:rsid w:val="007340C5"/>
    <w:rsid w:val="00734303"/>
    <w:rsid w:val="0073433F"/>
    <w:rsid w:val="0073451B"/>
    <w:rsid w:val="00734644"/>
    <w:rsid w:val="00734AD0"/>
    <w:rsid w:val="00734B33"/>
    <w:rsid w:val="0073573B"/>
    <w:rsid w:val="00735C4E"/>
    <w:rsid w:val="00735FAC"/>
    <w:rsid w:val="0073635E"/>
    <w:rsid w:val="007364C6"/>
    <w:rsid w:val="00736647"/>
    <w:rsid w:val="00736694"/>
    <w:rsid w:val="00737503"/>
    <w:rsid w:val="007379E9"/>
    <w:rsid w:val="00737CDB"/>
    <w:rsid w:val="00737D10"/>
    <w:rsid w:val="00740A2E"/>
    <w:rsid w:val="00740AB7"/>
    <w:rsid w:val="00740DD8"/>
    <w:rsid w:val="00741170"/>
    <w:rsid w:val="0074142B"/>
    <w:rsid w:val="00741A7D"/>
    <w:rsid w:val="00741B7D"/>
    <w:rsid w:val="00741DD4"/>
    <w:rsid w:val="007422FE"/>
    <w:rsid w:val="00742318"/>
    <w:rsid w:val="007425A8"/>
    <w:rsid w:val="00742C8B"/>
    <w:rsid w:val="00742D47"/>
    <w:rsid w:val="00742D6D"/>
    <w:rsid w:val="0074331A"/>
    <w:rsid w:val="00743791"/>
    <w:rsid w:val="00743B96"/>
    <w:rsid w:val="00743E29"/>
    <w:rsid w:val="00744159"/>
    <w:rsid w:val="00744370"/>
    <w:rsid w:val="00744588"/>
    <w:rsid w:val="00744E48"/>
    <w:rsid w:val="007451A3"/>
    <w:rsid w:val="00745CDA"/>
    <w:rsid w:val="007461FB"/>
    <w:rsid w:val="00746376"/>
    <w:rsid w:val="00747FAB"/>
    <w:rsid w:val="00750015"/>
    <w:rsid w:val="00750701"/>
    <w:rsid w:val="00750A72"/>
    <w:rsid w:val="00750CE4"/>
    <w:rsid w:val="00750F09"/>
    <w:rsid w:val="007510E3"/>
    <w:rsid w:val="0075146D"/>
    <w:rsid w:val="0075152B"/>
    <w:rsid w:val="00751817"/>
    <w:rsid w:val="007518A5"/>
    <w:rsid w:val="00751C5E"/>
    <w:rsid w:val="00751DB6"/>
    <w:rsid w:val="00751DF5"/>
    <w:rsid w:val="00751E99"/>
    <w:rsid w:val="0075256F"/>
    <w:rsid w:val="00752EC4"/>
    <w:rsid w:val="007530F6"/>
    <w:rsid w:val="00753410"/>
    <w:rsid w:val="007534E9"/>
    <w:rsid w:val="00754668"/>
    <w:rsid w:val="00755447"/>
    <w:rsid w:val="007556B6"/>
    <w:rsid w:val="007558B3"/>
    <w:rsid w:val="00755D11"/>
    <w:rsid w:val="0075624B"/>
    <w:rsid w:val="0075632D"/>
    <w:rsid w:val="00756606"/>
    <w:rsid w:val="00757633"/>
    <w:rsid w:val="00757D0A"/>
    <w:rsid w:val="007604D8"/>
    <w:rsid w:val="007606E1"/>
    <w:rsid w:val="007606E7"/>
    <w:rsid w:val="00760C5A"/>
    <w:rsid w:val="0076159E"/>
    <w:rsid w:val="00761CC9"/>
    <w:rsid w:val="00761EB6"/>
    <w:rsid w:val="0076255F"/>
    <w:rsid w:val="00764C60"/>
    <w:rsid w:val="007656BA"/>
    <w:rsid w:val="007659C3"/>
    <w:rsid w:val="00765A6A"/>
    <w:rsid w:val="007660A9"/>
    <w:rsid w:val="007662D7"/>
    <w:rsid w:val="007669F5"/>
    <w:rsid w:val="0076741A"/>
    <w:rsid w:val="007676AE"/>
    <w:rsid w:val="007679AA"/>
    <w:rsid w:val="00767F7C"/>
    <w:rsid w:val="00770743"/>
    <w:rsid w:val="007716C7"/>
    <w:rsid w:val="00771909"/>
    <w:rsid w:val="00771B03"/>
    <w:rsid w:val="00771F0A"/>
    <w:rsid w:val="00772833"/>
    <w:rsid w:val="0077318D"/>
    <w:rsid w:val="00773694"/>
    <w:rsid w:val="00773854"/>
    <w:rsid w:val="00773CFF"/>
    <w:rsid w:val="00774468"/>
    <w:rsid w:val="00774C53"/>
    <w:rsid w:val="00774D00"/>
    <w:rsid w:val="00774F36"/>
    <w:rsid w:val="007752F5"/>
    <w:rsid w:val="00776ADE"/>
    <w:rsid w:val="00776B74"/>
    <w:rsid w:val="0077726C"/>
    <w:rsid w:val="0077752D"/>
    <w:rsid w:val="007775F1"/>
    <w:rsid w:val="00777AFE"/>
    <w:rsid w:val="00777DD0"/>
    <w:rsid w:val="00780138"/>
    <w:rsid w:val="00780983"/>
    <w:rsid w:val="00780C89"/>
    <w:rsid w:val="00780D19"/>
    <w:rsid w:val="00780D42"/>
    <w:rsid w:val="0078119B"/>
    <w:rsid w:val="007815CE"/>
    <w:rsid w:val="00782142"/>
    <w:rsid w:val="00782675"/>
    <w:rsid w:val="00782700"/>
    <w:rsid w:val="00782EB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15"/>
    <w:rsid w:val="00790224"/>
    <w:rsid w:val="007902F4"/>
    <w:rsid w:val="00790B4B"/>
    <w:rsid w:val="00790B64"/>
    <w:rsid w:val="007910B7"/>
    <w:rsid w:val="00791296"/>
    <w:rsid w:val="00791BD2"/>
    <w:rsid w:val="00791F1C"/>
    <w:rsid w:val="00792127"/>
    <w:rsid w:val="007924D9"/>
    <w:rsid w:val="00793486"/>
    <w:rsid w:val="00793850"/>
    <w:rsid w:val="007943F2"/>
    <w:rsid w:val="0079454C"/>
    <w:rsid w:val="0079540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09"/>
    <w:rsid w:val="007A1098"/>
    <w:rsid w:val="007A1337"/>
    <w:rsid w:val="007A2BDD"/>
    <w:rsid w:val="007A35D2"/>
    <w:rsid w:val="007A3769"/>
    <w:rsid w:val="007A37CB"/>
    <w:rsid w:val="007A3A83"/>
    <w:rsid w:val="007A3DA1"/>
    <w:rsid w:val="007A4BC1"/>
    <w:rsid w:val="007A4CE4"/>
    <w:rsid w:val="007A50CB"/>
    <w:rsid w:val="007A5507"/>
    <w:rsid w:val="007A5774"/>
    <w:rsid w:val="007A6574"/>
    <w:rsid w:val="007A69D7"/>
    <w:rsid w:val="007A6E3F"/>
    <w:rsid w:val="007A6F46"/>
    <w:rsid w:val="007A7185"/>
    <w:rsid w:val="007A7777"/>
    <w:rsid w:val="007A7A04"/>
    <w:rsid w:val="007A7D21"/>
    <w:rsid w:val="007A7EDB"/>
    <w:rsid w:val="007B015E"/>
    <w:rsid w:val="007B0281"/>
    <w:rsid w:val="007B02F6"/>
    <w:rsid w:val="007B05E0"/>
    <w:rsid w:val="007B06B9"/>
    <w:rsid w:val="007B0889"/>
    <w:rsid w:val="007B15B7"/>
    <w:rsid w:val="007B1A03"/>
    <w:rsid w:val="007B2389"/>
    <w:rsid w:val="007B2537"/>
    <w:rsid w:val="007B26A1"/>
    <w:rsid w:val="007B2916"/>
    <w:rsid w:val="007B3052"/>
    <w:rsid w:val="007B3665"/>
    <w:rsid w:val="007B3CFA"/>
    <w:rsid w:val="007B42C9"/>
    <w:rsid w:val="007B48D8"/>
    <w:rsid w:val="007B4CF7"/>
    <w:rsid w:val="007B4F36"/>
    <w:rsid w:val="007B52C2"/>
    <w:rsid w:val="007B52F2"/>
    <w:rsid w:val="007B540B"/>
    <w:rsid w:val="007B571B"/>
    <w:rsid w:val="007B591D"/>
    <w:rsid w:val="007B6941"/>
    <w:rsid w:val="007B6A85"/>
    <w:rsid w:val="007B7537"/>
    <w:rsid w:val="007B7D31"/>
    <w:rsid w:val="007B7F1B"/>
    <w:rsid w:val="007B7FF9"/>
    <w:rsid w:val="007C08AD"/>
    <w:rsid w:val="007C0B1C"/>
    <w:rsid w:val="007C1609"/>
    <w:rsid w:val="007C1772"/>
    <w:rsid w:val="007C1B4A"/>
    <w:rsid w:val="007C369A"/>
    <w:rsid w:val="007C369C"/>
    <w:rsid w:val="007C3A6D"/>
    <w:rsid w:val="007C3E7E"/>
    <w:rsid w:val="007C3F87"/>
    <w:rsid w:val="007C5083"/>
    <w:rsid w:val="007C548E"/>
    <w:rsid w:val="007C5B5C"/>
    <w:rsid w:val="007C5B92"/>
    <w:rsid w:val="007C5E76"/>
    <w:rsid w:val="007C5E86"/>
    <w:rsid w:val="007C6310"/>
    <w:rsid w:val="007C6E75"/>
    <w:rsid w:val="007C780D"/>
    <w:rsid w:val="007C7B47"/>
    <w:rsid w:val="007C7D7D"/>
    <w:rsid w:val="007D0159"/>
    <w:rsid w:val="007D0597"/>
    <w:rsid w:val="007D162C"/>
    <w:rsid w:val="007D1A58"/>
    <w:rsid w:val="007D227A"/>
    <w:rsid w:val="007D2312"/>
    <w:rsid w:val="007D3981"/>
    <w:rsid w:val="007D41C8"/>
    <w:rsid w:val="007D42D4"/>
    <w:rsid w:val="007D540B"/>
    <w:rsid w:val="007D5A70"/>
    <w:rsid w:val="007D5E2B"/>
    <w:rsid w:val="007D6916"/>
    <w:rsid w:val="007D71DA"/>
    <w:rsid w:val="007D7C3D"/>
    <w:rsid w:val="007E0198"/>
    <w:rsid w:val="007E01EA"/>
    <w:rsid w:val="007E0617"/>
    <w:rsid w:val="007E07AA"/>
    <w:rsid w:val="007E0C6D"/>
    <w:rsid w:val="007E0EA6"/>
    <w:rsid w:val="007E1EF9"/>
    <w:rsid w:val="007E2393"/>
    <w:rsid w:val="007E26CF"/>
    <w:rsid w:val="007E29D4"/>
    <w:rsid w:val="007E29F4"/>
    <w:rsid w:val="007E3149"/>
    <w:rsid w:val="007E3476"/>
    <w:rsid w:val="007E356E"/>
    <w:rsid w:val="007E3A3D"/>
    <w:rsid w:val="007E3BAD"/>
    <w:rsid w:val="007E4F5B"/>
    <w:rsid w:val="007E52DE"/>
    <w:rsid w:val="007E599F"/>
    <w:rsid w:val="007E5A9A"/>
    <w:rsid w:val="007E6F88"/>
    <w:rsid w:val="007E7007"/>
    <w:rsid w:val="007E7298"/>
    <w:rsid w:val="007E7717"/>
    <w:rsid w:val="007E7F25"/>
    <w:rsid w:val="007F0212"/>
    <w:rsid w:val="007F0655"/>
    <w:rsid w:val="007F0719"/>
    <w:rsid w:val="007F0D45"/>
    <w:rsid w:val="007F177B"/>
    <w:rsid w:val="007F1D1D"/>
    <w:rsid w:val="007F1E8E"/>
    <w:rsid w:val="007F22A4"/>
    <w:rsid w:val="007F253D"/>
    <w:rsid w:val="007F28B3"/>
    <w:rsid w:val="007F28DC"/>
    <w:rsid w:val="007F29C5"/>
    <w:rsid w:val="007F3055"/>
    <w:rsid w:val="007F3372"/>
    <w:rsid w:val="007F3418"/>
    <w:rsid w:val="007F3C32"/>
    <w:rsid w:val="007F3F34"/>
    <w:rsid w:val="007F3FDB"/>
    <w:rsid w:val="007F4802"/>
    <w:rsid w:val="007F4AC9"/>
    <w:rsid w:val="007F4DA5"/>
    <w:rsid w:val="007F50A2"/>
    <w:rsid w:val="007F57B8"/>
    <w:rsid w:val="007F5D7B"/>
    <w:rsid w:val="007F5E58"/>
    <w:rsid w:val="007F6212"/>
    <w:rsid w:val="007F69FC"/>
    <w:rsid w:val="007F6E0E"/>
    <w:rsid w:val="007F71F0"/>
    <w:rsid w:val="007F7271"/>
    <w:rsid w:val="007F79E8"/>
    <w:rsid w:val="007F7B99"/>
    <w:rsid w:val="00800368"/>
    <w:rsid w:val="00800C9F"/>
    <w:rsid w:val="00801879"/>
    <w:rsid w:val="00801F41"/>
    <w:rsid w:val="00801F58"/>
    <w:rsid w:val="00802849"/>
    <w:rsid w:val="00802901"/>
    <w:rsid w:val="00802983"/>
    <w:rsid w:val="00802F21"/>
    <w:rsid w:val="008033C5"/>
    <w:rsid w:val="0080389E"/>
    <w:rsid w:val="008039FB"/>
    <w:rsid w:val="0080446B"/>
    <w:rsid w:val="0080453E"/>
    <w:rsid w:val="0080549D"/>
    <w:rsid w:val="00805573"/>
    <w:rsid w:val="00805EC4"/>
    <w:rsid w:val="0080621D"/>
    <w:rsid w:val="00806F64"/>
    <w:rsid w:val="00807006"/>
    <w:rsid w:val="00807088"/>
    <w:rsid w:val="0080738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7F"/>
    <w:rsid w:val="0082102D"/>
    <w:rsid w:val="00821047"/>
    <w:rsid w:val="00821448"/>
    <w:rsid w:val="00821B36"/>
    <w:rsid w:val="00822079"/>
    <w:rsid w:val="008227B1"/>
    <w:rsid w:val="008227B3"/>
    <w:rsid w:val="00822D36"/>
    <w:rsid w:val="00823D04"/>
    <w:rsid w:val="0082427E"/>
    <w:rsid w:val="0082449F"/>
    <w:rsid w:val="0082474D"/>
    <w:rsid w:val="00824D57"/>
    <w:rsid w:val="00825759"/>
    <w:rsid w:val="00825DD8"/>
    <w:rsid w:val="00826574"/>
    <w:rsid w:val="00826F78"/>
    <w:rsid w:val="008270B1"/>
    <w:rsid w:val="008272B7"/>
    <w:rsid w:val="008272C5"/>
    <w:rsid w:val="00827BA1"/>
    <w:rsid w:val="00827DA5"/>
    <w:rsid w:val="00827DA8"/>
    <w:rsid w:val="0083013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9A"/>
    <w:rsid w:val="008340E7"/>
    <w:rsid w:val="0083477E"/>
    <w:rsid w:val="00834DF9"/>
    <w:rsid w:val="00835A61"/>
    <w:rsid w:val="00835D7A"/>
    <w:rsid w:val="008369E8"/>
    <w:rsid w:val="00836B32"/>
    <w:rsid w:val="00836D95"/>
    <w:rsid w:val="00836F8F"/>
    <w:rsid w:val="008371F6"/>
    <w:rsid w:val="008373AF"/>
    <w:rsid w:val="00837566"/>
    <w:rsid w:val="0083767B"/>
    <w:rsid w:val="008376B6"/>
    <w:rsid w:val="00837956"/>
    <w:rsid w:val="008402F7"/>
    <w:rsid w:val="0084099C"/>
    <w:rsid w:val="00840B26"/>
    <w:rsid w:val="00840FAF"/>
    <w:rsid w:val="00841012"/>
    <w:rsid w:val="0084125C"/>
    <w:rsid w:val="0084155B"/>
    <w:rsid w:val="008424FA"/>
    <w:rsid w:val="0084287A"/>
    <w:rsid w:val="00842CFA"/>
    <w:rsid w:val="00842EAC"/>
    <w:rsid w:val="008431E4"/>
    <w:rsid w:val="00843650"/>
    <w:rsid w:val="0084368F"/>
    <w:rsid w:val="00843CEF"/>
    <w:rsid w:val="00843DED"/>
    <w:rsid w:val="00844EAA"/>
    <w:rsid w:val="00845483"/>
    <w:rsid w:val="008462B6"/>
    <w:rsid w:val="00847424"/>
    <w:rsid w:val="00850645"/>
    <w:rsid w:val="00851FB4"/>
    <w:rsid w:val="00852493"/>
    <w:rsid w:val="008527A8"/>
    <w:rsid w:val="00852AC4"/>
    <w:rsid w:val="008532AE"/>
    <w:rsid w:val="00853382"/>
    <w:rsid w:val="00853CE3"/>
    <w:rsid w:val="00854251"/>
    <w:rsid w:val="008543C4"/>
    <w:rsid w:val="00854ACF"/>
    <w:rsid w:val="0085531D"/>
    <w:rsid w:val="008555D4"/>
    <w:rsid w:val="0085565E"/>
    <w:rsid w:val="0085565F"/>
    <w:rsid w:val="00855876"/>
    <w:rsid w:val="008558A4"/>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60"/>
    <w:rsid w:val="00862501"/>
    <w:rsid w:val="00862502"/>
    <w:rsid w:val="00862C9C"/>
    <w:rsid w:val="00863760"/>
    <w:rsid w:val="00863B4E"/>
    <w:rsid w:val="0086434E"/>
    <w:rsid w:val="00864858"/>
    <w:rsid w:val="00865615"/>
    <w:rsid w:val="00865E70"/>
    <w:rsid w:val="00865F0E"/>
    <w:rsid w:val="00865FA2"/>
    <w:rsid w:val="0086638E"/>
    <w:rsid w:val="008665D0"/>
    <w:rsid w:val="00866A4D"/>
    <w:rsid w:val="00866FF6"/>
    <w:rsid w:val="00867076"/>
    <w:rsid w:val="00867F24"/>
    <w:rsid w:val="008703F2"/>
    <w:rsid w:val="00870644"/>
    <w:rsid w:val="0087299D"/>
    <w:rsid w:val="00873CC6"/>
    <w:rsid w:val="00873F8F"/>
    <w:rsid w:val="00874A67"/>
    <w:rsid w:val="008752C6"/>
    <w:rsid w:val="0087557D"/>
    <w:rsid w:val="008759D3"/>
    <w:rsid w:val="00875D1B"/>
    <w:rsid w:val="00875EB9"/>
    <w:rsid w:val="008761E2"/>
    <w:rsid w:val="008765D3"/>
    <w:rsid w:val="00876751"/>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0E"/>
    <w:rsid w:val="00891A8C"/>
    <w:rsid w:val="00891C99"/>
    <w:rsid w:val="008926BA"/>
    <w:rsid w:val="00893628"/>
    <w:rsid w:val="00894507"/>
    <w:rsid w:val="0089465E"/>
    <w:rsid w:val="008949CB"/>
    <w:rsid w:val="008952CB"/>
    <w:rsid w:val="00895B58"/>
    <w:rsid w:val="0089649B"/>
    <w:rsid w:val="00896B22"/>
    <w:rsid w:val="0089737D"/>
    <w:rsid w:val="00897767"/>
    <w:rsid w:val="00897FCE"/>
    <w:rsid w:val="008A0125"/>
    <w:rsid w:val="008A0566"/>
    <w:rsid w:val="008A06C2"/>
    <w:rsid w:val="008A07AE"/>
    <w:rsid w:val="008A0E93"/>
    <w:rsid w:val="008A163E"/>
    <w:rsid w:val="008A19A6"/>
    <w:rsid w:val="008A1CBE"/>
    <w:rsid w:val="008A23C8"/>
    <w:rsid w:val="008A2992"/>
    <w:rsid w:val="008A2BB7"/>
    <w:rsid w:val="008A2D4C"/>
    <w:rsid w:val="008A3399"/>
    <w:rsid w:val="008A348E"/>
    <w:rsid w:val="008A3DB6"/>
    <w:rsid w:val="008A516A"/>
    <w:rsid w:val="008A57E0"/>
    <w:rsid w:val="008A5A1A"/>
    <w:rsid w:val="008A5D72"/>
    <w:rsid w:val="008A6406"/>
    <w:rsid w:val="008A66F3"/>
    <w:rsid w:val="008A691E"/>
    <w:rsid w:val="008A7096"/>
    <w:rsid w:val="008A7A70"/>
    <w:rsid w:val="008A7FDF"/>
    <w:rsid w:val="008B084A"/>
    <w:rsid w:val="008B1873"/>
    <w:rsid w:val="008B20E2"/>
    <w:rsid w:val="008B232B"/>
    <w:rsid w:val="008B25FF"/>
    <w:rsid w:val="008B2724"/>
    <w:rsid w:val="008B2BF8"/>
    <w:rsid w:val="008B2D29"/>
    <w:rsid w:val="008B32BF"/>
    <w:rsid w:val="008B353D"/>
    <w:rsid w:val="008B37F0"/>
    <w:rsid w:val="008B412D"/>
    <w:rsid w:val="008B46F4"/>
    <w:rsid w:val="008B50A2"/>
    <w:rsid w:val="008B5129"/>
    <w:rsid w:val="008B54F2"/>
    <w:rsid w:val="008B577D"/>
    <w:rsid w:val="008B5B6A"/>
    <w:rsid w:val="008B6336"/>
    <w:rsid w:val="008B6A0E"/>
    <w:rsid w:val="008B6D68"/>
    <w:rsid w:val="008B78A9"/>
    <w:rsid w:val="008B7E5C"/>
    <w:rsid w:val="008C00F4"/>
    <w:rsid w:val="008C06D8"/>
    <w:rsid w:val="008C10AF"/>
    <w:rsid w:val="008C1929"/>
    <w:rsid w:val="008C1A58"/>
    <w:rsid w:val="008C1D27"/>
    <w:rsid w:val="008C1F32"/>
    <w:rsid w:val="008C212E"/>
    <w:rsid w:val="008C2447"/>
    <w:rsid w:val="008C2C5E"/>
    <w:rsid w:val="008C3066"/>
    <w:rsid w:val="008C30E9"/>
    <w:rsid w:val="008C52AF"/>
    <w:rsid w:val="008C5D1A"/>
    <w:rsid w:val="008C5DC8"/>
    <w:rsid w:val="008C6491"/>
    <w:rsid w:val="008C6BE6"/>
    <w:rsid w:val="008C6FE0"/>
    <w:rsid w:val="008C7522"/>
    <w:rsid w:val="008D0356"/>
    <w:rsid w:val="008D077F"/>
    <w:rsid w:val="008D1336"/>
    <w:rsid w:val="008D1615"/>
    <w:rsid w:val="008D184D"/>
    <w:rsid w:val="008D1961"/>
    <w:rsid w:val="008D20C3"/>
    <w:rsid w:val="008D32C3"/>
    <w:rsid w:val="008D3AFD"/>
    <w:rsid w:val="008D3BE8"/>
    <w:rsid w:val="008D3F72"/>
    <w:rsid w:val="008D4102"/>
    <w:rsid w:val="008D46A6"/>
    <w:rsid w:val="008D48C2"/>
    <w:rsid w:val="008D534D"/>
    <w:rsid w:val="008D5722"/>
    <w:rsid w:val="008D5F45"/>
    <w:rsid w:val="008D6930"/>
    <w:rsid w:val="008D6E3F"/>
    <w:rsid w:val="008D701F"/>
    <w:rsid w:val="008D7C55"/>
    <w:rsid w:val="008E07A5"/>
    <w:rsid w:val="008E0FE2"/>
    <w:rsid w:val="008E1B42"/>
    <w:rsid w:val="008E26ED"/>
    <w:rsid w:val="008E2C46"/>
    <w:rsid w:val="008E2C52"/>
    <w:rsid w:val="008E41BD"/>
    <w:rsid w:val="008E529F"/>
    <w:rsid w:val="008E554E"/>
    <w:rsid w:val="008E5C06"/>
    <w:rsid w:val="008E6959"/>
    <w:rsid w:val="008E70F1"/>
    <w:rsid w:val="008E71FE"/>
    <w:rsid w:val="008E7F69"/>
    <w:rsid w:val="008F03C6"/>
    <w:rsid w:val="008F0928"/>
    <w:rsid w:val="008F12C0"/>
    <w:rsid w:val="008F154F"/>
    <w:rsid w:val="008F1B9D"/>
    <w:rsid w:val="008F1C0D"/>
    <w:rsid w:val="008F229B"/>
    <w:rsid w:val="008F28E5"/>
    <w:rsid w:val="008F2F66"/>
    <w:rsid w:val="008F3051"/>
    <w:rsid w:val="008F3101"/>
    <w:rsid w:val="008F364F"/>
    <w:rsid w:val="008F5117"/>
    <w:rsid w:val="008F556A"/>
    <w:rsid w:val="008F5818"/>
    <w:rsid w:val="008F5879"/>
    <w:rsid w:val="008F5945"/>
    <w:rsid w:val="008F5C48"/>
    <w:rsid w:val="008F5C69"/>
    <w:rsid w:val="008F6131"/>
    <w:rsid w:val="008F6355"/>
    <w:rsid w:val="008F746E"/>
    <w:rsid w:val="008F7BEB"/>
    <w:rsid w:val="00900DFF"/>
    <w:rsid w:val="00900EB8"/>
    <w:rsid w:val="0090146B"/>
    <w:rsid w:val="0090172D"/>
    <w:rsid w:val="0090195A"/>
    <w:rsid w:val="00902AB6"/>
    <w:rsid w:val="00902EE4"/>
    <w:rsid w:val="009038AB"/>
    <w:rsid w:val="00903C78"/>
    <w:rsid w:val="00903E2A"/>
    <w:rsid w:val="00903FEE"/>
    <w:rsid w:val="009043FE"/>
    <w:rsid w:val="009044E4"/>
    <w:rsid w:val="00904DBD"/>
    <w:rsid w:val="0090574E"/>
    <w:rsid w:val="0090578D"/>
    <w:rsid w:val="00905940"/>
    <w:rsid w:val="00905C36"/>
    <w:rsid w:val="00905F89"/>
    <w:rsid w:val="00907E37"/>
    <w:rsid w:val="0091048D"/>
    <w:rsid w:val="009104A1"/>
    <w:rsid w:val="009108AB"/>
    <w:rsid w:val="00910A0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F2"/>
    <w:rsid w:val="00915DA7"/>
    <w:rsid w:val="00915DB2"/>
    <w:rsid w:val="00916134"/>
    <w:rsid w:val="00916288"/>
    <w:rsid w:val="00916C74"/>
    <w:rsid w:val="00916DF2"/>
    <w:rsid w:val="0091721A"/>
    <w:rsid w:val="00917244"/>
    <w:rsid w:val="00917609"/>
    <w:rsid w:val="00917736"/>
    <w:rsid w:val="00920110"/>
    <w:rsid w:val="0092028F"/>
    <w:rsid w:val="00920672"/>
    <w:rsid w:val="00920881"/>
    <w:rsid w:val="00920DB8"/>
    <w:rsid w:val="009211B9"/>
    <w:rsid w:val="00922833"/>
    <w:rsid w:val="00922951"/>
    <w:rsid w:val="00923F13"/>
    <w:rsid w:val="00924152"/>
    <w:rsid w:val="0092445E"/>
    <w:rsid w:val="0092468A"/>
    <w:rsid w:val="009249CB"/>
    <w:rsid w:val="00924B14"/>
    <w:rsid w:val="00924F4E"/>
    <w:rsid w:val="0092541A"/>
    <w:rsid w:val="00925CBE"/>
    <w:rsid w:val="00925EF5"/>
    <w:rsid w:val="00925F0B"/>
    <w:rsid w:val="0092754F"/>
    <w:rsid w:val="00927DEA"/>
    <w:rsid w:val="00930345"/>
    <w:rsid w:val="009303EF"/>
    <w:rsid w:val="00930974"/>
    <w:rsid w:val="00930A6D"/>
    <w:rsid w:val="00930D71"/>
    <w:rsid w:val="0093127A"/>
    <w:rsid w:val="009312CD"/>
    <w:rsid w:val="00931527"/>
    <w:rsid w:val="0093156A"/>
    <w:rsid w:val="009315BF"/>
    <w:rsid w:val="00931DEF"/>
    <w:rsid w:val="00931FCC"/>
    <w:rsid w:val="00932D19"/>
    <w:rsid w:val="00933366"/>
    <w:rsid w:val="0093384E"/>
    <w:rsid w:val="00934476"/>
    <w:rsid w:val="00934D3D"/>
    <w:rsid w:val="009351A2"/>
    <w:rsid w:val="0093543F"/>
    <w:rsid w:val="009356D5"/>
    <w:rsid w:val="009369F5"/>
    <w:rsid w:val="00936C98"/>
    <w:rsid w:val="00937158"/>
    <w:rsid w:val="00937358"/>
    <w:rsid w:val="009377A8"/>
    <w:rsid w:val="00937931"/>
    <w:rsid w:val="00937E97"/>
    <w:rsid w:val="009403FD"/>
    <w:rsid w:val="00940B78"/>
    <w:rsid w:val="00940E0C"/>
    <w:rsid w:val="00941044"/>
    <w:rsid w:val="00941977"/>
    <w:rsid w:val="00941D55"/>
    <w:rsid w:val="00941EA9"/>
    <w:rsid w:val="009425B0"/>
    <w:rsid w:val="00942AA1"/>
    <w:rsid w:val="0094302F"/>
    <w:rsid w:val="009433A8"/>
    <w:rsid w:val="0094364F"/>
    <w:rsid w:val="00943898"/>
    <w:rsid w:val="00943CB4"/>
    <w:rsid w:val="00943FEE"/>
    <w:rsid w:val="009446E6"/>
    <w:rsid w:val="009448AB"/>
    <w:rsid w:val="00945F56"/>
    <w:rsid w:val="0094627B"/>
    <w:rsid w:val="009464E6"/>
    <w:rsid w:val="009472F6"/>
    <w:rsid w:val="009479CA"/>
    <w:rsid w:val="00950317"/>
    <w:rsid w:val="0095097F"/>
    <w:rsid w:val="00951B93"/>
    <w:rsid w:val="00951BC7"/>
    <w:rsid w:val="00951E4D"/>
    <w:rsid w:val="009522B7"/>
    <w:rsid w:val="009527EA"/>
    <w:rsid w:val="00952AE5"/>
    <w:rsid w:val="0095412E"/>
    <w:rsid w:val="00954203"/>
    <w:rsid w:val="00954A32"/>
    <w:rsid w:val="00954D67"/>
    <w:rsid w:val="0095548D"/>
    <w:rsid w:val="00955C5A"/>
    <w:rsid w:val="00955EC2"/>
    <w:rsid w:val="00955F64"/>
    <w:rsid w:val="009564E1"/>
    <w:rsid w:val="009566C8"/>
    <w:rsid w:val="009567EC"/>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00"/>
    <w:rsid w:val="00966C24"/>
    <w:rsid w:val="009670A0"/>
    <w:rsid w:val="0096717D"/>
    <w:rsid w:val="00967184"/>
    <w:rsid w:val="009671B5"/>
    <w:rsid w:val="00967C48"/>
    <w:rsid w:val="00970635"/>
    <w:rsid w:val="0097178B"/>
    <w:rsid w:val="00972DC8"/>
    <w:rsid w:val="009733BD"/>
    <w:rsid w:val="00973AC0"/>
    <w:rsid w:val="00974057"/>
    <w:rsid w:val="00974566"/>
    <w:rsid w:val="00974758"/>
    <w:rsid w:val="0097703A"/>
    <w:rsid w:val="00977E01"/>
    <w:rsid w:val="009806B2"/>
    <w:rsid w:val="00980BA4"/>
    <w:rsid w:val="00980E06"/>
    <w:rsid w:val="0098142A"/>
    <w:rsid w:val="00981472"/>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6D"/>
    <w:rsid w:val="0099062D"/>
    <w:rsid w:val="0099089F"/>
    <w:rsid w:val="00990DD8"/>
    <w:rsid w:val="00991EA2"/>
    <w:rsid w:val="00991FA1"/>
    <w:rsid w:val="00992414"/>
    <w:rsid w:val="00992FAB"/>
    <w:rsid w:val="00994501"/>
    <w:rsid w:val="009949AE"/>
    <w:rsid w:val="00995213"/>
    <w:rsid w:val="0099543C"/>
    <w:rsid w:val="0099565D"/>
    <w:rsid w:val="00995820"/>
    <w:rsid w:val="009959DB"/>
    <w:rsid w:val="00995B12"/>
    <w:rsid w:val="00995DD1"/>
    <w:rsid w:val="00995F32"/>
    <w:rsid w:val="00996C92"/>
    <w:rsid w:val="00997CB0"/>
    <w:rsid w:val="00997D26"/>
    <w:rsid w:val="009A0485"/>
    <w:rsid w:val="009A0876"/>
    <w:rsid w:val="009A095B"/>
    <w:rsid w:val="009A09DC"/>
    <w:rsid w:val="009A1FF2"/>
    <w:rsid w:val="009A3978"/>
    <w:rsid w:val="009A3FBE"/>
    <w:rsid w:val="009A4199"/>
    <w:rsid w:val="009A44A0"/>
    <w:rsid w:val="009A4566"/>
    <w:rsid w:val="009A4B25"/>
    <w:rsid w:val="009A5D0A"/>
    <w:rsid w:val="009A60C8"/>
    <w:rsid w:val="009A6BFE"/>
    <w:rsid w:val="009A709D"/>
    <w:rsid w:val="009A709E"/>
    <w:rsid w:val="009B040A"/>
    <w:rsid w:val="009B04E7"/>
    <w:rsid w:val="009B0556"/>
    <w:rsid w:val="009B062B"/>
    <w:rsid w:val="009B0BA1"/>
    <w:rsid w:val="009B0C68"/>
    <w:rsid w:val="009B13D9"/>
    <w:rsid w:val="009B1664"/>
    <w:rsid w:val="009B182D"/>
    <w:rsid w:val="009B36AC"/>
    <w:rsid w:val="009B3876"/>
    <w:rsid w:val="009B4205"/>
    <w:rsid w:val="009B42D9"/>
    <w:rsid w:val="009B4301"/>
    <w:rsid w:val="009B4D85"/>
    <w:rsid w:val="009B5013"/>
    <w:rsid w:val="009B5B4C"/>
    <w:rsid w:val="009B66D4"/>
    <w:rsid w:val="009B7574"/>
    <w:rsid w:val="009B76C8"/>
    <w:rsid w:val="009B79F5"/>
    <w:rsid w:val="009B7CE4"/>
    <w:rsid w:val="009C0369"/>
    <w:rsid w:val="009C050B"/>
    <w:rsid w:val="009C162B"/>
    <w:rsid w:val="009C1667"/>
    <w:rsid w:val="009C186D"/>
    <w:rsid w:val="009C1EEF"/>
    <w:rsid w:val="009C313E"/>
    <w:rsid w:val="009C340B"/>
    <w:rsid w:val="009C3F94"/>
    <w:rsid w:val="009C418E"/>
    <w:rsid w:val="009C48F3"/>
    <w:rsid w:val="009C4A1F"/>
    <w:rsid w:val="009C5468"/>
    <w:rsid w:val="009C58BB"/>
    <w:rsid w:val="009C5B8D"/>
    <w:rsid w:val="009C6332"/>
    <w:rsid w:val="009C6E42"/>
    <w:rsid w:val="009C6FEF"/>
    <w:rsid w:val="009C71BD"/>
    <w:rsid w:val="009C76CE"/>
    <w:rsid w:val="009C7D61"/>
    <w:rsid w:val="009D06F3"/>
    <w:rsid w:val="009D0B29"/>
    <w:rsid w:val="009D2050"/>
    <w:rsid w:val="009D2291"/>
    <w:rsid w:val="009D279D"/>
    <w:rsid w:val="009D3B17"/>
    <w:rsid w:val="009D3B81"/>
    <w:rsid w:val="009D479B"/>
    <w:rsid w:val="009D4D26"/>
    <w:rsid w:val="009D4EC6"/>
    <w:rsid w:val="009D5B25"/>
    <w:rsid w:val="009D6570"/>
    <w:rsid w:val="009D6702"/>
    <w:rsid w:val="009D70AD"/>
    <w:rsid w:val="009D7355"/>
    <w:rsid w:val="009D760B"/>
    <w:rsid w:val="009D7646"/>
    <w:rsid w:val="009D7693"/>
    <w:rsid w:val="009E153C"/>
    <w:rsid w:val="009E16C9"/>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1F"/>
    <w:rsid w:val="009F1108"/>
    <w:rsid w:val="009F1167"/>
    <w:rsid w:val="009F1595"/>
    <w:rsid w:val="009F1AD3"/>
    <w:rsid w:val="009F1C90"/>
    <w:rsid w:val="009F2B01"/>
    <w:rsid w:val="009F2CDD"/>
    <w:rsid w:val="009F2D8A"/>
    <w:rsid w:val="009F2F1B"/>
    <w:rsid w:val="009F3372"/>
    <w:rsid w:val="009F382A"/>
    <w:rsid w:val="009F3951"/>
    <w:rsid w:val="009F3FF4"/>
    <w:rsid w:val="009F459A"/>
    <w:rsid w:val="009F4FD2"/>
    <w:rsid w:val="009F5039"/>
    <w:rsid w:val="009F60AA"/>
    <w:rsid w:val="009F612C"/>
    <w:rsid w:val="009F673E"/>
    <w:rsid w:val="009F6B5E"/>
    <w:rsid w:val="009F6FA2"/>
    <w:rsid w:val="009F72D5"/>
    <w:rsid w:val="009F753E"/>
    <w:rsid w:val="009F7FF2"/>
    <w:rsid w:val="00A0034C"/>
    <w:rsid w:val="00A00BD5"/>
    <w:rsid w:val="00A01004"/>
    <w:rsid w:val="00A013CF"/>
    <w:rsid w:val="00A01A14"/>
    <w:rsid w:val="00A02C00"/>
    <w:rsid w:val="00A033BB"/>
    <w:rsid w:val="00A03952"/>
    <w:rsid w:val="00A03A10"/>
    <w:rsid w:val="00A03BC8"/>
    <w:rsid w:val="00A0463D"/>
    <w:rsid w:val="00A05703"/>
    <w:rsid w:val="00A059E9"/>
    <w:rsid w:val="00A060A0"/>
    <w:rsid w:val="00A060B6"/>
    <w:rsid w:val="00A0616C"/>
    <w:rsid w:val="00A0618C"/>
    <w:rsid w:val="00A0652D"/>
    <w:rsid w:val="00A066ED"/>
    <w:rsid w:val="00A06B34"/>
    <w:rsid w:val="00A07879"/>
    <w:rsid w:val="00A07C88"/>
    <w:rsid w:val="00A07DB9"/>
    <w:rsid w:val="00A10312"/>
    <w:rsid w:val="00A10903"/>
    <w:rsid w:val="00A10D69"/>
    <w:rsid w:val="00A119F1"/>
    <w:rsid w:val="00A11C44"/>
    <w:rsid w:val="00A1237A"/>
    <w:rsid w:val="00A125D3"/>
    <w:rsid w:val="00A1284E"/>
    <w:rsid w:val="00A1308F"/>
    <w:rsid w:val="00A134D6"/>
    <w:rsid w:val="00A1389F"/>
    <w:rsid w:val="00A13B3B"/>
    <w:rsid w:val="00A1446A"/>
    <w:rsid w:val="00A14733"/>
    <w:rsid w:val="00A148A5"/>
    <w:rsid w:val="00A14C61"/>
    <w:rsid w:val="00A1566A"/>
    <w:rsid w:val="00A157CB"/>
    <w:rsid w:val="00A15EA3"/>
    <w:rsid w:val="00A165DB"/>
    <w:rsid w:val="00A16721"/>
    <w:rsid w:val="00A1750A"/>
    <w:rsid w:val="00A17676"/>
    <w:rsid w:val="00A17B51"/>
    <w:rsid w:val="00A200AF"/>
    <w:rsid w:val="00A21529"/>
    <w:rsid w:val="00A2153D"/>
    <w:rsid w:val="00A22EEE"/>
    <w:rsid w:val="00A234BB"/>
    <w:rsid w:val="00A23F97"/>
    <w:rsid w:val="00A244BC"/>
    <w:rsid w:val="00A244C8"/>
    <w:rsid w:val="00A24682"/>
    <w:rsid w:val="00A24C63"/>
    <w:rsid w:val="00A24CDC"/>
    <w:rsid w:val="00A24E73"/>
    <w:rsid w:val="00A25917"/>
    <w:rsid w:val="00A26190"/>
    <w:rsid w:val="00A262DF"/>
    <w:rsid w:val="00A265C9"/>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55"/>
    <w:rsid w:val="00A35B2F"/>
    <w:rsid w:val="00A35DA9"/>
    <w:rsid w:val="00A36507"/>
    <w:rsid w:val="00A368EE"/>
    <w:rsid w:val="00A36DC8"/>
    <w:rsid w:val="00A3763D"/>
    <w:rsid w:val="00A403AF"/>
    <w:rsid w:val="00A406F5"/>
    <w:rsid w:val="00A40791"/>
    <w:rsid w:val="00A40E1B"/>
    <w:rsid w:val="00A41292"/>
    <w:rsid w:val="00A41714"/>
    <w:rsid w:val="00A41800"/>
    <w:rsid w:val="00A41807"/>
    <w:rsid w:val="00A42228"/>
    <w:rsid w:val="00A43D2E"/>
    <w:rsid w:val="00A43FC8"/>
    <w:rsid w:val="00A4400F"/>
    <w:rsid w:val="00A4468A"/>
    <w:rsid w:val="00A446B2"/>
    <w:rsid w:val="00A45896"/>
    <w:rsid w:val="00A45F95"/>
    <w:rsid w:val="00A46809"/>
    <w:rsid w:val="00A46A63"/>
    <w:rsid w:val="00A4763D"/>
    <w:rsid w:val="00A478E1"/>
    <w:rsid w:val="00A47914"/>
    <w:rsid w:val="00A47BC4"/>
    <w:rsid w:val="00A5036A"/>
    <w:rsid w:val="00A5049D"/>
    <w:rsid w:val="00A50605"/>
    <w:rsid w:val="00A507F4"/>
    <w:rsid w:val="00A50875"/>
    <w:rsid w:val="00A5092E"/>
    <w:rsid w:val="00A50CE8"/>
    <w:rsid w:val="00A510C9"/>
    <w:rsid w:val="00A519C8"/>
    <w:rsid w:val="00A51B5D"/>
    <w:rsid w:val="00A51CCB"/>
    <w:rsid w:val="00A53674"/>
    <w:rsid w:val="00A54783"/>
    <w:rsid w:val="00A54A1D"/>
    <w:rsid w:val="00A54CB2"/>
    <w:rsid w:val="00A54CE2"/>
    <w:rsid w:val="00A54EA1"/>
    <w:rsid w:val="00A5506B"/>
    <w:rsid w:val="00A556CF"/>
    <w:rsid w:val="00A55961"/>
    <w:rsid w:val="00A55AF3"/>
    <w:rsid w:val="00A55F4D"/>
    <w:rsid w:val="00A562FC"/>
    <w:rsid w:val="00A56409"/>
    <w:rsid w:val="00A565D7"/>
    <w:rsid w:val="00A5767D"/>
    <w:rsid w:val="00A579BA"/>
    <w:rsid w:val="00A57B5B"/>
    <w:rsid w:val="00A603F5"/>
    <w:rsid w:val="00A6089A"/>
    <w:rsid w:val="00A60DAD"/>
    <w:rsid w:val="00A60E27"/>
    <w:rsid w:val="00A60FB2"/>
    <w:rsid w:val="00A61984"/>
    <w:rsid w:val="00A6234D"/>
    <w:rsid w:val="00A62AAE"/>
    <w:rsid w:val="00A63605"/>
    <w:rsid w:val="00A639C6"/>
    <w:rsid w:val="00A6576B"/>
    <w:rsid w:val="00A6692D"/>
    <w:rsid w:val="00A66FB9"/>
    <w:rsid w:val="00A673B2"/>
    <w:rsid w:val="00A673F8"/>
    <w:rsid w:val="00A702AA"/>
    <w:rsid w:val="00A7061D"/>
    <w:rsid w:val="00A70D64"/>
    <w:rsid w:val="00A711E5"/>
    <w:rsid w:val="00A71317"/>
    <w:rsid w:val="00A71481"/>
    <w:rsid w:val="00A71577"/>
    <w:rsid w:val="00A71578"/>
    <w:rsid w:val="00A727C0"/>
    <w:rsid w:val="00A72969"/>
    <w:rsid w:val="00A7296D"/>
    <w:rsid w:val="00A729D5"/>
    <w:rsid w:val="00A72ADC"/>
    <w:rsid w:val="00A72D6F"/>
    <w:rsid w:val="00A741DF"/>
    <w:rsid w:val="00A74200"/>
    <w:rsid w:val="00A74565"/>
    <w:rsid w:val="00A7483F"/>
    <w:rsid w:val="00A7533B"/>
    <w:rsid w:val="00A75715"/>
    <w:rsid w:val="00A7621E"/>
    <w:rsid w:val="00A76690"/>
    <w:rsid w:val="00A768FF"/>
    <w:rsid w:val="00A775A5"/>
    <w:rsid w:val="00A77835"/>
    <w:rsid w:val="00A77B24"/>
    <w:rsid w:val="00A801E7"/>
    <w:rsid w:val="00A80D10"/>
    <w:rsid w:val="00A812E2"/>
    <w:rsid w:val="00A81C00"/>
    <w:rsid w:val="00A820D0"/>
    <w:rsid w:val="00A822DA"/>
    <w:rsid w:val="00A82DF0"/>
    <w:rsid w:val="00A82FBA"/>
    <w:rsid w:val="00A839A4"/>
    <w:rsid w:val="00A83E81"/>
    <w:rsid w:val="00A84252"/>
    <w:rsid w:val="00A846D9"/>
    <w:rsid w:val="00A84A96"/>
    <w:rsid w:val="00A84CA3"/>
    <w:rsid w:val="00A8504B"/>
    <w:rsid w:val="00A85CEC"/>
    <w:rsid w:val="00A862A0"/>
    <w:rsid w:val="00A864CE"/>
    <w:rsid w:val="00A866F8"/>
    <w:rsid w:val="00A8670F"/>
    <w:rsid w:val="00A869D5"/>
    <w:rsid w:val="00A86A44"/>
    <w:rsid w:val="00A86D9C"/>
    <w:rsid w:val="00A90062"/>
    <w:rsid w:val="00A904B3"/>
    <w:rsid w:val="00A906B6"/>
    <w:rsid w:val="00A919F2"/>
    <w:rsid w:val="00A91A50"/>
    <w:rsid w:val="00A91F7E"/>
    <w:rsid w:val="00A92B79"/>
    <w:rsid w:val="00A92BE2"/>
    <w:rsid w:val="00A930A8"/>
    <w:rsid w:val="00A94148"/>
    <w:rsid w:val="00A942F1"/>
    <w:rsid w:val="00A943E8"/>
    <w:rsid w:val="00A94912"/>
    <w:rsid w:val="00A94A89"/>
    <w:rsid w:val="00A94D0C"/>
    <w:rsid w:val="00A951A5"/>
    <w:rsid w:val="00A95A03"/>
    <w:rsid w:val="00A967C9"/>
    <w:rsid w:val="00A96870"/>
    <w:rsid w:val="00A969F4"/>
    <w:rsid w:val="00A96B24"/>
    <w:rsid w:val="00A96B2D"/>
    <w:rsid w:val="00A97337"/>
    <w:rsid w:val="00A97356"/>
    <w:rsid w:val="00A974DA"/>
    <w:rsid w:val="00A97F24"/>
    <w:rsid w:val="00AA09D8"/>
    <w:rsid w:val="00AA0FB3"/>
    <w:rsid w:val="00AA17CA"/>
    <w:rsid w:val="00AA21E2"/>
    <w:rsid w:val="00AA2DC2"/>
    <w:rsid w:val="00AA362D"/>
    <w:rsid w:val="00AA37DD"/>
    <w:rsid w:val="00AA4431"/>
    <w:rsid w:val="00AA4601"/>
    <w:rsid w:val="00AA4635"/>
    <w:rsid w:val="00AA58F2"/>
    <w:rsid w:val="00AA5B61"/>
    <w:rsid w:val="00AA6CB2"/>
    <w:rsid w:val="00AA7017"/>
    <w:rsid w:val="00AA71C8"/>
    <w:rsid w:val="00AA7215"/>
    <w:rsid w:val="00AA73AC"/>
    <w:rsid w:val="00AB0730"/>
    <w:rsid w:val="00AB1090"/>
    <w:rsid w:val="00AB111E"/>
    <w:rsid w:val="00AB11FF"/>
    <w:rsid w:val="00AB232B"/>
    <w:rsid w:val="00AB24E1"/>
    <w:rsid w:val="00AB32CA"/>
    <w:rsid w:val="00AB3479"/>
    <w:rsid w:val="00AB49B2"/>
    <w:rsid w:val="00AB4A4B"/>
    <w:rsid w:val="00AB4D62"/>
    <w:rsid w:val="00AB5100"/>
    <w:rsid w:val="00AB5A42"/>
    <w:rsid w:val="00AB5C44"/>
    <w:rsid w:val="00AB6015"/>
    <w:rsid w:val="00AB63C6"/>
    <w:rsid w:val="00AB652A"/>
    <w:rsid w:val="00AB6715"/>
    <w:rsid w:val="00AB67A5"/>
    <w:rsid w:val="00AB67B1"/>
    <w:rsid w:val="00AB6915"/>
    <w:rsid w:val="00AB6944"/>
    <w:rsid w:val="00AB6B70"/>
    <w:rsid w:val="00AB6BC1"/>
    <w:rsid w:val="00AB6F66"/>
    <w:rsid w:val="00AB7EC3"/>
    <w:rsid w:val="00AC01B5"/>
    <w:rsid w:val="00AC02F8"/>
    <w:rsid w:val="00AC03DC"/>
    <w:rsid w:val="00AC0C51"/>
    <w:rsid w:val="00AC14C2"/>
    <w:rsid w:val="00AC189C"/>
    <w:rsid w:val="00AC1AF1"/>
    <w:rsid w:val="00AC1E48"/>
    <w:rsid w:val="00AC2007"/>
    <w:rsid w:val="00AC220F"/>
    <w:rsid w:val="00AC2857"/>
    <w:rsid w:val="00AC31E2"/>
    <w:rsid w:val="00AC377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8E"/>
    <w:rsid w:val="00AD059F"/>
    <w:rsid w:val="00AD076C"/>
    <w:rsid w:val="00AD09A8"/>
    <w:rsid w:val="00AD0EEF"/>
    <w:rsid w:val="00AD28F9"/>
    <w:rsid w:val="00AD2CD8"/>
    <w:rsid w:val="00AD3653"/>
    <w:rsid w:val="00AD3EDA"/>
    <w:rsid w:val="00AD495E"/>
    <w:rsid w:val="00AD53FB"/>
    <w:rsid w:val="00AD55FC"/>
    <w:rsid w:val="00AD5764"/>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87"/>
    <w:rsid w:val="00AE1AE0"/>
    <w:rsid w:val="00AE1FA9"/>
    <w:rsid w:val="00AE2411"/>
    <w:rsid w:val="00AE2568"/>
    <w:rsid w:val="00AE272E"/>
    <w:rsid w:val="00AE2A62"/>
    <w:rsid w:val="00AE2CE5"/>
    <w:rsid w:val="00AE2D88"/>
    <w:rsid w:val="00AE2DC5"/>
    <w:rsid w:val="00AE2FEF"/>
    <w:rsid w:val="00AE3265"/>
    <w:rsid w:val="00AE4510"/>
    <w:rsid w:val="00AE49CE"/>
    <w:rsid w:val="00AE4AA7"/>
    <w:rsid w:val="00AE4D7A"/>
    <w:rsid w:val="00AE4E95"/>
    <w:rsid w:val="00AE69A1"/>
    <w:rsid w:val="00AE6ADE"/>
    <w:rsid w:val="00AE7238"/>
    <w:rsid w:val="00AE7EC0"/>
    <w:rsid w:val="00AE7FFD"/>
    <w:rsid w:val="00AF043C"/>
    <w:rsid w:val="00AF1084"/>
    <w:rsid w:val="00AF2E85"/>
    <w:rsid w:val="00AF30DD"/>
    <w:rsid w:val="00AF3C99"/>
    <w:rsid w:val="00AF456B"/>
    <w:rsid w:val="00AF492D"/>
    <w:rsid w:val="00AF4EB3"/>
    <w:rsid w:val="00AF4EBA"/>
    <w:rsid w:val="00AF51A9"/>
    <w:rsid w:val="00AF5250"/>
    <w:rsid w:val="00AF5B2E"/>
    <w:rsid w:val="00AF709A"/>
    <w:rsid w:val="00AF71BA"/>
    <w:rsid w:val="00AF7810"/>
    <w:rsid w:val="00AF7BF5"/>
    <w:rsid w:val="00AF7FA9"/>
    <w:rsid w:val="00B00093"/>
    <w:rsid w:val="00B002C3"/>
    <w:rsid w:val="00B004A5"/>
    <w:rsid w:val="00B00B30"/>
    <w:rsid w:val="00B00C28"/>
    <w:rsid w:val="00B01029"/>
    <w:rsid w:val="00B01833"/>
    <w:rsid w:val="00B01C79"/>
    <w:rsid w:val="00B01D42"/>
    <w:rsid w:val="00B023CC"/>
    <w:rsid w:val="00B0266A"/>
    <w:rsid w:val="00B026D0"/>
    <w:rsid w:val="00B0295A"/>
    <w:rsid w:val="00B03325"/>
    <w:rsid w:val="00B03AD2"/>
    <w:rsid w:val="00B03CDE"/>
    <w:rsid w:val="00B04670"/>
    <w:rsid w:val="00B04A2E"/>
    <w:rsid w:val="00B04B21"/>
    <w:rsid w:val="00B04B23"/>
    <w:rsid w:val="00B050FD"/>
    <w:rsid w:val="00B0530E"/>
    <w:rsid w:val="00B06B29"/>
    <w:rsid w:val="00B06CFF"/>
    <w:rsid w:val="00B06F3F"/>
    <w:rsid w:val="00B10270"/>
    <w:rsid w:val="00B102BA"/>
    <w:rsid w:val="00B109A9"/>
    <w:rsid w:val="00B10DEF"/>
    <w:rsid w:val="00B1129F"/>
    <w:rsid w:val="00B112C4"/>
    <w:rsid w:val="00B1172B"/>
    <w:rsid w:val="00B11C78"/>
    <w:rsid w:val="00B120BF"/>
    <w:rsid w:val="00B133E6"/>
    <w:rsid w:val="00B142B9"/>
    <w:rsid w:val="00B14C42"/>
    <w:rsid w:val="00B14F2A"/>
    <w:rsid w:val="00B14FAF"/>
    <w:rsid w:val="00B1525B"/>
    <w:rsid w:val="00B1540A"/>
    <w:rsid w:val="00B15547"/>
    <w:rsid w:val="00B15674"/>
    <w:rsid w:val="00B15B37"/>
    <w:rsid w:val="00B15D7C"/>
    <w:rsid w:val="00B15F95"/>
    <w:rsid w:val="00B16754"/>
    <w:rsid w:val="00B16FF4"/>
    <w:rsid w:val="00B17395"/>
    <w:rsid w:val="00B17AF0"/>
    <w:rsid w:val="00B202F4"/>
    <w:rsid w:val="00B21276"/>
    <w:rsid w:val="00B2146A"/>
    <w:rsid w:val="00B216BC"/>
    <w:rsid w:val="00B21954"/>
    <w:rsid w:val="00B21D6D"/>
    <w:rsid w:val="00B21E68"/>
    <w:rsid w:val="00B22179"/>
    <w:rsid w:val="00B226AF"/>
    <w:rsid w:val="00B22D61"/>
    <w:rsid w:val="00B23280"/>
    <w:rsid w:val="00B239BF"/>
    <w:rsid w:val="00B240F8"/>
    <w:rsid w:val="00B242A1"/>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899"/>
    <w:rsid w:val="00B35091"/>
    <w:rsid w:val="00B35534"/>
    <w:rsid w:val="00B35920"/>
    <w:rsid w:val="00B35C9F"/>
    <w:rsid w:val="00B3656C"/>
    <w:rsid w:val="00B366BC"/>
    <w:rsid w:val="00B36950"/>
    <w:rsid w:val="00B3746F"/>
    <w:rsid w:val="00B37882"/>
    <w:rsid w:val="00B37A37"/>
    <w:rsid w:val="00B37A3E"/>
    <w:rsid w:val="00B37ABC"/>
    <w:rsid w:val="00B37EA7"/>
    <w:rsid w:val="00B4002E"/>
    <w:rsid w:val="00B40182"/>
    <w:rsid w:val="00B40200"/>
    <w:rsid w:val="00B40583"/>
    <w:rsid w:val="00B40A5D"/>
    <w:rsid w:val="00B40BB5"/>
    <w:rsid w:val="00B40FC6"/>
    <w:rsid w:val="00B410F6"/>
    <w:rsid w:val="00B41142"/>
    <w:rsid w:val="00B41175"/>
    <w:rsid w:val="00B4168B"/>
    <w:rsid w:val="00B42EC0"/>
    <w:rsid w:val="00B432C4"/>
    <w:rsid w:val="00B4431E"/>
    <w:rsid w:val="00B44FAB"/>
    <w:rsid w:val="00B44FDF"/>
    <w:rsid w:val="00B451C3"/>
    <w:rsid w:val="00B45230"/>
    <w:rsid w:val="00B45E15"/>
    <w:rsid w:val="00B46973"/>
    <w:rsid w:val="00B46A70"/>
    <w:rsid w:val="00B46B52"/>
    <w:rsid w:val="00B4714F"/>
    <w:rsid w:val="00B473CF"/>
    <w:rsid w:val="00B4779C"/>
    <w:rsid w:val="00B47A2C"/>
    <w:rsid w:val="00B47DE0"/>
    <w:rsid w:val="00B47F71"/>
    <w:rsid w:val="00B5009F"/>
    <w:rsid w:val="00B50545"/>
    <w:rsid w:val="00B50CEA"/>
    <w:rsid w:val="00B50E67"/>
    <w:rsid w:val="00B50F6E"/>
    <w:rsid w:val="00B51309"/>
    <w:rsid w:val="00B51B34"/>
    <w:rsid w:val="00B530D3"/>
    <w:rsid w:val="00B53849"/>
    <w:rsid w:val="00B5398C"/>
    <w:rsid w:val="00B53D64"/>
    <w:rsid w:val="00B53D84"/>
    <w:rsid w:val="00B53DE2"/>
    <w:rsid w:val="00B53DEF"/>
    <w:rsid w:val="00B54088"/>
    <w:rsid w:val="00B542C2"/>
    <w:rsid w:val="00B54697"/>
    <w:rsid w:val="00B54809"/>
    <w:rsid w:val="00B54DFD"/>
    <w:rsid w:val="00B550CE"/>
    <w:rsid w:val="00B555B2"/>
    <w:rsid w:val="00B55FCC"/>
    <w:rsid w:val="00B56435"/>
    <w:rsid w:val="00B56956"/>
    <w:rsid w:val="00B56D11"/>
    <w:rsid w:val="00B56E05"/>
    <w:rsid w:val="00B570C3"/>
    <w:rsid w:val="00B5738B"/>
    <w:rsid w:val="00B577C5"/>
    <w:rsid w:val="00B57984"/>
    <w:rsid w:val="00B57D79"/>
    <w:rsid w:val="00B60647"/>
    <w:rsid w:val="00B60955"/>
    <w:rsid w:val="00B61044"/>
    <w:rsid w:val="00B6124E"/>
    <w:rsid w:val="00B628A7"/>
    <w:rsid w:val="00B63A7C"/>
    <w:rsid w:val="00B63AEC"/>
    <w:rsid w:val="00B63CF7"/>
    <w:rsid w:val="00B6429E"/>
    <w:rsid w:val="00B64567"/>
    <w:rsid w:val="00B64C50"/>
    <w:rsid w:val="00B64CCC"/>
    <w:rsid w:val="00B65145"/>
    <w:rsid w:val="00B6581E"/>
    <w:rsid w:val="00B6585B"/>
    <w:rsid w:val="00B65A67"/>
    <w:rsid w:val="00B65DB1"/>
    <w:rsid w:val="00B66446"/>
    <w:rsid w:val="00B66687"/>
    <w:rsid w:val="00B6669B"/>
    <w:rsid w:val="00B66C9C"/>
    <w:rsid w:val="00B67BB3"/>
    <w:rsid w:val="00B67E52"/>
    <w:rsid w:val="00B70180"/>
    <w:rsid w:val="00B708DE"/>
    <w:rsid w:val="00B71138"/>
    <w:rsid w:val="00B71288"/>
    <w:rsid w:val="00B718CA"/>
    <w:rsid w:val="00B718D2"/>
    <w:rsid w:val="00B7234F"/>
    <w:rsid w:val="00B723EA"/>
    <w:rsid w:val="00B724E0"/>
    <w:rsid w:val="00B7260A"/>
    <w:rsid w:val="00B7269C"/>
    <w:rsid w:val="00B728B6"/>
    <w:rsid w:val="00B72D86"/>
    <w:rsid w:val="00B737C6"/>
    <w:rsid w:val="00B73BAC"/>
    <w:rsid w:val="00B7457A"/>
    <w:rsid w:val="00B74597"/>
    <w:rsid w:val="00B7497A"/>
    <w:rsid w:val="00B74B6A"/>
    <w:rsid w:val="00B75676"/>
    <w:rsid w:val="00B7693A"/>
    <w:rsid w:val="00B77159"/>
    <w:rsid w:val="00B77AC6"/>
    <w:rsid w:val="00B77B7D"/>
    <w:rsid w:val="00B77BA2"/>
    <w:rsid w:val="00B77D1C"/>
    <w:rsid w:val="00B77F3E"/>
    <w:rsid w:val="00B80F88"/>
    <w:rsid w:val="00B80FDF"/>
    <w:rsid w:val="00B80FED"/>
    <w:rsid w:val="00B817ED"/>
    <w:rsid w:val="00B81ED7"/>
    <w:rsid w:val="00B82E36"/>
    <w:rsid w:val="00B82FD7"/>
    <w:rsid w:val="00B832E8"/>
    <w:rsid w:val="00B83D8A"/>
    <w:rsid w:val="00B849B8"/>
    <w:rsid w:val="00B85073"/>
    <w:rsid w:val="00B85727"/>
    <w:rsid w:val="00B85BF9"/>
    <w:rsid w:val="00B86112"/>
    <w:rsid w:val="00B86B08"/>
    <w:rsid w:val="00B86E64"/>
    <w:rsid w:val="00B87133"/>
    <w:rsid w:val="00B87FDA"/>
    <w:rsid w:val="00B90F89"/>
    <w:rsid w:val="00B911CA"/>
    <w:rsid w:val="00B9149E"/>
    <w:rsid w:val="00B91803"/>
    <w:rsid w:val="00B91C64"/>
    <w:rsid w:val="00B9233F"/>
    <w:rsid w:val="00B9304B"/>
    <w:rsid w:val="00B931F8"/>
    <w:rsid w:val="00B93C9C"/>
    <w:rsid w:val="00B93CB0"/>
    <w:rsid w:val="00B941FB"/>
    <w:rsid w:val="00B9437E"/>
    <w:rsid w:val="00B944AD"/>
    <w:rsid w:val="00B95006"/>
    <w:rsid w:val="00B95B7A"/>
    <w:rsid w:val="00B96139"/>
    <w:rsid w:val="00B96246"/>
    <w:rsid w:val="00B968D9"/>
    <w:rsid w:val="00B96D9C"/>
    <w:rsid w:val="00BA0024"/>
    <w:rsid w:val="00BA08B5"/>
    <w:rsid w:val="00BA09FB"/>
    <w:rsid w:val="00BA0ACA"/>
    <w:rsid w:val="00BA0C9A"/>
    <w:rsid w:val="00BA1D86"/>
    <w:rsid w:val="00BA2619"/>
    <w:rsid w:val="00BA2C3B"/>
    <w:rsid w:val="00BA3DB2"/>
    <w:rsid w:val="00BA3EFA"/>
    <w:rsid w:val="00BA4B2C"/>
    <w:rsid w:val="00BA4B9A"/>
    <w:rsid w:val="00BA4CF2"/>
    <w:rsid w:val="00BA4F87"/>
    <w:rsid w:val="00BA5011"/>
    <w:rsid w:val="00BA5B8A"/>
    <w:rsid w:val="00BA5E33"/>
    <w:rsid w:val="00BA6090"/>
    <w:rsid w:val="00BA6B59"/>
    <w:rsid w:val="00BA6D08"/>
    <w:rsid w:val="00BA6E12"/>
    <w:rsid w:val="00BA75EA"/>
    <w:rsid w:val="00BA7883"/>
    <w:rsid w:val="00BB099C"/>
    <w:rsid w:val="00BB0E3A"/>
    <w:rsid w:val="00BB10CD"/>
    <w:rsid w:val="00BB10EB"/>
    <w:rsid w:val="00BB1536"/>
    <w:rsid w:val="00BB1EB3"/>
    <w:rsid w:val="00BB1F00"/>
    <w:rsid w:val="00BB21AB"/>
    <w:rsid w:val="00BB36D0"/>
    <w:rsid w:val="00BB3953"/>
    <w:rsid w:val="00BB3E54"/>
    <w:rsid w:val="00BB4F0E"/>
    <w:rsid w:val="00BB50A9"/>
    <w:rsid w:val="00BB62B5"/>
    <w:rsid w:val="00BB6339"/>
    <w:rsid w:val="00BB6493"/>
    <w:rsid w:val="00BB658B"/>
    <w:rsid w:val="00BB65B4"/>
    <w:rsid w:val="00BB6F78"/>
    <w:rsid w:val="00BB721E"/>
    <w:rsid w:val="00BB7566"/>
    <w:rsid w:val="00BB7AD0"/>
    <w:rsid w:val="00BB7E29"/>
    <w:rsid w:val="00BC0643"/>
    <w:rsid w:val="00BC13C7"/>
    <w:rsid w:val="00BC1453"/>
    <w:rsid w:val="00BC1593"/>
    <w:rsid w:val="00BC1A66"/>
    <w:rsid w:val="00BC1BD1"/>
    <w:rsid w:val="00BC1DEA"/>
    <w:rsid w:val="00BC2160"/>
    <w:rsid w:val="00BC2218"/>
    <w:rsid w:val="00BC22CC"/>
    <w:rsid w:val="00BC27E3"/>
    <w:rsid w:val="00BC33A9"/>
    <w:rsid w:val="00BC3908"/>
    <w:rsid w:val="00BC3AF1"/>
    <w:rsid w:val="00BC3B20"/>
    <w:rsid w:val="00BC3F37"/>
    <w:rsid w:val="00BC44DE"/>
    <w:rsid w:val="00BC498A"/>
    <w:rsid w:val="00BC4C0C"/>
    <w:rsid w:val="00BC5148"/>
    <w:rsid w:val="00BC52DF"/>
    <w:rsid w:val="00BC5448"/>
    <w:rsid w:val="00BC5754"/>
    <w:rsid w:val="00BC5B05"/>
    <w:rsid w:val="00BC6240"/>
    <w:rsid w:val="00BC6BE8"/>
    <w:rsid w:val="00BC6D66"/>
    <w:rsid w:val="00BC75E0"/>
    <w:rsid w:val="00BC7C56"/>
    <w:rsid w:val="00BD12A8"/>
    <w:rsid w:val="00BD1438"/>
    <w:rsid w:val="00BD167D"/>
    <w:rsid w:val="00BD1E02"/>
    <w:rsid w:val="00BD21D9"/>
    <w:rsid w:val="00BD24A4"/>
    <w:rsid w:val="00BD3EDB"/>
    <w:rsid w:val="00BD3FE7"/>
    <w:rsid w:val="00BD42CF"/>
    <w:rsid w:val="00BD4332"/>
    <w:rsid w:val="00BD44D3"/>
    <w:rsid w:val="00BD4A2A"/>
    <w:rsid w:val="00BD5E8C"/>
    <w:rsid w:val="00BD67FA"/>
    <w:rsid w:val="00BD68DE"/>
    <w:rsid w:val="00BD6EBF"/>
    <w:rsid w:val="00BD7B02"/>
    <w:rsid w:val="00BE03D5"/>
    <w:rsid w:val="00BE0AAB"/>
    <w:rsid w:val="00BE0F28"/>
    <w:rsid w:val="00BE1094"/>
    <w:rsid w:val="00BE130C"/>
    <w:rsid w:val="00BE2080"/>
    <w:rsid w:val="00BE2248"/>
    <w:rsid w:val="00BE2A0F"/>
    <w:rsid w:val="00BE358C"/>
    <w:rsid w:val="00BE3D0F"/>
    <w:rsid w:val="00BE47D6"/>
    <w:rsid w:val="00BE5679"/>
    <w:rsid w:val="00BE58DE"/>
    <w:rsid w:val="00BE65CF"/>
    <w:rsid w:val="00BE6638"/>
    <w:rsid w:val="00BE6662"/>
    <w:rsid w:val="00BE6E5C"/>
    <w:rsid w:val="00BE714A"/>
    <w:rsid w:val="00BE75A8"/>
    <w:rsid w:val="00BF0101"/>
    <w:rsid w:val="00BF01BE"/>
    <w:rsid w:val="00BF01CE"/>
    <w:rsid w:val="00BF028E"/>
    <w:rsid w:val="00BF1375"/>
    <w:rsid w:val="00BF14D4"/>
    <w:rsid w:val="00BF1DA5"/>
    <w:rsid w:val="00BF1DB6"/>
    <w:rsid w:val="00BF1E4B"/>
    <w:rsid w:val="00BF1F4C"/>
    <w:rsid w:val="00BF2818"/>
    <w:rsid w:val="00BF3A79"/>
    <w:rsid w:val="00BF3CAA"/>
    <w:rsid w:val="00BF4046"/>
    <w:rsid w:val="00BF406B"/>
    <w:rsid w:val="00BF418C"/>
    <w:rsid w:val="00BF45D6"/>
    <w:rsid w:val="00BF48A2"/>
    <w:rsid w:val="00BF4C83"/>
    <w:rsid w:val="00BF4FBB"/>
    <w:rsid w:val="00BF57DE"/>
    <w:rsid w:val="00BF64F0"/>
    <w:rsid w:val="00BF6515"/>
    <w:rsid w:val="00BF676C"/>
    <w:rsid w:val="00BF68DE"/>
    <w:rsid w:val="00BF6D9B"/>
    <w:rsid w:val="00BF6F06"/>
    <w:rsid w:val="00BF7149"/>
    <w:rsid w:val="00BF7B4D"/>
    <w:rsid w:val="00BF7CB7"/>
    <w:rsid w:val="00C00215"/>
    <w:rsid w:val="00C010FD"/>
    <w:rsid w:val="00C013FA"/>
    <w:rsid w:val="00C01A67"/>
    <w:rsid w:val="00C02AE8"/>
    <w:rsid w:val="00C02DED"/>
    <w:rsid w:val="00C040E9"/>
    <w:rsid w:val="00C048F3"/>
    <w:rsid w:val="00C061E3"/>
    <w:rsid w:val="00C0652A"/>
    <w:rsid w:val="00C06926"/>
    <w:rsid w:val="00C06C64"/>
    <w:rsid w:val="00C06D4A"/>
    <w:rsid w:val="00C06D4B"/>
    <w:rsid w:val="00C06FF1"/>
    <w:rsid w:val="00C07059"/>
    <w:rsid w:val="00C07775"/>
    <w:rsid w:val="00C07953"/>
    <w:rsid w:val="00C102D0"/>
    <w:rsid w:val="00C10639"/>
    <w:rsid w:val="00C10C6C"/>
    <w:rsid w:val="00C112D9"/>
    <w:rsid w:val="00C11A80"/>
    <w:rsid w:val="00C12BEE"/>
    <w:rsid w:val="00C13086"/>
    <w:rsid w:val="00C13168"/>
    <w:rsid w:val="00C1341D"/>
    <w:rsid w:val="00C13960"/>
    <w:rsid w:val="00C13ED0"/>
    <w:rsid w:val="00C143EC"/>
    <w:rsid w:val="00C151BC"/>
    <w:rsid w:val="00C1539A"/>
    <w:rsid w:val="00C15D95"/>
    <w:rsid w:val="00C161AA"/>
    <w:rsid w:val="00C168DA"/>
    <w:rsid w:val="00C16A70"/>
    <w:rsid w:val="00C16CB7"/>
    <w:rsid w:val="00C176A9"/>
    <w:rsid w:val="00C177EC"/>
    <w:rsid w:val="00C1782C"/>
    <w:rsid w:val="00C17BE9"/>
    <w:rsid w:val="00C17EB4"/>
    <w:rsid w:val="00C17FD3"/>
    <w:rsid w:val="00C2012C"/>
    <w:rsid w:val="00C203DE"/>
    <w:rsid w:val="00C20428"/>
    <w:rsid w:val="00C21641"/>
    <w:rsid w:val="00C21EDC"/>
    <w:rsid w:val="00C221BE"/>
    <w:rsid w:val="00C2287C"/>
    <w:rsid w:val="00C23014"/>
    <w:rsid w:val="00C23F23"/>
    <w:rsid w:val="00C24844"/>
    <w:rsid w:val="00C24F36"/>
    <w:rsid w:val="00C2532F"/>
    <w:rsid w:val="00C25970"/>
    <w:rsid w:val="00C264FD"/>
    <w:rsid w:val="00C26E30"/>
    <w:rsid w:val="00C274CC"/>
    <w:rsid w:val="00C27611"/>
    <w:rsid w:val="00C27836"/>
    <w:rsid w:val="00C3039D"/>
    <w:rsid w:val="00C30B71"/>
    <w:rsid w:val="00C30D70"/>
    <w:rsid w:val="00C316AE"/>
    <w:rsid w:val="00C32392"/>
    <w:rsid w:val="00C32664"/>
    <w:rsid w:val="00C3271D"/>
    <w:rsid w:val="00C330F0"/>
    <w:rsid w:val="00C3379C"/>
    <w:rsid w:val="00C35242"/>
    <w:rsid w:val="00C35487"/>
    <w:rsid w:val="00C354C8"/>
    <w:rsid w:val="00C35622"/>
    <w:rsid w:val="00C35733"/>
    <w:rsid w:val="00C36059"/>
    <w:rsid w:val="00C362D1"/>
    <w:rsid w:val="00C366DD"/>
    <w:rsid w:val="00C369D4"/>
    <w:rsid w:val="00C37833"/>
    <w:rsid w:val="00C378B9"/>
    <w:rsid w:val="00C378D1"/>
    <w:rsid w:val="00C37957"/>
    <w:rsid w:val="00C4042E"/>
    <w:rsid w:val="00C40CA1"/>
    <w:rsid w:val="00C41A5D"/>
    <w:rsid w:val="00C42158"/>
    <w:rsid w:val="00C4288F"/>
    <w:rsid w:val="00C42BF7"/>
    <w:rsid w:val="00C433A3"/>
    <w:rsid w:val="00C43A7C"/>
    <w:rsid w:val="00C441FB"/>
    <w:rsid w:val="00C44FC0"/>
    <w:rsid w:val="00C4564E"/>
    <w:rsid w:val="00C45930"/>
    <w:rsid w:val="00C45E40"/>
    <w:rsid w:val="00C463D5"/>
    <w:rsid w:val="00C501E2"/>
    <w:rsid w:val="00C51FE8"/>
    <w:rsid w:val="00C529B7"/>
    <w:rsid w:val="00C52BF9"/>
    <w:rsid w:val="00C52DD5"/>
    <w:rsid w:val="00C52F50"/>
    <w:rsid w:val="00C536E8"/>
    <w:rsid w:val="00C53883"/>
    <w:rsid w:val="00C53B95"/>
    <w:rsid w:val="00C53BDA"/>
    <w:rsid w:val="00C55FD0"/>
    <w:rsid w:val="00C56032"/>
    <w:rsid w:val="00C56102"/>
    <w:rsid w:val="00C561D2"/>
    <w:rsid w:val="00C5678E"/>
    <w:rsid w:val="00C56A44"/>
    <w:rsid w:val="00C57621"/>
    <w:rsid w:val="00C5786A"/>
    <w:rsid w:val="00C57A48"/>
    <w:rsid w:val="00C57C2E"/>
    <w:rsid w:val="00C60742"/>
    <w:rsid w:val="00C60B11"/>
    <w:rsid w:val="00C610EA"/>
    <w:rsid w:val="00C615F5"/>
    <w:rsid w:val="00C6293E"/>
    <w:rsid w:val="00C62E74"/>
    <w:rsid w:val="00C6310C"/>
    <w:rsid w:val="00C631CF"/>
    <w:rsid w:val="00C64244"/>
    <w:rsid w:val="00C6442E"/>
    <w:rsid w:val="00C64BA6"/>
    <w:rsid w:val="00C65A5E"/>
    <w:rsid w:val="00C65A7F"/>
    <w:rsid w:val="00C665BA"/>
    <w:rsid w:val="00C6680B"/>
    <w:rsid w:val="00C678A4"/>
    <w:rsid w:val="00C7077B"/>
    <w:rsid w:val="00C70AEC"/>
    <w:rsid w:val="00C70C66"/>
    <w:rsid w:val="00C71030"/>
    <w:rsid w:val="00C71201"/>
    <w:rsid w:val="00C71283"/>
    <w:rsid w:val="00C7133D"/>
    <w:rsid w:val="00C71377"/>
    <w:rsid w:val="00C71EC1"/>
    <w:rsid w:val="00C727E7"/>
    <w:rsid w:val="00C728C2"/>
    <w:rsid w:val="00C72CE6"/>
    <w:rsid w:val="00C730C6"/>
    <w:rsid w:val="00C731B6"/>
    <w:rsid w:val="00C73200"/>
    <w:rsid w:val="00C73C3A"/>
    <w:rsid w:val="00C744E0"/>
    <w:rsid w:val="00C7475E"/>
    <w:rsid w:val="00C75B53"/>
    <w:rsid w:val="00C75D5B"/>
    <w:rsid w:val="00C764B6"/>
    <w:rsid w:val="00C7661A"/>
    <w:rsid w:val="00C76BBD"/>
    <w:rsid w:val="00C77104"/>
    <w:rsid w:val="00C77DCD"/>
    <w:rsid w:val="00C77F16"/>
    <w:rsid w:val="00C810D2"/>
    <w:rsid w:val="00C811F0"/>
    <w:rsid w:val="00C81440"/>
    <w:rsid w:val="00C81E44"/>
    <w:rsid w:val="00C828E4"/>
    <w:rsid w:val="00C82974"/>
    <w:rsid w:val="00C82BA9"/>
    <w:rsid w:val="00C838EE"/>
    <w:rsid w:val="00C83961"/>
    <w:rsid w:val="00C844D0"/>
    <w:rsid w:val="00C850B3"/>
    <w:rsid w:val="00C85801"/>
    <w:rsid w:val="00C8635A"/>
    <w:rsid w:val="00C86AE2"/>
    <w:rsid w:val="00C86FB6"/>
    <w:rsid w:val="00C87698"/>
    <w:rsid w:val="00C87F19"/>
    <w:rsid w:val="00C87F76"/>
    <w:rsid w:val="00C90592"/>
    <w:rsid w:val="00C90723"/>
    <w:rsid w:val="00C90A15"/>
    <w:rsid w:val="00C918A0"/>
    <w:rsid w:val="00C92510"/>
    <w:rsid w:val="00C925AD"/>
    <w:rsid w:val="00C92BF5"/>
    <w:rsid w:val="00C93952"/>
    <w:rsid w:val="00C9395F"/>
    <w:rsid w:val="00C939FB"/>
    <w:rsid w:val="00C93DCF"/>
    <w:rsid w:val="00C93F4F"/>
    <w:rsid w:val="00C94BB4"/>
    <w:rsid w:val="00C94BB9"/>
    <w:rsid w:val="00C94ECC"/>
    <w:rsid w:val="00C9501F"/>
    <w:rsid w:val="00C955CA"/>
    <w:rsid w:val="00C95B48"/>
    <w:rsid w:val="00C9638D"/>
    <w:rsid w:val="00C96F9D"/>
    <w:rsid w:val="00C972DE"/>
    <w:rsid w:val="00C973DC"/>
    <w:rsid w:val="00C97C60"/>
    <w:rsid w:val="00C97DD5"/>
    <w:rsid w:val="00CA0D85"/>
    <w:rsid w:val="00CA0DCB"/>
    <w:rsid w:val="00CA0EF3"/>
    <w:rsid w:val="00CA14DD"/>
    <w:rsid w:val="00CA19F8"/>
    <w:rsid w:val="00CA1D2C"/>
    <w:rsid w:val="00CA27A4"/>
    <w:rsid w:val="00CA297D"/>
    <w:rsid w:val="00CA38AD"/>
    <w:rsid w:val="00CA3ED1"/>
    <w:rsid w:val="00CA46C4"/>
    <w:rsid w:val="00CA4E7B"/>
    <w:rsid w:val="00CA5A17"/>
    <w:rsid w:val="00CA5EC4"/>
    <w:rsid w:val="00CA6259"/>
    <w:rsid w:val="00CA62F5"/>
    <w:rsid w:val="00CA6389"/>
    <w:rsid w:val="00CA699F"/>
    <w:rsid w:val="00CA69A5"/>
    <w:rsid w:val="00CA6C8A"/>
    <w:rsid w:val="00CA72F0"/>
    <w:rsid w:val="00CA7301"/>
    <w:rsid w:val="00CA757A"/>
    <w:rsid w:val="00CA7CF9"/>
    <w:rsid w:val="00CB0385"/>
    <w:rsid w:val="00CB0A61"/>
    <w:rsid w:val="00CB0B7D"/>
    <w:rsid w:val="00CB1448"/>
    <w:rsid w:val="00CB2DB0"/>
    <w:rsid w:val="00CB3A93"/>
    <w:rsid w:val="00CB3EBF"/>
    <w:rsid w:val="00CB43F3"/>
    <w:rsid w:val="00CB4538"/>
    <w:rsid w:val="00CB4742"/>
    <w:rsid w:val="00CB4F40"/>
    <w:rsid w:val="00CB5655"/>
    <w:rsid w:val="00CB5C69"/>
    <w:rsid w:val="00CB5D58"/>
    <w:rsid w:val="00CB6984"/>
    <w:rsid w:val="00CB6B0C"/>
    <w:rsid w:val="00CB6C04"/>
    <w:rsid w:val="00CB71F2"/>
    <w:rsid w:val="00CC004C"/>
    <w:rsid w:val="00CC051E"/>
    <w:rsid w:val="00CC11BF"/>
    <w:rsid w:val="00CC12A8"/>
    <w:rsid w:val="00CC1D33"/>
    <w:rsid w:val="00CC24B9"/>
    <w:rsid w:val="00CC2F7D"/>
    <w:rsid w:val="00CC37C7"/>
    <w:rsid w:val="00CC4B65"/>
    <w:rsid w:val="00CC4C93"/>
    <w:rsid w:val="00CC4E7C"/>
    <w:rsid w:val="00CC5187"/>
    <w:rsid w:val="00CC521F"/>
    <w:rsid w:val="00CC5238"/>
    <w:rsid w:val="00CC5491"/>
    <w:rsid w:val="00CC56F7"/>
    <w:rsid w:val="00CC6376"/>
    <w:rsid w:val="00CC63FA"/>
    <w:rsid w:val="00CC6B50"/>
    <w:rsid w:val="00CC6B91"/>
    <w:rsid w:val="00CC7380"/>
    <w:rsid w:val="00CC79AD"/>
    <w:rsid w:val="00CC7E55"/>
    <w:rsid w:val="00CD06E7"/>
    <w:rsid w:val="00CD0CB6"/>
    <w:rsid w:val="00CD0DCB"/>
    <w:rsid w:val="00CD10CB"/>
    <w:rsid w:val="00CD2617"/>
    <w:rsid w:val="00CD2A97"/>
    <w:rsid w:val="00CD4084"/>
    <w:rsid w:val="00CD4EC2"/>
    <w:rsid w:val="00CD506D"/>
    <w:rsid w:val="00CD555B"/>
    <w:rsid w:val="00CD647C"/>
    <w:rsid w:val="00CD6AAE"/>
    <w:rsid w:val="00CD6D22"/>
    <w:rsid w:val="00CD6EA9"/>
    <w:rsid w:val="00CD7157"/>
    <w:rsid w:val="00CD7868"/>
    <w:rsid w:val="00CE12C7"/>
    <w:rsid w:val="00CE134C"/>
    <w:rsid w:val="00CE13F3"/>
    <w:rsid w:val="00CE172B"/>
    <w:rsid w:val="00CE25A0"/>
    <w:rsid w:val="00CE2DDF"/>
    <w:rsid w:val="00CE311E"/>
    <w:rsid w:val="00CE35E9"/>
    <w:rsid w:val="00CE3980"/>
    <w:rsid w:val="00CE3EE2"/>
    <w:rsid w:val="00CE4CA6"/>
    <w:rsid w:val="00CE7274"/>
    <w:rsid w:val="00CE745A"/>
    <w:rsid w:val="00CF0175"/>
    <w:rsid w:val="00CF0C44"/>
    <w:rsid w:val="00CF1001"/>
    <w:rsid w:val="00CF1520"/>
    <w:rsid w:val="00CF1A9C"/>
    <w:rsid w:val="00CF1DE6"/>
    <w:rsid w:val="00CF221C"/>
    <w:rsid w:val="00CF28B1"/>
    <w:rsid w:val="00CF2CBD"/>
    <w:rsid w:val="00CF2DDA"/>
    <w:rsid w:val="00CF37E0"/>
    <w:rsid w:val="00CF3D13"/>
    <w:rsid w:val="00CF4519"/>
    <w:rsid w:val="00CF4FAC"/>
    <w:rsid w:val="00CF5033"/>
    <w:rsid w:val="00CF51EF"/>
    <w:rsid w:val="00CF58E4"/>
    <w:rsid w:val="00CF5E9C"/>
    <w:rsid w:val="00CF70A8"/>
    <w:rsid w:val="00CF746D"/>
    <w:rsid w:val="00D001BD"/>
    <w:rsid w:val="00D005E7"/>
    <w:rsid w:val="00D010AE"/>
    <w:rsid w:val="00D0136F"/>
    <w:rsid w:val="00D017CA"/>
    <w:rsid w:val="00D018F3"/>
    <w:rsid w:val="00D01F4E"/>
    <w:rsid w:val="00D01FFC"/>
    <w:rsid w:val="00D0227E"/>
    <w:rsid w:val="00D02AAF"/>
    <w:rsid w:val="00D02ED2"/>
    <w:rsid w:val="00D030E4"/>
    <w:rsid w:val="00D03CE4"/>
    <w:rsid w:val="00D04591"/>
    <w:rsid w:val="00D047CF"/>
    <w:rsid w:val="00D0500F"/>
    <w:rsid w:val="00D054DD"/>
    <w:rsid w:val="00D05CA6"/>
    <w:rsid w:val="00D05EA6"/>
    <w:rsid w:val="00D0705A"/>
    <w:rsid w:val="00D0725D"/>
    <w:rsid w:val="00D101A5"/>
    <w:rsid w:val="00D10C57"/>
    <w:rsid w:val="00D11130"/>
    <w:rsid w:val="00D12A28"/>
    <w:rsid w:val="00D12A78"/>
    <w:rsid w:val="00D12B31"/>
    <w:rsid w:val="00D131C0"/>
    <w:rsid w:val="00D13308"/>
    <w:rsid w:val="00D15093"/>
    <w:rsid w:val="00D15504"/>
    <w:rsid w:val="00D15950"/>
    <w:rsid w:val="00D16F80"/>
    <w:rsid w:val="00D170BE"/>
    <w:rsid w:val="00D17F21"/>
    <w:rsid w:val="00D21111"/>
    <w:rsid w:val="00D21525"/>
    <w:rsid w:val="00D22922"/>
    <w:rsid w:val="00D2384D"/>
    <w:rsid w:val="00D23B5C"/>
    <w:rsid w:val="00D2404D"/>
    <w:rsid w:val="00D241F3"/>
    <w:rsid w:val="00D24C75"/>
    <w:rsid w:val="00D2565F"/>
    <w:rsid w:val="00D26C5C"/>
    <w:rsid w:val="00D27185"/>
    <w:rsid w:val="00D27684"/>
    <w:rsid w:val="00D27768"/>
    <w:rsid w:val="00D27903"/>
    <w:rsid w:val="00D27FA7"/>
    <w:rsid w:val="00D3037D"/>
    <w:rsid w:val="00D30BB3"/>
    <w:rsid w:val="00D30F1B"/>
    <w:rsid w:val="00D3131A"/>
    <w:rsid w:val="00D3134F"/>
    <w:rsid w:val="00D31B91"/>
    <w:rsid w:val="00D31CB7"/>
    <w:rsid w:val="00D31D73"/>
    <w:rsid w:val="00D324FF"/>
    <w:rsid w:val="00D3258C"/>
    <w:rsid w:val="00D328D4"/>
    <w:rsid w:val="00D3290D"/>
    <w:rsid w:val="00D32A41"/>
    <w:rsid w:val="00D32A4F"/>
    <w:rsid w:val="00D33864"/>
    <w:rsid w:val="00D3396C"/>
    <w:rsid w:val="00D33B16"/>
    <w:rsid w:val="00D347DB"/>
    <w:rsid w:val="00D3481A"/>
    <w:rsid w:val="00D350ED"/>
    <w:rsid w:val="00D36348"/>
    <w:rsid w:val="00D364AF"/>
    <w:rsid w:val="00D36559"/>
    <w:rsid w:val="00D3655C"/>
    <w:rsid w:val="00D369A2"/>
    <w:rsid w:val="00D36A92"/>
    <w:rsid w:val="00D37418"/>
    <w:rsid w:val="00D374E8"/>
    <w:rsid w:val="00D37BCE"/>
    <w:rsid w:val="00D40325"/>
    <w:rsid w:val="00D408D3"/>
    <w:rsid w:val="00D40B0A"/>
    <w:rsid w:val="00D41500"/>
    <w:rsid w:val="00D4151B"/>
    <w:rsid w:val="00D41ED1"/>
    <w:rsid w:val="00D420B6"/>
    <w:rsid w:val="00D4263D"/>
    <w:rsid w:val="00D43A45"/>
    <w:rsid w:val="00D44A58"/>
    <w:rsid w:val="00D455D8"/>
    <w:rsid w:val="00D45A12"/>
    <w:rsid w:val="00D45FEA"/>
    <w:rsid w:val="00D4618E"/>
    <w:rsid w:val="00D461A9"/>
    <w:rsid w:val="00D46257"/>
    <w:rsid w:val="00D46AAC"/>
    <w:rsid w:val="00D47214"/>
    <w:rsid w:val="00D47E1F"/>
    <w:rsid w:val="00D503EB"/>
    <w:rsid w:val="00D50742"/>
    <w:rsid w:val="00D512FE"/>
    <w:rsid w:val="00D515EB"/>
    <w:rsid w:val="00D5212B"/>
    <w:rsid w:val="00D52B99"/>
    <w:rsid w:val="00D5322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1E"/>
    <w:rsid w:val="00D57945"/>
    <w:rsid w:val="00D57CFF"/>
    <w:rsid w:val="00D6021A"/>
    <w:rsid w:val="00D608BF"/>
    <w:rsid w:val="00D60FA8"/>
    <w:rsid w:val="00D61340"/>
    <w:rsid w:val="00D61DC8"/>
    <w:rsid w:val="00D62826"/>
    <w:rsid w:val="00D62DDD"/>
    <w:rsid w:val="00D62DF0"/>
    <w:rsid w:val="00D63254"/>
    <w:rsid w:val="00D63AB9"/>
    <w:rsid w:val="00D63DC5"/>
    <w:rsid w:val="00D6490E"/>
    <w:rsid w:val="00D64C90"/>
    <w:rsid w:val="00D66118"/>
    <w:rsid w:val="00D6617B"/>
    <w:rsid w:val="00D662B2"/>
    <w:rsid w:val="00D663EA"/>
    <w:rsid w:val="00D668F0"/>
    <w:rsid w:val="00D66B90"/>
    <w:rsid w:val="00D66DB4"/>
    <w:rsid w:val="00D66FB2"/>
    <w:rsid w:val="00D6725D"/>
    <w:rsid w:val="00D672D6"/>
    <w:rsid w:val="00D6740C"/>
    <w:rsid w:val="00D6754F"/>
    <w:rsid w:val="00D67628"/>
    <w:rsid w:val="00D6783A"/>
    <w:rsid w:val="00D67B0A"/>
    <w:rsid w:val="00D67B3D"/>
    <w:rsid w:val="00D67C24"/>
    <w:rsid w:val="00D67D66"/>
    <w:rsid w:val="00D67DA6"/>
    <w:rsid w:val="00D67E49"/>
    <w:rsid w:val="00D70A56"/>
    <w:rsid w:val="00D70C19"/>
    <w:rsid w:val="00D71250"/>
    <w:rsid w:val="00D7147C"/>
    <w:rsid w:val="00D7175D"/>
    <w:rsid w:val="00D71C0A"/>
    <w:rsid w:val="00D71F85"/>
    <w:rsid w:val="00D720A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3E"/>
    <w:rsid w:val="00D82C6D"/>
    <w:rsid w:val="00D8346B"/>
    <w:rsid w:val="00D83933"/>
    <w:rsid w:val="00D83D37"/>
    <w:rsid w:val="00D841C2"/>
    <w:rsid w:val="00D8468E"/>
    <w:rsid w:val="00D84856"/>
    <w:rsid w:val="00D8487F"/>
    <w:rsid w:val="00D8497A"/>
    <w:rsid w:val="00D85E53"/>
    <w:rsid w:val="00D85EAB"/>
    <w:rsid w:val="00D85EEA"/>
    <w:rsid w:val="00D8633D"/>
    <w:rsid w:val="00D867D6"/>
    <w:rsid w:val="00D86A57"/>
    <w:rsid w:val="00D86A60"/>
    <w:rsid w:val="00D86BE4"/>
    <w:rsid w:val="00D86C1F"/>
    <w:rsid w:val="00D86E51"/>
    <w:rsid w:val="00D86FE7"/>
    <w:rsid w:val="00D871B8"/>
    <w:rsid w:val="00D871BD"/>
    <w:rsid w:val="00D902BB"/>
    <w:rsid w:val="00D90E18"/>
    <w:rsid w:val="00D90EA4"/>
    <w:rsid w:val="00D92CD6"/>
    <w:rsid w:val="00D936E6"/>
    <w:rsid w:val="00D94667"/>
    <w:rsid w:val="00D946E1"/>
    <w:rsid w:val="00D95382"/>
    <w:rsid w:val="00D95D6A"/>
    <w:rsid w:val="00DA0A9B"/>
    <w:rsid w:val="00DA0E2D"/>
    <w:rsid w:val="00DA155B"/>
    <w:rsid w:val="00DA196B"/>
    <w:rsid w:val="00DA2077"/>
    <w:rsid w:val="00DA2107"/>
    <w:rsid w:val="00DA28CE"/>
    <w:rsid w:val="00DA300C"/>
    <w:rsid w:val="00DA38BD"/>
    <w:rsid w:val="00DA3CC2"/>
    <w:rsid w:val="00DA3F4A"/>
    <w:rsid w:val="00DA4443"/>
    <w:rsid w:val="00DA449F"/>
    <w:rsid w:val="00DA451B"/>
    <w:rsid w:val="00DA459A"/>
    <w:rsid w:val="00DA50E3"/>
    <w:rsid w:val="00DA5731"/>
    <w:rsid w:val="00DA577F"/>
    <w:rsid w:val="00DA5854"/>
    <w:rsid w:val="00DA6300"/>
    <w:rsid w:val="00DA6396"/>
    <w:rsid w:val="00DA67A1"/>
    <w:rsid w:val="00DA6C0E"/>
    <w:rsid w:val="00DA6F12"/>
    <w:rsid w:val="00DA7F72"/>
    <w:rsid w:val="00DB01C7"/>
    <w:rsid w:val="00DB0673"/>
    <w:rsid w:val="00DB137D"/>
    <w:rsid w:val="00DB179E"/>
    <w:rsid w:val="00DB2020"/>
    <w:rsid w:val="00DB21DD"/>
    <w:rsid w:val="00DB2A83"/>
    <w:rsid w:val="00DB2B72"/>
    <w:rsid w:val="00DB2BE2"/>
    <w:rsid w:val="00DB30AF"/>
    <w:rsid w:val="00DB3469"/>
    <w:rsid w:val="00DB34EA"/>
    <w:rsid w:val="00DB34F6"/>
    <w:rsid w:val="00DB390F"/>
    <w:rsid w:val="00DB3E85"/>
    <w:rsid w:val="00DB4FA4"/>
    <w:rsid w:val="00DB5217"/>
    <w:rsid w:val="00DB5471"/>
    <w:rsid w:val="00DB56FB"/>
    <w:rsid w:val="00DB65E8"/>
    <w:rsid w:val="00DB7490"/>
    <w:rsid w:val="00DB7776"/>
    <w:rsid w:val="00DB7E7F"/>
    <w:rsid w:val="00DC01AA"/>
    <w:rsid w:val="00DC084A"/>
    <w:rsid w:val="00DC109A"/>
    <w:rsid w:val="00DC1156"/>
    <w:rsid w:val="00DC1435"/>
    <w:rsid w:val="00DC2199"/>
    <w:rsid w:val="00DC243D"/>
    <w:rsid w:val="00DC25A4"/>
    <w:rsid w:val="00DC27BC"/>
    <w:rsid w:val="00DC288D"/>
    <w:rsid w:val="00DC2A5B"/>
    <w:rsid w:val="00DC2CA8"/>
    <w:rsid w:val="00DC3CAB"/>
    <w:rsid w:val="00DC3EF5"/>
    <w:rsid w:val="00DC54E0"/>
    <w:rsid w:val="00DC5D01"/>
    <w:rsid w:val="00DC668D"/>
    <w:rsid w:val="00DC6A51"/>
    <w:rsid w:val="00DD013F"/>
    <w:rsid w:val="00DD01F0"/>
    <w:rsid w:val="00DD0A6E"/>
    <w:rsid w:val="00DD0FDB"/>
    <w:rsid w:val="00DD14EF"/>
    <w:rsid w:val="00DD1554"/>
    <w:rsid w:val="00DD189F"/>
    <w:rsid w:val="00DD1D35"/>
    <w:rsid w:val="00DD2077"/>
    <w:rsid w:val="00DD2331"/>
    <w:rsid w:val="00DD2ADC"/>
    <w:rsid w:val="00DD2DD6"/>
    <w:rsid w:val="00DD2F77"/>
    <w:rsid w:val="00DD2FFA"/>
    <w:rsid w:val="00DD36E2"/>
    <w:rsid w:val="00DD394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16"/>
    <w:rsid w:val="00DD758B"/>
    <w:rsid w:val="00DD783E"/>
    <w:rsid w:val="00DD78FB"/>
    <w:rsid w:val="00DD7EDD"/>
    <w:rsid w:val="00DE0052"/>
    <w:rsid w:val="00DE08A2"/>
    <w:rsid w:val="00DE0E28"/>
    <w:rsid w:val="00DE138D"/>
    <w:rsid w:val="00DE18C0"/>
    <w:rsid w:val="00DE247B"/>
    <w:rsid w:val="00DE298E"/>
    <w:rsid w:val="00DE2FE2"/>
    <w:rsid w:val="00DE329A"/>
    <w:rsid w:val="00DE32DF"/>
    <w:rsid w:val="00DE3411"/>
    <w:rsid w:val="00DE3867"/>
    <w:rsid w:val="00DE3D8E"/>
    <w:rsid w:val="00DE3F8E"/>
    <w:rsid w:val="00DE524A"/>
    <w:rsid w:val="00DE5859"/>
    <w:rsid w:val="00DE5C0B"/>
    <w:rsid w:val="00DE610C"/>
    <w:rsid w:val="00DE6DDA"/>
    <w:rsid w:val="00DE7C77"/>
    <w:rsid w:val="00DF00C4"/>
    <w:rsid w:val="00DF04C0"/>
    <w:rsid w:val="00DF079D"/>
    <w:rsid w:val="00DF0B8A"/>
    <w:rsid w:val="00DF0FF8"/>
    <w:rsid w:val="00DF217B"/>
    <w:rsid w:val="00DF2450"/>
    <w:rsid w:val="00DF24C9"/>
    <w:rsid w:val="00DF2735"/>
    <w:rsid w:val="00DF31C1"/>
    <w:rsid w:val="00DF3395"/>
    <w:rsid w:val="00DF3554"/>
    <w:rsid w:val="00DF365E"/>
    <w:rsid w:val="00DF378E"/>
    <w:rsid w:val="00DF4282"/>
    <w:rsid w:val="00DF474F"/>
    <w:rsid w:val="00DF5583"/>
    <w:rsid w:val="00DF55D0"/>
    <w:rsid w:val="00DF56A1"/>
    <w:rsid w:val="00DF5A7F"/>
    <w:rsid w:val="00DF5B7B"/>
    <w:rsid w:val="00DF6521"/>
    <w:rsid w:val="00DF652F"/>
    <w:rsid w:val="00DF6BC5"/>
    <w:rsid w:val="00DF6D05"/>
    <w:rsid w:val="00E000B1"/>
    <w:rsid w:val="00E001DB"/>
    <w:rsid w:val="00E01107"/>
    <w:rsid w:val="00E01234"/>
    <w:rsid w:val="00E024AF"/>
    <w:rsid w:val="00E03A3D"/>
    <w:rsid w:val="00E03B33"/>
    <w:rsid w:val="00E03E0C"/>
    <w:rsid w:val="00E03F66"/>
    <w:rsid w:val="00E0461C"/>
    <w:rsid w:val="00E0492C"/>
    <w:rsid w:val="00E04CC8"/>
    <w:rsid w:val="00E04D77"/>
    <w:rsid w:val="00E0611B"/>
    <w:rsid w:val="00E061D2"/>
    <w:rsid w:val="00E069BF"/>
    <w:rsid w:val="00E070E4"/>
    <w:rsid w:val="00E075EF"/>
    <w:rsid w:val="00E0766D"/>
    <w:rsid w:val="00E07723"/>
    <w:rsid w:val="00E07CAF"/>
    <w:rsid w:val="00E07E1C"/>
    <w:rsid w:val="00E1000E"/>
    <w:rsid w:val="00E10920"/>
    <w:rsid w:val="00E11124"/>
    <w:rsid w:val="00E11149"/>
    <w:rsid w:val="00E11A96"/>
    <w:rsid w:val="00E11E22"/>
    <w:rsid w:val="00E12743"/>
    <w:rsid w:val="00E13023"/>
    <w:rsid w:val="00E136EE"/>
    <w:rsid w:val="00E13942"/>
    <w:rsid w:val="00E13E5D"/>
    <w:rsid w:val="00E140F6"/>
    <w:rsid w:val="00E14B16"/>
    <w:rsid w:val="00E16014"/>
    <w:rsid w:val="00E16580"/>
    <w:rsid w:val="00E168C7"/>
    <w:rsid w:val="00E16EEB"/>
    <w:rsid w:val="00E176EB"/>
    <w:rsid w:val="00E17A75"/>
    <w:rsid w:val="00E20446"/>
    <w:rsid w:val="00E21A08"/>
    <w:rsid w:val="00E21D30"/>
    <w:rsid w:val="00E22126"/>
    <w:rsid w:val="00E2212B"/>
    <w:rsid w:val="00E229E0"/>
    <w:rsid w:val="00E22BE3"/>
    <w:rsid w:val="00E22D4F"/>
    <w:rsid w:val="00E23806"/>
    <w:rsid w:val="00E241CC"/>
    <w:rsid w:val="00E24663"/>
    <w:rsid w:val="00E24765"/>
    <w:rsid w:val="00E24898"/>
    <w:rsid w:val="00E25713"/>
    <w:rsid w:val="00E25B38"/>
    <w:rsid w:val="00E2600E"/>
    <w:rsid w:val="00E26078"/>
    <w:rsid w:val="00E26148"/>
    <w:rsid w:val="00E26308"/>
    <w:rsid w:val="00E2685A"/>
    <w:rsid w:val="00E26E06"/>
    <w:rsid w:val="00E2703D"/>
    <w:rsid w:val="00E2780E"/>
    <w:rsid w:val="00E30150"/>
    <w:rsid w:val="00E3040E"/>
    <w:rsid w:val="00E30598"/>
    <w:rsid w:val="00E30FD1"/>
    <w:rsid w:val="00E31332"/>
    <w:rsid w:val="00E313E8"/>
    <w:rsid w:val="00E31BC2"/>
    <w:rsid w:val="00E32218"/>
    <w:rsid w:val="00E32EA2"/>
    <w:rsid w:val="00E331C5"/>
    <w:rsid w:val="00E3377E"/>
    <w:rsid w:val="00E33D98"/>
    <w:rsid w:val="00E33FCD"/>
    <w:rsid w:val="00E3417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7B"/>
    <w:rsid w:val="00E415DC"/>
    <w:rsid w:val="00E4265F"/>
    <w:rsid w:val="00E42B5D"/>
    <w:rsid w:val="00E43073"/>
    <w:rsid w:val="00E434EA"/>
    <w:rsid w:val="00E43927"/>
    <w:rsid w:val="00E43A12"/>
    <w:rsid w:val="00E43AF5"/>
    <w:rsid w:val="00E43CB2"/>
    <w:rsid w:val="00E43E4F"/>
    <w:rsid w:val="00E442C8"/>
    <w:rsid w:val="00E44360"/>
    <w:rsid w:val="00E4454B"/>
    <w:rsid w:val="00E4460B"/>
    <w:rsid w:val="00E4460D"/>
    <w:rsid w:val="00E44A16"/>
    <w:rsid w:val="00E44B30"/>
    <w:rsid w:val="00E44BAA"/>
    <w:rsid w:val="00E45332"/>
    <w:rsid w:val="00E45474"/>
    <w:rsid w:val="00E45850"/>
    <w:rsid w:val="00E45A1C"/>
    <w:rsid w:val="00E460D0"/>
    <w:rsid w:val="00E4656F"/>
    <w:rsid w:val="00E478BF"/>
    <w:rsid w:val="00E47FEC"/>
    <w:rsid w:val="00E51761"/>
    <w:rsid w:val="00E51BE6"/>
    <w:rsid w:val="00E51CBA"/>
    <w:rsid w:val="00E51F35"/>
    <w:rsid w:val="00E542AE"/>
    <w:rsid w:val="00E54337"/>
    <w:rsid w:val="00E54674"/>
    <w:rsid w:val="00E5481E"/>
    <w:rsid w:val="00E54E0E"/>
    <w:rsid w:val="00E54F63"/>
    <w:rsid w:val="00E5571F"/>
    <w:rsid w:val="00E5577B"/>
    <w:rsid w:val="00E5585D"/>
    <w:rsid w:val="00E55AF1"/>
    <w:rsid w:val="00E55CF4"/>
    <w:rsid w:val="00E5620D"/>
    <w:rsid w:val="00E56359"/>
    <w:rsid w:val="00E567D6"/>
    <w:rsid w:val="00E56F3E"/>
    <w:rsid w:val="00E5709A"/>
    <w:rsid w:val="00E571D6"/>
    <w:rsid w:val="00E57373"/>
    <w:rsid w:val="00E5749B"/>
    <w:rsid w:val="00E60825"/>
    <w:rsid w:val="00E615B7"/>
    <w:rsid w:val="00E62F6D"/>
    <w:rsid w:val="00E63142"/>
    <w:rsid w:val="00E63CE4"/>
    <w:rsid w:val="00E64485"/>
    <w:rsid w:val="00E64A4A"/>
    <w:rsid w:val="00E653FD"/>
    <w:rsid w:val="00E65A7C"/>
    <w:rsid w:val="00E66D29"/>
    <w:rsid w:val="00E66DDB"/>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1A"/>
    <w:rsid w:val="00E75EFD"/>
    <w:rsid w:val="00E760D1"/>
    <w:rsid w:val="00E76E6E"/>
    <w:rsid w:val="00E77FD3"/>
    <w:rsid w:val="00E803FC"/>
    <w:rsid w:val="00E8053F"/>
    <w:rsid w:val="00E8061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4B"/>
    <w:rsid w:val="00E877FC"/>
    <w:rsid w:val="00E87BE5"/>
    <w:rsid w:val="00E90119"/>
    <w:rsid w:val="00E91692"/>
    <w:rsid w:val="00E91C6B"/>
    <w:rsid w:val="00E920B3"/>
    <w:rsid w:val="00E92113"/>
    <w:rsid w:val="00E92B28"/>
    <w:rsid w:val="00E93A8B"/>
    <w:rsid w:val="00E9447B"/>
    <w:rsid w:val="00E94538"/>
    <w:rsid w:val="00E94A45"/>
    <w:rsid w:val="00E94BAB"/>
    <w:rsid w:val="00E94D39"/>
    <w:rsid w:val="00E95883"/>
    <w:rsid w:val="00E95D6F"/>
    <w:rsid w:val="00E95DE2"/>
    <w:rsid w:val="00E96185"/>
    <w:rsid w:val="00E96BAC"/>
    <w:rsid w:val="00E971D4"/>
    <w:rsid w:val="00E971F2"/>
    <w:rsid w:val="00E97909"/>
    <w:rsid w:val="00E97D82"/>
    <w:rsid w:val="00E97EDE"/>
    <w:rsid w:val="00EA071E"/>
    <w:rsid w:val="00EA1CEE"/>
    <w:rsid w:val="00EA1D0B"/>
    <w:rsid w:val="00EA225E"/>
    <w:rsid w:val="00EA22C2"/>
    <w:rsid w:val="00EA2309"/>
    <w:rsid w:val="00EA23C5"/>
    <w:rsid w:val="00EA24DA"/>
    <w:rsid w:val="00EA2A10"/>
    <w:rsid w:val="00EA310F"/>
    <w:rsid w:val="00EA3373"/>
    <w:rsid w:val="00EA340A"/>
    <w:rsid w:val="00EA3E5B"/>
    <w:rsid w:val="00EA3EF0"/>
    <w:rsid w:val="00EA4493"/>
    <w:rsid w:val="00EA44EC"/>
    <w:rsid w:val="00EA4B0A"/>
    <w:rsid w:val="00EA54DC"/>
    <w:rsid w:val="00EA5CD0"/>
    <w:rsid w:val="00EA5FB0"/>
    <w:rsid w:val="00EA670C"/>
    <w:rsid w:val="00EA680E"/>
    <w:rsid w:val="00EB0364"/>
    <w:rsid w:val="00EB049A"/>
    <w:rsid w:val="00EB0549"/>
    <w:rsid w:val="00EB06F6"/>
    <w:rsid w:val="00EB13CF"/>
    <w:rsid w:val="00EB1BDD"/>
    <w:rsid w:val="00EB2190"/>
    <w:rsid w:val="00EB25EF"/>
    <w:rsid w:val="00EB2635"/>
    <w:rsid w:val="00EB2F84"/>
    <w:rsid w:val="00EB3188"/>
    <w:rsid w:val="00EB3224"/>
    <w:rsid w:val="00EB379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D7"/>
    <w:rsid w:val="00EB7D4A"/>
    <w:rsid w:val="00EC08F7"/>
    <w:rsid w:val="00EC0924"/>
    <w:rsid w:val="00EC1F6C"/>
    <w:rsid w:val="00EC2840"/>
    <w:rsid w:val="00EC29D7"/>
    <w:rsid w:val="00EC3198"/>
    <w:rsid w:val="00EC32D6"/>
    <w:rsid w:val="00EC397D"/>
    <w:rsid w:val="00EC3C67"/>
    <w:rsid w:val="00EC41CD"/>
    <w:rsid w:val="00EC47B0"/>
    <w:rsid w:val="00EC4C13"/>
    <w:rsid w:val="00EC50B9"/>
    <w:rsid w:val="00EC5DF5"/>
    <w:rsid w:val="00EC62A3"/>
    <w:rsid w:val="00EC64E5"/>
    <w:rsid w:val="00EC6B7B"/>
    <w:rsid w:val="00EC734F"/>
    <w:rsid w:val="00EC7949"/>
    <w:rsid w:val="00EC7C1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60"/>
    <w:rsid w:val="00ED5E1E"/>
    <w:rsid w:val="00ED625A"/>
    <w:rsid w:val="00ED66E2"/>
    <w:rsid w:val="00ED6D12"/>
    <w:rsid w:val="00ED7180"/>
    <w:rsid w:val="00ED72D5"/>
    <w:rsid w:val="00ED7ED0"/>
    <w:rsid w:val="00EE07D6"/>
    <w:rsid w:val="00EE0D4F"/>
    <w:rsid w:val="00EE118F"/>
    <w:rsid w:val="00EE11CF"/>
    <w:rsid w:val="00EE131A"/>
    <w:rsid w:val="00EE271B"/>
    <w:rsid w:val="00EE32A8"/>
    <w:rsid w:val="00EE3337"/>
    <w:rsid w:val="00EE36B2"/>
    <w:rsid w:val="00EE39D2"/>
    <w:rsid w:val="00EE3F20"/>
    <w:rsid w:val="00EE4A2F"/>
    <w:rsid w:val="00EE5017"/>
    <w:rsid w:val="00EE5558"/>
    <w:rsid w:val="00EE5714"/>
    <w:rsid w:val="00EE5F54"/>
    <w:rsid w:val="00EE631C"/>
    <w:rsid w:val="00EE64E5"/>
    <w:rsid w:val="00EE6979"/>
    <w:rsid w:val="00EE7502"/>
    <w:rsid w:val="00EE7627"/>
    <w:rsid w:val="00EF00AE"/>
    <w:rsid w:val="00EF0196"/>
    <w:rsid w:val="00EF07D2"/>
    <w:rsid w:val="00EF0E1E"/>
    <w:rsid w:val="00EF0F2B"/>
    <w:rsid w:val="00EF133E"/>
    <w:rsid w:val="00EF1889"/>
    <w:rsid w:val="00EF2194"/>
    <w:rsid w:val="00EF25E5"/>
    <w:rsid w:val="00EF28D9"/>
    <w:rsid w:val="00EF2A6A"/>
    <w:rsid w:val="00EF3372"/>
    <w:rsid w:val="00EF3512"/>
    <w:rsid w:val="00EF421C"/>
    <w:rsid w:val="00EF4FDD"/>
    <w:rsid w:val="00EF5575"/>
    <w:rsid w:val="00EF5A8D"/>
    <w:rsid w:val="00EF5BE9"/>
    <w:rsid w:val="00EF629E"/>
    <w:rsid w:val="00EF6908"/>
    <w:rsid w:val="00EF6F9D"/>
    <w:rsid w:val="00EF7515"/>
    <w:rsid w:val="00EF755D"/>
    <w:rsid w:val="00EF7E6D"/>
    <w:rsid w:val="00EF7F9A"/>
    <w:rsid w:val="00F00A16"/>
    <w:rsid w:val="00F01D53"/>
    <w:rsid w:val="00F02D25"/>
    <w:rsid w:val="00F02F77"/>
    <w:rsid w:val="00F0359B"/>
    <w:rsid w:val="00F03D37"/>
    <w:rsid w:val="00F04739"/>
    <w:rsid w:val="00F04A99"/>
    <w:rsid w:val="00F05073"/>
    <w:rsid w:val="00F05289"/>
    <w:rsid w:val="00F05827"/>
    <w:rsid w:val="00F063C4"/>
    <w:rsid w:val="00F064A6"/>
    <w:rsid w:val="00F065A5"/>
    <w:rsid w:val="00F105B4"/>
    <w:rsid w:val="00F11229"/>
    <w:rsid w:val="00F114EB"/>
    <w:rsid w:val="00F119B8"/>
    <w:rsid w:val="00F119D5"/>
    <w:rsid w:val="00F121D8"/>
    <w:rsid w:val="00F12637"/>
    <w:rsid w:val="00F1322C"/>
    <w:rsid w:val="00F13A41"/>
    <w:rsid w:val="00F147A5"/>
    <w:rsid w:val="00F14BE6"/>
    <w:rsid w:val="00F15CCE"/>
    <w:rsid w:val="00F16504"/>
    <w:rsid w:val="00F17B6B"/>
    <w:rsid w:val="00F17D62"/>
    <w:rsid w:val="00F17DAE"/>
    <w:rsid w:val="00F2053B"/>
    <w:rsid w:val="00F20EC4"/>
    <w:rsid w:val="00F219F8"/>
    <w:rsid w:val="00F22233"/>
    <w:rsid w:val="00F2265D"/>
    <w:rsid w:val="00F22B29"/>
    <w:rsid w:val="00F22EEF"/>
    <w:rsid w:val="00F22F17"/>
    <w:rsid w:val="00F2329A"/>
    <w:rsid w:val="00F238B6"/>
    <w:rsid w:val="00F2425B"/>
    <w:rsid w:val="00F246D6"/>
    <w:rsid w:val="00F2494A"/>
    <w:rsid w:val="00F24EAA"/>
    <w:rsid w:val="00F26098"/>
    <w:rsid w:val="00F26486"/>
    <w:rsid w:val="00F26F88"/>
    <w:rsid w:val="00F27B63"/>
    <w:rsid w:val="00F3099C"/>
    <w:rsid w:val="00F30C82"/>
    <w:rsid w:val="00F30E1D"/>
    <w:rsid w:val="00F30EED"/>
    <w:rsid w:val="00F30FE5"/>
    <w:rsid w:val="00F3145D"/>
    <w:rsid w:val="00F319C1"/>
    <w:rsid w:val="00F31B8E"/>
    <w:rsid w:val="00F31B9D"/>
    <w:rsid w:val="00F31ED9"/>
    <w:rsid w:val="00F32280"/>
    <w:rsid w:val="00F32A43"/>
    <w:rsid w:val="00F334C8"/>
    <w:rsid w:val="00F33AEE"/>
    <w:rsid w:val="00F342DF"/>
    <w:rsid w:val="00F34844"/>
    <w:rsid w:val="00F349D9"/>
    <w:rsid w:val="00F35571"/>
    <w:rsid w:val="00F35636"/>
    <w:rsid w:val="00F35C91"/>
    <w:rsid w:val="00F3670D"/>
    <w:rsid w:val="00F36DE9"/>
    <w:rsid w:val="00F36FF3"/>
    <w:rsid w:val="00F3718D"/>
    <w:rsid w:val="00F3733C"/>
    <w:rsid w:val="00F373B1"/>
    <w:rsid w:val="00F37610"/>
    <w:rsid w:val="00F37AA6"/>
    <w:rsid w:val="00F405EB"/>
    <w:rsid w:val="00F41CF2"/>
    <w:rsid w:val="00F42101"/>
    <w:rsid w:val="00F423D5"/>
    <w:rsid w:val="00F428FA"/>
    <w:rsid w:val="00F42E8D"/>
    <w:rsid w:val="00F43544"/>
    <w:rsid w:val="00F442D3"/>
    <w:rsid w:val="00F449F0"/>
    <w:rsid w:val="00F45191"/>
    <w:rsid w:val="00F46284"/>
    <w:rsid w:val="00F46C6E"/>
    <w:rsid w:val="00F46D1E"/>
    <w:rsid w:val="00F46EB8"/>
    <w:rsid w:val="00F47A22"/>
    <w:rsid w:val="00F506CD"/>
    <w:rsid w:val="00F51331"/>
    <w:rsid w:val="00F5224A"/>
    <w:rsid w:val="00F52F80"/>
    <w:rsid w:val="00F532C7"/>
    <w:rsid w:val="00F53513"/>
    <w:rsid w:val="00F538D9"/>
    <w:rsid w:val="00F53F6D"/>
    <w:rsid w:val="00F55331"/>
    <w:rsid w:val="00F553D7"/>
    <w:rsid w:val="00F55F38"/>
    <w:rsid w:val="00F55FA4"/>
    <w:rsid w:val="00F5648F"/>
    <w:rsid w:val="00F5651A"/>
    <w:rsid w:val="00F5735D"/>
    <w:rsid w:val="00F57966"/>
    <w:rsid w:val="00F60262"/>
    <w:rsid w:val="00F6045E"/>
    <w:rsid w:val="00F6101B"/>
    <w:rsid w:val="00F6188A"/>
    <w:rsid w:val="00F6192D"/>
    <w:rsid w:val="00F61F60"/>
    <w:rsid w:val="00F621CE"/>
    <w:rsid w:val="00F62749"/>
    <w:rsid w:val="00F62F9B"/>
    <w:rsid w:val="00F6367D"/>
    <w:rsid w:val="00F63804"/>
    <w:rsid w:val="00F63F4F"/>
    <w:rsid w:val="00F6426C"/>
    <w:rsid w:val="00F649A5"/>
    <w:rsid w:val="00F65098"/>
    <w:rsid w:val="00F651EB"/>
    <w:rsid w:val="00F6570C"/>
    <w:rsid w:val="00F657A3"/>
    <w:rsid w:val="00F65A48"/>
    <w:rsid w:val="00F663AA"/>
    <w:rsid w:val="00F66952"/>
    <w:rsid w:val="00F66E5F"/>
    <w:rsid w:val="00F701AC"/>
    <w:rsid w:val="00F70D9F"/>
    <w:rsid w:val="00F70E2B"/>
    <w:rsid w:val="00F711F8"/>
    <w:rsid w:val="00F71B58"/>
    <w:rsid w:val="00F722EE"/>
    <w:rsid w:val="00F72CA8"/>
    <w:rsid w:val="00F72FD7"/>
    <w:rsid w:val="00F7427F"/>
    <w:rsid w:val="00F74926"/>
    <w:rsid w:val="00F75848"/>
    <w:rsid w:val="00F75A6B"/>
    <w:rsid w:val="00F76FBF"/>
    <w:rsid w:val="00F7702C"/>
    <w:rsid w:val="00F77A2D"/>
    <w:rsid w:val="00F77C89"/>
    <w:rsid w:val="00F80001"/>
    <w:rsid w:val="00F80EE2"/>
    <w:rsid w:val="00F80FD0"/>
    <w:rsid w:val="00F81044"/>
    <w:rsid w:val="00F81F92"/>
    <w:rsid w:val="00F83BAB"/>
    <w:rsid w:val="00F83F0D"/>
    <w:rsid w:val="00F840FB"/>
    <w:rsid w:val="00F841E1"/>
    <w:rsid w:val="00F84A98"/>
    <w:rsid w:val="00F84AF1"/>
    <w:rsid w:val="00F8508C"/>
    <w:rsid w:val="00F853AD"/>
    <w:rsid w:val="00F8590E"/>
    <w:rsid w:val="00F85945"/>
    <w:rsid w:val="00F85F2A"/>
    <w:rsid w:val="00F864BA"/>
    <w:rsid w:val="00F86E67"/>
    <w:rsid w:val="00F871D1"/>
    <w:rsid w:val="00F875FD"/>
    <w:rsid w:val="00F87813"/>
    <w:rsid w:val="00F87C8C"/>
    <w:rsid w:val="00F9051D"/>
    <w:rsid w:val="00F90884"/>
    <w:rsid w:val="00F908E1"/>
    <w:rsid w:val="00F9094B"/>
    <w:rsid w:val="00F90E4F"/>
    <w:rsid w:val="00F90FF4"/>
    <w:rsid w:val="00F91C1C"/>
    <w:rsid w:val="00F91DAE"/>
    <w:rsid w:val="00F9220B"/>
    <w:rsid w:val="00F92BB5"/>
    <w:rsid w:val="00F92C0D"/>
    <w:rsid w:val="00F92FDA"/>
    <w:rsid w:val="00F93187"/>
    <w:rsid w:val="00F938DA"/>
    <w:rsid w:val="00F938FA"/>
    <w:rsid w:val="00F940B2"/>
    <w:rsid w:val="00F941A2"/>
    <w:rsid w:val="00F94EF5"/>
    <w:rsid w:val="00F94F7D"/>
    <w:rsid w:val="00F9501A"/>
    <w:rsid w:val="00F959DB"/>
    <w:rsid w:val="00F95A0C"/>
    <w:rsid w:val="00F960A6"/>
    <w:rsid w:val="00F960DC"/>
    <w:rsid w:val="00F96272"/>
    <w:rsid w:val="00F962A3"/>
    <w:rsid w:val="00F96563"/>
    <w:rsid w:val="00F96E32"/>
    <w:rsid w:val="00F97478"/>
    <w:rsid w:val="00F9776D"/>
    <w:rsid w:val="00FA05DC"/>
    <w:rsid w:val="00FA16DC"/>
    <w:rsid w:val="00FA17D9"/>
    <w:rsid w:val="00FA1D00"/>
    <w:rsid w:val="00FA1FBF"/>
    <w:rsid w:val="00FA2425"/>
    <w:rsid w:val="00FA30BF"/>
    <w:rsid w:val="00FA3195"/>
    <w:rsid w:val="00FA3239"/>
    <w:rsid w:val="00FA338F"/>
    <w:rsid w:val="00FA354B"/>
    <w:rsid w:val="00FA3932"/>
    <w:rsid w:val="00FA3C6D"/>
    <w:rsid w:val="00FA43EE"/>
    <w:rsid w:val="00FA4524"/>
    <w:rsid w:val="00FA472B"/>
    <w:rsid w:val="00FA4F46"/>
    <w:rsid w:val="00FA502A"/>
    <w:rsid w:val="00FA5076"/>
    <w:rsid w:val="00FA5447"/>
    <w:rsid w:val="00FA5645"/>
    <w:rsid w:val="00FA7004"/>
    <w:rsid w:val="00FB0CFB"/>
    <w:rsid w:val="00FB113D"/>
    <w:rsid w:val="00FB13DC"/>
    <w:rsid w:val="00FB188C"/>
    <w:rsid w:val="00FB23CF"/>
    <w:rsid w:val="00FB2981"/>
    <w:rsid w:val="00FB2ACE"/>
    <w:rsid w:val="00FB34C5"/>
    <w:rsid w:val="00FB35C5"/>
    <w:rsid w:val="00FB35F0"/>
    <w:rsid w:val="00FB399F"/>
    <w:rsid w:val="00FB4560"/>
    <w:rsid w:val="00FB4E7B"/>
    <w:rsid w:val="00FB4F28"/>
    <w:rsid w:val="00FB610C"/>
    <w:rsid w:val="00FB63BB"/>
    <w:rsid w:val="00FB672D"/>
    <w:rsid w:val="00FB6EB8"/>
    <w:rsid w:val="00FB6F59"/>
    <w:rsid w:val="00FC08FD"/>
    <w:rsid w:val="00FC0AB0"/>
    <w:rsid w:val="00FC11D7"/>
    <w:rsid w:val="00FC17A0"/>
    <w:rsid w:val="00FC1DD1"/>
    <w:rsid w:val="00FC1E9A"/>
    <w:rsid w:val="00FC2FB0"/>
    <w:rsid w:val="00FC3647"/>
    <w:rsid w:val="00FC3B64"/>
    <w:rsid w:val="00FC3F77"/>
    <w:rsid w:val="00FC59D6"/>
    <w:rsid w:val="00FC63A5"/>
    <w:rsid w:val="00FC63F6"/>
    <w:rsid w:val="00FC6643"/>
    <w:rsid w:val="00FC6910"/>
    <w:rsid w:val="00FC70B2"/>
    <w:rsid w:val="00FC71F9"/>
    <w:rsid w:val="00FC73C9"/>
    <w:rsid w:val="00FC75D3"/>
    <w:rsid w:val="00FC75F7"/>
    <w:rsid w:val="00FC7C4E"/>
    <w:rsid w:val="00FC7EF0"/>
    <w:rsid w:val="00FD0158"/>
    <w:rsid w:val="00FD04B9"/>
    <w:rsid w:val="00FD05BA"/>
    <w:rsid w:val="00FD05C7"/>
    <w:rsid w:val="00FD115B"/>
    <w:rsid w:val="00FD1438"/>
    <w:rsid w:val="00FD18BB"/>
    <w:rsid w:val="00FD2D9C"/>
    <w:rsid w:val="00FD40B5"/>
    <w:rsid w:val="00FD42C6"/>
    <w:rsid w:val="00FD4891"/>
    <w:rsid w:val="00FD4A95"/>
    <w:rsid w:val="00FD5172"/>
    <w:rsid w:val="00FD51C0"/>
    <w:rsid w:val="00FD5232"/>
    <w:rsid w:val="00FD5624"/>
    <w:rsid w:val="00FD5B0C"/>
    <w:rsid w:val="00FD5C48"/>
    <w:rsid w:val="00FD6004"/>
    <w:rsid w:val="00FD6803"/>
    <w:rsid w:val="00FD70AA"/>
    <w:rsid w:val="00FD7C27"/>
    <w:rsid w:val="00FE0103"/>
    <w:rsid w:val="00FE0504"/>
    <w:rsid w:val="00FE06BB"/>
    <w:rsid w:val="00FE0BB9"/>
    <w:rsid w:val="00FE1094"/>
    <w:rsid w:val="00FE1291"/>
    <w:rsid w:val="00FE249D"/>
    <w:rsid w:val="00FE3142"/>
    <w:rsid w:val="00FE3C30"/>
    <w:rsid w:val="00FE3ED2"/>
    <w:rsid w:val="00FE3EFC"/>
    <w:rsid w:val="00FE4932"/>
    <w:rsid w:val="00FE53F5"/>
    <w:rsid w:val="00FE5C06"/>
    <w:rsid w:val="00FE5C73"/>
    <w:rsid w:val="00FE609F"/>
    <w:rsid w:val="00FF02D6"/>
    <w:rsid w:val="00FF0BD9"/>
    <w:rsid w:val="00FF0BFA"/>
    <w:rsid w:val="00FF1084"/>
    <w:rsid w:val="00FF22BA"/>
    <w:rsid w:val="00FF255F"/>
    <w:rsid w:val="00FF2AA3"/>
    <w:rsid w:val="00FF2DF6"/>
    <w:rsid w:val="00FF30A2"/>
    <w:rsid w:val="00FF39E7"/>
    <w:rsid w:val="00FF39EE"/>
    <w:rsid w:val="00FF42E0"/>
    <w:rsid w:val="00FF4A82"/>
    <w:rsid w:val="00FF4AA0"/>
    <w:rsid w:val="00FF4BFE"/>
    <w:rsid w:val="00FF5443"/>
    <w:rsid w:val="00FF5A7A"/>
    <w:rsid w:val="00FF5AA2"/>
    <w:rsid w:val="00FF68BD"/>
    <w:rsid w:val="00FF700D"/>
    <w:rsid w:val="00FF7875"/>
    <w:rsid w:val="00FF7B80"/>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E7021D"/>
  <w15:chartTrackingRefBased/>
  <w15:docId w15:val="{B4E7F6C5-15B3-44C5-9CDB-F59BD545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EF07D2"/>
    <w:rPr>
      <w:color w:val="0563C1" w:themeColor="hyperlink"/>
      <w:u w:val="single"/>
    </w:rPr>
  </w:style>
  <w:style w:type="character" w:styleId="Olstomnmnande">
    <w:name w:val="Unresolved Mention"/>
    <w:basedOn w:val="Standardstycketeckensnitt"/>
    <w:uiPriority w:val="99"/>
    <w:semiHidden/>
    <w:unhideWhenUsed/>
    <w:rsid w:val="00EF07D2"/>
    <w:rPr>
      <w:color w:val="605E5C"/>
      <w:shd w:val="clear" w:color="auto" w:fill="E1DFDD"/>
    </w:rPr>
  </w:style>
  <w:style w:type="paragraph" w:styleId="Beskrivning">
    <w:name w:val="caption"/>
    <w:basedOn w:val="Normal"/>
    <w:next w:val="Normal"/>
    <w:uiPriority w:val="35"/>
    <w:unhideWhenUsed/>
    <w:qFormat/>
    <w:locked/>
    <w:rsid w:val="00E1000E"/>
    <w:pPr>
      <w:spacing w:after="200" w:line="240" w:lineRule="auto"/>
    </w:pPr>
    <w:rPr>
      <w:i/>
      <w:iCs/>
      <w:color w:val="44546A" w:themeColor="text2"/>
      <w:sz w:val="18"/>
      <w:szCs w:val="18"/>
    </w:rPr>
  </w:style>
  <w:style w:type="table" w:customStyle="1" w:styleId="Tabellrutnt1">
    <w:name w:val="Tabellrutnät1"/>
    <w:basedOn w:val="Normaltabell"/>
    <w:next w:val="Tabellrutnt"/>
    <w:uiPriority w:val="39"/>
    <w:rsid w:val="00E57373"/>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276928"/>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olumnrubrik">
    <w:name w:val="Tabell - Kolumnrubrik"/>
    <w:basedOn w:val="Normal"/>
    <w:uiPriority w:val="29"/>
    <w:unhideWhenUsed/>
    <w:qFormat/>
    <w:rsid w:val="009959DB"/>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9959DB"/>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Siffror">
    <w:name w:val="Tabell - Siffror"/>
    <w:basedOn w:val="Normal"/>
    <w:uiPriority w:val="29"/>
    <w:unhideWhenUsed/>
    <w:rsid w:val="009959DB"/>
    <w:pPr>
      <w:tabs>
        <w:tab w:val="clear" w:pos="284"/>
        <w:tab w:val="clear" w:pos="567"/>
        <w:tab w:val="clear" w:pos="851"/>
        <w:tab w:val="clear" w:pos="1134"/>
        <w:tab w:val="clear" w:pos="1701"/>
        <w:tab w:val="clear" w:pos="2268"/>
        <w:tab w:val="clear" w:pos="4536"/>
        <w:tab w:val="clear" w:pos="9072"/>
      </w:tabs>
      <w:spacing w:line="240" w:lineRule="exact"/>
      <w:ind w:firstLine="0"/>
      <w:jc w:val="right"/>
    </w:pPr>
    <w:rPr>
      <w:rFonts w:ascii="Times New Roman" w:eastAsia="Times New Roman" w:hAnsi="Times New Roman" w:cs="Times New Roman"/>
      <w:kern w:val="0"/>
      <w:sz w:val="20"/>
      <w:lang w:eastAsia="sv-SE"/>
      <w14:numSpacing w14:val="default"/>
    </w:rPr>
  </w:style>
  <w:style w:type="character" w:styleId="Fotnotsreferens">
    <w:name w:val="footnote reference"/>
    <w:basedOn w:val="Standardstycketeckensnitt"/>
    <w:uiPriority w:val="5"/>
    <w:semiHidden/>
    <w:unhideWhenUsed/>
    <w:locked/>
    <w:rsid w:val="00D63DC5"/>
    <w:rPr>
      <w:vertAlign w:val="superscript"/>
    </w:rPr>
  </w:style>
  <w:style w:type="paragraph" w:customStyle="1" w:styleId="Rubrik3budget">
    <w:name w:val="Rubrik 3 budget"/>
    <w:basedOn w:val="Rubrik3"/>
    <w:qFormat/>
    <w:rsid w:val="007606E1"/>
    <w:pPr>
      <w:keepLines w:val="0"/>
      <w:widowControl w:val="0"/>
      <w:suppressLineNumbers w:val="0"/>
      <w:tabs>
        <w:tab w:val="left" w:pos="284"/>
        <w:tab w:val="left" w:pos="567"/>
        <w:tab w:val="left" w:pos="1134"/>
      </w:tabs>
      <w:suppressAutoHyphens w:val="0"/>
      <w:adjustRightInd w:val="0"/>
      <w:spacing w:before="320" w:after="120" w:line="240" w:lineRule="auto"/>
      <w:ind w:left="720" w:hanging="720"/>
      <w:textAlignment w:val="baseline"/>
    </w:pPr>
    <w:rPr>
      <w:rFonts w:ascii="Barlow" w:eastAsia="Calibri" w:hAnsi="Barlow"/>
      <w:b w:val="0"/>
      <w:color w:val="322B68"/>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55">
      <w:bodyDiv w:val="1"/>
      <w:marLeft w:val="0"/>
      <w:marRight w:val="0"/>
      <w:marTop w:val="0"/>
      <w:marBottom w:val="0"/>
      <w:divBdr>
        <w:top w:val="none" w:sz="0" w:space="0" w:color="auto"/>
        <w:left w:val="none" w:sz="0" w:space="0" w:color="auto"/>
        <w:bottom w:val="none" w:sz="0" w:space="0" w:color="auto"/>
        <w:right w:val="none" w:sz="0" w:space="0" w:color="auto"/>
      </w:divBdr>
    </w:div>
    <w:div w:id="56435963">
      <w:bodyDiv w:val="1"/>
      <w:marLeft w:val="0"/>
      <w:marRight w:val="0"/>
      <w:marTop w:val="0"/>
      <w:marBottom w:val="0"/>
      <w:divBdr>
        <w:top w:val="none" w:sz="0" w:space="0" w:color="auto"/>
        <w:left w:val="none" w:sz="0" w:space="0" w:color="auto"/>
        <w:bottom w:val="none" w:sz="0" w:space="0" w:color="auto"/>
        <w:right w:val="none" w:sz="0" w:space="0" w:color="auto"/>
      </w:divBdr>
      <w:divsChild>
        <w:div w:id="257835564">
          <w:marLeft w:val="0"/>
          <w:marRight w:val="0"/>
          <w:marTop w:val="0"/>
          <w:marBottom w:val="0"/>
          <w:divBdr>
            <w:top w:val="none" w:sz="0" w:space="0" w:color="auto"/>
            <w:left w:val="none" w:sz="0" w:space="0" w:color="auto"/>
            <w:bottom w:val="none" w:sz="0" w:space="0" w:color="auto"/>
            <w:right w:val="none" w:sz="0" w:space="0" w:color="auto"/>
          </w:divBdr>
        </w:div>
        <w:div w:id="828062296">
          <w:marLeft w:val="0"/>
          <w:marRight w:val="0"/>
          <w:marTop w:val="0"/>
          <w:marBottom w:val="0"/>
          <w:divBdr>
            <w:top w:val="none" w:sz="0" w:space="0" w:color="auto"/>
            <w:left w:val="none" w:sz="0" w:space="0" w:color="auto"/>
            <w:bottom w:val="none" w:sz="0" w:space="0" w:color="auto"/>
            <w:right w:val="none" w:sz="0" w:space="0" w:color="auto"/>
          </w:divBdr>
        </w:div>
      </w:divsChild>
    </w:div>
    <w:div w:id="91897480">
      <w:bodyDiv w:val="1"/>
      <w:marLeft w:val="0"/>
      <w:marRight w:val="0"/>
      <w:marTop w:val="0"/>
      <w:marBottom w:val="0"/>
      <w:divBdr>
        <w:top w:val="none" w:sz="0" w:space="0" w:color="auto"/>
        <w:left w:val="none" w:sz="0" w:space="0" w:color="auto"/>
        <w:bottom w:val="none" w:sz="0" w:space="0" w:color="auto"/>
        <w:right w:val="none" w:sz="0" w:space="0" w:color="auto"/>
      </w:divBdr>
      <w:divsChild>
        <w:div w:id="1959140970">
          <w:marLeft w:val="0"/>
          <w:marRight w:val="0"/>
          <w:marTop w:val="0"/>
          <w:marBottom w:val="0"/>
          <w:divBdr>
            <w:top w:val="none" w:sz="0" w:space="0" w:color="auto"/>
            <w:left w:val="none" w:sz="0" w:space="0" w:color="auto"/>
            <w:bottom w:val="none" w:sz="0" w:space="0" w:color="auto"/>
            <w:right w:val="none" w:sz="0" w:space="0" w:color="auto"/>
          </w:divBdr>
        </w:div>
        <w:div w:id="1517619467">
          <w:marLeft w:val="0"/>
          <w:marRight w:val="0"/>
          <w:marTop w:val="0"/>
          <w:marBottom w:val="0"/>
          <w:divBdr>
            <w:top w:val="none" w:sz="0" w:space="0" w:color="auto"/>
            <w:left w:val="none" w:sz="0" w:space="0" w:color="auto"/>
            <w:bottom w:val="none" w:sz="0" w:space="0" w:color="auto"/>
            <w:right w:val="none" w:sz="0" w:space="0" w:color="auto"/>
          </w:divBdr>
        </w:div>
        <w:div w:id="14885975">
          <w:marLeft w:val="0"/>
          <w:marRight w:val="0"/>
          <w:marTop w:val="0"/>
          <w:marBottom w:val="0"/>
          <w:divBdr>
            <w:top w:val="none" w:sz="0" w:space="0" w:color="auto"/>
            <w:left w:val="none" w:sz="0" w:space="0" w:color="auto"/>
            <w:bottom w:val="none" w:sz="0" w:space="0" w:color="auto"/>
            <w:right w:val="none" w:sz="0" w:space="0" w:color="auto"/>
          </w:divBdr>
        </w:div>
      </w:divsChild>
    </w:div>
    <w:div w:id="94249549">
      <w:bodyDiv w:val="1"/>
      <w:marLeft w:val="0"/>
      <w:marRight w:val="0"/>
      <w:marTop w:val="0"/>
      <w:marBottom w:val="0"/>
      <w:divBdr>
        <w:top w:val="none" w:sz="0" w:space="0" w:color="auto"/>
        <w:left w:val="none" w:sz="0" w:space="0" w:color="auto"/>
        <w:bottom w:val="none" w:sz="0" w:space="0" w:color="auto"/>
        <w:right w:val="none" w:sz="0" w:space="0" w:color="auto"/>
      </w:divBdr>
      <w:divsChild>
        <w:div w:id="439642370">
          <w:marLeft w:val="0"/>
          <w:marRight w:val="0"/>
          <w:marTop w:val="0"/>
          <w:marBottom w:val="0"/>
          <w:divBdr>
            <w:top w:val="none" w:sz="0" w:space="0" w:color="auto"/>
            <w:left w:val="none" w:sz="0" w:space="0" w:color="auto"/>
            <w:bottom w:val="none" w:sz="0" w:space="0" w:color="auto"/>
            <w:right w:val="none" w:sz="0" w:space="0" w:color="auto"/>
          </w:divBdr>
        </w:div>
        <w:div w:id="347486370">
          <w:marLeft w:val="0"/>
          <w:marRight w:val="0"/>
          <w:marTop w:val="0"/>
          <w:marBottom w:val="0"/>
          <w:divBdr>
            <w:top w:val="none" w:sz="0" w:space="0" w:color="auto"/>
            <w:left w:val="none" w:sz="0" w:space="0" w:color="auto"/>
            <w:bottom w:val="none" w:sz="0" w:space="0" w:color="auto"/>
            <w:right w:val="none" w:sz="0" w:space="0" w:color="auto"/>
          </w:divBdr>
        </w:div>
        <w:div w:id="643658988">
          <w:marLeft w:val="0"/>
          <w:marRight w:val="0"/>
          <w:marTop w:val="0"/>
          <w:marBottom w:val="0"/>
          <w:divBdr>
            <w:top w:val="none" w:sz="0" w:space="0" w:color="auto"/>
            <w:left w:val="none" w:sz="0" w:space="0" w:color="auto"/>
            <w:bottom w:val="none" w:sz="0" w:space="0" w:color="auto"/>
            <w:right w:val="none" w:sz="0" w:space="0" w:color="auto"/>
          </w:divBdr>
        </w:div>
      </w:divsChild>
    </w:div>
    <w:div w:id="117921109">
      <w:bodyDiv w:val="1"/>
      <w:marLeft w:val="0"/>
      <w:marRight w:val="0"/>
      <w:marTop w:val="0"/>
      <w:marBottom w:val="0"/>
      <w:divBdr>
        <w:top w:val="none" w:sz="0" w:space="0" w:color="auto"/>
        <w:left w:val="none" w:sz="0" w:space="0" w:color="auto"/>
        <w:bottom w:val="none" w:sz="0" w:space="0" w:color="auto"/>
        <w:right w:val="none" w:sz="0" w:space="0" w:color="auto"/>
      </w:divBdr>
    </w:div>
    <w:div w:id="127481761">
      <w:bodyDiv w:val="1"/>
      <w:marLeft w:val="0"/>
      <w:marRight w:val="0"/>
      <w:marTop w:val="0"/>
      <w:marBottom w:val="0"/>
      <w:divBdr>
        <w:top w:val="none" w:sz="0" w:space="0" w:color="auto"/>
        <w:left w:val="none" w:sz="0" w:space="0" w:color="auto"/>
        <w:bottom w:val="none" w:sz="0" w:space="0" w:color="auto"/>
        <w:right w:val="none" w:sz="0" w:space="0" w:color="auto"/>
      </w:divBdr>
    </w:div>
    <w:div w:id="132985477">
      <w:bodyDiv w:val="1"/>
      <w:marLeft w:val="0"/>
      <w:marRight w:val="0"/>
      <w:marTop w:val="0"/>
      <w:marBottom w:val="0"/>
      <w:divBdr>
        <w:top w:val="none" w:sz="0" w:space="0" w:color="auto"/>
        <w:left w:val="none" w:sz="0" w:space="0" w:color="auto"/>
        <w:bottom w:val="none" w:sz="0" w:space="0" w:color="auto"/>
        <w:right w:val="none" w:sz="0" w:space="0" w:color="auto"/>
      </w:divBdr>
      <w:divsChild>
        <w:div w:id="1342196556">
          <w:marLeft w:val="0"/>
          <w:marRight w:val="0"/>
          <w:marTop w:val="0"/>
          <w:marBottom w:val="0"/>
          <w:divBdr>
            <w:top w:val="none" w:sz="0" w:space="0" w:color="auto"/>
            <w:left w:val="none" w:sz="0" w:space="0" w:color="auto"/>
            <w:bottom w:val="none" w:sz="0" w:space="0" w:color="auto"/>
            <w:right w:val="none" w:sz="0" w:space="0" w:color="auto"/>
          </w:divBdr>
        </w:div>
        <w:div w:id="1230850350">
          <w:marLeft w:val="0"/>
          <w:marRight w:val="0"/>
          <w:marTop w:val="0"/>
          <w:marBottom w:val="0"/>
          <w:divBdr>
            <w:top w:val="none" w:sz="0" w:space="0" w:color="auto"/>
            <w:left w:val="none" w:sz="0" w:space="0" w:color="auto"/>
            <w:bottom w:val="none" w:sz="0" w:space="0" w:color="auto"/>
            <w:right w:val="none" w:sz="0" w:space="0" w:color="auto"/>
          </w:divBdr>
        </w:div>
        <w:div w:id="128784262">
          <w:marLeft w:val="0"/>
          <w:marRight w:val="0"/>
          <w:marTop w:val="0"/>
          <w:marBottom w:val="0"/>
          <w:divBdr>
            <w:top w:val="none" w:sz="0" w:space="0" w:color="auto"/>
            <w:left w:val="none" w:sz="0" w:space="0" w:color="auto"/>
            <w:bottom w:val="none" w:sz="0" w:space="0" w:color="auto"/>
            <w:right w:val="none" w:sz="0" w:space="0" w:color="auto"/>
          </w:divBdr>
        </w:div>
      </w:divsChild>
    </w:div>
    <w:div w:id="156265795">
      <w:bodyDiv w:val="1"/>
      <w:marLeft w:val="0"/>
      <w:marRight w:val="0"/>
      <w:marTop w:val="0"/>
      <w:marBottom w:val="0"/>
      <w:divBdr>
        <w:top w:val="none" w:sz="0" w:space="0" w:color="auto"/>
        <w:left w:val="none" w:sz="0" w:space="0" w:color="auto"/>
        <w:bottom w:val="none" w:sz="0" w:space="0" w:color="auto"/>
        <w:right w:val="none" w:sz="0" w:space="0" w:color="auto"/>
      </w:divBdr>
      <w:divsChild>
        <w:div w:id="628819820">
          <w:marLeft w:val="0"/>
          <w:marRight w:val="0"/>
          <w:marTop w:val="0"/>
          <w:marBottom w:val="0"/>
          <w:divBdr>
            <w:top w:val="none" w:sz="0" w:space="0" w:color="auto"/>
            <w:left w:val="none" w:sz="0" w:space="0" w:color="auto"/>
            <w:bottom w:val="none" w:sz="0" w:space="0" w:color="auto"/>
            <w:right w:val="none" w:sz="0" w:space="0" w:color="auto"/>
          </w:divBdr>
        </w:div>
        <w:div w:id="936058827">
          <w:marLeft w:val="0"/>
          <w:marRight w:val="0"/>
          <w:marTop w:val="0"/>
          <w:marBottom w:val="0"/>
          <w:divBdr>
            <w:top w:val="none" w:sz="0" w:space="0" w:color="auto"/>
            <w:left w:val="none" w:sz="0" w:space="0" w:color="auto"/>
            <w:bottom w:val="none" w:sz="0" w:space="0" w:color="auto"/>
            <w:right w:val="none" w:sz="0" w:space="0" w:color="auto"/>
          </w:divBdr>
        </w:div>
        <w:div w:id="934289794">
          <w:marLeft w:val="0"/>
          <w:marRight w:val="0"/>
          <w:marTop w:val="0"/>
          <w:marBottom w:val="0"/>
          <w:divBdr>
            <w:top w:val="none" w:sz="0" w:space="0" w:color="auto"/>
            <w:left w:val="none" w:sz="0" w:space="0" w:color="auto"/>
            <w:bottom w:val="none" w:sz="0" w:space="0" w:color="auto"/>
            <w:right w:val="none" w:sz="0" w:space="0" w:color="auto"/>
          </w:divBdr>
        </w:div>
      </w:divsChild>
    </w:div>
    <w:div w:id="210770391">
      <w:bodyDiv w:val="1"/>
      <w:marLeft w:val="0"/>
      <w:marRight w:val="0"/>
      <w:marTop w:val="0"/>
      <w:marBottom w:val="0"/>
      <w:divBdr>
        <w:top w:val="none" w:sz="0" w:space="0" w:color="auto"/>
        <w:left w:val="none" w:sz="0" w:space="0" w:color="auto"/>
        <w:bottom w:val="none" w:sz="0" w:space="0" w:color="auto"/>
        <w:right w:val="none" w:sz="0" w:space="0" w:color="auto"/>
      </w:divBdr>
      <w:divsChild>
        <w:div w:id="231043309">
          <w:marLeft w:val="0"/>
          <w:marRight w:val="0"/>
          <w:marTop w:val="0"/>
          <w:marBottom w:val="0"/>
          <w:divBdr>
            <w:top w:val="none" w:sz="0" w:space="0" w:color="auto"/>
            <w:left w:val="none" w:sz="0" w:space="0" w:color="auto"/>
            <w:bottom w:val="none" w:sz="0" w:space="0" w:color="auto"/>
            <w:right w:val="none" w:sz="0" w:space="0" w:color="auto"/>
          </w:divBdr>
        </w:div>
        <w:div w:id="1783765922">
          <w:marLeft w:val="0"/>
          <w:marRight w:val="0"/>
          <w:marTop w:val="0"/>
          <w:marBottom w:val="0"/>
          <w:divBdr>
            <w:top w:val="none" w:sz="0" w:space="0" w:color="auto"/>
            <w:left w:val="none" w:sz="0" w:space="0" w:color="auto"/>
            <w:bottom w:val="none" w:sz="0" w:space="0" w:color="auto"/>
            <w:right w:val="none" w:sz="0" w:space="0" w:color="auto"/>
          </w:divBdr>
        </w:div>
        <w:div w:id="717358364">
          <w:marLeft w:val="0"/>
          <w:marRight w:val="0"/>
          <w:marTop w:val="0"/>
          <w:marBottom w:val="0"/>
          <w:divBdr>
            <w:top w:val="none" w:sz="0" w:space="0" w:color="auto"/>
            <w:left w:val="none" w:sz="0" w:space="0" w:color="auto"/>
            <w:bottom w:val="none" w:sz="0" w:space="0" w:color="auto"/>
            <w:right w:val="none" w:sz="0" w:space="0" w:color="auto"/>
          </w:divBdr>
        </w:div>
      </w:divsChild>
    </w:div>
    <w:div w:id="22926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2526">
          <w:marLeft w:val="0"/>
          <w:marRight w:val="0"/>
          <w:marTop w:val="0"/>
          <w:marBottom w:val="0"/>
          <w:divBdr>
            <w:top w:val="none" w:sz="0" w:space="0" w:color="auto"/>
            <w:left w:val="none" w:sz="0" w:space="0" w:color="auto"/>
            <w:bottom w:val="none" w:sz="0" w:space="0" w:color="auto"/>
            <w:right w:val="none" w:sz="0" w:space="0" w:color="auto"/>
          </w:divBdr>
        </w:div>
        <w:div w:id="1465543440">
          <w:marLeft w:val="0"/>
          <w:marRight w:val="0"/>
          <w:marTop w:val="0"/>
          <w:marBottom w:val="0"/>
          <w:divBdr>
            <w:top w:val="none" w:sz="0" w:space="0" w:color="auto"/>
            <w:left w:val="none" w:sz="0" w:space="0" w:color="auto"/>
            <w:bottom w:val="none" w:sz="0" w:space="0" w:color="auto"/>
            <w:right w:val="none" w:sz="0" w:space="0" w:color="auto"/>
          </w:divBdr>
        </w:div>
      </w:divsChild>
    </w:div>
    <w:div w:id="251160561">
      <w:bodyDiv w:val="1"/>
      <w:marLeft w:val="0"/>
      <w:marRight w:val="0"/>
      <w:marTop w:val="0"/>
      <w:marBottom w:val="0"/>
      <w:divBdr>
        <w:top w:val="none" w:sz="0" w:space="0" w:color="auto"/>
        <w:left w:val="none" w:sz="0" w:space="0" w:color="auto"/>
        <w:bottom w:val="none" w:sz="0" w:space="0" w:color="auto"/>
        <w:right w:val="none" w:sz="0" w:space="0" w:color="auto"/>
      </w:divBdr>
      <w:divsChild>
        <w:div w:id="774984608">
          <w:marLeft w:val="0"/>
          <w:marRight w:val="0"/>
          <w:marTop w:val="0"/>
          <w:marBottom w:val="0"/>
          <w:divBdr>
            <w:top w:val="none" w:sz="0" w:space="0" w:color="auto"/>
            <w:left w:val="none" w:sz="0" w:space="0" w:color="auto"/>
            <w:bottom w:val="none" w:sz="0" w:space="0" w:color="auto"/>
            <w:right w:val="none" w:sz="0" w:space="0" w:color="auto"/>
          </w:divBdr>
        </w:div>
        <w:div w:id="1390609427">
          <w:marLeft w:val="0"/>
          <w:marRight w:val="0"/>
          <w:marTop w:val="0"/>
          <w:marBottom w:val="0"/>
          <w:divBdr>
            <w:top w:val="none" w:sz="0" w:space="0" w:color="auto"/>
            <w:left w:val="none" w:sz="0" w:space="0" w:color="auto"/>
            <w:bottom w:val="none" w:sz="0" w:space="0" w:color="auto"/>
            <w:right w:val="none" w:sz="0" w:space="0" w:color="auto"/>
          </w:divBdr>
        </w:div>
        <w:div w:id="1651444217">
          <w:marLeft w:val="0"/>
          <w:marRight w:val="0"/>
          <w:marTop w:val="0"/>
          <w:marBottom w:val="0"/>
          <w:divBdr>
            <w:top w:val="none" w:sz="0" w:space="0" w:color="auto"/>
            <w:left w:val="none" w:sz="0" w:space="0" w:color="auto"/>
            <w:bottom w:val="none" w:sz="0" w:space="0" w:color="auto"/>
            <w:right w:val="none" w:sz="0" w:space="0" w:color="auto"/>
          </w:divBdr>
        </w:div>
      </w:divsChild>
    </w:div>
    <w:div w:id="253324574">
      <w:bodyDiv w:val="1"/>
      <w:marLeft w:val="0"/>
      <w:marRight w:val="0"/>
      <w:marTop w:val="0"/>
      <w:marBottom w:val="0"/>
      <w:divBdr>
        <w:top w:val="none" w:sz="0" w:space="0" w:color="auto"/>
        <w:left w:val="none" w:sz="0" w:space="0" w:color="auto"/>
        <w:bottom w:val="none" w:sz="0" w:space="0" w:color="auto"/>
        <w:right w:val="none" w:sz="0" w:space="0" w:color="auto"/>
      </w:divBdr>
      <w:divsChild>
        <w:div w:id="2113435625">
          <w:marLeft w:val="0"/>
          <w:marRight w:val="0"/>
          <w:marTop w:val="0"/>
          <w:marBottom w:val="0"/>
          <w:divBdr>
            <w:top w:val="none" w:sz="0" w:space="0" w:color="auto"/>
            <w:left w:val="none" w:sz="0" w:space="0" w:color="auto"/>
            <w:bottom w:val="none" w:sz="0" w:space="0" w:color="auto"/>
            <w:right w:val="none" w:sz="0" w:space="0" w:color="auto"/>
          </w:divBdr>
        </w:div>
        <w:div w:id="1656837709">
          <w:marLeft w:val="0"/>
          <w:marRight w:val="0"/>
          <w:marTop w:val="0"/>
          <w:marBottom w:val="0"/>
          <w:divBdr>
            <w:top w:val="none" w:sz="0" w:space="0" w:color="auto"/>
            <w:left w:val="none" w:sz="0" w:space="0" w:color="auto"/>
            <w:bottom w:val="none" w:sz="0" w:space="0" w:color="auto"/>
            <w:right w:val="none" w:sz="0" w:space="0" w:color="auto"/>
          </w:divBdr>
        </w:div>
      </w:divsChild>
    </w:div>
    <w:div w:id="290750257">
      <w:bodyDiv w:val="1"/>
      <w:marLeft w:val="0"/>
      <w:marRight w:val="0"/>
      <w:marTop w:val="0"/>
      <w:marBottom w:val="0"/>
      <w:divBdr>
        <w:top w:val="none" w:sz="0" w:space="0" w:color="auto"/>
        <w:left w:val="none" w:sz="0" w:space="0" w:color="auto"/>
        <w:bottom w:val="none" w:sz="0" w:space="0" w:color="auto"/>
        <w:right w:val="none" w:sz="0" w:space="0" w:color="auto"/>
      </w:divBdr>
      <w:divsChild>
        <w:div w:id="1424835557">
          <w:marLeft w:val="0"/>
          <w:marRight w:val="0"/>
          <w:marTop w:val="0"/>
          <w:marBottom w:val="0"/>
          <w:divBdr>
            <w:top w:val="none" w:sz="0" w:space="0" w:color="auto"/>
            <w:left w:val="none" w:sz="0" w:space="0" w:color="auto"/>
            <w:bottom w:val="none" w:sz="0" w:space="0" w:color="auto"/>
            <w:right w:val="none" w:sz="0" w:space="0" w:color="auto"/>
          </w:divBdr>
        </w:div>
        <w:div w:id="1288583409">
          <w:marLeft w:val="0"/>
          <w:marRight w:val="0"/>
          <w:marTop w:val="0"/>
          <w:marBottom w:val="0"/>
          <w:divBdr>
            <w:top w:val="none" w:sz="0" w:space="0" w:color="auto"/>
            <w:left w:val="none" w:sz="0" w:space="0" w:color="auto"/>
            <w:bottom w:val="none" w:sz="0" w:space="0" w:color="auto"/>
            <w:right w:val="none" w:sz="0" w:space="0" w:color="auto"/>
          </w:divBdr>
        </w:div>
      </w:divsChild>
    </w:div>
    <w:div w:id="322054375">
      <w:bodyDiv w:val="1"/>
      <w:marLeft w:val="0"/>
      <w:marRight w:val="0"/>
      <w:marTop w:val="0"/>
      <w:marBottom w:val="0"/>
      <w:divBdr>
        <w:top w:val="none" w:sz="0" w:space="0" w:color="auto"/>
        <w:left w:val="none" w:sz="0" w:space="0" w:color="auto"/>
        <w:bottom w:val="none" w:sz="0" w:space="0" w:color="auto"/>
        <w:right w:val="none" w:sz="0" w:space="0" w:color="auto"/>
      </w:divBdr>
      <w:divsChild>
        <w:div w:id="1202790430">
          <w:marLeft w:val="0"/>
          <w:marRight w:val="0"/>
          <w:marTop w:val="0"/>
          <w:marBottom w:val="0"/>
          <w:divBdr>
            <w:top w:val="none" w:sz="0" w:space="0" w:color="auto"/>
            <w:left w:val="none" w:sz="0" w:space="0" w:color="auto"/>
            <w:bottom w:val="none" w:sz="0" w:space="0" w:color="auto"/>
            <w:right w:val="none" w:sz="0" w:space="0" w:color="auto"/>
          </w:divBdr>
        </w:div>
        <w:div w:id="663974123">
          <w:marLeft w:val="0"/>
          <w:marRight w:val="0"/>
          <w:marTop w:val="0"/>
          <w:marBottom w:val="0"/>
          <w:divBdr>
            <w:top w:val="none" w:sz="0" w:space="0" w:color="auto"/>
            <w:left w:val="none" w:sz="0" w:space="0" w:color="auto"/>
            <w:bottom w:val="none" w:sz="0" w:space="0" w:color="auto"/>
            <w:right w:val="none" w:sz="0" w:space="0" w:color="auto"/>
          </w:divBdr>
        </w:div>
        <w:div w:id="426267873">
          <w:marLeft w:val="0"/>
          <w:marRight w:val="0"/>
          <w:marTop w:val="0"/>
          <w:marBottom w:val="0"/>
          <w:divBdr>
            <w:top w:val="none" w:sz="0" w:space="0" w:color="auto"/>
            <w:left w:val="none" w:sz="0" w:space="0" w:color="auto"/>
            <w:bottom w:val="none" w:sz="0" w:space="0" w:color="auto"/>
            <w:right w:val="none" w:sz="0" w:space="0" w:color="auto"/>
          </w:divBdr>
        </w:div>
      </w:divsChild>
    </w:div>
    <w:div w:id="333999549">
      <w:bodyDiv w:val="1"/>
      <w:marLeft w:val="0"/>
      <w:marRight w:val="0"/>
      <w:marTop w:val="0"/>
      <w:marBottom w:val="0"/>
      <w:divBdr>
        <w:top w:val="none" w:sz="0" w:space="0" w:color="auto"/>
        <w:left w:val="none" w:sz="0" w:space="0" w:color="auto"/>
        <w:bottom w:val="none" w:sz="0" w:space="0" w:color="auto"/>
        <w:right w:val="none" w:sz="0" w:space="0" w:color="auto"/>
      </w:divBdr>
      <w:divsChild>
        <w:div w:id="202210345">
          <w:marLeft w:val="0"/>
          <w:marRight w:val="0"/>
          <w:marTop w:val="0"/>
          <w:marBottom w:val="0"/>
          <w:divBdr>
            <w:top w:val="none" w:sz="0" w:space="0" w:color="auto"/>
            <w:left w:val="none" w:sz="0" w:space="0" w:color="auto"/>
            <w:bottom w:val="none" w:sz="0" w:space="0" w:color="auto"/>
            <w:right w:val="none" w:sz="0" w:space="0" w:color="auto"/>
          </w:divBdr>
        </w:div>
        <w:div w:id="1428889609">
          <w:marLeft w:val="0"/>
          <w:marRight w:val="0"/>
          <w:marTop w:val="0"/>
          <w:marBottom w:val="0"/>
          <w:divBdr>
            <w:top w:val="none" w:sz="0" w:space="0" w:color="auto"/>
            <w:left w:val="none" w:sz="0" w:space="0" w:color="auto"/>
            <w:bottom w:val="none" w:sz="0" w:space="0" w:color="auto"/>
            <w:right w:val="none" w:sz="0" w:space="0" w:color="auto"/>
          </w:divBdr>
        </w:div>
        <w:div w:id="194392382">
          <w:marLeft w:val="0"/>
          <w:marRight w:val="0"/>
          <w:marTop w:val="0"/>
          <w:marBottom w:val="0"/>
          <w:divBdr>
            <w:top w:val="none" w:sz="0" w:space="0" w:color="auto"/>
            <w:left w:val="none" w:sz="0" w:space="0" w:color="auto"/>
            <w:bottom w:val="none" w:sz="0" w:space="0" w:color="auto"/>
            <w:right w:val="none" w:sz="0" w:space="0" w:color="auto"/>
          </w:divBdr>
        </w:div>
      </w:divsChild>
    </w:div>
    <w:div w:id="357582521">
      <w:bodyDiv w:val="1"/>
      <w:marLeft w:val="0"/>
      <w:marRight w:val="0"/>
      <w:marTop w:val="0"/>
      <w:marBottom w:val="0"/>
      <w:divBdr>
        <w:top w:val="none" w:sz="0" w:space="0" w:color="auto"/>
        <w:left w:val="none" w:sz="0" w:space="0" w:color="auto"/>
        <w:bottom w:val="none" w:sz="0" w:space="0" w:color="auto"/>
        <w:right w:val="none" w:sz="0" w:space="0" w:color="auto"/>
      </w:divBdr>
    </w:div>
    <w:div w:id="368141203">
      <w:bodyDiv w:val="1"/>
      <w:marLeft w:val="0"/>
      <w:marRight w:val="0"/>
      <w:marTop w:val="0"/>
      <w:marBottom w:val="0"/>
      <w:divBdr>
        <w:top w:val="none" w:sz="0" w:space="0" w:color="auto"/>
        <w:left w:val="none" w:sz="0" w:space="0" w:color="auto"/>
        <w:bottom w:val="none" w:sz="0" w:space="0" w:color="auto"/>
        <w:right w:val="none" w:sz="0" w:space="0" w:color="auto"/>
      </w:divBdr>
    </w:div>
    <w:div w:id="429855285">
      <w:bodyDiv w:val="1"/>
      <w:marLeft w:val="0"/>
      <w:marRight w:val="0"/>
      <w:marTop w:val="0"/>
      <w:marBottom w:val="0"/>
      <w:divBdr>
        <w:top w:val="none" w:sz="0" w:space="0" w:color="auto"/>
        <w:left w:val="none" w:sz="0" w:space="0" w:color="auto"/>
        <w:bottom w:val="none" w:sz="0" w:space="0" w:color="auto"/>
        <w:right w:val="none" w:sz="0" w:space="0" w:color="auto"/>
      </w:divBdr>
      <w:divsChild>
        <w:div w:id="1597127486">
          <w:marLeft w:val="0"/>
          <w:marRight w:val="0"/>
          <w:marTop w:val="0"/>
          <w:marBottom w:val="0"/>
          <w:divBdr>
            <w:top w:val="none" w:sz="0" w:space="0" w:color="auto"/>
            <w:left w:val="none" w:sz="0" w:space="0" w:color="auto"/>
            <w:bottom w:val="none" w:sz="0" w:space="0" w:color="auto"/>
            <w:right w:val="none" w:sz="0" w:space="0" w:color="auto"/>
          </w:divBdr>
        </w:div>
        <w:div w:id="1504395814">
          <w:marLeft w:val="0"/>
          <w:marRight w:val="0"/>
          <w:marTop w:val="0"/>
          <w:marBottom w:val="0"/>
          <w:divBdr>
            <w:top w:val="none" w:sz="0" w:space="0" w:color="auto"/>
            <w:left w:val="none" w:sz="0" w:space="0" w:color="auto"/>
            <w:bottom w:val="none" w:sz="0" w:space="0" w:color="auto"/>
            <w:right w:val="none" w:sz="0" w:space="0" w:color="auto"/>
          </w:divBdr>
        </w:div>
        <w:div w:id="1054544584">
          <w:marLeft w:val="0"/>
          <w:marRight w:val="0"/>
          <w:marTop w:val="0"/>
          <w:marBottom w:val="0"/>
          <w:divBdr>
            <w:top w:val="none" w:sz="0" w:space="0" w:color="auto"/>
            <w:left w:val="none" w:sz="0" w:space="0" w:color="auto"/>
            <w:bottom w:val="none" w:sz="0" w:space="0" w:color="auto"/>
            <w:right w:val="none" w:sz="0" w:space="0" w:color="auto"/>
          </w:divBdr>
        </w:div>
      </w:divsChild>
    </w:div>
    <w:div w:id="439692150">
      <w:bodyDiv w:val="1"/>
      <w:marLeft w:val="0"/>
      <w:marRight w:val="0"/>
      <w:marTop w:val="0"/>
      <w:marBottom w:val="0"/>
      <w:divBdr>
        <w:top w:val="none" w:sz="0" w:space="0" w:color="auto"/>
        <w:left w:val="none" w:sz="0" w:space="0" w:color="auto"/>
        <w:bottom w:val="none" w:sz="0" w:space="0" w:color="auto"/>
        <w:right w:val="none" w:sz="0" w:space="0" w:color="auto"/>
      </w:divBdr>
    </w:div>
    <w:div w:id="449784186">
      <w:bodyDiv w:val="1"/>
      <w:marLeft w:val="0"/>
      <w:marRight w:val="0"/>
      <w:marTop w:val="0"/>
      <w:marBottom w:val="0"/>
      <w:divBdr>
        <w:top w:val="none" w:sz="0" w:space="0" w:color="auto"/>
        <w:left w:val="none" w:sz="0" w:space="0" w:color="auto"/>
        <w:bottom w:val="none" w:sz="0" w:space="0" w:color="auto"/>
        <w:right w:val="none" w:sz="0" w:space="0" w:color="auto"/>
      </w:divBdr>
      <w:divsChild>
        <w:div w:id="13846983">
          <w:marLeft w:val="0"/>
          <w:marRight w:val="0"/>
          <w:marTop w:val="0"/>
          <w:marBottom w:val="0"/>
          <w:divBdr>
            <w:top w:val="none" w:sz="0" w:space="0" w:color="auto"/>
            <w:left w:val="none" w:sz="0" w:space="0" w:color="auto"/>
            <w:bottom w:val="none" w:sz="0" w:space="0" w:color="auto"/>
            <w:right w:val="none" w:sz="0" w:space="0" w:color="auto"/>
          </w:divBdr>
        </w:div>
        <w:div w:id="70783882">
          <w:marLeft w:val="0"/>
          <w:marRight w:val="0"/>
          <w:marTop w:val="0"/>
          <w:marBottom w:val="0"/>
          <w:divBdr>
            <w:top w:val="none" w:sz="0" w:space="0" w:color="auto"/>
            <w:left w:val="none" w:sz="0" w:space="0" w:color="auto"/>
            <w:bottom w:val="none" w:sz="0" w:space="0" w:color="auto"/>
            <w:right w:val="none" w:sz="0" w:space="0" w:color="auto"/>
          </w:divBdr>
        </w:div>
        <w:div w:id="281888605">
          <w:marLeft w:val="0"/>
          <w:marRight w:val="0"/>
          <w:marTop w:val="0"/>
          <w:marBottom w:val="0"/>
          <w:divBdr>
            <w:top w:val="none" w:sz="0" w:space="0" w:color="auto"/>
            <w:left w:val="none" w:sz="0" w:space="0" w:color="auto"/>
            <w:bottom w:val="none" w:sz="0" w:space="0" w:color="auto"/>
            <w:right w:val="none" w:sz="0" w:space="0" w:color="auto"/>
          </w:divBdr>
        </w:div>
      </w:divsChild>
    </w:div>
    <w:div w:id="488251501">
      <w:bodyDiv w:val="1"/>
      <w:marLeft w:val="0"/>
      <w:marRight w:val="0"/>
      <w:marTop w:val="0"/>
      <w:marBottom w:val="0"/>
      <w:divBdr>
        <w:top w:val="none" w:sz="0" w:space="0" w:color="auto"/>
        <w:left w:val="none" w:sz="0" w:space="0" w:color="auto"/>
        <w:bottom w:val="none" w:sz="0" w:space="0" w:color="auto"/>
        <w:right w:val="none" w:sz="0" w:space="0" w:color="auto"/>
      </w:divBdr>
      <w:divsChild>
        <w:div w:id="1066802981">
          <w:marLeft w:val="0"/>
          <w:marRight w:val="0"/>
          <w:marTop w:val="0"/>
          <w:marBottom w:val="0"/>
          <w:divBdr>
            <w:top w:val="none" w:sz="0" w:space="0" w:color="auto"/>
            <w:left w:val="none" w:sz="0" w:space="0" w:color="auto"/>
            <w:bottom w:val="none" w:sz="0" w:space="0" w:color="auto"/>
            <w:right w:val="none" w:sz="0" w:space="0" w:color="auto"/>
          </w:divBdr>
        </w:div>
        <w:div w:id="1303928468">
          <w:marLeft w:val="0"/>
          <w:marRight w:val="0"/>
          <w:marTop w:val="0"/>
          <w:marBottom w:val="0"/>
          <w:divBdr>
            <w:top w:val="none" w:sz="0" w:space="0" w:color="auto"/>
            <w:left w:val="none" w:sz="0" w:space="0" w:color="auto"/>
            <w:bottom w:val="none" w:sz="0" w:space="0" w:color="auto"/>
            <w:right w:val="none" w:sz="0" w:space="0" w:color="auto"/>
          </w:divBdr>
        </w:div>
      </w:divsChild>
    </w:div>
    <w:div w:id="495730241">
      <w:bodyDiv w:val="1"/>
      <w:marLeft w:val="0"/>
      <w:marRight w:val="0"/>
      <w:marTop w:val="0"/>
      <w:marBottom w:val="0"/>
      <w:divBdr>
        <w:top w:val="none" w:sz="0" w:space="0" w:color="auto"/>
        <w:left w:val="none" w:sz="0" w:space="0" w:color="auto"/>
        <w:bottom w:val="none" w:sz="0" w:space="0" w:color="auto"/>
        <w:right w:val="none" w:sz="0" w:space="0" w:color="auto"/>
      </w:divBdr>
      <w:divsChild>
        <w:div w:id="2066370148">
          <w:marLeft w:val="0"/>
          <w:marRight w:val="0"/>
          <w:marTop w:val="0"/>
          <w:marBottom w:val="0"/>
          <w:divBdr>
            <w:top w:val="none" w:sz="0" w:space="0" w:color="auto"/>
            <w:left w:val="none" w:sz="0" w:space="0" w:color="auto"/>
            <w:bottom w:val="none" w:sz="0" w:space="0" w:color="auto"/>
            <w:right w:val="none" w:sz="0" w:space="0" w:color="auto"/>
          </w:divBdr>
        </w:div>
        <w:div w:id="1914657886">
          <w:marLeft w:val="0"/>
          <w:marRight w:val="0"/>
          <w:marTop w:val="0"/>
          <w:marBottom w:val="0"/>
          <w:divBdr>
            <w:top w:val="none" w:sz="0" w:space="0" w:color="auto"/>
            <w:left w:val="none" w:sz="0" w:space="0" w:color="auto"/>
            <w:bottom w:val="none" w:sz="0" w:space="0" w:color="auto"/>
            <w:right w:val="none" w:sz="0" w:space="0" w:color="auto"/>
          </w:divBdr>
        </w:div>
      </w:divsChild>
    </w:div>
    <w:div w:id="497186428">
      <w:bodyDiv w:val="1"/>
      <w:marLeft w:val="0"/>
      <w:marRight w:val="0"/>
      <w:marTop w:val="0"/>
      <w:marBottom w:val="0"/>
      <w:divBdr>
        <w:top w:val="none" w:sz="0" w:space="0" w:color="auto"/>
        <w:left w:val="none" w:sz="0" w:space="0" w:color="auto"/>
        <w:bottom w:val="none" w:sz="0" w:space="0" w:color="auto"/>
        <w:right w:val="none" w:sz="0" w:space="0" w:color="auto"/>
      </w:divBdr>
    </w:div>
    <w:div w:id="514004836">
      <w:bodyDiv w:val="1"/>
      <w:marLeft w:val="0"/>
      <w:marRight w:val="0"/>
      <w:marTop w:val="0"/>
      <w:marBottom w:val="0"/>
      <w:divBdr>
        <w:top w:val="none" w:sz="0" w:space="0" w:color="auto"/>
        <w:left w:val="none" w:sz="0" w:space="0" w:color="auto"/>
        <w:bottom w:val="none" w:sz="0" w:space="0" w:color="auto"/>
        <w:right w:val="none" w:sz="0" w:space="0" w:color="auto"/>
      </w:divBdr>
      <w:divsChild>
        <w:div w:id="1184636538">
          <w:marLeft w:val="0"/>
          <w:marRight w:val="0"/>
          <w:marTop w:val="0"/>
          <w:marBottom w:val="0"/>
          <w:divBdr>
            <w:top w:val="none" w:sz="0" w:space="0" w:color="auto"/>
            <w:left w:val="none" w:sz="0" w:space="0" w:color="auto"/>
            <w:bottom w:val="none" w:sz="0" w:space="0" w:color="auto"/>
            <w:right w:val="none" w:sz="0" w:space="0" w:color="auto"/>
          </w:divBdr>
        </w:div>
        <w:div w:id="1014458240">
          <w:marLeft w:val="0"/>
          <w:marRight w:val="0"/>
          <w:marTop w:val="0"/>
          <w:marBottom w:val="0"/>
          <w:divBdr>
            <w:top w:val="none" w:sz="0" w:space="0" w:color="auto"/>
            <w:left w:val="none" w:sz="0" w:space="0" w:color="auto"/>
            <w:bottom w:val="none" w:sz="0" w:space="0" w:color="auto"/>
            <w:right w:val="none" w:sz="0" w:space="0" w:color="auto"/>
          </w:divBdr>
        </w:div>
        <w:div w:id="1191794449">
          <w:marLeft w:val="0"/>
          <w:marRight w:val="0"/>
          <w:marTop w:val="0"/>
          <w:marBottom w:val="0"/>
          <w:divBdr>
            <w:top w:val="none" w:sz="0" w:space="0" w:color="auto"/>
            <w:left w:val="none" w:sz="0" w:space="0" w:color="auto"/>
            <w:bottom w:val="none" w:sz="0" w:space="0" w:color="auto"/>
            <w:right w:val="none" w:sz="0" w:space="0" w:color="auto"/>
          </w:divBdr>
        </w:div>
      </w:divsChild>
    </w:div>
    <w:div w:id="519010987">
      <w:bodyDiv w:val="1"/>
      <w:marLeft w:val="0"/>
      <w:marRight w:val="0"/>
      <w:marTop w:val="0"/>
      <w:marBottom w:val="0"/>
      <w:divBdr>
        <w:top w:val="none" w:sz="0" w:space="0" w:color="auto"/>
        <w:left w:val="none" w:sz="0" w:space="0" w:color="auto"/>
        <w:bottom w:val="none" w:sz="0" w:space="0" w:color="auto"/>
        <w:right w:val="none" w:sz="0" w:space="0" w:color="auto"/>
      </w:divBdr>
      <w:divsChild>
        <w:div w:id="1483815400">
          <w:marLeft w:val="0"/>
          <w:marRight w:val="0"/>
          <w:marTop w:val="0"/>
          <w:marBottom w:val="0"/>
          <w:divBdr>
            <w:top w:val="none" w:sz="0" w:space="0" w:color="auto"/>
            <w:left w:val="none" w:sz="0" w:space="0" w:color="auto"/>
            <w:bottom w:val="none" w:sz="0" w:space="0" w:color="auto"/>
            <w:right w:val="none" w:sz="0" w:space="0" w:color="auto"/>
          </w:divBdr>
        </w:div>
        <w:div w:id="52429488">
          <w:marLeft w:val="0"/>
          <w:marRight w:val="0"/>
          <w:marTop w:val="0"/>
          <w:marBottom w:val="0"/>
          <w:divBdr>
            <w:top w:val="none" w:sz="0" w:space="0" w:color="auto"/>
            <w:left w:val="none" w:sz="0" w:space="0" w:color="auto"/>
            <w:bottom w:val="none" w:sz="0" w:space="0" w:color="auto"/>
            <w:right w:val="none" w:sz="0" w:space="0" w:color="auto"/>
          </w:divBdr>
        </w:div>
        <w:div w:id="581187598">
          <w:marLeft w:val="0"/>
          <w:marRight w:val="0"/>
          <w:marTop w:val="0"/>
          <w:marBottom w:val="0"/>
          <w:divBdr>
            <w:top w:val="none" w:sz="0" w:space="0" w:color="auto"/>
            <w:left w:val="none" w:sz="0" w:space="0" w:color="auto"/>
            <w:bottom w:val="none" w:sz="0" w:space="0" w:color="auto"/>
            <w:right w:val="none" w:sz="0" w:space="0" w:color="auto"/>
          </w:divBdr>
        </w:div>
      </w:divsChild>
    </w:div>
    <w:div w:id="522328882">
      <w:bodyDiv w:val="1"/>
      <w:marLeft w:val="0"/>
      <w:marRight w:val="0"/>
      <w:marTop w:val="0"/>
      <w:marBottom w:val="0"/>
      <w:divBdr>
        <w:top w:val="none" w:sz="0" w:space="0" w:color="auto"/>
        <w:left w:val="none" w:sz="0" w:space="0" w:color="auto"/>
        <w:bottom w:val="none" w:sz="0" w:space="0" w:color="auto"/>
        <w:right w:val="none" w:sz="0" w:space="0" w:color="auto"/>
      </w:divBdr>
      <w:divsChild>
        <w:div w:id="511263640">
          <w:marLeft w:val="0"/>
          <w:marRight w:val="0"/>
          <w:marTop w:val="0"/>
          <w:marBottom w:val="0"/>
          <w:divBdr>
            <w:top w:val="none" w:sz="0" w:space="0" w:color="auto"/>
            <w:left w:val="none" w:sz="0" w:space="0" w:color="auto"/>
            <w:bottom w:val="none" w:sz="0" w:space="0" w:color="auto"/>
            <w:right w:val="none" w:sz="0" w:space="0" w:color="auto"/>
          </w:divBdr>
        </w:div>
        <w:div w:id="741829371">
          <w:marLeft w:val="0"/>
          <w:marRight w:val="0"/>
          <w:marTop w:val="0"/>
          <w:marBottom w:val="0"/>
          <w:divBdr>
            <w:top w:val="none" w:sz="0" w:space="0" w:color="auto"/>
            <w:left w:val="none" w:sz="0" w:space="0" w:color="auto"/>
            <w:bottom w:val="none" w:sz="0" w:space="0" w:color="auto"/>
            <w:right w:val="none" w:sz="0" w:space="0" w:color="auto"/>
          </w:divBdr>
        </w:div>
        <w:div w:id="1396321407">
          <w:marLeft w:val="0"/>
          <w:marRight w:val="0"/>
          <w:marTop w:val="0"/>
          <w:marBottom w:val="0"/>
          <w:divBdr>
            <w:top w:val="none" w:sz="0" w:space="0" w:color="auto"/>
            <w:left w:val="none" w:sz="0" w:space="0" w:color="auto"/>
            <w:bottom w:val="none" w:sz="0" w:space="0" w:color="auto"/>
            <w:right w:val="none" w:sz="0" w:space="0" w:color="auto"/>
          </w:divBdr>
        </w:div>
      </w:divsChild>
    </w:div>
    <w:div w:id="540754421">
      <w:bodyDiv w:val="1"/>
      <w:marLeft w:val="0"/>
      <w:marRight w:val="0"/>
      <w:marTop w:val="0"/>
      <w:marBottom w:val="0"/>
      <w:divBdr>
        <w:top w:val="none" w:sz="0" w:space="0" w:color="auto"/>
        <w:left w:val="none" w:sz="0" w:space="0" w:color="auto"/>
        <w:bottom w:val="none" w:sz="0" w:space="0" w:color="auto"/>
        <w:right w:val="none" w:sz="0" w:space="0" w:color="auto"/>
      </w:divBdr>
      <w:divsChild>
        <w:div w:id="550846454">
          <w:marLeft w:val="0"/>
          <w:marRight w:val="0"/>
          <w:marTop w:val="0"/>
          <w:marBottom w:val="0"/>
          <w:divBdr>
            <w:top w:val="none" w:sz="0" w:space="0" w:color="auto"/>
            <w:left w:val="none" w:sz="0" w:space="0" w:color="auto"/>
            <w:bottom w:val="none" w:sz="0" w:space="0" w:color="auto"/>
            <w:right w:val="none" w:sz="0" w:space="0" w:color="auto"/>
          </w:divBdr>
        </w:div>
        <w:div w:id="1215115295">
          <w:marLeft w:val="0"/>
          <w:marRight w:val="0"/>
          <w:marTop w:val="0"/>
          <w:marBottom w:val="0"/>
          <w:divBdr>
            <w:top w:val="none" w:sz="0" w:space="0" w:color="auto"/>
            <w:left w:val="none" w:sz="0" w:space="0" w:color="auto"/>
            <w:bottom w:val="none" w:sz="0" w:space="0" w:color="auto"/>
            <w:right w:val="none" w:sz="0" w:space="0" w:color="auto"/>
          </w:divBdr>
        </w:div>
        <w:div w:id="952783940">
          <w:marLeft w:val="0"/>
          <w:marRight w:val="0"/>
          <w:marTop w:val="0"/>
          <w:marBottom w:val="0"/>
          <w:divBdr>
            <w:top w:val="none" w:sz="0" w:space="0" w:color="auto"/>
            <w:left w:val="none" w:sz="0" w:space="0" w:color="auto"/>
            <w:bottom w:val="none" w:sz="0" w:space="0" w:color="auto"/>
            <w:right w:val="none" w:sz="0" w:space="0" w:color="auto"/>
          </w:divBdr>
        </w:div>
      </w:divsChild>
    </w:div>
    <w:div w:id="541092625">
      <w:bodyDiv w:val="1"/>
      <w:marLeft w:val="0"/>
      <w:marRight w:val="0"/>
      <w:marTop w:val="0"/>
      <w:marBottom w:val="0"/>
      <w:divBdr>
        <w:top w:val="none" w:sz="0" w:space="0" w:color="auto"/>
        <w:left w:val="none" w:sz="0" w:space="0" w:color="auto"/>
        <w:bottom w:val="none" w:sz="0" w:space="0" w:color="auto"/>
        <w:right w:val="none" w:sz="0" w:space="0" w:color="auto"/>
      </w:divBdr>
    </w:div>
    <w:div w:id="569315959">
      <w:bodyDiv w:val="1"/>
      <w:marLeft w:val="0"/>
      <w:marRight w:val="0"/>
      <w:marTop w:val="0"/>
      <w:marBottom w:val="0"/>
      <w:divBdr>
        <w:top w:val="none" w:sz="0" w:space="0" w:color="auto"/>
        <w:left w:val="none" w:sz="0" w:space="0" w:color="auto"/>
        <w:bottom w:val="none" w:sz="0" w:space="0" w:color="auto"/>
        <w:right w:val="none" w:sz="0" w:space="0" w:color="auto"/>
      </w:divBdr>
      <w:divsChild>
        <w:div w:id="1196692823">
          <w:marLeft w:val="0"/>
          <w:marRight w:val="0"/>
          <w:marTop w:val="0"/>
          <w:marBottom w:val="0"/>
          <w:divBdr>
            <w:top w:val="none" w:sz="0" w:space="0" w:color="auto"/>
            <w:left w:val="none" w:sz="0" w:space="0" w:color="auto"/>
            <w:bottom w:val="none" w:sz="0" w:space="0" w:color="auto"/>
            <w:right w:val="none" w:sz="0" w:space="0" w:color="auto"/>
          </w:divBdr>
        </w:div>
        <w:div w:id="1173882014">
          <w:marLeft w:val="0"/>
          <w:marRight w:val="0"/>
          <w:marTop w:val="0"/>
          <w:marBottom w:val="0"/>
          <w:divBdr>
            <w:top w:val="none" w:sz="0" w:space="0" w:color="auto"/>
            <w:left w:val="none" w:sz="0" w:space="0" w:color="auto"/>
            <w:bottom w:val="none" w:sz="0" w:space="0" w:color="auto"/>
            <w:right w:val="none" w:sz="0" w:space="0" w:color="auto"/>
          </w:divBdr>
        </w:div>
        <w:div w:id="655306025">
          <w:marLeft w:val="0"/>
          <w:marRight w:val="0"/>
          <w:marTop w:val="0"/>
          <w:marBottom w:val="0"/>
          <w:divBdr>
            <w:top w:val="none" w:sz="0" w:space="0" w:color="auto"/>
            <w:left w:val="none" w:sz="0" w:space="0" w:color="auto"/>
            <w:bottom w:val="none" w:sz="0" w:space="0" w:color="auto"/>
            <w:right w:val="none" w:sz="0" w:space="0" w:color="auto"/>
          </w:divBdr>
        </w:div>
      </w:divsChild>
    </w:div>
    <w:div w:id="585965948">
      <w:bodyDiv w:val="1"/>
      <w:marLeft w:val="0"/>
      <w:marRight w:val="0"/>
      <w:marTop w:val="0"/>
      <w:marBottom w:val="0"/>
      <w:divBdr>
        <w:top w:val="none" w:sz="0" w:space="0" w:color="auto"/>
        <w:left w:val="none" w:sz="0" w:space="0" w:color="auto"/>
        <w:bottom w:val="none" w:sz="0" w:space="0" w:color="auto"/>
        <w:right w:val="none" w:sz="0" w:space="0" w:color="auto"/>
      </w:divBdr>
      <w:divsChild>
        <w:div w:id="722824441">
          <w:marLeft w:val="0"/>
          <w:marRight w:val="0"/>
          <w:marTop w:val="0"/>
          <w:marBottom w:val="0"/>
          <w:divBdr>
            <w:top w:val="none" w:sz="0" w:space="0" w:color="auto"/>
            <w:left w:val="none" w:sz="0" w:space="0" w:color="auto"/>
            <w:bottom w:val="none" w:sz="0" w:space="0" w:color="auto"/>
            <w:right w:val="none" w:sz="0" w:space="0" w:color="auto"/>
          </w:divBdr>
        </w:div>
        <w:div w:id="616984584">
          <w:marLeft w:val="0"/>
          <w:marRight w:val="0"/>
          <w:marTop w:val="0"/>
          <w:marBottom w:val="0"/>
          <w:divBdr>
            <w:top w:val="none" w:sz="0" w:space="0" w:color="auto"/>
            <w:left w:val="none" w:sz="0" w:space="0" w:color="auto"/>
            <w:bottom w:val="none" w:sz="0" w:space="0" w:color="auto"/>
            <w:right w:val="none" w:sz="0" w:space="0" w:color="auto"/>
          </w:divBdr>
        </w:div>
        <w:div w:id="199171073">
          <w:marLeft w:val="0"/>
          <w:marRight w:val="0"/>
          <w:marTop w:val="0"/>
          <w:marBottom w:val="0"/>
          <w:divBdr>
            <w:top w:val="none" w:sz="0" w:space="0" w:color="auto"/>
            <w:left w:val="none" w:sz="0" w:space="0" w:color="auto"/>
            <w:bottom w:val="none" w:sz="0" w:space="0" w:color="auto"/>
            <w:right w:val="none" w:sz="0" w:space="0" w:color="auto"/>
          </w:divBdr>
        </w:div>
      </w:divsChild>
    </w:div>
    <w:div w:id="628560503">
      <w:bodyDiv w:val="1"/>
      <w:marLeft w:val="0"/>
      <w:marRight w:val="0"/>
      <w:marTop w:val="0"/>
      <w:marBottom w:val="0"/>
      <w:divBdr>
        <w:top w:val="none" w:sz="0" w:space="0" w:color="auto"/>
        <w:left w:val="none" w:sz="0" w:space="0" w:color="auto"/>
        <w:bottom w:val="none" w:sz="0" w:space="0" w:color="auto"/>
        <w:right w:val="none" w:sz="0" w:space="0" w:color="auto"/>
      </w:divBdr>
      <w:divsChild>
        <w:div w:id="856387194">
          <w:marLeft w:val="0"/>
          <w:marRight w:val="0"/>
          <w:marTop w:val="0"/>
          <w:marBottom w:val="0"/>
          <w:divBdr>
            <w:top w:val="none" w:sz="0" w:space="0" w:color="auto"/>
            <w:left w:val="none" w:sz="0" w:space="0" w:color="auto"/>
            <w:bottom w:val="none" w:sz="0" w:space="0" w:color="auto"/>
            <w:right w:val="none" w:sz="0" w:space="0" w:color="auto"/>
          </w:divBdr>
        </w:div>
        <w:div w:id="1998259624">
          <w:marLeft w:val="0"/>
          <w:marRight w:val="0"/>
          <w:marTop w:val="0"/>
          <w:marBottom w:val="0"/>
          <w:divBdr>
            <w:top w:val="none" w:sz="0" w:space="0" w:color="auto"/>
            <w:left w:val="none" w:sz="0" w:space="0" w:color="auto"/>
            <w:bottom w:val="none" w:sz="0" w:space="0" w:color="auto"/>
            <w:right w:val="none" w:sz="0" w:space="0" w:color="auto"/>
          </w:divBdr>
        </w:div>
        <w:div w:id="3553988">
          <w:marLeft w:val="0"/>
          <w:marRight w:val="0"/>
          <w:marTop w:val="0"/>
          <w:marBottom w:val="0"/>
          <w:divBdr>
            <w:top w:val="none" w:sz="0" w:space="0" w:color="auto"/>
            <w:left w:val="none" w:sz="0" w:space="0" w:color="auto"/>
            <w:bottom w:val="none" w:sz="0" w:space="0" w:color="auto"/>
            <w:right w:val="none" w:sz="0" w:space="0" w:color="auto"/>
          </w:divBdr>
        </w:div>
      </w:divsChild>
    </w:div>
    <w:div w:id="712654801">
      <w:bodyDiv w:val="1"/>
      <w:marLeft w:val="0"/>
      <w:marRight w:val="0"/>
      <w:marTop w:val="0"/>
      <w:marBottom w:val="0"/>
      <w:divBdr>
        <w:top w:val="none" w:sz="0" w:space="0" w:color="auto"/>
        <w:left w:val="none" w:sz="0" w:space="0" w:color="auto"/>
        <w:bottom w:val="none" w:sz="0" w:space="0" w:color="auto"/>
        <w:right w:val="none" w:sz="0" w:space="0" w:color="auto"/>
      </w:divBdr>
      <w:divsChild>
        <w:div w:id="1362902587">
          <w:marLeft w:val="0"/>
          <w:marRight w:val="0"/>
          <w:marTop w:val="0"/>
          <w:marBottom w:val="0"/>
          <w:divBdr>
            <w:top w:val="none" w:sz="0" w:space="0" w:color="auto"/>
            <w:left w:val="none" w:sz="0" w:space="0" w:color="auto"/>
            <w:bottom w:val="none" w:sz="0" w:space="0" w:color="auto"/>
            <w:right w:val="none" w:sz="0" w:space="0" w:color="auto"/>
          </w:divBdr>
        </w:div>
        <w:div w:id="2050950389">
          <w:marLeft w:val="0"/>
          <w:marRight w:val="0"/>
          <w:marTop w:val="0"/>
          <w:marBottom w:val="0"/>
          <w:divBdr>
            <w:top w:val="none" w:sz="0" w:space="0" w:color="auto"/>
            <w:left w:val="none" w:sz="0" w:space="0" w:color="auto"/>
            <w:bottom w:val="none" w:sz="0" w:space="0" w:color="auto"/>
            <w:right w:val="none" w:sz="0" w:space="0" w:color="auto"/>
          </w:divBdr>
        </w:div>
        <w:div w:id="891188272">
          <w:marLeft w:val="0"/>
          <w:marRight w:val="0"/>
          <w:marTop w:val="0"/>
          <w:marBottom w:val="0"/>
          <w:divBdr>
            <w:top w:val="none" w:sz="0" w:space="0" w:color="auto"/>
            <w:left w:val="none" w:sz="0" w:space="0" w:color="auto"/>
            <w:bottom w:val="none" w:sz="0" w:space="0" w:color="auto"/>
            <w:right w:val="none" w:sz="0" w:space="0" w:color="auto"/>
          </w:divBdr>
        </w:div>
      </w:divsChild>
    </w:div>
    <w:div w:id="725445872">
      <w:bodyDiv w:val="1"/>
      <w:marLeft w:val="0"/>
      <w:marRight w:val="0"/>
      <w:marTop w:val="0"/>
      <w:marBottom w:val="0"/>
      <w:divBdr>
        <w:top w:val="none" w:sz="0" w:space="0" w:color="auto"/>
        <w:left w:val="none" w:sz="0" w:space="0" w:color="auto"/>
        <w:bottom w:val="none" w:sz="0" w:space="0" w:color="auto"/>
        <w:right w:val="none" w:sz="0" w:space="0" w:color="auto"/>
      </w:divBdr>
      <w:divsChild>
        <w:div w:id="1472551637">
          <w:marLeft w:val="0"/>
          <w:marRight w:val="0"/>
          <w:marTop w:val="0"/>
          <w:marBottom w:val="0"/>
          <w:divBdr>
            <w:top w:val="none" w:sz="0" w:space="0" w:color="auto"/>
            <w:left w:val="none" w:sz="0" w:space="0" w:color="auto"/>
            <w:bottom w:val="none" w:sz="0" w:space="0" w:color="auto"/>
            <w:right w:val="none" w:sz="0" w:space="0" w:color="auto"/>
          </w:divBdr>
        </w:div>
        <w:div w:id="1100835596">
          <w:marLeft w:val="0"/>
          <w:marRight w:val="0"/>
          <w:marTop w:val="0"/>
          <w:marBottom w:val="0"/>
          <w:divBdr>
            <w:top w:val="none" w:sz="0" w:space="0" w:color="auto"/>
            <w:left w:val="none" w:sz="0" w:space="0" w:color="auto"/>
            <w:bottom w:val="none" w:sz="0" w:space="0" w:color="auto"/>
            <w:right w:val="none" w:sz="0" w:space="0" w:color="auto"/>
          </w:divBdr>
        </w:div>
        <w:div w:id="1387216545">
          <w:marLeft w:val="0"/>
          <w:marRight w:val="0"/>
          <w:marTop w:val="0"/>
          <w:marBottom w:val="0"/>
          <w:divBdr>
            <w:top w:val="none" w:sz="0" w:space="0" w:color="auto"/>
            <w:left w:val="none" w:sz="0" w:space="0" w:color="auto"/>
            <w:bottom w:val="none" w:sz="0" w:space="0" w:color="auto"/>
            <w:right w:val="none" w:sz="0" w:space="0" w:color="auto"/>
          </w:divBdr>
        </w:div>
      </w:divsChild>
    </w:div>
    <w:div w:id="747574769">
      <w:bodyDiv w:val="1"/>
      <w:marLeft w:val="0"/>
      <w:marRight w:val="0"/>
      <w:marTop w:val="0"/>
      <w:marBottom w:val="0"/>
      <w:divBdr>
        <w:top w:val="none" w:sz="0" w:space="0" w:color="auto"/>
        <w:left w:val="none" w:sz="0" w:space="0" w:color="auto"/>
        <w:bottom w:val="none" w:sz="0" w:space="0" w:color="auto"/>
        <w:right w:val="none" w:sz="0" w:space="0" w:color="auto"/>
      </w:divBdr>
      <w:divsChild>
        <w:div w:id="359014986">
          <w:marLeft w:val="0"/>
          <w:marRight w:val="0"/>
          <w:marTop w:val="0"/>
          <w:marBottom w:val="0"/>
          <w:divBdr>
            <w:top w:val="none" w:sz="0" w:space="0" w:color="auto"/>
            <w:left w:val="none" w:sz="0" w:space="0" w:color="auto"/>
            <w:bottom w:val="none" w:sz="0" w:space="0" w:color="auto"/>
            <w:right w:val="none" w:sz="0" w:space="0" w:color="auto"/>
          </w:divBdr>
        </w:div>
        <w:div w:id="344401456">
          <w:marLeft w:val="0"/>
          <w:marRight w:val="0"/>
          <w:marTop w:val="0"/>
          <w:marBottom w:val="0"/>
          <w:divBdr>
            <w:top w:val="none" w:sz="0" w:space="0" w:color="auto"/>
            <w:left w:val="none" w:sz="0" w:space="0" w:color="auto"/>
            <w:bottom w:val="none" w:sz="0" w:space="0" w:color="auto"/>
            <w:right w:val="none" w:sz="0" w:space="0" w:color="auto"/>
          </w:divBdr>
        </w:div>
        <w:div w:id="125243364">
          <w:marLeft w:val="0"/>
          <w:marRight w:val="0"/>
          <w:marTop w:val="0"/>
          <w:marBottom w:val="0"/>
          <w:divBdr>
            <w:top w:val="none" w:sz="0" w:space="0" w:color="auto"/>
            <w:left w:val="none" w:sz="0" w:space="0" w:color="auto"/>
            <w:bottom w:val="none" w:sz="0" w:space="0" w:color="auto"/>
            <w:right w:val="none" w:sz="0" w:space="0" w:color="auto"/>
          </w:divBdr>
        </w:div>
      </w:divsChild>
    </w:div>
    <w:div w:id="783184632">
      <w:bodyDiv w:val="1"/>
      <w:marLeft w:val="0"/>
      <w:marRight w:val="0"/>
      <w:marTop w:val="0"/>
      <w:marBottom w:val="0"/>
      <w:divBdr>
        <w:top w:val="none" w:sz="0" w:space="0" w:color="auto"/>
        <w:left w:val="none" w:sz="0" w:space="0" w:color="auto"/>
        <w:bottom w:val="none" w:sz="0" w:space="0" w:color="auto"/>
        <w:right w:val="none" w:sz="0" w:space="0" w:color="auto"/>
      </w:divBdr>
      <w:divsChild>
        <w:div w:id="1310789697">
          <w:marLeft w:val="0"/>
          <w:marRight w:val="0"/>
          <w:marTop w:val="0"/>
          <w:marBottom w:val="0"/>
          <w:divBdr>
            <w:top w:val="none" w:sz="0" w:space="0" w:color="auto"/>
            <w:left w:val="none" w:sz="0" w:space="0" w:color="auto"/>
            <w:bottom w:val="none" w:sz="0" w:space="0" w:color="auto"/>
            <w:right w:val="none" w:sz="0" w:space="0" w:color="auto"/>
          </w:divBdr>
        </w:div>
        <w:div w:id="320623453">
          <w:marLeft w:val="0"/>
          <w:marRight w:val="0"/>
          <w:marTop w:val="0"/>
          <w:marBottom w:val="0"/>
          <w:divBdr>
            <w:top w:val="none" w:sz="0" w:space="0" w:color="auto"/>
            <w:left w:val="none" w:sz="0" w:space="0" w:color="auto"/>
            <w:bottom w:val="none" w:sz="0" w:space="0" w:color="auto"/>
            <w:right w:val="none" w:sz="0" w:space="0" w:color="auto"/>
          </w:divBdr>
        </w:div>
        <w:div w:id="838623039">
          <w:marLeft w:val="0"/>
          <w:marRight w:val="0"/>
          <w:marTop w:val="0"/>
          <w:marBottom w:val="0"/>
          <w:divBdr>
            <w:top w:val="none" w:sz="0" w:space="0" w:color="auto"/>
            <w:left w:val="none" w:sz="0" w:space="0" w:color="auto"/>
            <w:bottom w:val="none" w:sz="0" w:space="0" w:color="auto"/>
            <w:right w:val="none" w:sz="0" w:space="0" w:color="auto"/>
          </w:divBdr>
        </w:div>
      </w:divsChild>
    </w:div>
    <w:div w:id="799953303">
      <w:bodyDiv w:val="1"/>
      <w:marLeft w:val="0"/>
      <w:marRight w:val="0"/>
      <w:marTop w:val="0"/>
      <w:marBottom w:val="0"/>
      <w:divBdr>
        <w:top w:val="none" w:sz="0" w:space="0" w:color="auto"/>
        <w:left w:val="none" w:sz="0" w:space="0" w:color="auto"/>
        <w:bottom w:val="none" w:sz="0" w:space="0" w:color="auto"/>
        <w:right w:val="none" w:sz="0" w:space="0" w:color="auto"/>
      </w:divBdr>
    </w:div>
    <w:div w:id="803078686">
      <w:bodyDiv w:val="1"/>
      <w:marLeft w:val="0"/>
      <w:marRight w:val="0"/>
      <w:marTop w:val="0"/>
      <w:marBottom w:val="0"/>
      <w:divBdr>
        <w:top w:val="none" w:sz="0" w:space="0" w:color="auto"/>
        <w:left w:val="none" w:sz="0" w:space="0" w:color="auto"/>
        <w:bottom w:val="none" w:sz="0" w:space="0" w:color="auto"/>
        <w:right w:val="none" w:sz="0" w:space="0" w:color="auto"/>
      </w:divBdr>
      <w:divsChild>
        <w:div w:id="2088767840">
          <w:marLeft w:val="0"/>
          <w:marRight w:val="0"/>
          <w:marTop w:val="0"/>
          <w:marBottom w:val="0"/>
          <w:divBdr>
            <w:top w:val="none" w:sz="0" w:space="0" w:color="auto"/>
            <w:left w:val="none" w:sz="0" w:space="0" w:color="auto"/>
            <w:bottom w:val="none" w:sz="0" w:space="0" w:color="auto"/>
            <w:right w:val="none" w:sz="0" w:space="0" w:color="auto"/>
          </w:divBdr>
        </w:div>
        <w:div w:id="508132761">
          <w:marLeft w:val="0"/>
          <w:marRight w:val="0"/>
          <w:marTop w:val="0"/>
          <w:marBottom w:val="0"/>
          <w:divBdr>
            <w:top w:val="none" w:sz="0" w:space="0" w:color="auto"/>
            <w:left w:val="none" w:sz="0" w:space="0" w:color="auto"/>
            <w:bottom w:val="none" w:sz="0" w:space="0" w:color="auto"/>
            <w:right w:val="none" w:sz="0" w:space="0" w:color="auto"/>
          </w:divBdr>
        </w:div>
        <w:div w:id="172427448">
          <w:marLeft w:val="0"/>
          <w:marRight w:val="0"/>
          <w:marTop w:val="0"/>
          <w:marBottom w:val="0"/>
          <w:divBdr>
            <w:top w:val="none" w:sz="0" w:space="0" w:color="auto"/>
            <w:left w:val="none" w:sz="0" w:space="0" w:color="auto"/>
            <w:bottom w:val="none" w:sz="0" w:space="0" w:color="auto"/>
            <w:right w:val="none" w:sz="0" w:space="0" w:color="auto"/>
          </w:divBdr>
        </w:div>
      </w:divsChild>
    </w:div>
    <w:div w:id="821316109">
      <w:bodyDiv w:val="1"/>
      <w:marLeft w:val="0"/>
      <w:marRight w:val="0"/>
      <w:marTop w:val="0"/>
      <w:marBottom w:val="0"/>
      <w:divBdr>
        <w:top w:val="none" w:sz="0" w:space="0" w:color="auto"/>
        <w:left w:val="none" w:sz="0" w:space="0" w:color="auto"/>
        <w:bottom w:val="none" w:sz="0" w:space="0" w:color="auto"/>
        <w:right w:val="none" w:sz="0" w:space="0" w:color="auto"/>
      </w:divBdr>
      <w:divsChild>
        <w:div w:id="465315355">
          <w:marLeft w:val="0"/>
          <w:marRight w:val="0"/>
          <w:marTop w:val="0"/>
          <w:marBottom w:val="0"/>
          <w:divBdr>
            <w:top w:val="none" w:sz="0" w:space="0" w:color="auto"/>
            <w:left w:val="none" w:sz="0" w:space="0" w:color="auto"/>
            <w:bottom w:val="none" w:sz="0" w:space="0" w:color="auto"/>
            <w:right w:val="none" w:sz="0" w:space="0" w:color="auto"/>
          </w:divBdr>
        </w:div>
        <w:div w:id="1631938276">
          <w:marLeft w:val="0"/>
          <w:marRight w:val="0"/>
          <w:marTop w:val="0"/>
          <w:marBottom w:val="0"/>
          <w:divBdr>
            <w:top w:val="none" w:sz="0" w:space="0" w:color="auto"/>
            <w:left w:val="none" w:sz="0" w:space="0" w:color="auto"/>
            <w:bottom w:val="none" w:sz="0" w:space="0" w:color="auto"/>
            <w:right w:val="none" w:sz="0" w:space="0" w:color="auto"/>
          </w:divBdr>
        </w:div>
        <w:div w:id="1870601201">
          <w:marLeft w:val="0"/>
          <w:marRight w:val="0"/>
          <w:marTop w:val="0"/>
          <w:marBottom w:val="0"/>
          <w:divBdr>
            <w:top w:val="none" w:sz="0" w:space="0" w:color="auto"/>
            <w:left w:val="none" w:sz="0" w:space="0" w:color="auto"/>
            <w:bottom w:val="none" w:sz="0" w:space="0" w:color="auto"/>
            <w:right w:val="none" w:sz="0" w:space="0" w:color="auto"/>
          </w:divBdr>
        </w:div>
      </w:divsChild>
    </w:div>
    <w:div w:id="830606159">
      <w:bodyDiv w:val="1"/>
      <w:marLeft w:val="0"/>
      <w:marRight w:val="0"/>
      <w:marTop w:val="0"/>
      <w:marBottom w:val="0"/>
      <w:divBdr>
        <w:top w:val="none" w:sz="0" w:space="0" w:color="auto"/>
        <w:left w:val="none" w:sz="0" w:space="0" w:color="auto"/>
        <w:bottom w:val="none" w:sz="0" w:space="0" w:color="auto"/>
        <w:right w:val="none" w:sz="0" w:space="0" w:color="auto"/>
      </w:divBdr>
      <w:divsChild>
        <w:div w:id="412049289">
          <w:marLeft w:val="0"/>
          <w:marRight w:val="0"/>
          <w:marTop w:val="0"/>
          <w:marBottom w:val="0"/>
          <w:divBdr>
            <w:top w:val="none" w:sz="0" w:space="0" w:color="auto"/>
            <w:left w:val="none" w:sz="0" w:space="0" w:color="auto"/>
            <w:bottom w:val="none" w:sz="0" w:space="0" w:color="auto"/>
            <w:right w:val="none" w:sz="0" w:space="0" w:color="auto"/>
          </w:divBdr>
        </w:div>
        <w:div w:id="475612670">
          <w:marLeft w:val="0"/>
          <w:marRight w:val="0"/>
          <w:marTop w:val="0"/>
          <w:marBottom w:val="0"/>
          <w:divBdr>
            <w:top w:val="none" w:sz="0" w:space="0" w:color="auto"/>
            <w:left w:val="none" w:sz="0" w:space="0" w:color="auto"/>
            <w:bottom w:val="none" w:sz="0" w:space="0" w:color="auto"/>
            <w:right w:val="none" w:sz="0" w:space="0" w:color="auto"/>
          </w:divBdr>
        </w:div>
        <w:div w:id="738211015">
          <w:marLeft w:val="0"/>
          <w:marRight w:val="0"/>
          <w:marTop w:val="0"/>
          <w:marBottom w:val="0"/>
          <w:divBdr>
            <w:top w:val="none" w:sz="0" w:space="0" w:color="auto"/>
            <w:left w:val="none" w:sz="0" w:space="0" w:color="auto"/>
            <w:bottom w:val="none" w:sz="0" w:space="0" w:color="auto"/>
            <w:right w:val="none" w:sz="0" w:space="0" w:color="auto"/>
          </w:divBdr>
        </w:div>
      </w:divsChild>
    </w:div>
    <w:div w:id="902787864">
      <w:bodyDiv w:val="1"/>
      <w:marLeft w:val="0"/>
      <w:marRight w:val="0"/>
      <w:marTop w:val="0"/>
      <w:marBottom w:val="0"/>
      <w:divBdr>
        <w:top w:val="none" w:sz="0" w:space="0" w:color="auto"/>
        <w:left w:val="none" w:sz="0" w:space="0" w:color="auto"/>
        <w:bottom w:val="none" w:sz="0" w:space="0" w:color="auto"/>
        <w:right w:val="none" w:sz="0" w:space="0" w:color="auto"/>
      </w:divBdr>
      <w:divsChild>
        <w:div w:id="488062443">
          <w:marLeft w:val="0"/>
          <w:marRight w:val="0"/>
          <w:marTop w:val="0"/>
          <w:marBottom w:val="0"/>
          <w:divBdr>
            <w:top w:val="none" w:sz="0" w:space="0" w:color="auto"/>
            <w:left w:val="none" w:sz="0" w:space="0" w:color="auto"/>
            <w:bottom w:val="none" w:sz="0" w:space="0" w:color="auto"/>
            <w:right w:val="none" w:sz="0" w:space="0" w:color="auto"/>
          </w:divBdr>
        </w:div>
        <w:div w:id="1991323548">
          <w:marLeft w:val="0"/>
          <w:marRight w:val="0"/>
          <w:marTop w:val="0"/>
          <w:marBottom w:val="0"/>
          <w:divBdr>
            <w:top w:val="none" w:sz="0" w:space="0" w:color="auto"/>
            <w:left w:val="none" w:sz="0" w:space="0" w:color="auto"/>
            <w:bottom w:val="none" w:sz="0" w:space="0" w:color="auto"/>
            <w:right w:val="none" w:sz="0" w:space="0" w:color="auto"/>
          </w:divBdr>
        </w:div>
      </w:divsChild>
    </w:div>
    <w:div w:id="977878635">
      <w:bodyDiv w:val="1"/>
      <w:marLeft w:val="0"/>
      <w:marRight w:val="0"/>
      <w:marTop w:val="0"/>
      <w:marBottom w:val="0"/>
      <w:divBdr>
        <w:top w:val="none" w:sz="0" w:space="0" w:color="auto"/>
        <w:left w:val="none" w:sz="0" w:space="0" w:color="auto"/>
        <w:bottom w:val="none" w:sz="0" w:space="0" w:color="auto"/>
        <w:right w:val="none" w:sz="0" w:space="0" w:color="auto"/>
      </w:divBdr>
      <w:divsChild>
        <w:div w:id="489636743">
          <w:marLeft w:val="0"/>
          <w:marRight w:val="0"/>
          <w:marTop w:val="0"/>
          <w:marBottom w:val="0"/>
          <w:divBdr>
            <w:top w:val="none" w:sz="0" w:space="0" w:color="auto"/>
            <w:left w:val="none" w:sz="0" w:space="0" w:color="auto"/>
            <w:bottom w:val="none" w:sz="0" w:space="0" w:color="auto"/>
            <w:right w:val="none" w:sz="0" w:space="0" w:color="auto"/>
          </w:divBdr>
        </w:div>
        <w:div w:id="620498578">
          <w:marLeft w:val="0"/>
          <w:marRight w:val="0"/>
          <w:marTop w:val="0"/>
          <w:marBottom w:val="0"/>
          <w:divBdr>
            <w:top w:val="none" w:sz="0" w:space="0" w:color="auto"/>
            <w:left w:val="none" w:sz="0" w:space="0" w:color="auto"/>
            <w:bottom w:val="none" w:sz="0" w:space="0" w:color="auto"/>
            <w:right w:val="none" w:sz="0" w:space="0" w:color="auto"/>
          </w:divBdr>
        </w:div>
        <w:div w:id="1981571252">
          <w:marLeft w:val="0"/>
          <w:marRight w:val="0"/>
          <w:marTop w:val="0"/>
          <w:marBottom w:val="0"/>
          <w:divBdr>
            <w:top w:val="none" w:sz="0" w:space="0" w:color="auto"/>
            <w:left w:val="none" w:sz="0" w:space="0" w:color="auto"/>
            <w:bottom w:val="none" w:sz="0" w:space="0" w:color="auto"/>
            <w:right w:val="none" w:sz="0" w:space="0" w:color="auto"/>
          </w:divBdr>
        </w:div>
      </w:divsChild>
    </w:div>
    <w:div w:id="989288654">
      <w:bodyDiv w:val="1"/>
      <w:marLeft w:val="0"/>
      <w:marRight w:val="0"/>
      <w:marTop w:val="0"/>
      <w:marBottom w:val="0"/>
      <w:divBdr>
        <w:top w:val="none" w:sz="0" w:space="0" w:color="auto"/>
        <w:left w:val="none" w:sz="0" w:space="0" w:color="auto"/>
        <w:bottom w:val="none" w:sz="0" w:space="0" w:color="auto"/>
        <w:right w:val="none" w:sz="0" w:space="0" w:color="auto"/>
      </w:divBdr>
      <w:divsChild>
        <w:div w:id="1608125033">
          <w:marLeft w:val="0"/>
          <w:marRight w:val="0"/>
          <w:marTop w:val="0"/>
          <w:marBottom w:val="0"/>
          <w:divBdr>
            <w:top w:val="none" w:sz="0" w:space="0" w:color="auto"/>
            <w:left w:val="none" w:sz="0" w:space="0" w:color="auto"/>
            <w:bottom w:val="none" w:sz="0" w:space="0" w:color="auto"/>
            <w:right w:val="none" w:sz="0" w:space="0" w:color="auto"/>
          </w:divBdr>
        </w:div>
        <w:div w:id="1999842160">
          <w:marLeft w:val="0"/>
          <w:marRight w:val="0"/>
          <w:marTop w:val="0"/>
          <w:marBottom w:val="0"/>
          <w:divBdr>
            <w:top w:val="none" w:sz="0" w:space="0" w:color="auto"/>
            <w:left w:val="none" w:sz="0" w:space="0" w:color="auto"/>
            <w:bottom w:val="none" w:sz="0" w:space="0" w:color="auto"/>
            <w:right w:val="none" w:sz="0" w:space="0" w:color="auto"/>
          </w:divBdr>
        </w:div>
      </w:divsChild>
    </w:div>
    <w:div w:id="990645503">
      <w:bodyDiv w:val="1"/>
      <w:marLeft w:val="0"/>
      <w:marRight w:val="0"/>
      <w:marTop w:val="0"/>
      <w:marBottom w:val="0"/>
      <w:divBdr>
        <w:top w:val="none" w:sz="0" w:space="0" w:color="auto"/>
        <w:left w:val="none" w:sz="0" w:space="0" w:color="auto"/>
        <w:bottom w:val="none" w:sz="0" w:space="0" w:color="auto"/>
        <w:right w:val="none" w:sz="0" w:space="0" w:color="auto"/>
      </w:divBdr>
      <w:divsChild>
        <w:div w:id="1686125529">
          <w:marLeft w:val="0"/>
          <w:marRight w:val="0"/>
          <w:marTop w:val="0"/>
          <w:marBottom w:val="0"/>
          <w:divBdr>
            <w:top w:val="none" w:sz="0" w:space="0" w:color="auto"/>
            <w:left w:val="none" w:sz="0" w:space="0" w:color="auto"/>
            <w:bottom w:val="none" w:sz="0" w:space="0" w:color="auto"/>
            <w:right w:val="none" w:sz="0" w:space="0" w:color="auto"/>
          </w:divBdr>
        </w:div>
        <w:div w:id="194735834">
          <w:marLeft w:val="0"/>
          <w:marRight w:val="0"/>
          <w:marTop w:val="0"/>
          <w:marBottom w:val="0"/>
          <w:divBdr>
            <w:top w:val="none" w:sz="0" w:space="0" w:color="auto"/>
            <w:left w:val="none" w:sz="0" w:space="0" w:color="auto"/>
            <w:bottom w:val="none" w:sz="0" w:space="0" w:color="auto"/>
            <w:right w:val="none" w:sz="0" w:space="0" w:color="auto"/>
          </w:divBdr>
        </w:div>
      </w:divsChild>
    </w:div>
    <w:div w:id="1013535136">
      <w:bodyDiv w:val="1"/>
      <w:marLeft w:val="0"/>
      <w:marRight w:val="0"/>
      <w:marTop w:val="0"/>
      <w:marBottom w:val="0"/>
      <w:divBdr>
        <w:top w:val="none" w:sz="0" w:space="0" w:color="auto"/>
        <w:left w:val="none" w:sz="0" w:space="0" w:color="auto"/>
        <w:bottom w:val="none" w:sz="0" w:space="0" w:color="auto"/>
        <w:right w:val="none" w:sz="0" w:space="0" w:color="auto"/>
      </w:divBdr>
      <w:divsChild>
        <w:div w:id="1483503483">
          <w:marLeft w:val="0"/>
          <w:marRight w:val="0"/>
          <w:marTop w:val="0"/>
          <w:marBottom w:val="0"/>
          <w:divBdr>
            <w:top w:val="none" w:sz="0" w:space="0" w:color="auto"/>
            <w:left w:val="none" w:sz="0" w:space="0" w:color="auto"/>
            <w:bottom w:val="none" w:sz="0" w:space="0" w:color="auto"/>
            <w:right w:val="none" w:sz="0" w:space="0" w:color="auto"/>
          </w:divBdr>
        </w:div>
        <w:div w:id="1507286826">
          <w:marLeft w:val="0"/>
          <w:marRight w:val="0"/>
          <w:marTop w:val="0"/>
          <w:marBottom w:val="0"/>
          <w:divBdr>
            <w:top w:val="none" w:sz="0" w:space="0" w:color="auto"/>
            <w:left w:val="none" w:sz="0" w:space="0" w:color="auto"/>
            <w:bottom w:val="none" w:sz="0" w:space="0" w:color="auto"/>
            <w:right w:val="none" w:sz="0" w:space="0" w:color="auto"/>
          </w:divBdr>
        </w:div>
        <w:div w:id="1821843004">
          <w:marLeft w:val="0"/>
          <w:marRight w:val="0"/>
          <w:marTop w:val="0"/>
          <w:marBottom w:val="0"/>
          <w:divBdr>
            <w:top w:val="none" w:sz="0" w:space="0" w:color="auto"/>
            <w:left w:val="none" w:sz="0" w:space="0" w:color="auto"/>
            <w:bottom w:val="none" w:sz="0" w:space="0" w:color="auto"/>
            <w:right w:val="none" w:sz="0" w:space="0" w:color="auto"/>
          </w:divBdr>
        </w:div>
      </w:divsChild>
    </w:div>
    <w:div w:id="1039012468">
      <w:bodyDiv w:val="1"/>
      <w:marLeft w:val="0"/>
      <w:marRight w:val="0"/>
      <w:marTop w:val="0"/>
      <w:marBottom w:val="0"/>
      <w:divBdr>
        <w:top w:val="none" w:sz="0" w:space="0" w:color="auto"/>
        <w:left w:val="none" w:sz="0" w:space="0" w:color="auto"/>
        <w:bottom w:val="none" w:sz="0" w:space="0" w:color="auto"/>
        <w:right w:val="none" w:sz="0" w:space="0" w:color="auto"/>
      </w:divBdr>
      <w:divsChild>
        <w:div w:id="1962228024">
          <w:marLeft w:val="0"/>
          <w:marRight w:val="0"/>
          <w:marTop w:val="0"/>
          <w:marBottom w:val="0"/>
          <w:divBdr>
            <w:top w:val="none" w:sz="0" w:space="0" w:color="auto"/>
            <w:left w:val="none" w:sz="0" w:space="0" w:color="auto"/>
            <w:bottom w:val="none" w:sz="0" w:space="0" w:color="auto"/>
            <w:right w:val="none" w:sz="0" w:space="0" w:color="auto"/>
          </w:divBdr>
        </w:div>
        <w:div w:id="876619973">
          <w:marLeft w:val="0"/>
          <w:marRight w:val="0"/>
          <w:marTop w:val="0"/>
          <w:marBottom w:val="0"/>
          <w:divBdr>
            <w:top w:val="none" w:sz="0" w:space="0" w:color="auto"/>
            <w:left w:val="none" w:sz="0" w:space="0" w:color="auto"/>
            <w:bottom w:val="none" w:sz="0" w:space="0" w:color="auto"/>
            <w:right w:val="none" w:sz="0" w:space="0" w:color="auto"/>
          </w:divBdr>
        </w:div>
      </w:divsChild>
    </w:div>
    <w:div w:id="1068112341">
      <w:bodyDiv w:val="1"/>
      <w:marLeft w:val="0"/>
      <w:marRight w:val="0"/>
      <w:marTop w:val="0"/>
      <w:marBottom w:val="0"/>
      <w:divBdr>
        <w:top w:val="none" w:sz="0" w:space="0" w:color="auto"/>
        <w:left w:val="none" w:sz="0" w:space="0" w:color="auto"/>
        <w:bottom w:val="none" w:sz="0" w:space="0" w:color="auto"/>
        <w:right w:val="none" w:sz="0" w:space="0" w:color="auto"/>
      </w:divBdr>
      <w:divsChild>
        <w:div w:id="1829128329">
          <w:marLeft w:val="0"/>
          <w:marRight w:val="0"/>
          <w:marTop w:val="0"/>
          <w:marBottom w:val="0"/>
          <w:divBdr>
            <w:top w:val="none" w:sz="0" w:space="0" w:color="auto"/>
            <w:left w:val="none" w:sz="0" w:space="0" w:color="auto"/>
            <w:bottom w:val="none" w:sz="0" w:space="0" w:color="auto"/>
            <w:right w:val="none" w:sz="0" w:space="0" w:color="auto"/>
          </w:divBdr>
        </w:div>
        <w:div w:id="1391490585">
          <w:marLeft w:val="0"/>
          <w:marRight w:val="0"/>
          <w:marTop w:val="0"/>
          <w:marBottom w:val="0"/>
          <w:divBdr>
            <w:top w:val="none" w:sz="0" w:space="0" w:color="auto"/>
            <w:left w:val="none" w:sz="0" w:space="0" w:color="auto"/>
            <w:bottom w:val="none" w:sz="0" w:space="0" w:color="auto"/>
            <w:right w:val="none" w:sz="0" w:space="0" w:color="auto"/>
          </w:divBdr>
        </w:div>
        <w:div w:id="1154835395">
          <w:marLeft w:val="0"/>
          <w:marRight w:val="0"/>
          <w:marTop w:val="0"/>
          <w:marBottom w:val="0"/>
          <w:divBdr>
            <w:top w:val="none" w:sz="0" w:space="0" w:color="auto"/>
            <w:left w:val="none" w:sz="0" w:space="0" w:color="auto"/>
            <w:bottom w:val="none" w:sz="0" w:space="0" w:color="auto"/>
            <w:right w:val="none" w:sz="0" w:space="0" w:color="auto"/>
          </w:divBdr>
        </w:div>
      </w:divsChild>
    </w:div>
    <w:div w:id="1140996753">
      <w:bodyDiv w:val="1"/>
      <w:marLeft w:val="0"/>
      <w:marRight w:val="0"/>
      <w:marTop w:val="0"/>
      <w:marBottom w:val="0"/>
      <w:divBdr>
        <w:top w:val="none" w:sz="0" w:space="0" w:color="auto"/>
        <w:left w:val="none" w:sz="0" w:space="0" w:color="auto"/>
        <w:bottom w:val="none" w:sz="0" w:space="0" w:color="auto"/>
        <w:right w:val="none" w:sz="0" w:space="0" w:color="auto"/>
      </w:divBdr>
      <w:divsChild>
        <w:div w:id="787429596">
          <w:marLeft w:val="0"/>
          <w:marRight w:val="0"/>
          <w:marTop w:val="0"/>
          <w:marBottom w:val="0"/>
          <w:divBdr>
            <w:top w:val="none" w:sz="0" w:space="0" w:color="auto"/>
            <w:left w:val="none" w:sz="0" w:space="0" w:color="auto"/>
            <w:bottom w:val="none" w:sz="0" w:space="0" w:color="auto"/>
            <w:right w:val="none" w:sz="0" w:space="0" w:color="auto"/>
          </w:divBdr>
        </w:div>
        <w:div w:id="1784688689">
          <w:marLeft w:val="0"/>
          <w:marRight w:val="0"/>
          <w:marTop w:val="0"/>
          <w:marBottom w:val="0"/>
          <w:divBdr>
            <w:top w:val="none" w:sz="0" w:space="0" w:color="auto"/>
            <w:left w:val="none" w:sz="0" w:space="0" w:color="auto"/>
            <w:bottom w:val="none" w:sz="0" w:space="0" w:color="auto"/>
            <w:right w:val="none" w:sz="0" w:space="0" w:color="auto"/>
          </w:divBdr>
        </w:div>
      </w:divsChild>
    </w:div>
    <w:div w:id="1294558877">
      <w:bodyDiv w:val="1"/>
      <w:marLeft w:val="0"/>
      <w:marRight w:val="0"/>
      <w:marTop w:val="0"/>
      <w:marBottom w:val="0"/>
      <w:divBdr>
        <w:top w:val="none" w:sz="0" w:space="0" w:color="auto"/>
        <w:left w:val="none" w:sz="0" w:space="0" w:color="auto"/>
        <w:bottom w:val="none" w:sz="0" w:space="0" w:color="auto"/>
        <w:right w:val="none" w:sz="0" w:space="0" w:color="auto"/>
      </w:divBdr>
      <w:divsChild>
        <w:div w:id="712998049">
          <w:marLeft w:val="0"/>
          <w:marRight w:val="0"/>
          <w:marTop w:val="0"/>
          <w:marBottom w:val="0"/>
          <w:divBdr>
            <w:top w:val="none" w:sz="0" w:space="0" w:color="auto"/>
            <w:left w:val="none" w:sz="0" w:space="0" w:color="auto"/>
            <w:bottom w:val="none" w:sz="0" w:space="0" w:color="auto"/>
            <w:right w:val="none" w:sz="0" w:space="0" w:color="auto"/>
          </w:divBdr>
        </w:div>
        <w:div w:id="1647709812">
          <w:marLeft w:val="0"/>
          <w:marRight w:val="0"/>
          <w:marTop w:val="0"/>
          <w:marBottom w:val="0"/>
          <w:divBdr>
            <w:top w:val="none" w:sz="0" w:space="0" w:color="auto"/>
            <w:left w:val="none" w:sz="0" w:space="0" w:color="auto"/>
            <w:bottom w:val="none" w:sz="0" w:space="0" w:color="auto"/>
            <w:right w:val="none" w:sz="0" w:space="0" w:color="auto"/>
          </w:divBdr>
        </w:div>
        <w:div w:id="1943486952">
          <w:marLeft w:val="0"/>
          <w:marRight w:val="0"/>
          <w:marTop w:val="0"/>
          <w:marBottom w:val="0"/>
          <w:divBdr>
            <w:top w:val="none" w:sz="0" w:space="0" w:color="auto"/>
            <w:left w:val="none" w:sz="0" w:space="0" w:color="auto"/>
            <w:bottom w:val="none" w:sz="0" w:space="0" w:color="auto"/>
            <w:right w:val="none" w:sz="0" w:space="0" w:color="auto"/>
          </w:divBdr>
        </w:div>
      </w:divsChild>
    </w:div>
    <w:div w:id="1307009240">
      <w:bodyDiv w:val="1"/>
      <w:marLeft w:val="0"/>
      <w:marRight w:val="0"/>
      <w:marTop w:val="0"/>
      <w:marBottom w:val="0"/>
      <w:divBdr>
        <w:top w:val="none" w:sz="0" w:space="0" w:color="auto"/>
        <w:left w:val="none" w:sz="0" w:space="0" w:color="auto"/>
        <w:bottom w:val="none" w:sz="0" w:space="0" w:color="auto"/>
        <w:right w:val="none" w:sz="0" w:space="0" w:color="auto"/>
      </w:divBdr>
      <w:divsChild>
        <w:div w:id="34282364">
          <w:marLeft w:val="0"/>
          <w:marRight w:val="0"/>
          <w:marTop w:val="0"/>
          <w:marBottom w:val="0"/>
          <w:divBdr>
            <w:top w:val="none" w:sz="0" w:space="0" w:color="auto"/>
            <w:left w:val="none" w:sz="0" w:space="0" w:color="auto"/>
            <w:bottom w:val="none" w:sz="0" w:space="0" w:color="auto"/>
            <w:right w:val="none" w:sz="0" w:space="0" w:color="auto"/>
          </w:divBdr>
        </w:div>
        <w:div w:id="1918132108">
          <w:marLeft w:val="0"/>
          <w:marRight w:val="0"/>
          <w:marTop w:val="0"/>
          <w:marBottom w:val="0"/>
          <w:divBdr>
            <w:top w:val="none" w:sz="0" w:space="0" w:color="auto"/>
            <w:left w:val="none" w:sz="0" w:space="0" w:color="auto"/>
            <w:bottom w:val="none" w:sz="0" w:space="0" w:color="auto"/>
            <w:right w:val="none" w:sz="0" w:space="0" w:color="auto"/>
          </w:divBdr>
        </w:div>
        <w:div w:id="287862892">
          <w:marLeft w:val="0"/>
          <w:marRight w:val="0"/>
          <w:marTop w:val="0"/>
          <w:marBottom w:val="0"/>
          <w:divBdr>
            <w:top w:val="none" w:sz="0" w:space="0" w:color="auto"/>
            <w:left w:val="none" w:sz="0" w:space="0" w:color="auto"/>
            <w:bottom w:val="none" w:sz="0" w:space="0" w:color="auto"/>
            <w:right w:val="none" w:sz="0" w:space="0" w:color="auto"/>
          </w:divBdr>
        </w:div>
      </w:divsChild>
    </w:div>
    <w:div w:id="1360204642">
      <w:bodyDiv w:val="1"/>
      <w:marLeft w:val="0"/>
      <w:marRight w:val="0"/>
      <w:marTop w:val="0"/>
      <w:marBottom w:val="0"/>
      <w:divBdr>
        <w:top w:val="none" w:sz="0" w:space="0" w:color="auto"/>
        <w:left w:val="none" w:sz="0" w:space="0" w:color="auto"/>
        <w:bottom w:val="none" w:sz="0" w:space="0" w:color="auto"/>
        <w:right w:val="none" w:sz="0" w:space="0" w:color="auto"/>
      </w:divBdr>
    </w:div>
    <w:div w:id="1370642396">
      <w:bodyDiv w:val="1"/>
      <w:marLeft w:val="0"/>
      <w:marRight w:val="0"/>
      <w:marTop w:val="0"/>
      <w:marBottom w:val="0"/>
      <w:divBdr>
        <w:top w:val="none" w:sz="0" w:space="0" w:color="auto"/>
        <w:left w:val="none" w:sz="0" w:space="0" w:color="auto"/>
        <w:bottom w:val="none" w:sz="0" w:space="0" w:color="auto"/>
        <w:right w:val="none" w:sz="0" w:space="0" w:color="auto"/>
      </w:divBdr>
      <w:divsChild>
        <w:div w:id="507409231">
          <w:marLeft w:val="0"/>
          <w:marRight w:val="0"/>
          <w:marTop w:val="0"/>
          <w:marBottom w:val="0"/>
          <w:divBdr>
            <w:top w:val="none" w:sz="0" w:space="0" w:color="auto"/>
            <w:left w:val="none" w:sz="0" w:space="0" w:color="auto"/>
            <w:bottom w:val="none" w:sz="0" w:space="0" w:color="auto"/>
            <w:right w:val="none" w:sz="0" w:space="0" w:color="auto"/>
          </w:divBdr>
        </w:div>
      </w:divsChild>
    </w:div>
    <w:div w:id="1384331943">
      <w:bodyDiv w:val="1"/>
      <w:marLeft w:val="0"/>
      <w:marRight w:val="0"/>
      <w:marTop w:val="0"/>
      <w:marBottom w:val="0"/>
      <w:divBdr>
        <w:top w:val="none" w:sz="0" w:space="0" w:color="auto"/>
        <w:left w:val="none" w:sz="0" w:space="0" w:color="auto"/>
        <w:bottom w:val="none" w:sz="0" w:space="0" w:color="auto"/>
        <w:right w:val="none" w:sz="0" w:space="0" w:color="auto"/>
      </w:divBdr>
      <w:divsChild>
        <w:div w:id="59443474">
          <w:marLeft w:val="0"/>
          <w:marRight w:val="0"/>
          <w:marTop w:val="0"/>
          <w:marBottom w:val="0"/>
          <w:divBdr>
            <w:top w:val="none" w:sz="0" w:space="0" w:color="auto"/>
            <w:left w:val="none" w:sz="0" w:space="0" w:color="auto"/>
            <w:bottom w:val="none" w:sz="0" w:space="0" w:color="auto"/>
            <w:right w:val="none" w:sz="0" w:space="0" w:color="auto"/>
          </w:divBdr>
        </w:div>
        <w:div w:id="1868710462">
          <w:marLeft w:val="0"/>
          <w:marRight w:val="0"/>
          <w:marTop w:val="0"/>
          <w:marBottom w:val="0"/>
          <w:divBdr>
            <w:top w:val="none" w:sz="0" w:space="0" w:color="auto"/>
            <w:left w:val="none" w:sz="0" w:space="0" w:color="auto"/>
            <w:bottom w:val="none" w:sz="0" w:space="0" w:color="auto"/>
            <w:right w:val="none" w:sz="0" w:space="0" w:color="auto"/>
          </w:divBdr>
        </w:div>
        <w:div w:id="1434474333">
          <w:marLeft w:val="0"/>
          <w:marRight w:val="0"/>
          <w:marTop w:val="0"/>
          <w:marBottom w:val="0"/>
          <w:divBdr>
            <w:top w:val="none" w:sz="0" w:space="0" w:color="auto"/>
            <w:left w:val="none" w:sz="0" w:space="0" w:color="auto"/>
            <w:bottom w:val="none" w:sz="0" w:space="0" w:color="auto"/>
            <w:right w:val="none" w:sz="0" w:space="0" w:color="auto"/>
          </w:divBdr>
        </w:div>
      </w:divsChild>
    </w:div>
    <w:div w:id="1400903505">
      <w:bodyDiv w:val="1"/>
      <w:marLeft w:val="0"/>
      <w:marRight w:val="0"/>
      <w:marTop w:val="0"/>
      <w:marBottom w:val="0"/>
      <w:divBdr>
        <w:top w:val="none" w:sz="0" w:space="0" w:color="auto"/>
        <w:left w:val="none" w:sz="0" w:space="0" w:color="auto"/>
        <w:bottom w:val="none" w:sz="0" w:space="0" w:color="auto"/>
        <w:right w:val="none" w:sz="0" w:space="0" w:color="auto"/>
      </w:divBdr>
      <w:divsChild>
        <w:div w:id="1165708678">
          <w:marLeft w:val="0"/>
          <w:marRight w:val="0"/>
          <w:marTop w:val="0"/>
          <w:marBottom w:val="0"/>
          <w:divBdr>
            <w:top w:val="none" w:sz="0" w:space="0" w:color="auto"/>
            <w:left w:val="none" w:sz="0" w:space="0" w:color="auto"/>
            <w:bottom w:val="none" w:sz="0" w:space="0" w:color="auto"/>
            <w:right w:val="none" w:sz="0" w:space="0" w:color="auto"/>
          </w:divBdr>
        </w:div>
        <w:div w:id="861095618">
          <w:marLeft w:val="0"/>
          <w:marRight w:val="0"/>
          <w:marTop w:val="0"/>
          <w:marBottom w:val="0"/>
          <w:divBdr>
            <w:top w:val="none" w:sz="0" w:space="0" w:color="auto"/>
            <w:left w:val="none" w:sz="0" w:space="0" w:color="auto"/>
            <w:bottom w:val="none" w:sz="0" w:space="0" w:color="auto"/>
            <w:right w:val="none" w:sz="0" w:space="0" w:color="auto"/>
          </w:divBdr>
        </w:div>
      </w:divsChild>
    </w:div>
    <w:div w:id="1403987919">
      <w:bodyDiv w:val="1"/>
      <w:marLeft w:val="0"/>
      <w:marRight w:val="0"/>
      <w:marTop w:val="0"/>
      <w:marBottom w:val="0"/>
      <w:divBdr>
        <w:top w:val="none" w:sz="0" w:space="0" w:color="auto"/>
        <w:left w:val="none" w:sz="0" w:space="0" w:color="auto"/>
        <w:bottom w:val="none" w:sz="0" w:space="0" w:color="auto"/>
        <w:right w:val="none" w:sz="0" w:space="0" w:color="auto"/>
      </w:divBdr>
      <w:divsChild>
        <w:div w:id="750737428">
          <w:marLeft w:val="0"/>
          <w:marRight w:val="0"/>
          <w:marTop w:val="0"/>
          <w:marBottom w:val="0"/>
          <w:divBdr>
            <w:top w:val="none" w:sz="0" w:space="0" w:color="auto"/>
            <w:left w:val="none" w:sz="0" w:space="0" w:color="auto"/>
            <w:bottom w:val="none" w:sz="0" w:space="0" w:color="auto"/>
            <w:right w:val="none" w:sz="0" w:space="0" w:color="auto"/>
          </w:divBdr>
        </w:div>
        <w:div w:id="569772307">
          <w:marLeft w:val="0"/>
          <w:marRight w:val="0"/>
          <w:marTop w:val="0"/>
          <w:marBottom w:val="0"/>
          <w:divBdr>
            <w:top w:val="none" w:sz="0" w:space="0" w:color="auto"/>
            <w:left w:val="none" w:sz="0" w:space="0" w:color="auto"/>
            <w:bottom w:val="none" w:sz="0" w:space="0" w:color="auto"/>
            <w:right w:val="none" w:sz="0" w:space="0" w:color="auto"/>
          </w:divBdr>
        </w:div>
      </w:divsChild>
    </w:div>
    <w:div w:id="1416315563">
      <w:bodyDiv w:val="1"/>
      <w:marLeft w:val="0"/>
      <w:marRight w:val="0"/>
      <w:marTop w:val="0"/>
      <w:marBottom w:val="0"/>
      <w:divBdr>
        <w:top w:val="none" w:sz="0" w:space="0" w:color="auto"/>
        <w:left w:val="none" w:sz="0" w:space="0" w:color="auto"/>
        <w:bottom w:val="none" w:sz="0" w:space="0" w:color="auto"/>
        <w:right w:val="none" w:sz="0" w:space="0" w:color="auto"/>
      </w:divBdr>
      <w:divsChild>
        <w:div w:id="181549371">
          <w:marLeft w:val="0"/>
          <w:marRight w:val="0"/>
          <w:marTop w:val="0"/>
          <w:marBottom w:val="0"/>
          <w:divBdr>
            <w:top w:val="none" w:sz="0" w:space="0" w:color="auto"/>
            <w:left w:val="none" w:sz="0" w:space="0" w:color="auto"/>
            <w:bottom w:val="none" w:sz="0" w:space="0" w:color="auto"/>
            <w:right w:val="none" w:sz="0" w:space="0" w:color="auto"/>
          </w:divBdr>
        </w:div>
        <w:div w:id="558396040">
          <w:marLeft w:val="0"/>
          <w:marRight w:val="0"/>
          <w:marTop w:val="0"/>
          <w:marBottom w:val="0"/>
          <w:divBdr>
            <w:top w:val="none" w:sz="0" w:space="0" w:color="auto"/>
            <w:left w:val="none" w:sz="0" w:space="0" w:color="auto"/>
            <w:bottom w:val="none" w:sz="0" w:space="0" w:color="auto"/>
            <w:right w:val="none" w:sz="0" w:space="0" w:color="auto"/>
          </w:divBdr>
        </w:div>
        <w:div w:id="2046440435">
          <w:marLeft w:val="0"/>
          <w:marRight w:val="0"/>
          <w:marTop w:val="0"/>
          <w:marBottom w:val="0"/>
          <w:divBdr>
            <w:top w:val="none" w:sz="0" w:space="0" w:color="auto"/>
            <w:left w:val="none" w:sz="0" w:space="0" w:color="auto"/>
            <w:bottom w:val="none" w:sz="0" w:space="0" w:color="auto"/>
            <w:right w:val="none" w:sz="0" w:space="0" w:color="auto"/>
          </w:divBdr>
        </w:div>
      </w:divsChild>
    </w:div>
    <w:div w:id="1503593209">
      <w:bodyDiv w:val="1"/>
      <w:marLeft w:val="0"/>
      <w:marRight w:val="0"/>
      <w:marTop w:val="0"/>
      <w:marBottom w:val="0"/>
      <w:divBdr>
        <w:top w:val="none" w:sz="0" w:space="0" w:color="auto"/>
        <w:left w:val="none" w:sz="0" w:space="0" w:color="auto"/>
        <w:bottom w:val="none" w:sz="0" w:space="0" w:color="auto"/>
        <w:right w:val="none" w:sz="0" w:space="0" w:color="auto"/>
      </w:divBdr>
    </w:div>
    <w:div w:id="1505049773">
      <w:bodyDiv w:val="1"/>
      <w:marLeft w:val="0"/>
      <w:marRight w:val="0"/>
      <w:marTop w:val="0"/>
      <w:marBottom w:val="0"/>
      <w:divBdr>
        <w:top w:val="none" w:sz="0" w:space="0" w:color="auto"/>
        <w:left w:val="none" w:sz="0" w:space="0" w:color="auto"/>
        <w:bottom w:val="none" w:sz="0" w:space="0" w:color="auto"/>
        <w:right w:val="none" w:sz="0" w:space="0" w:color="auto"/>
      </w:divBdr>
      <w:divsChild>
        <w:div w:id="1434474541">
          <w:marLeft w:val="0"/>
          <w:marRight w:val="0"/>
          <w:marTop w:val="0"/>
          <w:marBottom w:val="0"/>
          <w:divBdr>
            <w:top w:val="none" w:sz="0" w:space="0" w:color="auto"/>
            <w:left w:val="none" w:sz="0" w:space="0" w:color="auto"/>
            <w:bottom w:val="none" w:sz="0" w:space="0" w:color="auto"/>
            <w:right w:val="none" w:sz="0" w:space="0" w:color="auto"/>
          </w:divBdr>
        </w:div>
        <w:div w:id="1461221684">
          <w:marLeft w:val="0"/>
          <w:marRight w:val="0"/>
          <w:marTop w:val="0"/>
          <w:marBottom w:val="0"/>
          <w:divBdr>
            <w:top w:val="none" w:sz="0" w:space="0" w:color="auto"/>
            <w:left w:val="none" w:sz="0" w:space="0" w:color="auto"/>
            <w:bottom w:val="none" w:sz="0" w:space="0" w:color="auto"/>
            <w:right w:val="none" w:sz="0" w:space="0" w:color="auto"/>
          </w:divBdr>
        </w:div>
        <w:div w:id="1977829465">
          <w:marLeft w:val="0"/>
          <w:marRight w:val="0"/>
          <w:marTop w:val="0"/>
          <w:marBottom w:val="0"/>
          <w:divBdr>
            <w:top w:val="none" w:sz="0" w:space="0" w:color="auto"/>
            <w:left w:val="none" w:sz="0" w:space="0" w:color="auto"/>
            <w:bottom w:val="none" w:sz="0" w:space="0" w:color="auto"/>
            <w:right w:val="none" w:sz="0" w:space="0" w:color="auto"/>
          </w:divBdr>
        </w:div>
      </w:divsChild>
    </w:div>
    <w:div w:id="1510829724">
      <w:bodyDiv w:val="1"/>
      <w:marLeft w:val="0"/>
      <w:marRight w:val="0"/>
      <w:marTop w:val="0"/>
      <w:marBottom w:val="0"/>
      <w:divBdr>
        <w:top w:val="none" w:sz="0" w:space="0" w:color="auto"/>
        <w:left w:val="none" w:sz="0" w:space="0" w:color="auto"/>
        <w:bottom w:val="none" w:sz="0" w:space="0" w:color="auto"/>
        <w:right w:val="none" w:sz="0" w:space="0" w:color="auto"/>
      </w:divBdr>
    </w:div>
    <w:div w:id="1539467537">
      <w:bodyDiv w:val="1"/>
      <w:marLeft w:val="0"/>
      <w:marRight w:val="0"/>
      <w:marTop w:val="0"/>
      <w:marBottom w:val="0"/>
      <w:divBdr>
        <w:top w:val="none" w:sz="0" w:space="0" w:color="auto"/>
        <w:left w:val="none" w:sz="0" w:space="0" w:color="auto"/>
        <w:bottom w:val="none" w:sz="0" w:space="0" w:color="auto"/>
        <w:right w:val="none" w:sz="0" w:space="0" w:color="auto"/>
      </w:divBdr>
      <w:divsChild>
        <w:div w:id="712579676">
          <w:marLeft w:val="0"/>
          <w:marRight w:val="0"/>
          <w:marTop w:val="0"/>
          <w:marBottom w:val="0"/>
          <w:divBdr>
            <w:top w:val="none" w:sz="0" w:space="0" w:color="auto"/>
            <w:left w:val="none" w:sz="0" w:space="0" w:color="auto"/>
            <w:bottom w:val="none" w:sz="0" w:space="0" w:color="auto"/>
            <w:right w:val="none" w:sz="0" w:space="0" w:color="auto"/>
          </w:divBdr>
        </w:div>
        <w:div w:id="996376118">
          <w:marLeft w:val="0"/>
          <w:marRight w:val="0"/>
          <w:marTop w:val="0"/>
          <w:marBottom w:val="0"/>
          <w:divBdr>
            <w:top w:val="none" w:sz="0" w:space="0" w:color="auto"/>
            <w:left w:val="none" w:sz="0" w:space="0" w:color="auto"/>
            <w:bottom w:val="none" w:sz="0" w:space="0" w:color="auto"/>
            <w:right w:val="none" w:sz="0" w:space="0" w:color="auto"/>
          </w:divBdr>
        </w:div>
        <w:div w:id="395588426">
          <w:marLeft w:val="0"/>
          <w:marRight w:val="0"/>
          <w:marTop w:val="0"/>
          <w:marBottom w:val="0"/>
          <w:divBdr>
            <w:top w:val="none" w:sz="0" w:space="0" w:color="auto"/>
            <w:left w:val="none" w:sz="0" w:space="0" w:color="auto"/>
            <w:bottom w:val="none" w:sz="0" w:space="0" w:color="auto"/>
            <w:right w:val="none" w:sz="0" w:space="0" w:color="auto"/>
          </w:divBdr>
        </w:div>
      </w:divsChild>
    </w:div>
    <w:div w:id="1547839186">
      <w:bodyDiv w:val="1"/>
      <w:marLeft w:val="0"/>
      <w:marRight w:val="0"/>
      <w:marTop w:val="0"/>
      <w:marBottom w:val="0"/>
      <w:divBdr>
        <w:top w:val="none" w:sz="0" w:space="0" w:color="auto"/>
        <w:left w:val="none" w:sz="0" w:space="0" w:color="auto"/>
        <w:bottom w:val="none" w:sz="0" w:space="0" w:color="auto"/>
        <w:right w:val="none" w:sz="0" w:space="0" w:color="auto"/>
      </w:divBdr>
      <w:divsChild>
        <w:div w:id="615523802">
          <w:marLeft w:val="0"/>
          <w:marRight w:val="0"/>
          <w:marTop w:val="0"/>
          <w:marBottom w:val="0"/>
          <w:divBdr>
            <w:top w:val="none" w:sz="0" w:space="0" w:color="auto"/>
            <w:left w:val="none" w:sz="0" w:space="0" w:color="auto"/>
            <w:bottom w:val="none" w:sz="0" w:space="0" w:color="auto"/>
            <w:right w:val="none" w:sz="0" w:space="0" w:color="auto"/>
          </w:divBdr>
        </w:div>
        <w:div w:id="922422003">
          <w:marLeft w:val="0"/>
          <w:marRight w:val="0"/>
          <w:marTop w:val="0"/>
          <w:marBottom w:val="0"/>
          <w:divBdr>
            <w:top w:val="none" w:sz="0" w:space="0" w:color="auto"/>
            <w:left w:val="none" w:sz="0" w:space="0" w:color="auto"/>
            <w:bottom w:val="none" w:sz="0" w:space="0" w:color="auto"/>
            <w:right w:val="none" w:sz="0" w:space="0" w:color="auto"/>
          </w:divBdr>
        </w:div>
        <w:div w:id="166792220">
          <w:marLeft w:val="0"/>
          <w:marRight w:val="0"/>
          <w:marTop w:val="0"/>
          <w:marBottom w:val="0"/>
          <w:divBdr>
            <w:top w:val="none" w:sz="0" w:space="0" w:color="auto"/>
            <w:left w:val="none" w:sz="0" w:space="0" w:color="auto"/>
            <w:bottom w:val="none" w:sz="0" w:space="0" w:color="auto"/>
            <w:right w:val="none" w:sz="0" w:space="0" w:color="auto"/>
          </w:divBdr>
        </w:div>
      </w:divsChild>
    </w:div>
    <w:div w:id="1549754297">
      <w:bodyDiv w:val="1"/>
      <w:marLeft w:val="0"/>
      <w:marRight w:val="0"/>
      <w:marTop w:val="0"/>
      <w:marBottom w:val="0"/>
      <w:divBdr>
        <w:top w:val="none" w:sz="0" w:space="0" w:color="auto"/>
        <w:left w:val="none" w:sz="0" w:space="0" w:color="auto"/>
        <w:bottom w:val="none" w:sz="0" w:space="0" w:color="auto"/>
        <w:right w:val="none" w:sz="0" w:space="0" w:color="auto"/>
      </w:divBdr>
    </w:div>
    <w:div w:id="1607810839">
      <w:bodyDiv w:val="1"/>
      <w:marLeft w:val="0"/>
      <w:marRight w:val="0"/>
      <w:marTop w:val="0"/>
      <w:marBottom w:val="0"/>
      <w:divBdr>
        <w:top w:val="none" w:sz="0" w:space="0" w:color="auto"/>
        <w:left w:val="none" w:sz="0" w:space="0" w:color="auto"/>
        <w:bottom w:val="none" w:sz="0" w:space="0" w:color="auto"/>
        <w:right w:val="none" w:sz="0" w:space="0" w:color="auto"/>
      </w:divBdr>
      <w:divsChild>
        <w:div w:id="1551573418">
          <w:marLeft w:val="0"/>
          <w:marRight w:val="0"/>
          <w:marTop w:val="0"/>
          <w:marBottom w:val="0"/>
          <w:divBdr>
            <w:top w:val="none" w:sz="0" w:space="0" w:color="auto"/>
            <w:left w:val="none" w:sz="0" w:space="0" w:color="auto"/>
            <w:bottom w:val="none" w:sz="0" w:space="0" w:color="auto"/>
            <w:right w:val="none" w:sz="0" w:space="0" w:color="auto"/>
          </w:divBdr>
        </w:div>
        <w:div w:id="2006738586">
          <w:marLeft w:val="0"/>
          <w:marRight w:val="0"/>
          <w:marTop w:val="0"/>
          <w:marBottom w:val="0"/>
          <w:divBdr>
            <w:top w:val="none" w:sz="0" w:space="0" w:color="auto"/>
            <w:left w:val="none" w:sz="0" w:space="0" w:color="auto"/>
            <w:bottom w:val="none" w:sz="0" w:space="0" w:color="auto"/>
            <w:right w:val="none" w:sz="0" w:space="0" w:color="auto"/>
          </w:divBdr>
        </w:div>
      </w:divsChild>
    </w:div>
    <w:div w:id="1622686606">
      <w:bodyDiv w:val="1"/>
      <w:marLeft w:val="0"/>
      <w:marRight w:val="0"/>
      <w:marTop w:val="0"/>
      <w:marBottom w:val="0"/>
      <w:divBdr>
        <w:top w:val="none" w:sz="0" w:space="0" w:color="auto"/>
        <w:left w:val="none" w:sz="0" w:space="0" w:color="auto"/>
        <w:bottom w:val="none" w:sz="0" w:space="0" w:color="auto"/>
        <w:right w:val="none" w:sz="0" w:space="0" w:color="auto"/>
      </w:divBdr>
    </w:div>
    <w:div w:id="1651980641">
      <w:bodyDiv w:val="1"/>
      <w:marLeft w:val="0"/>
      <w:marRight w:val="0"/>
      <w:marTop w:val="0"/>
      <w:marBottom w:val="0"/>
      <w:divBdr>
        <w:top w:val="none" w:sz="0" w:space="0" w:color="auto"/>
        <w:left w:val="none" w:sz="0" w:space="0" w:color="auto"/>
        <w:bottom w:val="none" w:sz="0" w:space="0" w:color="auto"/>
        <w:right w:val="none" w:sz="0" w:space="0" w:color="auto"/>
      </w:divBdr>
      <w:divsChild>
        <w:div w:id="76946359">
          <w:marLeft w:val="0"/>
          <w:marRight w:val="0"/>
          <w:marTop w:val="0"/>
          <w:marBottom w:val="0"/>
          <w:divBdr>
            <w:top w:val="none" w:sz="0" w:space="0" w:color="auto"/>
            <w:left w:val="none" w:sz="0" w:space="0" w:color="auto"/>
            <w:bottom w:val="none" w:sz="0" w:space="0" w:color="auto"/>
            <w:right w:val="none" w:sz="0" w:space="0" w:color="auto"/>
          </w:divBdr>
        </w:div>
        <w:div w:id="1073234419">
          <w:marLeft w:val="0"/>
          <w:marRight w:val="0"/>
          <w:marTop w:val="0"/>
          <w:marBottom w:val="0"/>
          <w:divBdr>
            <w:top w:val="none" w:sz="0" w:space="0" w:color="auto"/>
            <w:left w:val="none" w:sz="0" w:space="0" w:color="auto"/>
            <w:bottom w:val="none" w:sz="0" w:space="0" w:color="auto"/>
            <w:right w:val="none" w:sz="0" w:space="0" w:color="auto"/>
          </w:divBdr>
        </w:div>
      </w:divsChild>
    </w:div>
    <w:div w:id="1676834588">
      <w:bodyDiv w:val="1"/>
      <w:marLeft w:val="0"/>
      <w:marRight w:val="0"/>
      <w:marTop w:val="0"/>
      <w:marBottom w:val="0"/>
      <w:divBdr>
        <w:top w:val="none" w:sz="0" w:space="0" w:color="auto"/>
        <w:left w:val="none" w:sz="0" w:space="0" w:color="auto"/>
        <w:bottom w:val="none" w:sz="0" w:space="0" w:color="auto"/>
        <w:right w:val="none" w:sz="0" w:space="0" w:color="auto"/>
      </w:divBdr>
      <w:divsChild>
        <w:div w:id="203105268">
          <w:marLeft w:val="0"/>
          <w:marRight w:val="0"/>
          <w:marTop w:val="0"/>
          <w:marBottom w:val="0"/>
          <w:divBdr>
            <w:top w:val="none" w:sz="0" w:space="0" w:color="auto"/>
            <w:left w:val="none" w:sz="0" w:space="0" w:color="auto"/>
            <w:bottom w:val="none" w:sz="0" w:space="0" w:color="auto"/>
            <w:right w:val="none" w:sz="0" w:space="0" w:color="auto"/>
          </w:divBdr>
        </w:div>
        <w:div w:id="1689329946">
          <w:marLeft w:val="0"/>
          <w:marRight w:val="0"/>
          <w:marTop w:val="0"/>
          <w:marBottom w:val="0"/>
          <w:divBdr>
            <w:top w:val="none" w:sz="0" w:space="0" w:color="auto"/>
            <w:left w:val="none" w:sz="0" w:space="0" w:color="auto"/>
            <w:bottom w:val="none" w:sz="0" w:space="0" w:color="auto"/>
            <w:right w:val="none" w:sz="0" w:space="0" w:color="auto"/>
          </w:divBdr>
        </w:div>
        <w:div w:id="1983079008">
          <w:marLeft w:val="0"/>
          <w:marRight w:val="0"/>
          <w:marTop w:val="0"/>
          <w:marBottom w:val="0"/>
          <w:divBdr>
            <w:top w:val="none" w:sz="0" w:space="0" w:color="auto"/>
            <w:left w:val="none" w:sz="0" w:space="0" w:color="auto"/>
            <w:bottom w:val="none" w:sz="0" w:space="0" w:color="auto"/>
            <w:right w:val="none" w:sz="0" w:space="0" w:color="auto"/>
          </w:divBdr>
        </w:div>
      </w:divsChild>
    </w:div>
    <w:div w:id="1683119590">
      <w:bodyDiv w:val="1"/>
      <w:marLeft w:val="0"/>
      <w:marRight w:val="0"/>
      <w:marTop w:val="0"/>
      <w:marBottom w:val="0"/>
      <w:divBdr>
        <w:top w:val="none" w:sz="0" w:space="0" w:color="auto"/>
        <w:left w:val="none" w:sz="0" w:space="0" w:color="auto"/>
        <w:bottom w:val="none" w:sz="0" w:space="0" w:color="auto"/>
        <w:right w:val="none" w:sz="0" w:space="0" w:color="auto"/>
      </w:divBdr>
      <w:divsChild>
        <w:div w:id="824474683">
          <w:marLeft w:val="0"/>
          <w:marRight w:val="0"/>
          <w:marTop w:val="0"/>
          <w:marBottom w:val="0"/>
          <w:divBdr>
            <w:top w:val="none" w:sz="0" w:space="0" w:color="auto"/>
            <w:left w:val="none" w:sz="0" w:space="0" w:color="auto"/>
            <w:bottom w:val="none" w:sz="0" w:space="0" w:color="auto"/>
            <w:right w:val="none" w:sz="0" w:space="0" w:color="auto"/>
          </w:divBdr>
        </w:div>
        <w:div w:id="439958464">
          <w:marLeft w:val="0"/>
          <w:marRight w:val="0"/>
          <w:marTop w:val="0"/>
          <w:marBottom w:val="0"/>
          <w:divBdr>
            <w:top w:val="none" w:sz="0" w:space="0" w:color="auto"/>
            <w:left w:val="none" w:sz="0" w:space="0" w:color="auto"/>
            <w:bottom w:val="none" w:sz="0" w:space="0" w:color="auto"/>
            <w:right w:val="none" w:sz="0" w:space="0" w:color="auto"/>
          </w:divBdr>
        </w:div>
        <w:div w:id="1629117130">
          <w:marLeft w:val="0"/>
          <w:marRight w:val="0"/>
          <w:marTop w:val="0"/>
          <w:marBottom w:val="0"/>
          <w:divBdr>
            <w:top w:val="none" w:sz="0" w:space="0" w:color="auto"/>
            <w:left w:val="none" w:sz="0" w:space="0" w:color="auto"/>
            <w:bottom w:val="none" w:sz="0" w:space="0" w:color="auto"/>
            <w:right w:val="none" w:sz="0" w:space="0" w:color="auto"/>
          </w:divBdr>
        </w:div>
      </w:divsChild>
    </w:div>
    <w:div w:id="1691561609">
      <w:bodyDiv w:val="1"/>
      <w:marLeft w:val="0"/>
      <w:marRight w:val="0"/>
      <w:marTop w:val="0"/>
      <w:marBottom w:val="0"/>
      <w:divBdr>
        <w:top w:val="none" w:sz="0" w:space="0" w:color="auto"/>
        <w:left w:val="none" w:sz="0" w:space="0" w:color="auto"/>
        <w:bottom w:val="none" w:sz="0" w:space="0" w:color="auto"/>
        <w:right w:val="none" w:sz="0" w:space="0" w:color="auto"/>
      </w:divBdr>
      <w:divsChild>
        <w:div w:id="514266522">
          <w:marLeft w:val="0"/>
          <w:marRight w:val="0"/>
          <w:marTop w:val="0"/>
          <w:marBottom w:val="0"/>
          <w:divBdr>
            <w:top w:val="none" w:sz="0" w:space="0" w:color="auto"/>
            <w:left w:val="none" w:sz="0" w:space="0" w:color="auto"/>
            <w:bottom w:val="none" w:sz="0" w:space="0" w:color="auto"/>
            <w:right w:val="none" w:sz="0" w:space="0" w:color="auto"/>
          </w:divBdr>
        </w:div>
        <w:div w:id="1110707421">
          <w:marLeft w:val="0"/>
          <w:marRight w:val="0"/>
          <w:marTop w:val="0"/>
          <w:marBottom w:val="0"/>
          <w:divBdr>
            <w:top w:val="none" w:sz="0" w:space="0" w:color="auto"/>
            <w:left w:val="none" w:sz="0" w:space="0" w:color="auto"/>
            <w:bottom w:val="none" w:sz="0" w:space="0" w:color="auto"/>
            <w:right w:val="none" w:sz="0" w:space="0" w:color="auto"/>
          </w:divBdr>
        </w:div>
      </w:divsChild>
    </w:div>
    <w:div w:id="1712149485">
      <w:bodyDiv w:val="1"/>
      <w:marLeft w:val="0"/>
      <w:marRight w:val="0"/>
      <w:marTop w:val="0"/>
      <w:marBottom w:val="0"/>
      <w:divBdr>
        <w:top w:val="none" w:sz="0" w:space="0" w:color="auto"/>
        <w:left w:val="none" w:sz="0" w:space="0" w:color="auto"/>
        <w:bottom w:val="none" w:sz="0" w:space="0" w:color="auto"/>
        <w:right w:val="none" w:sz="0" w:space="0" w:color="auto"/>
      </w:divBdr>
      <w:divsChild>
        <w:div w:id="662469499">
          <w:marLeft w:val="0"/>
          <w:marRight w:val="0"/>
          <w:marTop w:val="0"/>
          <w:marBottom w:val="0"/>
          <w:divBdr>
            <w:top w:val="none" w:sz="0" w:space="0" w:color="auto"/>
            <w:left w:val="none" w:sz="0" w:space="0" w:color="auto"/>
            <w:bottom w:val="none" w:sz="0" w:space="0" w:color="auto"/>
            <w:right w:val="none" w:sz="0" w:space="0" w:color="auto"/>
          </w:divBdr>
        </w:div>
        <w:div w:id="965891454">
          <w:marLeft w:val="0"/>
          <w:marRight w:val="0"/>
          <w:marTop w:val="0"/>
          <w:marBottom w:val="0"/>
          <w:divBdr>
            <w:top w:val="none" w:sz="0" w:space="0" w:color="auto"/>
            <w:left w:val="none" w:sz="0" w:space="0" w:color="auto"/>
            <w:bottom w:val="none" w:sz="0" w:space="0" w:color="auto"/>
            <w:right w:val="none" w:sz="0" w:space="0" w:color="auto"/>
          </w:divBdr>
        </w:div>
        <w:div w:id="1968123012">
          <w:marLeft w:val="0"/>
          <w:marRight w:val="0"/>
          <w:marTop w:val="0"/>
          <w:marBottom w:val="0"/>
          <w:divBdr>
            <w:top w:val="none" w:sz="0" w:space="0" w:color="auto"/>
            <w:left w:val="none" w:sz="0" w:space="0" w:color="auto"/>
            <w:bottom w:val="none" w:sz="0" w:space="0" w:color="auto"/>
            <w:right w:val="none" w:sz="0" w:space="0" w:color="auto"/>
          </w:divBdr>
        </w:div>
      </w:divsChild>
    </w:div>
    <w:div w:id="1723674790">
      <w:bodyDiv w:val="1"/>
      <w:marLeft w:val="0"/>
      <w:marRight w:val="0"/>
      <w:marTop w:val="0"/>
      <w:marBottom w:val="0"/>
      <w:divBdr>
        <w:top w:val="none" w:sz="0" w:space="0" w:color="auto"/>
        <w:left w:val="none" w:sz="0" w:space="0" w:color="auto"/>
        <w:bottom w:val="none" w:sz="0" w:space="0" w:color="auto"/>
        <w:right w:val="none" w:sz="0" w:space="0" w:color="auto"/>
      </w:divBdr>
      <w:divsChild>
        <w:div w:id="719208900">
          <w:marLeft w:val="0"/>
          <w:marRight w:val="0"/>
          <w:marTop w:val="0"/>
          <w:marBottom w:val="0"/>
          <w:divBdr>
            <w:top w:val="none" w:sz="0" w:space="0" w:color="auto"/>
            <w:left w:val="none" w:sz="0" w:space="0" w:color="auto"/>
            <w:bottom w:val="none" w:sz="0" w:space="0" w:color="auto"/>
            <w:right w:val="none" w:sz="0" w:space="0" w:color="auto"/>
          </w:divBdr>
        </w:div>
        <w:div w:id="622686171">
          <w:marLeft w:val="0"/>
          <w:marRight w:val="0"/>
          <w:marTop w:val="0"/>
          <w:marBottom w:val="0"/>
          <w:divBdr>
            <w:top w:val="none" w:sz="0" w:space="0" w:color="auto"/>
            <w:left w:val="none" w:sz="0" w:space="0" w:color="auto"/>
            <w:bottom w:val="none" w:sz="0" w:space="0" w:color="auto"/>
            <w:right w:val="none" w:sz="0" w:space="0" w:color="auto"/>
          </w:divBdr>
        </w:div>
        <w:div w:id="1002469297">
          <w:marLeft w:val="0"/>
          <w:marRight w:val="0"/>
          <w:marTop w:val="0"/>
          <w:marBottom w:val="0"/>
          <w:divBdr>
            <w:top w:val="none" w:sz="0" w:space="0" w:color="auto"/>
            <w:left w:val="none" w:sz="0" w:space="0" w:color="auto"/>
            <w:bottom w:val="none" w:sz="0" w:space="0" w:color="auto"/>
            <w:right w:val="none" w:sz="0" w:space="0" w:color="auto"/>
          </w:divBdr>
        </w:div>
      </w:divsChild>
    </w:div>
    <w:div w:id="1730349203">
      <w:bodyDiv w:val="1"/>
      <w:marLeft w:val="0"/>
      <w:marRight w:val="0"/>
      <w:marTop w:val="0"/>
      <w:marBottom w:val="0"/>
      <w:divBdr>
        <w:top w:val="none" w:sz="0" w:space="0" w:color="auto"/>
        <w:left w:val="none" w:sz="0" w:space="0" w:color="auto"/>
        <w:bottom w:val="none" w:sz="0" w:space="0" w:color="auto"/>
        <w:right w:val="none" w:sz="0" w:space="0" w:color="auto"/>
      </w:divBdr>
      <w:divsChild>
        <w:div w:id="750616033">
          <w:marLeft w:val="0"/>
          <w:marRight w:val="0"/>
          <w:marTop w:val="0"/>
          <w:marBottom w:val="0"/>
          <w:divBdr>
            <w:top w:val="none" w:sz="0" w:space="0" w:color="auto"/>
            <w:left w:val="none" w:sz="0" w:space="0" w:color="auto"/>
            <w:bottom w:val="none" w:sz="0" w:space="0" w:color="auto"/>
            <w:right w:val="none" w:sz="0" w:space="0" w:color="auto"/>
          </w:divBdr>
        </w:div>
        <w:div w:id="1591961069">
          <w:marLeft w:val="0"/>
          <w:marRight w:val="0"/>
          <w:marTop w:val="0"/>
          <w:marBottom w:val="0"/>
          <w:divBdr>
            <w:top w:val="none" w:sz="0" w:space="0" w:color="auto"/>
            <w:left w:val="none" w:sz="0" w:space="0" w:color="auto"/>
            <w:bottom w:val="none" w:sz="0" w:space="0" w:color="auto"/>
            <w:right w:val="none" w:sz="0" w:space="0" w:color="auto"/>
          </w:divBdr>
        </w:div>
      </w:divsChild>
    </w:div>
    <w:div w:id="1788964167">
      <w:bodyDiv w:val="1"/>
      <w:marLeft w:val="0"/>
      <w:marRight w:val="0"/>
      <w:marTop w:val="0"/>
      <w:marBottom w:val="0"/>
      <w:divBdr>
        <w:top w:val="none" w:sz="0" w:space="0" w:color="auto"/>
        <w:left w:val="none" w:sz="0" w:space="0" w:color="auto"/>
        <w:bottom w:val="none" w:sz="0" w:space="0" w:color="auto"/>
        <w:right w:val="none" w:sz="0" w:space="0" w:color="auto"/>
      </w:divBdr>
    </w:div>
    <w:div w:id="1818256358">
      <w:bodyDiv w:val="1"/>
      <w:marLeft w:val="0"/>
      <w:marRight w:val="0"/>
      <w:marTop w:val="0"/>
      <w:marBottom w:val="0"/>
      <w:divBdr>
        <w:top w:val="none" w:sz="0" w:space="0" w:color="auto"/>
        <w:left w:val="none" w:sz="0" w:space="0" w:color="auto"/>
        <w:bottom w:val="none" w:sz="0" w:space="0" w:color="auto"/>
        <w:right w:val="none" w:sz="0" w:space="0" w:color="auto"/>
      </w:divBdr>
      <w:divsChild>
        <w:div w:id="876159334">
          <w:marLeft w:val="0"/>
          <w:marRight w:val="0"/>
          <w:marTop w:val="0"/>
          <w:marBottom w:val="0"/>
          <w:divBdr>
            <w:top w:val="none" w:sz="0" w:space="0" w:color="auto"/>
            <w:left w:val="none" w:sz="0" w:space="0" w:color="auto"/>
            <w:bottom w:val="none" w:sz="0" w:space="0" w:color="auto"/>
            <w:right w:val="none" w:sz="0" w:space="0" w:color="auto"/>
          </w:divBdr>
        </w:div>
        <w:div w:id="1694724731">
          <w:marLeft w:val="0"/>
          <w:marRight w:val="0"/>
          <w:marTop w:val="0"/>
          <w:marBottom w:val="0"/>
          <w:divBdr>
            <w:top w:val="none" w:sz="0" w:space="0" w:color="auto"/>
            <w:left w:val="none" w:sz="0" w:space="0" w:color="auto"/>
            <w:bottom w:val="none" w:sz="0" w:space="0" w:color="auto"/>
            <w:right w:val="none" w:sz="0" w:space="0" w:color="auto"/>
          </w:divBdr>
        </w:div>
        <w:div w:id="1978796899">
          <w:marLeft w:val="0"/>
          <w:marRight w:val="0"/>
          <w:marTop w:val="0"/>
          <w:marBottom w:val="0"/>
          <w:divBdr>
            <w:top w:val="none" w:sz="0" w:space="0" w:color="auto"/>
            <w:left w:val="none" w:sz="0" w:space="0" w:color="auto"/>
            <w:bottom w:val="none" w:sz="0" w:space="0" w:color="auto"/>
            <w:right w:val="none" w:sz="0" w:space="0" w:color="auto"/>
          </w:divBdr>
        </w:div>
      </w:divsChild>
    </w:div>
    <w:div w:id="1911497653">
      <w:bodyDiv w:val="1"/>
      <w:marLeft w:val="0"/>
      <w:marRight w:val="0"/>
      <w:marTop w:val="0"/>
      <w:marBottom w:val="0"/>
      <w:divBdr>
        <w:top w:val="none" w:sz="0" w:space="0" w:color="auto"/>
        <w:left w:val="none" w:sz="0" w:space="0" w:color="auto"/>
        <w:bottom w:val="none" w:sz="0" w:space="0" w:color="auto"/>
        <w:right w:val="none" w:sz="0" w:space="0" w:color="auto"/>
      </w:divBdr>
      <w:divsChild>
        <w:div w:id="1114516460">
          <w:marLeft w:val="0"/>
          <w:marRight w:val="0"/>
          <w:marTop w:val="0"/>
          <w:marBottom w:val="0"/>
          <w:divBdr>
            <w:top w:val="none" w:sz="0" w:space="0" w:color="auto"/>
            <w:left w:val="none" w:sz="0" w:space="0" w:color="auto"/>
            <w:bottom w:val="none" w:sz="0" w:space="0" w:color="auto"/>
            <w:right w:val="none" w:sz="0" w:space="0" w:color="auto"/>
          </w:divBdr>
        </w:div>
        <w:div w:id="432166495">
          <w:marLeft w:val="0"/>
          <w:marRight w:val="0"/>
          <w:marTop w:val="0"/>
          <w:marBottom w:val="0"/>
          <w:divBdr>
            <w:top w:val="none" w:sz="0" w:space="0" w:color="auto"/>
            <w:left w:val="none" w:sz="0" w:space="0" w:color="auto"/>
            <w:bottom w:val="none" w:sz="0" w:space="0" w:color="auto"/>
            <w:right w:val="none" w:sz="0" w:space="0" w:color="auto"/>
          </w:divBdr>
        </w:div>
        <w:div w:id="742990045">
          <w:marLeft w:val="0"/>
          <w:marRight w:val="0"/>
          <w:marTop w:val="0"/>
          <w:marBottom w:val="0"/>
          <w:divBdr>
            <w:top w:val="none" w:sz="0" w:space="0" w:color="auto"/>
            <w:left w:val="none" w:sz="0" w:space="0" w:color="auto"/>
            <w:bottom w:val="none" w:sz="0" w:space="0" w:color="auto"/>
            <w:right w:val="none" w:sz="0" w:space="0" w:color="auto"/>
          </w:divBdr>
        </w:div>
      </w:divsChild>
    </w:div>
    <w:div w:id="1941061803">
      <w:bodyDiv w:val="1"/>
      <w:marLeft w:val="0"/>
      <w:marRight w:val="0"/>
      <w:marTop w:val="0"/>
      <w:marBottom w:val="0"/>
      <w:divBdr>
        <w:top w:val="none" w:sz="0" w:space="0" w:color="auto"/>
        <w:left w:val="none" w:sz="0" w:space="0" w:color="auto"/>
        <w:bottom w:val="none" w:sz="0" w:space="0" w:color="auto"/>
        <w:right w:val="none" w:sz="0" w:space="0" w:color="auto"/>
      </w:divBdr>
      <w:divsChild>
        <w:div w:id="827401304">
          <w:marLeft w:val="0"/>
          <w:marRight w:val="0"/>
          <w:marTop w:val="0"/>
          <w:marBottom w:val="0"/>
          <w:divBdr>
            <w:top w:val="none" w:sz="0" w:space="0" w:color="auto"/>
            <w:left w:val="none" w:sz="0" w:space="0" w:color="auto"/>
            <w:bottom w:val="none" w:sz="0" w:space="0" w:color="auto"/>
            <w:right w:val="none" w:sz="0" w:space="0" w:color="auto"/>
          </w:divBdr>
        </w:div>
        <w:div w:id="1323003615">
          <w:marLeft w:val="0"/>
          <w:marRight w:val="0"/>
          <w:marTop w:val="0"/>
          <w:marBottom w:val="0"/>
          <w:divBdr>
            <w:top w:val="none" w:sz="0" w:space="0" w:color="auto"/>
            <w:left w:val="none" w:sz="0" w:space="0" w:color="auto"/>
            <w:bottom w:val="none" w:sz="0" w:space="0" w:color="auto"/>
            <w:right w:val="none" w:sz="0" w:space="0" w:color="auto"/>
          </w:divBdr>
        </w:div>
      </w:divsChild>
    </w:div>
    <w:div w:id="1987737236">
      <w:bodyDiv w:val="1"/>
      <w:marLeft w:val="0"/>
      <w:marRight w:val="0"/>
      <w:marTop w:val="0"/>
      <w:marBottom w:val="0"/>
      <w:divBdr>
        <w:top w:val="none" w:sz="0" w:space="0" w:color="auto"/>
        <w:left w:val="none" w:sz="0" w:space="0" w:color="auto"/>
        <w:bottom w:val="none" w:sz="0" w:space="0" w:color="auto"/>
        <w:right w:val="none" w:sz="0" w:space="0" w:color="auto"/>
      </w:divBdr>
      <w:divsChild>
        <w:div w:id="499736141">
          <w:marLeft w:val="0"/>
          <w:marRight w:val="0"/>
          <w:marTop w:val="0"/>
          <w:marBottom w:val="0"/>
          <w:divBdr>
            <w:top w:val="none" w:sz="0" w:space="0" w:color="auto"/>
            <w:left w:val="none" w:sz="0" w:space="0" w:color="auto"/>
            <w:bottom w:val="none" w:sz="0" w:space="0" w:color="auto"/>
            <w:right w:val="none" w:sz="0" w:space="0" w:color="auto"/>
          </w:divBdr>
        </w:div>
        <w:div w:id="1601794326">
          <w:marLeft w:val="0"/>
          <w:marRight w:val="0"/>
          <w:marTop w:val="0"/>
          <w:marBottom w:val="0"/>
          <w:divBdr>
            <w:top w:val="none" w:sz="0" w:space="0" w:color="auto"/>
            <w:left w:val="none" w:sz="0" w:space="0" w:color="auto"/>
            <w:bottom w:val="none" w:sz="0" w:space="0" w:color="auto"/>
            <w:right w:val="none" w:sz="0" w:space="0" w:color="auto"/>
          </w:divBdr>
        </w:div>
        <w:div w:id="1910964628">
          <w:marLeft w:val="0"/>
          <w:marRight w:val="0"/>
          <w:marTop w:val="0"/>
          <w:marBottom w:val="0"/>
          <w:divBdr>
            <w:top w:val="none" w:sz="0" w:space="0" w:color="auto"/>
            <w:left w:val="none" w:sz="0" w:space="0" w:color="auto"/>
            <w:bottom w:val="none" w:sz="0" w:space="0" w:color="auto"/>
            <w:right w:val="none" w:sz="0" w:space="0" w:color="auto"/>
          </w:divBdr>
        </w:div>
      </w:divsChild>
    </w:div>
    <w:div w:id="1988701653">
      <w:bodyDiv w:val="1"/>
      <w:marLeft w:val="0"/>
      <w:marRight w:val="0"/>
      <w:marTop w:val="0"/>
      <w:marBottom w:val="0"/>
      <w:divBdr>
        <w:top w:val="none" w:sz="0" w:space="0" w:color="auto"/>
        <w:left w:val="none" w:sz="0" w:space="0" w:color="auto"/>
        <w:bottom w:val="none" w:sz="0" w:space="0" w:color="auto"/>
        <w:right w:val="none" w:sz="0" w:space="0" w:color="auto"/>
      </w:divBdr>
    </w:div>
    <w:div w:id="1993409258">
      <w:bodyDiv w:val="1"/>
      <w:marLeft w:val="0"/>
      <w:marRight w:val="0"/>
      <w:marTop w:val="0"/>
      <w:marBottom w:val="0"/>
      <w:divBdr>
        <w:top w:val="none" w:sz="0" w:space="0" w:color="auto"/>
        <w:left w:val="none" w:sz="0" w:space="0" w:color="auto"/>
        <w:bottom w:val="none" w:sz="0" w:space="0" w:color="auto"/>
        <w:right w:val="none" w:sz="0" w:space="0" w:color="auto"/>
      </w:divBdr>
      <w:divsChild>
        <w:div w:id="1157267155">
          <w:marLeft w:val="0"/>
          <w:marRight w:val="0"/>
          <w:marTop w:val="0"/>
          <w:marBottom w:val="0"/>
          <w:divBdr>
            <w:top w:val="none" w:sz="0" w:space="0" w:color="auto"/>
            <w:left w:val="none" w:sz="0" w:space="0" w:color="auto"/>
            <w:bottom w:val="none" w:sz="0" w:space="0" w:color="auto"/>
            <w:right w:val="none" w:sz="0" w:space="0" w:color="auto"/>
          </w:divBdr>
        </w:div>
        <w:div w:id="363404642">
          <w:marLeft w:val="0"/>
          <w:marRight w:val="0"/>
          <w:marTop w:val="0"/>
          <w:marBottom w:val="0"/>
          <w:divBdr>
            <w:top w:val="none" w:sz="0" w:space="0" w:color="auto"/>
            <w:left w:val="none" w:sz="0" w:space="0" w:color="auto"/>
            <w:bottom w:val="none" w:sz="0" w:space="0" w:color="auto"/>
            <w:right w:val="none" w:sz="0" w:space="0" w:color="auto"/>
          </w:divBdr>
        </w:div>
        <w:div w:id="1108155649">
          <w:marLeft w:val="0"/>
          <w:marRight w:val="0"/>
          <w:marTop w:val="0"/>
          <w:marBottom w:val="0"/>
          <w:divBdr>
            <w:top w:val="none" w:sz="0" w:space="0" w:color="auto"/>
            <w:left w:val="none" w:sz="0" w:space="0" w:color="auto"/>
            <w:bottom w:val="none" w:sz="0" w:space="0" w:color="auto"/>
            <w:right w:val="none" w:sz="0" w:space="0" w:color="auto"/>
          </w:divBdr>
        </w:div>
      </w:divsChild>
    </w:div>
    <w:div w:id="2001545044">
      <w:bodyDiv w:val="1"/>
      <w:marLeft w:val="0"/>
      <w:marRight w:val="0"/>
      <w:marTop w:val="0"/>
      <w:marBottom w:val="0"/>
      <w:divBdr>
        <w:top w:val="none" w:sz="0" w:space="0" w:color="auto"/>
        <w:left w:val="none" w:sz="0" w:space="0" w:color="auto"/>
        <w:bottom w:val="none" w:sz="0" w:space="0" w:color="auto"/>
        <w:right w:val="none" w:sz="0" w:space="0" w:color="auto"/>
      </w:divBdr>
      <w:divsChild>
        <w:div w:id="2041468435">
          <w:marLeft w:val="0"/>
          <w:marRight w:val="0"/>
          <w:marTop w:val="0"/>
          <w:marBottom w:val="0"/>
          <w:divBdr>
            <w:top w:val="none" w:sz="0" w:space="0" w:color="auto"/>
            <w:left w:val="none" w:sz="0" w:space="0" w:color="auto"/>
            <w:bottom w:val="none" w:sz="0" w:space="0" w:color="auto"/>
            <w:right w:val="none" w:sz="0" w:space="0" w:color="auto"/>
          </w:divBdr>
        </w:div>
        <w:div w:id="773480029">
          <w:marLeft w:val="0"/>
          <w:marRight w:val="0"/>
          <w:marTop w:val="0"/>
          <w:marBottom w:val="0"/>
          <w:divBdr>
            <w:top w:val="none" w:sz="0" w:space="0" w:color="auto"/>
            <w:left w:val="none" w:sz="0" w:space="0" w:color="auto"/>
            <w:bottom w:val="none" w:sz="0" w:space="0" w:color="auto"/>
            <w:right w:val="none" w:sz="0" w:space="0" w:color="auto"/>
          </w:divBdr>
        </w:div>
        <w:div w:id="916209389">
          <w:marLeft w:val="0"/>
          <w:marRight w:val="0"/>
          <w:marTop w:val="0"/>
          <w:marBottom w:val="0"/>
          <w:divBdr>
            <w:top w:val="none" w:sz="0" w:space="0" w:color="auto"/>
            <w:left w:val="none" w:sz="0" w:space="0" w:color="auto"/>
            <w:bottom w:val="none" w:sz="0" w:space="0" w:color="auto"/>
            <w:right w:val="none" w:sz="0" w:space="0" w:color="auto"/>
          </w:divBdr>
        </w:div>
      </w:divsChild>
    </w:div>
    <w:div w:id="2030569023">
      <w:bodyDiv w:val="1"/>
      <w:marLeft w:val="0"/>
      <w:marRight w:val="0"/>
      <w:marTop w:val="0"/>
      <w:marBottom w:val="0"/>
      <w:divBdr>
        <w:top w:val="none" w:sz="0" w:space="0" w:color="auto"/>
        <w:left w:val="none" w:sz="0" w:space="0" w:color="auto"/>
        <w:bottom w:val="none" w:sz="0" w:space="0" w:color="auto"/>
        <w:right w:val="none" w:sz="0" w:space="0" w:color="auto"/>
      </w:divBdr>
      <w:divsChild>
        <w:div w:id="1107504361">
          <w:marLeft w:val="0"/>
          <w:marRight w:val="0"/>
          <w:marTop w:val="0"/>
          <w:marBottom w:val="0"/>
          <w:divBdr>
            <w:top w:val="none" w:sz="0" w:space="0" w:color="auto"/>
            <w:left w:val="none" w:sz="0" w:space="0" w:color="auto"/>
            <w:bottom w:val="none" w:sz="0" w:space="0" w:color="auto"/>
            <w:right w:val="none" w:sz="0" w:space="0" w:color="auto"/>
          </w:divBdr>
        </w:div>
        <w:div w:id="29494545">
          <w:marLeft w:val="0"/>
          <w:marRight w:val="0"/>
          <w:marTop w:val="0"/>
          <w:marBottom w:val="0"/>
          <w:divBdr>
            <w:top w:val="none" w:sz="0" w:space="0" w:color="auto"/>
            <w:left w:val="none" w:sz="0" w:space="0" w:color="auto"/>
            <w:bottom w:val="none" w:sz="0" w:space="0" w:color="auto"/>
            <w:right w:val="none" w:sz="0" w:space="0" w:color="auto"/>
          </w:divBdr>
        </w:div>
      </w:divsChild>
    </w:div>
    <w:div w:id="2035688636">
      <w:bodyDiv w:val="1"/>
      <w:marLeft w:val="0"/>
      <w:marRight w:val="0"/>
      <w:marTop w:val="0"/>
      <w:marBottom w:val="0"/>
      <w:divBdr>
        <w:top w:val="none" w:sz="0" w:space="0" w:color="auto"/>
        <w:left w:val="none" w:sz="0" w:space="0" w:color="auto"/>
        <w:bottom w:val="none" w:sz="0" w:space="0" w:color="auto"/>
        <w:right w:val="none" w:sz="0" w:space="0" w:color="auto"/>
      </w:divBdr>
      <w:divsChild>
        <w:div w:id="1769160586">
          <w:marLeft w:val="0"/>
          <w:marRight w:val="0"/>
          <w:marTop w:val="0"/>
          <w:marBottom w:val="0"/>
          <w:divBdr>
            <w:top w:val="none" w:sz="0" w:space="0" w:color="auto"/>
            <w:left w:val="none" w:sz="0" w:space="0" w:color="auto"/>
            <w:bottom w:val="none" w:sz="0" w:space="0" w:color="auto"/>
            <w:right w:val="none" w:sz="0" w:space="0" w:color="auto"/>
          </w:divBdr>
        </w:div>
        <w:div w:id="579291345">
          <w:marLeft w:val="0"/>
          <w:marRight w:val="0"/>
          <w:marTop w:val="0"/>
          <w:marBottom w:val="0"/>
          <w:divBdr>
            <w:top w:val="none" w:sz="0" w:space="0" w:color="auto"/>
            <w:left w:val="none" w:sz="0" w:space="0" w:color="auto"/>
            <w:bottom w:val="none" w:sz="0" w:space="0" w:color="auto"/>
            <w:right w:val="none" w:sz="0" w:space="0" w:color="auto"/>
          </w:divBdr>
        </w:div>
        <w:div w:id="214202644">
          <w:marLeft w:val="0"/>
          <w:marRight w:val="0"/>
          <w:marTop w:val="0"/>
          <w:marBottom w:val="0"/>
          <w:divBdr>
            <w:top w:val="none" w:sz="0" w:space="0" w:color="auto"/>
            <w:left w:val="none" w:sz="0" w:space="0" w:color="auto"/>
            <w:bottom w:val="none" w:sz="0" w:space="0" w:color="auto"/>
            <w:right w:val="none" w:sz="0" w:space="0" w:color="auto"/>
          </w:divBdr>
        </w:div>
      </w:divsChild>
    </w:div>
    <w:div w:id="2066174600">
      <w:bodyDiv w:val="1"/>
      <w:marLeft w:val="0"/>
      <w:marRight w:val="0"/>
      <w:marTop w:val="0"/>
      <w:marBottom w:val="0"/>
      <w:divBdr>
        <w:top w:val="none" w:sz="0" w:space="0" w:color="auto"/>
        <w:left w:val="none" w:sz="0" w:space="0" w:color="auto"/>
        <w:bottom w:val="none" w:sz="0" w:space="0" w:color="auto"/>
        <w:right w:val="none" w:sz="0" w:space="0" w:color="auto"/>
      </w:divBdr>
      <w:divsChild>
        <w:div w:id="572160733">
          <w:marLeft w:val="0"/>
          <w:marRight w:val="688"/>
          <w:marTop w:val="0"/>
          <w:marBottom w:val="0"/>
          <w:divBdr>
            <w:top w:val="none" w:sz="0" w:space="0" w:color="auto"/>
            <w:left w:val="none" w:sz="0" w:space="0" w:color="auto"/>
            <w:bottom w:val="none" w:sz="0" w:space="0" w:color="auto"/>
            <w:right w:val="none" w:sz="0" w:space="0" w:color="auto"/>
          </w:divBdr>
          <w:divsChild>
            <w:div w:id="803733862">
              <w:marLeft w:val="0"/>
              <w:marRight w:val="0"/>
              <w:marTop w:val="0"/>
              <w:marBottom w:val="0"/>
              <w:divBdr>
                <w:top w:val="none" w:sz="0" w:space="0" w:color="auto"/>
                <w:left w:val="none" w:sz="0" w:space="0" w:color="auto"/>
                <w:bottom w:val="none" w:sz="0" w:space="0" w:color="auto"/>
                <w:right w:val="none" w:sz="0" w:space="0" w:color="auto"/>
              </w:divBdr>
            </w:div>
          </w:divsChild>
        </w:div>
        <w:div w:id="48694899">
          <w:marLeft w:val="0"/>
          <w:marRight w:val="0"/>
          <w:marTop w:val="0"/>
          <w:marBottom w:val="0"/>
          <w:divBdr>
            <w:top w:val="none" w:sz="0" w:space="0" w:color="auto"/>
            <w:left w:val="none" w:sz="0" w:space="0" w:color="auto"/>
            <w:bottom w:val="none" w:sz="0" w:space="0" w:color="auto"/>
            <w:right w:val="none" w:sz="0" w:space="0" w:color="auto"/>
          </w:divBdr>
          <w:divsChild>
            <w:div w:id="1943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57920">
      <w:bodyDiv w:val="1"/>
      <w:marLeft w:val="0"/>
      <w:marRight w:val="0"/>
      <w:marTop w:val="0"/>
      <w:marBottom w:val="0"/>
      <w:divBdr>
        <w:top w:val="none" w:sz="0" w:space="0" w:color="auto"/>
        <w:left w:val="none" w:sz="0" w:space="0" w:color="auto"/>
        <w:bottom w:val="none" w:sz="0" w:space="0" w:color="auto"/>
        <w:right w:val="none" w:sz="0" w:space="0" w:color="auto"/>
      </w:divBdr>
      <w:divsChild>
        <w:div w:id="986977099">
          <w:marLeft w:val="0"/>
          <w:marRight w:val="0"/>
          <w:marTop w:val="0"/>
          <w:marBottom w:val="0"/>
          <w:divBdr>
            <w:top w:val="none" w:sz="0" w:space="0" w:color="auto"/>
            <w:left w:val="none" w:sz="0" w:space="0" w:color="auto"/>
            <w:bottom w:val="none" w:sz="0" w:space="0" w:color="auto"/>
            <w:right w:val="none" w:sz="0" w:space="0" w:color="auto"/>
          </w:divBdr>
        </w:div>
        <w:div w:id="567422215">
          <w:marLeft w:val="0"/>
          <w:marRight w:val="0"/>
          <w:marTop w:val="0"/>
          <w:marBottom w:val="0"/>
          <w:divBdr>
            <w:top w:val="none" w:sz="0" w:space="0" w:color="auto"/>
            <w:left w:val="none" w:sz="0" w:space="0" w:color="auto"/>
            <w:bottom w:val="none" w:sz="0" w:space="0" w:color="auto"/>
            <w:right w:val="none" w:sz="0" w:space="0" w:color="auto"/>
          </w:divBdr>
        </w:div>
        <w:div w:id="211413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9" Type="http://schemas.openxmlformats.org/officeDocument/2006/relationships/header" Target="header2.xml"/><Relationship Id="rId21" Type="http://schemas.openxmlformats.org/officeDocument/2006/relationships/image" Target="media/image1.png"/><Relationship Id="rId34" Type="http://schemas.openxmlformats.org/officeDocument/2006/relationships/chart" Target="charts/chart22.xml"/><Relationship Id="rId42" Type="http://schemas.openxmlformats.org/officeDocument/2006/relationships/header" Target="header3.xml"/><Relationship Id="rId47"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7.xml"/><Relationship Id="rId41" Type="http://schemas.openxmlformats.org/officeDocument/2006/relationships/footer" Target="footer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footer" Target="footer1.xml"/><Relationship Id="rId45" Type="http://schemas.openxmlformats.org/officeDocument/2006/relationships/glossaryDocument" Target="glossary/document.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chart" Target="charts/chart19.xml"/><Relationship Id="rId44"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footer" Target="footer3.xml"/><Relationship Id="rId48" Type="http://schemas.openxmlformats.org/officeDocument/2006/relationships/customXml" Target="../customXml/item2.xml"/><Relationship Id="rId8"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header" Target="header1.xml"/><Relationship Id="rId46"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fx0331aa\Desktop\Rapporter\Pensioner\Statistik.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fx0331aa\Desktop\Rapporter\Medborgarskap\2021_0045_Bilaga2%20-%20Delleveran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fx0331aa\Desktop\V&#229;rbudget\Statistik%20bist&#229;nd.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x0331aa\Desktop\Riksbudget\BP22\Statistik%20budget\grafer(med%20dat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25.xml"/><Relationship Id="rId1" Type="http://schemas.microsoft.com/office/2011/relationships/chartStyle" Target="style25.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x0331aa\Desktop\Riksbudget\BP22\Statistik%20budget\grafer(med%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x0331aa\Desktop\Riksbudget\BP22\Statistik%20budget\grafer(med%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fx0331aa\Desktop\Riksbudget\BP22\Statistik%20budget\grafer(med%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fx0331aa\Desktop\Riksbudget\BP22\Statistik%20budget\Statisti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75000"/>
              </a:schemeClr>
            </a:solidFill>
            <a:ln>
              <a:noFill/>
            </a:ln>
            <a:effectLst/>
          </c:spPr>
          <c:invertIfNegative val="0"/>
          <c:dPt>
            <c:idx val="3"/>
            <c:invertIfNegative val="0"/>
            <c:bubble3D val="0"/>
            <c:spPr>
              <a:solidFill>
                <a:schemeClr val="bg2">
                  <a:lumMod val="25000"/>
                </a:schemeClr>
              </a:solidFill>
              <a:ln>
                <a:noFill/>
              </a:ln>
              <a:effectLst/>
            </c:spPr>
            <c:extLst>
              <c:ext xmlns:c16="http://schemas.microsoft.com/office/drawing/2014/chart" uri="{C3380CC4-5D6E-409C-BE32-E72D297353CC}">
                <c16:uniqueId val="{00000000-D5AB-4B07-9442-B9B872E01F15}"/>
              </c:ext>
            </c:extLst>
          </c:dPt>
          <c:cat>
            <c:strRef>
              <c:f>'Makroekonomisk utveckling'!$B$103:$B$131</c:f>
              <c:strCache>
                <c:ptCount val="29"/>
                <c:pt idx="0">
                  <c:v>Grekland</c:v>
                </c:pt>
                <c:pt idx="1">
                  <c:v>Spanien</c:v>
                </c:pt>
                <c:pt idx="2">
                  <c:v>Italien</c:v>
                </c:pt>
                <c:pt idx="3">
                  <c:v>Sverige</c:v>
                </c:pt>
                <c:pt idx="4">
                  <c:v>Finland </c:v>
                </c:pt>
                <c:pt idx="5">
                  <c:v>Frankrike</c:v>
                </c:pt>
                <c:pt idx="6">
                  <c:v>Lettland </c:v>
                </c:pt>
                <c:pt idx="7">
                  <c:v>Litauen</c:v>
                </c:pt>
                <c:pt idx="8">
                  <c:v>Kroatien</c:v>
                </c:pt>
                <c:pt idx="9">
                  <c:v>EU-27</c:v>
                </c:pt>
                <c:pt idx="10">
                  <c:v>Portugal</c:v>
                </c:pt>
                <c:pt idx="11">
                  <c:v>Slovakien </c:v>
                </c:pt>
                <c:pt idx="12">
                  <c:v>Island </c:v>
                </c:pt>
                <c:pt idx="13">
                  <c:v>Estland</c:v>
                </c:pt>
                <c:pt idx="14">
                  <c:v>Irland</c:v>
                </c:pt>
                <c:pt idx="15">
                  <c:v>Österrike </c:v>
                </c:pt>
                <c:pt idx="16">
                  <c:v>Belgien</c:v>
                </c:pt>
                <c:pt idx="17">
                  <c:v>Bulgarien </c:v>
                </c:pt>
                <c:pt idx="18">
                  <c:v>Luxemburg </c:v>
                </c:pt>
                <c:pt idx="19">
                  <c:v>Cypern</c:v>
                </c:pt>
                <c:pt idx="20">
                  <c:v>Rumänien </c:v>
                </c:pt>
                <c:pt idx="21">
                  <c:v>Danmark</c:v>
                </c:pt>
                <c:pt idx="22">
                  <c:v>Ungern</c:v>
                </c:pt>
                <c:pt idx="23">
                  <c:v>Slovenien </c:v>
                </c:pt>
                <c:pt idx="24">
                  <c:v>Tyskland</c:v>
                </c:pt>
                <c:pt idx="25">
                  <c:v>Polen</c:v>
                </c:pt>
                <c:pt idx="26">
                  <c:v>Malta </c:v>
                </c:pt>
                <c:pt idx="27">
                  <c:v>Nederländerna </c:v>
                </c:pt>
                <c:pt idx="28">
                  <c:v>Tjeckien</c:v>
                </c:pt>
              </c:strCache>
            </c:strRef>
          </c:cat>
          <c:val>
            <c:numRef>
              <c:f>'Makroekonomisk utveckling'!$C$103:$C$131</c:f>
              <c:numCache>
                <c:formatCode>General</c:formatCode>
                <c:ptCount val="29"/>
                <c:pt idx="0">
                  <c:v>14.6</c:v>
                </c:pt>
                <c:pt idx="1">
                  <c:v>14.3</c:v>
                </c:pt>
                <c:pt idx="2">
                  <c:v>9.3000000000000007</c:v>
                </c:pt>
                <c:pt idx="3">
                  <c:v>9</c:v>
                </c:pt>
                <c:pt idx="4">
                  <c:v>8</c:v>
                </c:pt>
                <c:pt idx="5">
                  <c:v>7.9</c:v>
                </c:pt>
                <c:pt idx="6">
                  <c:v>7.6</c:v>
                </c:pt>
                <c:pt idx="7">
                  <c:v>7.5</c:v>
                </c:pt>
                <c:pt idx="8">
                  <c:v>7.3</c:v>
                </c:pt>
                <c:pt idx="9">
                  <c:v>6.9</c:v>
                </c:pt>
                <c:pt idx="10">
                  <c:v>6.6</c:v>
                </c:pt>
                <c:pt idx="11">
                  <c:v>6.6</c:v>
                </c:pt>
                <c:pt idx="12">
                  <c:v>6.5</c:v>
                </c:pt>
                <c:pt idx="13">
                  <c:v>6.5</c:v>
                </c:pt>
                <c:pt idx="14">
                  <c:v>6.5</c:v>
                </c:pt>
                <c:pt idx="15">
                  <c:v>6.4</c:v>
                </c:pt>
                <c:pt idx="16">
                  <c:v>5.9</c:v>
                </c:pt>
                <c:pt idx="17">
                  <c:v>5.9</c:v>
                </c:pt>
                <c:pt idx="18">
                  <c:v>5.7</c:v>
                </c:pt>
                <c:pt idx="19">
                  <c:v>5.2</c:v>
                </c:pt>
                <c:pt idx="20">
                  <c:v>5.0999999999999996</c:v>
                </c:pt>
                <c:pt idx="21">
                  <c:v>4.3</c:v>
                </c:pt>
                <c:pt idx="22">
                  <c:v>4.3</c:v>
                </c:pt>
                <c:pt idx="23">
                  <c:v>4</c:v>
                </c:pt>
                <c:pt idx="24">
                  <c:v>3.6</c:v>
                </c:pt>
                <c:pt idx="25">
                  <c:v>3.4</c:v>
                </c:pt>
                <c:pt idx="26">
                  <c:v>3.3</c:v>
                </c:pt>
                <c:pt idx="27">
                  <c:v>3.1</c:v>
                </c:pt>
                <c:pt idx="28">
                  <c:v>2.8</c:v>
                </c:pt>
              </c:numCache>
            </c:numRef>
          </c:val>
          <c:extLst>
            <c:ext xmlns:c16="http://schemas.microsoft.com/office/drawing/2014/chart" uri="{C3380CC4-5D6E-409C-BE32-E72D297353CC}">
              <c16:uniqueId val="{00000000-CE41-4EBA-8A07-D0FED0376DDB}"/>
            </c:ext>
          </c:extLst>
        </c:ser>
        <c:dLbls>
          <c:showLegendKey val="0"/>
          <c:showVal val="0"/>
          <c:showCatName val="0"/>
          <c:showSerName val="0"/>
          <c:showPercent val="0"/>
          <c:showBubbleSize val="0"/>
        </c:dLbls>
        <c:gapWidth val="182"/>
        <c:axId val="512883920"/>
        <c:axId val="512881624"/>
      </c:barChart>
      <c:catAx>
        <c:axId val="512883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2881624"/>
        <c:crosses val="autoZero"/>
        <c:auto val="1"/>
        <c:lblAlgn val="ctr"/>
        <c:lblOffset val="100"/>
        <c:noMultiLvlLbl val="0"/>
      </c:catAx>
      <c:valAx>
        <c:axId val="512881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12883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25000"/>
              </a:schemeClr>
            </a:solidFill>
            <a:ln>
              <a:noFill/>
            </a:ln>
            <a:effectLst/>
          </c:spPr>
          <c:invertIfNegative val="0"/>
          <c:cat>
            <c:numRef>
              <c:f>'Vård och omsorg'!$B$53:$D$53</c:f>
              <c:numCache>
                <c:formatCode>General</c:formatCode>
                <c:ptCount val="3"/>
                <c:pt idx="0">
                  <c:v>2018</c:v>
                </c:pt>
                <c:pt idx="1">
                  <c:v>2019</c:v>
                </c:pt>
                <c:pt idx="2">
                  <c:v>2020</c:v>
                </c:pt>
              </c:numCache>
            </c:numRef>
          </c:cat>
          <c:val>
            <c:numRef>
              <c:f>'Vård och omsorg'!$B$54:$D$54</c:f>
              <c:numCache>
                <c:formatCode>General</c:formatCode>
                <c:ptCount val="3"/>
                <c:pt idx="0">
                  <c:v>550</c:v>
                </c:pt>
                <c:pt idx="1">
                  <c:v>590</c:v>
                </c:pt>
                <c:pt idx="2">
                  <c:v>615</c:v>
                </c:pt>
              </c:numCache>
            </c:numRef>
          </c:val>
          <c:extLst>
            <c:ext xmlns:c16="http://schemas.microsoft.com/office/drawing/2014/chart" uri="{C3380CC4-5D6E-409C-BE32-E72D297353CC}">
              <c16:uniqueId val="{00000000-38E5-4DCE-950F-551444368C4E}"/>
            </c:ext>
          </c:extLst>
        </c:ser>
        <c:dLbls>
          <c:showLegendKey val="0"/>
          <c:showVal val="0"/>
          <c:showCatName val="0"/>
          <c:showSerName val="0"/>
          <c:showPercent val="0"/>
          <c:showBubbleSize val="0"/>
        </c:dLbls>
        <c:gapWidth val="219"/>
        <c:overlap val="-27"/>
        <c:axId val="484678872"/>
        <c:axId val="484679200"/>
      </c:barChart>
      <c:catAx>
        <c:axId val="48467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4679200"/>
        <c:crosses val="autoZero"/>
        <c:auto val="1"/>
        <c:lblAlgn val="ctr"/>
        <c:lblOffset val="100"/>
        <c:noMultiLvlLbl val="0"/>
      </c:catAx>
      <c:valAx>
        <c:axId val="484679200"/>
        <c:scaling>
          <c:orientation val="minMax"/>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4678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'Vård och omsorg'!$C$70</c:f>
              <c:strCache>
                <c:ptCount val="1"/>
                <c:pt idx="0">
                  <c:v>2019</c:v>
                </c:pt>
              </c:strCache>
            </c:strRef>
          </c:tx>
          <c:spPr>
            <a:solidFill>
              <a:schemeClr val="bg1">
                <a:lumMod val="75000"/>
              </a:schemeClr>
            </a:solidFill>
            <a:ln>
              <a:noFill/>
            </a:ln>
            <a:effectLst/>
          </c:spPr>
          <c:invertIfNegative val="0"/>
          <c:cat>
            <c:strRef>
              <c:f>'Vård och omsorg'!$B$71:$B$77</c:f>
              <c:strCache>
                <c:ptCount val="7"/>
                <c:pt idx="0">
                  <c:v>Mars</c:v>
                </c:pt>
                <c:pt idx="1">
                  <c:v>April</c:v>
                </c:pt>
                <c:pt idx="2">
                  <c:v>Maj</c:v>
                </c:pt>
                <c:pt idx="3">
                  <c:v>Juni</c:v>
                </c:pt>
                <c:pt idx="4">
                  <c:v>Juli</c:v>
                </c:pt>
                <c:pt idx="5">
                  <c:v>Augusti</c:v>
                </c:pt>
                <c:pt idx="6">
                  <c:v>September</c:v>
                </c:pt>
              </c:strCache>
            </c:strRef>
          </c:cat>
          <c:val>
            <c:numRef>
              <c:f>'Vård och omsorg'!$C$71:$C$77</c:f>
              <c:numCache>
                <c:formatCode>General</c:formatCode>
                <c:ptCount val="7"/>
                <c:pt idx="0">
                  <c:v>4302</c:v>
                </c:pt>
                <c:pt idx="1">
                  <c:v>5116</c:v>
                </c:pt>
                <c:pt idx="2">
                  <c:v>5419</c:v>
                </c:pt>
                <c:pt idx="3">
                  <c:v>4498</c:v>
                </c:pt>
                <c:pt idx="4">
                  <c:v>2395</c:v>
                </c:pt>
                <c:pt idx="5">
                  <c:v>3389</c:v>
                </c:pt>
                <c:pt idx="6">
                  <c:v>4720</c:v>
                </c:pt>
              </c:numCache>
            </c:numRef>
          </c:val>
          <c:extLst>
            <c:ext xmlns:c16="http://schemas.microsoft.com/office/drawing/2014/chart" uri="{C3380CC4-5D6E-409C-BE32-E72D297353CC}">
              <c16:uniqueId val="{00000000-A7B0-4466-8EEC-D3A6F6C3BDA7}"/>
            </c:ext>
          </c:extLst>
        </c:ser>
        <c:ser>
          <c:idx val="1"/>
          <c:order val="1"/>
          <c:tx>
            <c:strRef>
              <c:f>'Vård och omsorg'!$D$70</c:f>
              <c:strCache>
                <c:ptCount val="1"/>
                <c:pt idx="0">
                  <c:v>2020</c:v>
                </c:pt>
              </c:strCache>
            </c:strRef>
          </c:tx>
          <c:spPr>
            <a:solidFill>
              <a:schemeClr val="bg2">
                <a:lumMod val="25000"/>
              </a:schemeClr>
            </a:solidFill>
            <a:ln>
              <a:noFill/>
            </a:ln>
            <a:effectLst/>
          </c:spPr>
          <c:invertIfNegative val="0"/>
          <c:cat>
            <c:strRef>
              <c:f>'Vård och omsorg'!$B$71:$B$77</c:f>
              <c:strCache>
                <c:ptCount val="7"/>
                <c:pt idx="0">
                  <c:v>Mars</c:v>
                </c:pt>
                <c:pt idx="1">
                  <c:v>April</c:v>
                </c:pt>
                <c:pt idx="2">
                  <c:v>Maj</c:v>
                </c:pt>
                <c:pt idx="3">
                  <c:v>Juni</c:v>
                </c:pt>
                <c:pt idx="4">
                  <c:v>Juli</c:v>
                </c:pt>
                <c:pt idx="5">
                  <c:v>Augusti</c:v>
                </c:pt>
                <c:pt idx="6">
                  <c:v>September</c:v>
                </c:pt>
              </c:strCache>
            </c:strRef>
          </c:cat>
          <c:val>
            <c:numRef>
              <c:f>'Vård och omsorg'!$D$71:$D$77</c:f>
              <c:numCache>
                <c:formatCode>General</c:formatCode>
                <c:ptCount val="7"/>
                <c:pt idx="0">
                  <c:v>5342</c:v>
                </c:pt>
                <c:pt idx="1">
                  <c:v>6074</c:v>
                </c:pt>
                <c:pt idx="2">
                  <c:v>5655</c:v>
                </c:pt>
                <c:pt idx="3">
                  <c:v>5902</c:v>
                </c:pt>
                <c:pt idx="4">
                  <c:v>3105</c:v>
                </c:pt>
                <c:pt idx="5">
                  <c:v>4102</c:v>
                </c:pt>
                <c:pt idx="6">
                  <c:v>5816</c:v>
                </c:pt>
              </c:numCache>
            </c:numRef>
          </c:val>
          <c:extLst>
            <c:ext xmlns:c16="http://schemas.microsoft.com/office/drawing/2014/chart" uri="{C3380CC4-5D6E-409C-BE32-E72D297353CC}">
              <c16:uniqueId val="{00000001-A7B0-4466-8EEC-D3A6F6C3BDA7}"/>
            </c:ext>
          </c:extLst>
        </c:ser>
        <c:dLbls>
          <c:showLegendKey val="0"/>
          <c:showVal val="0"/>
          <c:showCatName val="0"/>
          <c:showSerName val="0"/>
          <c:showPercent val="0"/>
          <c:showBubbleSize val="0"/>
        </c:dLbls>
        <c:gapWidth val="219"/>
        <c:overlap val="-27"/>
        <c:axId val="483941688"/>
        <c:axId val="483941360"/>
      </c:barChart>
      <c:catAx>
        <c:axId val="483941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3941360"/>
        <c:crosses val="autoZero"/>
        <c:auto val="1"/>
        <c:lblAlgn val="ctr"/>
        <c:lblOffset val="100"/>
        <c:noMultiLvlLbl val="0"/>
      </c:catAx>
      <c:valAx>
        <c:axId val="48394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3941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Utbildning!$B$1:$B$2</c:f>
              <c:strCache>
                <c:ptCount val="2"/>
                <c:pt idx="1">
                  <c:v>Matematik</c:v>
                </c:pt>
              </c:strCache>
            </c:strRef>
          </c:tx>
          <c:spPr>
            <a:ln w="28575" cap="rnd">
              <a:solidFill>
                <a:schemeClr val="bg2">
                  <a:lumMod val="25000"/>
                </a:schemeClr>
              </a:solidFill>
              <a:prstDash val="lgDash"/>
              <a:round/>
            </a:ln>
            <a:effectLst/>
          </c:spPr>
          <c:marker>
            <c:symbol val="none"/>
          </c:marker>
          <c:cat>
            <c:strRef>
              <c:f>Utbildning!$A$3:$A$9</c:f>
              <c:strCache>
                <c:ptCount val="7"/>
                <c:pt idx="0">
                  <c:v>2000</c:v>
                </c:pt>
                <c:pt idx="1">
                  <c:v>2003</c:v>
                </c:pt>
                <c:pt idx="2">
                  <c:v>2006</c:v>
                </c:pt>
                <c:pt idx="3">
                  <c:v>2009</c:v>
                </c:pt>
                <c:pt idx="4">
                  <c:v>2012</c:v>
                </c:pt>
                <c:pt idx="5">
                  <c:v>2015</c:v>
                </c:pt>
                <c:pt idx="6">
                  <c:v>2018</c:v>
                </c:pt>
              </c:strCache>
            </c:strRef>
          </c:cat>
          <c:val>
            <c:numRef>
              <c:f>Utbildning!$B$3:$B$9</c:f>
              <c:numCache>
                <c:formatCode>0.00</c:formatCode>
                <c:ptCount val="7"/>
                <c:pt idx="0">
                  <c:v>510</c:v>
                </c:pt>
                <c:pt idx="1">
                  <c:v>509</c:v>
                </c:pt>
                <c:pt idx="2">
                  <c:v>502</c:v>
                </c:pt>
                <c:pt idx="3">
                  <c:v>494</c:v>
                </c:pt>
                <c:pt idx="4">
                  <c:v>478</c:v>
                </c:pt>
                <c:pt idx="5">
                  <c:v>494</c:v>
                </c:pt>
                <c:pt idx="6">
                  <c:v>502</c:v>
                </c:pt>
              </c:numCache>
            </c:numRef>
          </c:val>
          <c:smooth val="0"/>
          <c:extLst>
            <c:ext xmlns:c16="http://schemas.microsoft.com/office/drawing/2014/chart" uri="{C3380CC4-5D6E-409C-BE32-E72D297353CC}">
              <c16:uniqueId val="{00000000-55BC-430F-B77B-DA6B4D9E5F99}"/>
            </c:ext>
          </c:extLst>
        </c:ser>
        <c:ser>
          <c:idx val="1"/>
          <c:order val="1"/>
          <c:tx>
            <c:strRef>
              <c:f>Utbildning!$C$1:$C$2</c:f>
              <c:strCache>
                <c:ptCount val="2"/>
                <c:pt idx="1">
                  <c:v>Läsförståelse</c:v>
                </c:pt>
              </c:strCache>
            </c:strRef>
          </c:tx>
          <c:spPr>
            <a:ln w="28575" cap="rnd">
              <a:solidFill>
                <a:schemeClr val="bg1">
                  <a:lumMod val="75000"/>
                </a:schemeClr>
              </a:solidFill>
              <a:prstDash val="sysDash"/>
              <a:round/>
            </a:ln>
            <a:effectLst/>
          </c:spPr>
          <c:marker>
            <c:symbol val="none"/>
          </c:marker>
          <c:cat>
            <c:strRef>
              <c:f>Utbildning!$A$3:$A$9</c:f>
              <c:strCache>
                <c:ptCount val="7"/>
                <c:pt idx="0">
                  <c:v>2000</c:v>
                </c:pt>
                <c:pt idx="1">
                  <c:v>2003</c:v>
                </c:pt>
                <c:pt idx="2">
                  <c:v>2006</c:v>
                </c:pt>
                <c:pt idx="3">
                  <c:v>2009</c:v>
                </c:pt>
                <c:pt idx="4">
                  <c:v>2012</c:v>
                </c:pt>
                <c:pt idx="5">
                  <c:v>2015</c:v>
                </c:pt>
                <c:pt idx="6">
                  <c:v>2018</c:v>
                </c:pt>
              </c:strCache>
            </c:strRef>
          </c:cat>
          <c:val>
            <c:numRef>
              <c:f>Utbildning!$C$3:$C$9</c:f>
              <c:numCache>
                <c:formatCode>0.00</c:formatCode>
                <c:ptCount val="7"/>
                <c:pt idx="0">
                  <c:v>516</c:v>
                </c:pt>
                <c:pt idx="1">
                  <c:v>514</c:v>
                </c:pt>
                <c:pt idx="2">
                  <c:v>507</c:v>
                </c:pt>
                <c:pt idx="3">
                  <c:v>497</c:v>
                </c:pt>
                <c:pt idx="4">
                  <c:v>483</c:v>
                </c:pt>
                <c:pt idx="5">
                  <c:v>500</c:v>
                </c:pt>
                <c:pt idx="6">
                  <c:v>506</c:v>
                </c:pt>
              </c:numCache>
            </c:numRef>
          </c:val>
          <c:smooth val="0"/>
          <c:extLst>
            <c:ext xmlns:c16="http://schemas.microsoft.com/office/drawing/2014/chart" uri="{C3380CC4-5D6E-409C-BE32-E72D297353CC}">
              <c16:uniqueId val="{00000001-55BC-430F-B77B-DA6B4D9E5F99}"/>
            </c:ext>
          </c:extLst>
        </c:ser>
        <c:ser>
          <c:idx val="2"/>
          <c:order val="2"/>
          <c:tx>
            <c:strRef>
              <c:f>Utbildning!$D$1:$D$2</c:f>
              <c:strCache>
                <c:ptCount val="2"/>
                <c:pt idx="1">
                  <c:v>Naturvetenskap</c:v>
                </c:pt>
              </c:strCache>
            </c:strRef>
          </c:tx>
          <c:spPr>
            <a:ln w="28575" cap="rnd">
              <a:solidFill>
                <a:schemeClr val="accent3"/>
              </a:solidFill>
              <a:round/>
            </a:ln>
            <a:effectLst/>
          </c:spPr>
          <c:marker>
            <c:symbol val="none"/>
          </c:marker>
          <c:cat>
            <c:strRef>
              <c:f>Utbildning!$A$3:$A$9</c:f>
              <c:strCache>
                <c:ptCount val="7"/>
                <c:pt idx="0">
                  <c:v>2000</c:v>
                </c:pt>
                <c:pt idx="1">
                  <c:v>2003</c:v>
                </c:pt>
                <c:pt idx="2">
                  <c:v>2006</c:v>
                </c:pt>
                <c:pt idx="3">
                  <c:v>2009</c:v>
                </c:pt>
                <c:pt idx="4">
                  <c:v>2012</c:v>
                </c:pt>
                <c:pt idx="5">
                  <c:v>2015</c:v>
                </c:pt>
                <c:pt idx="6">
                  <c:v>2018</c:v>
                </c:pt>
              </c:strCache>
            </c:strRef>
          </c:cat>
          <c:val>
            <c:numRef>
              <c:f>Utbildning!$D$3:$D$9</c:f>
              <c:numCache>
                <c:formatCode>0.00</c:formatCode>
                <c:ptCount val="7"/>
                <c:pt idx="0">
                  <c:v>512</c:v>
                </c:pt>
                <c:pt idx="1">
                  <c:v>506</c:v>
                </c:pt>
                <c:pt idx="2">
                  <c:v>503</c:v>
                </c:pt>
                <c:pt idx="3">
                  <c:v>495</c:v>
                </c:pt>
                <c:pt idx="4">
                  <c:v>485</c:v>
                </c:pt>
                <c:pt idx="5">
                  <c:v>493</c:v>
                </c:pt>
                <c:pt idx="6">
                  <c:v>499</c:v>
                </c:pt>
              </c:numCache>
            </c:numRef>
          </c:val>
          <c:smooth val="0"/>
          <c:extLst>
            <c:ext xmlns:c16="http://schemas.microsoft.com/office/drawing/2014/chart" uri="{C3380CC4-5D6E-409C-BE32-E72D297353CC}">
              <c16:uniqueId val="{00000002-55BC-430F-B77B-DA6B4D9E5F99}"/>
            </c:ext>
          </c:extLst>
        </c:ser>
        <c:dLbls>
          <c:showLegendKey val="0"/>
          <c:showVal val="0"/>
          <c:showCatName val="0"/>
          <c:showSerName val="0"/>
          <c:showPercent val="0"/>
          <c:showBubbleSize val="0"/>
        </c:dLbls>
        <c:smooth val="0"/>
        <c:axId val="442604648"/>
        <c:axId val="442606616"/>
      </c:lineChart>
      <c:catAx>
        <c:axId val="44260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2606616"/>
        <c:crosses val="autoZero"/>
        <c:auto val="1"/>
        <c:lblAlgn val="ctr"/>
        <c:lblOffset val="100"/>
        <c:noMultiLvlLbl val="0"/>
      </c:catAx>
      <c:valAx>
        <c:axId val="442606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2604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bg2">
                  <a:lumMod val="25000"/>
                </a:schemeClr>
              </a:solidFill>
              <a:round/>
            </a:ln>
            <a:effectLst/>
          </c:spPr>
          <c:marker>
            <c:symbol val="none"/>
          </c:marker>
          <c:cat>
            <c:numRef>
              <c:f>Utbildning!$B$22:$B$29</c:f>
              <c:numCache>
                <c:formatCode>General</c:formatCode>
                <c:ptCount val="8"/>
                <c:pt idx="0">
                  <c:v>2012</c:v>
                </c:pt>
                <c:pt idx="1">
                  <c:v>2013</c:v>
                </c:pt>
                <c:pt idx="2" formatCode="0">
                  <c:v>2014</c:v>
                </c:pt>
                <c:pt idx="3" formatCode="0">
                  <c:v>2015</c:v>
                </c:pt>
                <c:pt idx="4" formatCode="0">
                  <c:v>2016</c:v>
                </c:pt>
                <c:pt idx="5" formatCode="0">
                  <c:v>2017</c:v>
                </c:pt>
                <c:pt idx="6" formatCode="0">
                  <c:v>2018</c:v>
                </c:pt>
                <c:pt idx="7" formatCode="0">
                  <c:v>2019</c:v>
                </c:pt>
              </c:numCache>
            </c:numRef>
          </c:cat>
          <c:val>
            <c:numRef>
              <c:f>Utbildning!$C$22:$C$29</c:f>
              <c:numCache>
                <c:formatCode>General</c:formatCode>
                <c:ptCount val="8"/>
                <c:pt idx="0">
                  <c:v>393</c:v>
                </c:pt>
                <c:pt idx="1">
                  <c:v>450</c:v>
                </c:pt>
                <c:pt idx="2" formatCode="0">
                  <c:v>517</c:v>
                </c:pt>
                <c:pt idx="3" formatCode="0">
                  <c:v>698</c:v>
                </c:pt>
                <c:pt idx="4" formatCode="0">
                  <c:v>647</c:v>
                </c:pt>
                <c:pt idx="5" formatCode="0">
                  <c:v>767</c:v>
                </c:pt>
                <c:pt idx="6" formatCode="0">
                  <c:v>870</c:v>
                </c:pt>
                <c:pt idx="7" formatCode="0">
                  <c:v>835</c:v>
                </c:pt>
              </c:numCache>
            </c:numRef>
          </c:val>
          <c:smooth val="0"/>
          <c:extLst>
            <c:ext xmlns:c16="http://schemas.microsoft.com/office/drawing/2014/chart" uri="{C3380CC4-5D6E-409C-BE32-E72D297353CC}">
              <c16:uniqueId val="{00000000-A29C-4CF0-89A2-146BE8929754}"/>
            </c:ext>
          </c:extLst>
        </c:ser>
        <c:dLbls>
          <c:showLegendKey val="0"/>
          <c:showVal val="0"/>
          <c:showCatName val="0"/>
          <c:showSerName val="0"/>
          <c:showPercent val="0"/>
          <c:showBubbleSize val="0"/>
        </c:dLbls>
        <c:smooth val="0"/>
        <c:axId val="442186952"/>
        <c:axId val="442185968"/>
      </c:lineChart>
      <c:catAx>
        <c:axId val="44218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2185968"/>
        <c:crosses val="autoZero"/>
        <c:auto val="1"/>
        <c:lblAlgn val="ctr"/>
        <c:lblOffset val="100"/>
        <c:noMultiLvlLbl val="0"/>
      </c:catAx>
      <c:valAx>
        <c:axId val="44218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2186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Utbildning!$B$34</c:f>
              <c:strCache>
                <c:ptCount val="1"/>
                <c:pt idx="0">
                  <c:v>Anklagar dig för saker</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Utbildning!$A$35:$A$37</c:f>
              <c:strCache>
                <c:ptCount val="3"/>
                <c:pt idx="0">
                  <c:v>Åk 4–9</c:v>
                </c:pt>
                <c:pt idx="1">
                  <c:v>Åk 7–9</c:v>
                </c:pt>
                <c:pt idx="2">
                  <c:v>Gymnasieskola</c:v>
                </c:pt>
              </c:strCache>
            </c:strRef>
          </c:cat>
          <c:val>
            <c:numRef>
              <c:f>Utbildning!$B$35:$B$37</c:f>
              <c:numCache>
                <c:formatCode>0</c:formatCode>
                <c:ptCount val="3"/>
                <c:pt idx="0">
                  <c:v>30</c:v>
                </c:pt>
                <c:pt idx="1">
                  <c:v>17</c:v>
                </c:pt>
                <c:pt idx="2">
                  <c:v>9</c:v>
                </c:pt>
              </c:numCache>
            </c:numRef>
          </c:val>
          <c:extLst>
            <c:ext xmlns:c16="http://schemas.microsoft.com/office/drawing/2014/chart" uri="{C3380CC4-5D6E-409C-BE32-E72D297353CC}">
              <c16:uniqueId val="{00000000-C971-4483-B7C4-51A67271ADD9}"/>
            </c:ext>
          </c:extLst>
        </c:ser>
        <c:ser>
          <c:idx val="1"/>
          <c:order val="1"/>
          <c:tx>
            <c:strRef>
              <c:f>Utbildning!$B$38</c:f>
              <c:strCache>
                <c:ptCount val="1"/>
                <c:pt idx="0">
                  <c:v>Visar att de inte gillar dig</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Utbildning!$B$39:$B$41</c:f>
              <c:numCache>
                <c:formatCode>0</c:formatCode>
                <c:ptCount val="3"/>
                <c:pt idx="0">
                  <c:v>19</c:v>
                </c:pt>
                <c:pt idx="1">
                  <c:v>13</c:v>
                </c:pt>
                <c:pt idx="2">
                  <c:v>8</c:v>
                </c:pt>
              </c:numCache>
            </c:numRef>
          </c:val>
          <c:extLst>
            <c:ext xmlns:c16="http://schemas.microsoft.com/office/drawing/2014/chart" uri="{C3380CC4-5D6E-409C-BE32-E72D297353CC}">
              <c16:uniqueId val="{00000001-C971-4483-B7C4-51A67271ADD9}"/>
            </c:ext>
          </c:extLst>
        </c:ser>
        <c:ser>
          <c:idx val="2"/>
          <c:order val="2"/>
          <c:tx>
            <c:strRef>
              <c:f>Utbildning!$B$42</c:f>
              <c:strCache>
                <c:ptCount val="1"/>
                <c:pt idx="0">
                  <c:v>Ingen vill vara med dig</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Utbildning!$B$43:$B$45</c:f>
              <c:numCache>
                <c:formatCode>0</c:formatCode>
                <c:ptCount val="3"/>
                <c:pt idx="0">
                  <c:v>13</c:v>
                </c:pt>
                <c:pt idx="1">
                  <c:v>7</c:v>
                </c:pt>
                <c:pt idx="2">
                  <c:v>6</c:v>
                </c:pt>
              </c:numCache>
            </c:numRef>
          </c:val>
          <c:extLst>
            <c:ext xmlns:c16="http://schemas.microsoft.com/office/drawing/2014/chart" uri="{C3380CC4-5D6E-409C-BE32-E72D297353CC}">
              <c16:uniqueId val="{00000002-C971-4483-B7C4-51A67271ADD9}"/>
            </c:ext>
          </c:extLst>
        </c:ser>
        <c:ser>
          <c:idx val="3"/>
          <c:order val="3"/>
          <c:tx>
            <c:strRef>
              <c:f>Utbildning!$B$46</c:f>
              <c:strCache>
                <c:ptCount val="1"/>
                <c:pt idx="0">
                  <c:v>Slår dig eller gör dig illa</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Utbildning!$B$47:$B$49</c:f>
              <c:numCache>
                <c:formatCode>0</c:formatCode>
                <c:ptCount val="3"/>
                <c:pt idx="0">
                  <c:v>8</c:v>
                </c:pt>
                <c:pt idx="1">
                  <c:v>1</c:v>
                </c:pt>
                <c:pt idx="2">
                  <c:v>1</c:v>
                </c:pt>
              </c:numCache>
            </c:numRef>
          </c:val>
          <c:extLst>
            <c:ext xmlns:c16="http://schemas.microsoft.com/office/drawing/2014/chart" uri="{C3380CC4-5D6E-409C-BE32-E72D297353CC}">
              <c16:uniqueId val="{00000003-C971-4483-B7C4-51A67271ADD9}"/>
            </c:ext>
          </c:extLst>
        </c:ser>
        <c:dLbls>
          <c:dLblPos val="outEnd"/>
          <c:showLegendKey val="0"/>
          <c:showVal val="1"/>
          <c:showCatName val="0"/>
          <c:showSerName val="0"/>
          <c:showPercent val="0"/>
          <c:showBubbleSize val="0"/>
        </c:dLbls>
        <c:gapWidth val="219"/>
        <c:overlap val="-27"/>
        <c:axId val="468458928"/>
        <c:axId val="468455320"/>
      </c:barChart>
      <c:catAx>
        <c:axId val="46845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8455320"/>
        <c:crosses val="autoZero"/>
        <c:auto val="1"/>
        <c:lblAlgn val="ctr"/>
        <c:lblOffset val="100"/>
        <c:noMultiLvlLbl val="0"/>
      </c:catAx>
      <c:valAx>
        <c:axId val="468455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8458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v-SE"/>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75000"/>
              </a:schemeClr>
            </a:solidFill>
            <a:ln>
              <a:noFill/>
            </a:ln>
            <a:effectLst/>
          </c:spPr>
          <c:invertIfNegative val="0"/>
          <c:dPt>
            <c:idx val="3"/>
            <c:invertIfNegative val="0"/>
            <c:bubble3D val="0"/>
            <c:spPr>
              <a:solidFill>
                <a:schemeClr val="bg2">
                  <a:lumMod val="25000"/>
                </a:schemeClr>
              </a:solidFill>
              <a:ln>
                <a:noFill/>
              </a:ln>
              <a:effectLst/>
            </c:spPr>
            <c:extLst>
              <c:ext xmlns:c16="http://schemas.microsoft.com/office/drawing/2014/chart" uri="{C3380CC4-5D6E-409C-BE32-E72D297353CC}">
                <c16:uniqueId val="{00000001-517F-4253-BA3D-7A0AF0E55A08}"/>
              </c:ext>
            </c:extLst>
          </c:dPt>
          <c:cat>
            <c:strRef>
              <c:f>Blad1!$E$5:$E$8</c:f>
              <c:strCache>
                <c:ptCount val="4"/>
                <c:pt idx="0">
                  <c:v>Norge</c:v>
                </c:pt>
                <c:pt idx="1">
                  <c:v>Danmark</c:v>
                </c:pt>
                <c:pt idx="2">
                  <c:v>Finland </c:v>
                </c:pt>
                <c:pt idx="3">
                  <c:v>Sverige</c:v>
                </c:pt>
              </c:strCache>
            </c:strRef>
          </c:cat>
          <c:val>
            <c:numRef>
              <c:f>Blad1!$F$5:$F$8</c:f>
              <c:numCache>
                <c:formatCode>0</c:formatCode>
                <c:ptCount val="4"/>
                <c:pt idx="0">
                  <c:v>8.1</c:v>
                </c:pt>
                <c:pt idx="1">
                  <c:v>10.9</c:v>
                </c:pt>
                <c:pt idx="2">
                  <c:v>13.9</c:v>
                </c:pt>
                <c:pt idx="3">
                  <c:v>15.3</c:v>
                </c:pt>
              </c:numCache>
            </c:numRef>
          </c:val>
          <c:extLst>
            <c:ext xmlns:c16="http://schemas.microsoft.com/office/drawing/2014/chart" uri="{C3380CC4-5D6E-409C-BE32-E72D297353CC}">
              <c16:uniqueId val="{00000002-517F-4253-BA3D-7A0AF0E55A08}"/>
            </c:ext>
          </c:extLst>
        </c:ser>
        <c:dLbls>
          <c:showLegendKey val="0"/>
          <c:showVal val="0"/>
          <c:showCatName val="0"/>
          <c:showSerName val="0"/>
          <c:showPercent val="0"/>
          <c:showBubbleSize val="0"/>
        </c:dLbls>
        <c:gapWidth val="219"/>
        <c:overlap val="-27"/>
        <c:axId val="469322168"/>
        <c:axId val="469325776"/>
      </c:barChart>
      <c:catAx>
        <c:axId val="46932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9325776"/>
        <c:crosses val="autoZero"/>
        <c:auto val="1"/>
        <c:lblAlgn val="ctr"/>
        <c:lblOffset val="100"/>
        <c:noMultiLvlLbl val="0"/>
      </c:catAx>
      <c:valAx>
        <c:axId val="46932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93221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SfU!$B$2</c:f>
              <c:strCache>
                <c:ptCount val="1"/>
                <c:pt idx="0">
                  <c:v>Sjukförsäkringen</c:v>
                </c:pt>
              </c:strCache>
            </c:strRef>
          </c:tx>
          <c:spPr>
            <a:solidFill>
              <a:schemeClr val="accent2">
                <a:lumMod val="60000"/>
                <a:lumOff val="40000"/>
              </a:schemeClr>
            </a:solidFill>
            <a:ln>
              <a:noFill/>
            </a:ln>
            <a:effectLst/>
          </c:spPr>
          <c:invertIfNegative val="0"/>
          <c:cat>
            <c:strRef>
              <c:f>SfU!$A$3:$A$7</c:f>
              <c:strCache>
                <c:ptCount val="5"/>
                <c:pt idx="0">
                  <c:v>Mycket nöjd</c:v>
                </c:pt>
                <c:pt idx="1">
                  <c:v>Ganska nöjd</c:v>
                </c:pt>
                <c:pt idx="2">
                  <c:v>Varken nöjd eller missnöjd</c:v>
                </c:pt>
                <c:pt idx="3">
                  <c:v>Ganska missnöjd</c:v>
                </c:pt>
                <c:pt idx="4">
                  <c:v>Mycket missnöjd</c:v>
                </c:pt>
              </c:strCache>
            </c:strRef>
          </c:cat>
          <c:val>
            <c:numRef>
              <c:f>SfU!$B$3:$B$7</c:f>
              <c:numCache>
                <c:formatCode>General</c:formatCode>
                <c:ptCount val="5"/>
                <c:pt idx="0">
                  <c:v>5</c:v>
                </c:pt>
                <c:pt idx="1">
                  <c:v>26</c:v>
                </c:pt>
                <c:pt idx="2">
                  <c:v>14</c:v>
                </c:pt>
                <c:pt idx="3">
                  <c:v>14</c:v>
                </c:pt>
                <c:pt idx="4">
                  <c:v>10</c:v>
                </c:pt>
              </c:numCache>
            </c:numRef>
          </c:val>
          <c:extLst>
            <c:ext xmlns:c16="http://schemas.microsoft.com/office/drawing/2014/chart" uri="{C3380CC4-5D6E-409C-BE32-E72D297353CC}">
              <c16:uniqueId val="{00000000-F5FC-41CA-B3D4-1BB6352469B1}"/>
            </c:ext>
          </c:extLst>
        </c:ser>
        <c:ser>
          <c:idx val="1"/>
          <c:order val="1"/>
          <c:tx>
            <c:strRef>
              <c:f>SfU!$C$2</c:f>
              <c:strCache>
                <c:ptCount val="1"/>
                <c:pt idx="0">
                  <c:v>A-kassan</c:v>
                </c:pt>
              </c:strCache>
            </c:strRef>
          </c:tx>
          <c:spPr>
            <a:solidFill>
              <a:schemeClr val="accent5">
                <a:lumMod val="60000"/>
                <a:lumOff val="40000"/>
              </a:schemeClr>
            </a:solidFill>
            <a:ln>
              <a:noFill/>
            </a:ln>
            <a:effectLst/>
          </c:spPr>
          <c:invertIfNegative val="0"/>
          <c:cat>
            <c:strRef>
              <c:f>SfU!$A$3:$A$7</c:f>
              <c:strCache>
                <c:ptCount val="5"/>
                <c:pt idx="0">
                  <c:v>Mycket nöjd</c:v>
                </c:pt>
                <c:pt idx="1">
                  <c:v>Ganska nöjd</c:v>
                </c:pt>
                <c:pt idx="2">
                  <c:v>Varken nöjd eller missnöjd</c:v>
                </c:pt>
                <c:pt idx="3">
                  <c:v>Ganska missnöjd</c:v>
                </c:pt>
                <c:pt idx="4">
                  <c:v>Mycket missnöjd</c:v>
                </c:pt>
              </c:strCache>
            </c:strRef>
          </c:cat>
          <c:val>
            <c:numRef>
              <c:f>SfU!$C$3:$C$7</c:f>
              <c:numCache>
                <c:formatCode>General</c:formatCode>
                <c:ptCount val="5"/>
                <c:pt idx="0">
                  <c:v>5</c:v>
                </c:pt>
                <c:pt idx="1">
                  <c:v>22</c:v>
                </c:pt>
                <c:pt idx="2">
                  <c:v>10</c:v>
                </c:pt>
                <c:pt idx="3">
                  <c:v>10</c:v>
                </c:pt>
                <c:pt idx="4">
                  <c:v>6</c:v>
                </c:pt>
              </c:numCache>
            </c:numRef>
          </c:val>
          <c:extLst>
            <c:ext xmlns:c16="http://schemas.microsoft.com/office/drawing/2014/chart" uri="{C3380CC4-5D6E-409C-BE32-E72D297353CC}">
              <c16:uniqueId val="{00000001-F5FC-41CA-B3D4-1BB6352469B1}"/>
            </c:ext>
          </c:extLst>
        </c:ser>
        <c:ser>
          <c:idx val="2"/>
          <c:order val="2"/>
          <c:tx>
            <c:strRef>
              <c:f>SfU!$D$2</c:f>
              <c:strCache>
                <c:ptCount val="1"/>
                <c:pt idx="0">
                  <c:v>Pensionssystemet</c:v>
                </c:pt>
              </c:strCache>
            </c:strRef>
          </c:tx>
          <c:spPr>
            <a:solidFill>
              <a:schemeClr val="accent6">
                <a:lumMod val="60000"/>
                <a:lumOff val="40000"/>
              </a:schemeClr>
            </a:solidFill>
            <a:ln>
              <a:noFill/>
            </a:ln>
            <a:effectLst/>
          </c:spPr>
          <c:invertIfNegative val="0"/>
          <c:cat>
            <c:strRef>
              <c:f>SfU!$A$3:$A$7</c:f>
              <c:strCache>
                <c:ptCount val="5"/>
                <c:pt idx="0">
                  <c:v>Mycket nöjd</c:v>
                </c:pt>
                <c:pt idx="1">
                  <c:v>Ganska nöjd</c:v>
                </c:pt>
                <c:pt idx="2">
                  <c:v>Varken nöjd eller missnöjd</c:v>
                </c:pt>
                <c:pt idx="3">
                  <c:v>Ganska missnöjd</c:v>
                </c:pt>
                <c:pt idx="4">
                  <c:v>Mycket missnöjd</c:v>
                </c:pt>
              </c:strCache>
            </c:strRef>
          </c:cat>
          <c:val>
            <c:numRef>
              <c:f>SfU!$D$3:$D$7</c:f>
              <c:numCache>
                <c:formatCode>General</c:formatCode>
                <c:ptCount val="5"/>
                <c:pt idx="0">
                  <c:v>2</c:v>
                </c:pt>
                <c:pt idx="1">
                  <c:v>23</c:v>
                </c:pt>
                <c:pt idx="2">
                  <c:v>21</c:v>
                </c:pt>
                <c:pt idx="3">
                  <c:v>21</c:v>
                </c:pt>
                <c:pt idx="4">
                  <c:v>14</c:v>
                </c:pt>
              </c:numCache>
            </c:numRef>
          </c:val>
          <c:extLst>
            <c:ext xmlns:c16="http://schemas.microsoft.com/office/drawing/2014/chart" uri="{C3380CC4-5D6E-409C-BE32-E72D297353CC}">
              <c16:uniqueId val="{00000002-F5FC-41CA-B3D4-1BB6352469B1}"/>
            </c:ext>
          </c:extLst>
        </c:ser>
        <c:ser>
          <c:idx val="3"/>
          <c:order val="3"/>
          <c:tx>
            <c:strRef>
              <c:f>SfU!$E$2</c:f>
              <c:strCache>
                <c:ptCount val="1"/>
                <c:pt idx="0">
                  <c:v>Försäkringskassan</c:v>
                </c:pt>
              </c:strCache>
            </c:strRef>
          </c:tx>
          <c:spPr>
            <a:solidFill>
              <a:schemeClr val="accent4">
                <a:lumMod val="60000"/>
                <a:lumOff val="40000"/>
              </a:schemeClr>
            </a:solidFill>
            <a:ln>
              <a:noFill/>
            </a:ln>
            <a:effectLst/>
          </c:spPr>
          <c:invertIfNegative val="0"/>
          <c:cat>
            <c:strRef>
              <c:f>SfU!$A$3:$A$7</c:f>
              <c:strCache>
                <c:ptCount val="5"/>
                <c:pt idx="0">
                  <c:v>Mycket nöjd</c:v>
                </c:pt>
                <c:pt idx="1">
                  <c:v>Ganska nöjd</c:v>
                </c:pt>
                <c:pt idx="2">
                  <c:v>Varken nöjd eller missnöjd</c:v>
                </c:pt>
                <c:pt idx="3">
                  <c:v>Ganska missnöjd</c:v>
                </c:pt>
                <c:pt idx="4">
                  <c:v>Mycket missnöjd</c:v>
                </c:pt>
              </c:strCache>
            </c:strRef>
          </c:cat>
          <c:val>
            <c:numRef>
              <c:f>SfU!$E$3:$E$7</c:f>
              <c:numCache>
                <c:formatCode>General</c:formatCode>
                <c:ptCount val="5"/>
                <c:pt idx="0">
                  <c:v>10</c:v>
                </c:pt>
                <c:pt idx="1">
                  <c:v>21</c:v>
                </c:pt>
                <c:pt idx="2">
                  <c:v>19</c:v>
                </c:pt>
                <c:pt idx="3">
                  <c:v>3</c:v>
                </c:pt>
                <c:pt idx="4">
                  <c:v>2</c:v>
                </c:pt>
              </c:numCache>
            </c:numRef>
          </c:val>
          <c:extLst>
            <c:ext xmlns:c16="http://schemas.microsoft.com/office/drawing/2014/chart" uri="{C3380CC4-5D6E-409C-BE32-E72D297353CC}">
              <c16:uniqueId val="{00000003-F5FC-41CA-B3D4-1BB6352469B1}"/>
            </c:ext>
          </c:extLst>
        </c:ser>
        <c:dLbls>
          <c:showLegendKey val="0"/>
          <c:showVal val="0"/>
          <c:showCatName val="0"/>
          <c:showSerName val="0"/>
          <c:showPercent val="0"/>
          <c:showBubbleSize val="0"/>
        </c:dLbls>
        <c:gapWidth val="219"/>
        <c:overlap val="-27"/>
        <c:axId val="334721608"/>
        <c:axId val="334723248"/>
      </c:barChart>
      <c:catAx>
        <c:axId val="33472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23248"/>
        <c:crosses val="autoZero"/>
        <c:auto val="1"/>
        <c:lblAlgn val="ctr"/>
        <c:lblOffset val="100"/>
        <c:noMultiLvlLbl val="0"/>
      </c:catAx>
      <c:valAx>
        <c:axId val="33472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4721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Belopp_PM!$U$26</c:f>
              <c:strCache>
                <c:ptCount val="1"/>
                <c:pt idx="0">
                  <c:v>Sverige</c:v>
                </c:pt>
              </c:strCache>
            </c:strRef>
          </c:tx>
          <c:spPr>
            <a:ln w="28575" cap="rnd">
              <a:solidFill>
                <a:schemeClr val="bg2">
                  <a:lumMod val="25000"/>
                </a:schemeClr>
              </a:solidFill>
              <a:round/>
            </a:ln>
            <a:effectLst/>
          </c:spPr>
          <c:marker>
            <c:symbol val="none"/>
          </c:marker>
          <c:cat>
            <c:numRef>
              <c:f>Belopp_PM!$T$39:$T$49</c:f>
              <c:numCache>
                <c:formatCode>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Belopp_PM!$U$39:$U$49</c:f>
              <c:numCache>
                <c:formatCode>General</c:formatCode>
                <c:ptCount val="11"/>
                <c:pt idx="0">
                  <c:v>100</c:v>
                </c:pt>
                <c:pt idx="1">
                  <c:v>102.46340255176472</c:v>
                </c:pt>
                <c:pt idx="2">
                  <c:v>102.33107957653091</c:v>
                </c:pt>
                <c:pt idx="3">
                  <c:v>98.389388168597165</c:v>
                </c:pt>
                <c:pt idx="4">
                  <c:v>98.706602828768837</c:v>
                </c:pt>
                <c:pt idx="5">
                  <c:v>96.022466657382566</c:v>
                </c:pt>
                <c:pt idx="6">
                  <c:v>89.198197048441529</c:v>
                </c:pt>
                <c:pt idx="7">
                  <c:v>85.320822292947867</c:v>
                </c:pt>
                <c:pt idx="8">
                  <c:v>87.886618248600371</c:v>
                </c:pt>
                <c:pt idx="9">
                  <c:v>88.372127139008612</c:v>
                </c:pt>
                <c:pt idx="10">
                  <c:v>97.675390480682836</c:v>
                </c:pt>
              </c:numCache>
            </c:numRef>
          </c:val>
          <c:smooth val="0"/>
          <c:extLst>
            <c:ext xmlns:c16="http://schemas.microsoft.com/office/drawing/2014/chart" uri="{C3380CC4-5D6E-409C-BE32-E72D297353CC}">
              <c16:uniqueId val="{00000000-6591-4682-AF28-D6D7C8596D2C}"/>
            </c:ext>
          </c:extLst>
        </c:ser>
        <c:ser>
          <c:idx val="1"/>
          <c:order val="1"/>
          <c:tx>
            <c:strRef>
              <c:f>Belopp_PM!$V$26</c:f>
              <c:strCache>
                <c:ptCount val="1"/>
                <c:pt idx="0">
                  <c:v>EU/EES</c:v>
                </c:pt>
              </c:strCache>
            </c:strRef>
          </c:tx>
          <c:spPr>
            <a:ln w="28575" cap="rnd">
              <a:solidFill>
                <a:schemeClr val="bg2">
                  <a:lumMod val="50000"/>
                </a:schemeClr>
              </a:solidFill>
              <a:prstDash val="dash"/>
              <a:round/>
            </a:ln>
            <a:effectLst/>
          </c:spPr>
          <c:marker>
            <c:symbol val="none"/>
          </c:marker>
          <c:cat>
            <c:numRef>
              <c:f>Belopp_PM!$T$39:$T$49</c:f>
              <c:numCache>
                <c:formatCode>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Belopp_PM!$V$39:$V$49</c:f>
              <c:numCache>
                <c:formatCode>General</c:formatCode>
                <c:ptCount val="11"/>
                <c:pt idx="0">
                  <c:v>100</c:v>
                </c:pt>
                <c:pt idx="1">
                  <c:v>103.49307061983284</c:v>
                </c:pt>
                <c:pt idx="2">
                  <c:v>106.80227005742601</c:v>
                </c:pt>
                <c:pt idx="3">
                  <c:v>106.66051192898021</c:v>
                </c:pt>
                <c:pt idx="4">
                  <c:v>108.2314155671819</c:v>
                </c:pt>
                <c:pt idx="5">
                  <c:v>107.29837532271415</c:v>
                </c:pt>
                <c:pt idx="6">
                  <c:v>103.12359362155881</c:v>
                </c:pt>
                <c:pt idx="7">
                  <c:v>100.74049589325449</c:v>
                </c:pt>
                <c:pt idx="8">
                  <c:v>102.97499332647833</c:v>
                </c:pt>
                <c:pt idx="9">
                  <c:v>104.37098805704632</c:v>
                </c:pt>
                <c:pt idx="10">
                  <c:v>112.91839608049858</c:v>
                </c:pt>
              </c:numCache>
            </c:numRef>
          </c:val>
          <c:smooth val="0"/>
          <c:extLst>
            <c:ext xmlns:c16="http://schemas.microsoft.com/office/drawing/2014/chart" uri="{C3380CC4-5D6E-409C-BE32-E72D297353CC}">
              <c16:uniqueId val="{00000001-6591-4682-AF28-D6D7C8596D2C}"/>
            </c:ext>
          </c:extLst>
        </c:ser>
        <c:ser>
          <c:idx val="2"/>
          <c:order val="2"/>
          <c:tx>
            <c:strRef>
              <c:f>Belopp_PM!$W$26</c:f>
              <c:strCache>
                <c:ptCount val="1"/>
                <c:pt idx="0">
                  <c:v>Övriga</c:v>
                </c:pt>
              </c:strCache>
            </c:strRef>
          </c:tx>
          <c:spPr>
            <a:ln w="28575" cap="rnd">
              <a:solidFill>
                <a:schemeClr val="bg2">
                  <a:lumMod val="75000"/>
                </a:schemeClr>
              </a:solidFill>
              <a:prstDash val="sysDot"/>
              <a:round/>
            </a:ln>
            <a:effectLst/>
          </c:spPr>
          <c:marker>
            <c:symbol val="none"/>
          </c:marker>
          <c:cat>
            <c:numRef>
              <c:f>Belopp_PM!$T$39:$T$49</c:f>
              <c:numCache>
                <c:formatCode>0</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Belopp_PM!$W$39:$W$49</c:f>
              <c:numCache>
                <c:formatCode>General</c:formatCode>
                <c:ptCount val="11"/>
                <c:pt idx="0">
                  <c:v>100</c:v>
                </c:pt>
                <c:pt idx="1">
                  <c:v>100.00829988434586</c:v>
                </c:pt>
                <c:pt idx="2">
                  <c:v>98.640451731410295</c:v>
                </c:pt>
                <c:pt idx="3">
                  <c:v>98.194026804544507</c:v>
                </c:pt>
                <c:pt idx="4">
                  <c:v>104.33049867337914</c:v>
                </c:pt>
                <c:pt idx="5">
                  <c:v>115.66882100823183</c:v>
                </c:pt>
                <c:pt idx="6">
                  <c:v>124.2040955167018</c:v>
                </c:pt>
                <c:pt idx="7">
                  <c:v>134.57133138308726</c:v>
                </c:pt>
                <c:pt idx="8">
                  <c:v>143.3131505544595</c:v>
                </c:pt>
                <c:pt idx="9">
                  <c:v>151.13313830872846</c:v>
                </c:pt>
                <c:pt idx="10">
                  <c:v>156.16232396761683</c:v>
                </c:pt>
              </c:numCache>
            </c:numRef>
          </c:val>
          <c:smooth val="0"/>
          <c:extLst>
            <c:ext xmlns:c16="http://schemas.microsoft.com/office/drawing/2014/chart" uri="{C3380CC4-5D6E-409C-BE32-E72D297353CC}">
              <c16:uniqueId val="{00000002-6591-4682-AF28-D6D7C8596D2C}"/>
            </c:ext>
          </c:extLst>
        </c:ser>
        <c:dLbls>
          <c:showLegendKey val="0"/>
          <c:showVal val="0"/>
          <c:showCatName val="0"/>
          <c:showSerName val="0"/>
          <c:showPercent val="0"/>
          <c:showBubbleSize val="0"/>
        </c:dLbls>
        <c:smooth val="0"/>
        <c:axId val="454963968"/>
        <c:axId val="454965280"/>
      </c:lineChart>
      <c:catAx>
        <c:axId val="45496396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965280"/>
        <c:crosses val="autoZero"/>
        <c:auto val="1"/>
        <c:lblAlgn val="ctr"/>
        <c:lblOffset val="100"/>
        <c:noMultiLvlLbl val="0"/>
      </c:catAx>
      <c:valAx>
        <c:axId val="45496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496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75000"/>
              </a:schemeClr>
            </a:solidFill>
            <a:ln>
              <a:noFill/>
            </a:ln>
            <a:effectLst/>
          </c:spPr>
          <c:invertIfNegative val="0"/>
          <c:dPt>
            <c:idx val="28"/>
            <c:invertIfNegative val="0"/>
            <c:bubble3D val="0"/>
            <c:spPr>
              <a:solidFill>
                <a:schemeClr val="bg2">
                  <a:lumMod val="25000"/>
                </a:schemeClr>
              </a:solidFill>
              <a:ln>
                <a:noFill/>
              </a:ln>
              <a:effectLst/>
            </c:spPr>
            <c:extLst>
              <c:ext xmlns:c16="http://schemas.microsoft.com/office/drawing/2014/chart" uri="{C3380CC4-5D6E-409C-BE32-E72D297353CC}">
                <c16:uniqueId val="{00000001-CFC1-4BBE-81FE-D54E8AC9F3EF}"/>
              </c:ext>
            </c:extLst>
          </c:dPt>
          <c:cat>
            <c:strRef>
              <c:f>Bistånd!$A$3:$A$31</c:f>
              <c:strCache>
                <c:ptCount val="29"/>
                <c:pt idx="0">
                  <c:v>Bulgarien</c:v>
                </c:pt>
                <c:pt idx="1">
                  <c:v>Cypern</c:v>
                </c:pt>
                <c:pt idx="2">
                  <c:v>Grekland</c:v>
                </c:pt>
                <c:pt idx="3">
                  <c:v>Lettland</c:v>
                </c:pt>
                <c:pt idx="4">
                  <c:v>Litauen</c:v>
                </c:pt>
                <c:pt idx="5">
                  <c:v>Polen</c:v>
                </c:pt>
                <c:pt idx="6">
                  <c:v>Rumänien</c:v>
                </c:pt>
                <c:pt idx="7">
                  <c:v>Slovakien</c:v>
                </c:pt>
                <c:pt idx="8">
                  <c:v>Tjeckien</c:v>
                </c:pt>
                <c:pt idx="9">
                  <c:v>Kroatien</c:v>
                </c:pt>
                <c:pt idx="10">
                  <c:v>Estland</c:v>
                </c:pt>
                <c:pt idx="11">
                  <c:v>Italien</c:v>
                </c:pt>
                <c:pt idx="12">
                  <c:v>Portugal</c:v>
                </c:pt>
                <c:pt idx="13">
                  <c:v>Slovenien</c:v>
                </c:pt>
                <c:pt idx="14">
                  <c:v>Spanien</c:v>
                </c:pt>
                <c:pt idx="15">
                  <c:v>EU genomsnitt</c:v>
                </c:pt>
                <c:pt idx="16">
                  <c:v>Irland</c:v>
                </c:pt>
                <c:pt idx="17">
                  <c:v>Ungern</c:v>
                </c:pt>
                <c:pt idx="18">
                  <c:v>Österrike</c:v>
                </c:pt>
                <c:pt idx="19">
                  <c:v>Malta</c:v>
                </c:pt>
                <c:pt idx="20">
                  <c:v>Belgien</c:v>
                </c:pt>
                <c:pt idx="21">
                  <c:v>Finland </c:v>
                </c:pt>
                <c:pt idx="22">
                  <c:v>Frankrike</c:v>
                </c:pt>
                <c:pt idx="23">
                  <c:v>Nederländerna</c:v>
                </c:pt>
                <c:pt idx="24">
                  <c:v>Danmark</c:v>
                </c:pt>
                <c:pt idx="25">
                  <c:v>Tyskland</c:v>
                </c:pt>
                <c:pt idx="26">
                  <c:v>Norge</c:v>
                </c:pt>
                <c:pt idx="27">
                  <c:v>Luxemburg</c:v>
                </c:pt>
                <c:pt idx="28">
                  <c:v>Sverige</c:v>
                </c:pt>
              </c:strCache>
            </c:strRef>
          </c:cat>
          <c:val>
            <c:numRef>
              <c:f>Bistånd!$B$3:$B$31</c:f>
              <c:numCache>
                <c:formatCode>General</c:formatCode>
                <c:ptCount val="29"/>
                <c:pt idx="0">
                  <c:v>0.1</c:v>
                </c:pt>
                <c:pt idx="1">
                  <c:v>0.1</c:v>
                </c:pt>
                <c:pt idx="2">
                  <c:v>0.1</c:v>
                </c:pt>
                <c:pt idx="3">
                  <c:v>0.1</c:v>
                </c:pt>
                <c:pt idx="4">
                  <c:v>0.1</c:v>
                </c:pt>
                <c:pt idx="5">
                  <c:v>0.1</c:v>
                </c:pt>
                <c:pt idx="6">
                  <c:v>0.1</c:v>
                </c:pt>
                <c:pt idx="7">
                  <c:v>0.1</c:v>
                </c:pt>
                <c:pt idx="8">
                  <c:v>0.1</c:v>
                </c:pt>
                <c:pt idx="9">
                  <c:v>0.1</c:v>
                </c:pt>
                <c:pt idx="10">
                  <c:v>0.2</c:v>
                </c:pt>
                <c:pt idx="11">
                  <c:v>0.2</c:v>
                </c:pt>
                <c:pt idx="12">
                  <c:v>0.2</c:v>
                </c:pt>
                <c:pt idx="13">
                  <c:v>0.2</c:v>
                </c:pt>
                <c:pt idx="14">
                  <c:v>0.2</c:v>
                </c:pt>
                <c:pt idx="15">
                  <c:v>0.3</c:v>
                </c:pt>
                <c:pt idx="16">
                  <c:v>0.3</c:v>
                </c:pt>
                <c:pt idx="17">
                  <c:v>0.3</c:v>
                </c:pt>
                <c:pt idx="18">
                  <c:v>0.3</c:v>
                </c:pt>
                <c:pt idx="19">
                  <c:v>0.4</c:v>
                </c:pt>
                <c:pt idx="20">
                  <c:v>0.5</c:v>
                </c:pt>
                <c:pt idx="21">
                  <c:v>0.5</c:v>
                </c:pt>
                <c:pt idx="22">
                  <c:v>0.5</c:v>
                </c:pt>
                <c:pt idx="23">
                  <c:v>0.6</c:v>
                </c:pt>
                <c:pt idx="24">
                  <c:v>0.7</c:v>
                </c:pt>
                <c:pt idx="25">
                  <c:v>0.7</c:v>
                </c:pt>
                <c:pt idx="26">
                  <c:v>0.7</c:v>
                </c:pt>
                <c:pt idx="27">
                  <c:v>1</c:v>
                </c:pt>
                <c:pt idx="28">
                  <c:v>1.1000000000000001</c:v>
                </c:pt>
              </c:numCache>
            </c:numRef>
          </c:val>
          <c:extLst>
            <c:ext xmlns:c16="http://schemas.microsoft.com/office/drawing/2014/chart" uri="{C3380CC4-5D6E-409C-BE32-E72D297353CC}">
              <c16:uniqueId val="{00000000-CFC1-4BBE-81FE-D54E8AC9F3EF}"/>
            </c:ext>
          </c:extLst>
        </c:ser>
        <c:dLbls>
          <c:showLegendKey val="0"/>
          <c:showVal val="0"/>
          <c:showCatName val="0"/>
          <c:showSerName val="0"/>
          <c:showPercent val="0"/>
          <c:showBubbleSize val="0"/>
        </c:dLbls>
        <c:gapWidth val="182"/>
        <c:axId val="426693344"/>
        <c:axId val="426693016"/>
      </c:barChart>
      <c:catAx>
        <c:axId val="426693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6693016"/>
        <c:crosses val="autoZero"/>
        <c:auto val="1"/>
        <c:lblAlgn val="ctr"/>
        <c:lblOffset val="100"/>
        <c:noMultiLvlLbl val="0"/>
      </c:catAx>
      <c:valAx>
        <c:axId val="426693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6693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Sverigedemokraterna</c:v>
          </c:tx>
          <c:spPr>
            <a:ln w="28575" cap="rnd">
              <a:solidFill>
                <a:schemeClr val="bg2">
                  <a:lumMod val="50000"/>
                </a:schemeClr>
              </a:solidFill>
              <a:prstDash val="dash"/>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Blad1!$D$12:$AB$12</c:f>
              <c:numCache>
                <c:formatCode>General</c:formatCode>
                <c:ptCount val="25"/>
                <c:pt idx="0">
                  <c:v>1.8933218933218934</c:v>
                </c:pt>
                <c:pt idx="1">
                  <c:v>2.1050707315015327</c:v>
                </c:pt>
                <c:pt idx="2">
                  <c:v>2.101204280644891</c:v>
                </c:pt>
                <c:pt idx="3">
                  <c:v>2.3947243412412331</c:v>
                </c:pt>
                <c:pt idx="4">
                  <c:v>2.6915310285009553</c:v>
                </c:pt>
                <c:pt idx="5">
                  <c:v>3.037940379403794</c:v>
                </c:pt>
                <c:pt idx="6">
                  <c:v>3.397387427319897</c:v>
                </c:pt>
                <c:pt idx="7">
                  <c:v>3.4340623953422469</c:v>
                </c:pt>
                <c:pt idx="8">
                  <c:v>3.6148666283864905</c:v>
                </c:pt>
                <c:pt idx="9">
                  <c:v>3.9163913529824921</c:v>
                </c:pt>
                <c:pt idx="10">
                  <c:v>3.3332510917569267</c:v>
                </c:pt>
                <c:pt idx="11">
                  <c:v>3.7631822386679001</c:v>
                </c:pt>
                <c:pt idx="12">
                  <c:v>3.7053363700928177</c:v>
                </c:pt>
                <c:pt idx="13">
                  <c:v>3.7377017747792016</c:v>
                </c:pt>
                <c:pt idx="14">
                  <c:v>3.7151594378822539</c:v>
                </c:pt>
                <c:pt idx="15">
                  <c:v>3.3685037602424512</c:v>
                </c:pt>
                <c:pt idx="16">
                  <c:v>3.4936572199730094</c:v>
                </c:pt>
                <c:pt idx="17">
                  <c:v>3.6028707641298645</c:v>
                </c:pt>
                <c:pt idx="18">
                  <c:v>4.2968086275999244</c:v>
                </c:pt>
                <c:pt idx="19">
                  <c:v>4.3784031247869244</c:v>
                </c:pt>
                <c:pt idx="20">
                  <c:v>4.3289187586479541</c:v>
                </c:pt>
                <c:pt idx="21">
                  <c:v>3.6810822209899015</c:v>
                </c:pt>
                <c:pt idx="22">
                  <c:v>3.0644765873988726</c:v>
                </c:pt>
                <c:pt idx="23">
                  <c:v>2.7999819356004152</c:v>
                </c:pt>
                <c:pt idx="24">
                  <c:v>2.4142926122646067</c:v>
                </c:pt>
              </c:numCache>
            </c:numRef>
          </c:val>
          <c:smooth val="0"/>
          <c:extLst>
            <c:ext xmlns:c16="http://schemas.microsoft.com/office/drawing/2014/chart" uri="{C3380CC4-5D6E-409C-BE32-E72D297353CC}">
              <c16:uniqueId val="{00000000-B0F3-4837-8F78-0DEE6F5DBB95}"/>
            </c:ext>
          </c:extLst>
        </c:ser>
        <c:ser>
          <c:idx val="0"/>
          <c:order val="1"/>
          <c:tx>
            <c:v>Regeringen</c:v>
          </c:tx>
          <c:spPr>
            <a:ln w="28575" cap="rnd">
              <a:solidFill>
                <a:schemeClr val="bg2">
                  <a:lumMod val="25000"/>
                </a:schemeClr>
              </a:solidFill>
              <a:round/>
            </a:ln>
            <a:effectLst/>
          </c:spPr>
          <c:marker>
            <c:symbol val="none"/>
          </c:marker>
          <c:cat>
            <c:numRef>
              <c:f>Blad1!$D$2:$AB$2</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Blad1!$D$8:$AB$8</c:f>
              <c:numCache>
                <c:formatCode>General</c:formatCode>
                <c:ptCount val="25"/>
                <c:pt idx="0">
                  <c:v>1.8933218933218934</c:v>
                </c:pt>
                <c:pt idx="1">
                  <c:v>2.1050707315015327</c:v>
                </c:pt>
                <c:pt idx="2">
                  <c:v>2.101204280644891</c:v>
                </c:pt>
                <c:pt idx="3">
                  <c:v>2.3947243412412331</c:v>
                </c:pt>
                <c:pt idx="4">
                  <c:v>2.6915310285009553</c:v>
                </c:pt>
                <c:pt idx="5">
                  <c:v>3.037940379403794</c:v>
                </c:pt>
                <c:pt idx="6">
                  <c:v>3.397387427319897</c:v>
                </c:pt>
                <c:pt idx="7">
                  <c:v>3.4340623953422469</c:v>
                </c:pt>
                <c:pt idx="8">
                  <c:v>3.6148666283864905</c:v>
                </c:pt>
                <c:pt idx="9">
                  <c:v>3.9163913529824921</c:v>
                </c:pt>
                <c:pt idx="10">
                  <c:v>3.3332510917569267</c:v>
                </c:pt>
                <c:pt idx="11">
                  <c:v>3.7631822386679001</c:v>
                </c:pt>
                <c:pt idx="12">
                  <c:v>3.7053363700928177</c:v>
                </c:pt>
                <c:pt idx="13">
                  <c:v>3.7377017747792016</c:v>
                </c:pt>
                <c:pt idx="14">
                  <c:v>3.7151594378822539</c:v>
                </c:pt>
                <c:pt idx="15">
                  <c:v>3.3685037602424512</c:v>
                </c:pt>
                <c:pt idx="16">
                  <c:v>3.4936572199730094</c:v>
                </c:pt>
                <c:pt idx="17">
                  <c:v>3.6028707641298645</c:v>
                </c:pt>
                <c:pt idx="18">
                  <c:v>4.2968086275999244</c:v>
                </c:pt>
                <c:pt idx="19">
                  <c:v>4.3784031247869244</c:v>
                </c:pt>
                <c:pt idx="20">
                  <c:v>4.3289187586479541</c:v>
                </c:pt>
                <c:pt idx="21">
                  <c:v>3.6810822209899015</c:v>
                </c:pt>
                <c:pt idx="22">
                  <c:v>4.4242286274647151</c:v>
                </c:pt>
                <c:pt idx="23">
                  <c:v>4.7166147315178604</c:v>
                </c:pt>
                <c:pt idx="24">
                  <c:v>4.8285852245292133</c:v>
                </c:pt>
              </c:numCache>
            </c:numRef>
          </c:val>
          <c:smooth val="0"/>
          <c:extLst>
            <c:ext xmlns:c16="http://schemas.microsoft.com/office/drawing/2014/chart" uri="{C3380CC4-5D6E-409C-BE32-E72D297353CC}">
              <c16:uniqueId val="{00000001-B0F3-4837-8F78-0DEE6F5DBB95}"/>
            </c:ext>
          </c:extLst>
        </c:ser>
        <c:dLbls>
          <c:showLegendKey val="0"/>
          <c:showVal val="0"/>
          <c:showCatName val="0"/>
          <c:showSerName val="0"/>
          <c:showPercent val="0"/>
          <c:showBubbleSize val="0"/>
        </c:dLbls>
        <c:smooth val="0"/>
        <c:axId val="421949800"/>
        <c:axId val="421947832"/>
      </c:lineChart>
      <c:catAx>
        <c:axId val="42194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1947832"/>
        <c:crosses val="autoZero"/>
        <c:auto val="1"/>
        <c:lblAlgn val="ctr"/>
        <c:lblOffset val="100"/>
        <c:noMultiLvlLbl val="0"/>
      </c:catAx>
      <c:valAx>
        <c:axId val="421947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1949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lineChart>
        <c:grouping val="standard"/>
        <c:varyColors val="0"/>
        <c:ser>
          <c:idx val="0"/>
          <c:order val="0"/>
          <c:tx>
            <c:strRef>
              <c:f>'HB21 (1)'!$B$2</c:f>
              <c:strCache>
                <c:ptCount val="1"/>
                <c:pt idx="0">
                  <c:v>EU genomsnitt</c:v>
                </c:pt>
              </c:strCache>
            </c:strRef>
          </c:tx>
          <c:spPr>
            <a:ln w="31750" cap="rnd">
              <a:solidFill>
                <a:schemeClr val="bg1">
                  <a:lumMod val="75000"/>
                </a:schemeClr>
              </a:solidFill>
              <a:round/>
            </a:ln>
            <a:effectLst/>
          </c:spPr>
          <c:marker>
            <c:symbol val="none"/>
          </c:marker>
          <c:cat>
            <c:strRef>
              <c:f>'HB21 (1)'!$A$3:$A$93</c:f>
              <c:strCache>
                <c:ptCount val="91"/>
                <c:pt idx="0">
                  <c:v>2014</c:v>
                </c:pt>
                <c:pt idx="1">
                  <c:v>2014-02</c:v>
                </c:pt>
                <c:pt idx="2">
                  <c:v>2014-03</c:v>
                </c:pt>
                <c:pt idx="3">
                  <c:v>2014-04</c:v>
                </c:pt>
                <c:pt idx="4">
                  <c:v>2014-05</c:v>
                </c:pt>
                <c:pt idx="5">
                  <c:v>2014-06</c:v>
                </c:pt>
                <c:pt idx="6">
                  <c:v>2014-07</c:v>
                </c:pt>
                <c:pt idx="7">
                  <c:v>2014-08</c:v>
                </c:pt>
                <c:pt idx="8">
                  <c:v>2014-09</c:v>
                </c:pt>
                <c:pt idx="9">
                  <c:v>2014-10</c:v>
                </c:pt>
                <c:pt idx="10">
                  <c:v>2014-11</c:v>
                </c:pt>
                <c:pt idx="11">
                  <c:v>2014-12</c:v>
                </c:pt>
                <c:pt idx="12">
                  <c:v>2015</c:v>
                </c:pt>
                <c:pt idx="13">
                  <c:v>2015-02</c:v>
                </c:pt>
                <c:pt idx="14">
                  <c:v>2015-03</c:v>
                </c:pt>
                <c:pt idx="15">
                  <c:v>2015-04</c:v>
                </c:pt>
                <c:pt idx="16">
                  <c:v>2015-05</c:v>
                </c:pt>
                <c:pt idx="17">
                  <c:v>2015-06</c:v>
                </c:pt>
                <c:pt idx="18">
                  <c:v>2015-07</c:v>
                </c:pt>
                <c:pt idx="19">
                  <c:v>2015-08</c:v>
                </c:pt>
                <c:pt idx="20">
                  <c:v>2015-09</c:v>
                </c:pt>
                <c:pt idx="21">
                  <c:v>2015-10</c:v>
                </c:pt>
                <c:pt idx="22">
                  <c:v>2015-11</c:v>
                </c:pt>
                <c:pt idx="23">
                  <c:v>2015-12</c:v>
                </c:pt>
                <c:pt idx="24">
                  <c:v>2016</c:v>
                </c:pt>
                <c:pt idx="25">
                  <c:v>2016-02</c:v>
                </c:pt>
                <c:pt idx="26">
                  <c:v>2016-03</c:v>
                </c:pt>
                <c:pt idx="27">
                  <c:v>2016-04</c:v>
                </c:pt>
                <c:pt idx="28">
                  <c:v>2016-05</c:v>
                </c:pt>
                <c:pt idx="29">
                  <c:v>2016-06</c:v>
                </c:pt>
                <c:pt idx="30">
                  <c:v>2016-07</c:v>
                </c:pt>
                <c:pt idx="31">
                  <c:v>2016-08</c:v>
                </c:pt>
                <c:pt idx="32">
                  <c:v>2016-09</c:v>
                </c:pt>
                <c:pt idx="33">
                  <c:v>2016-10</c:v>
                </c:pt>
                <c:pt idx="34">
                  <c:v>2016-11</c:v>
                </c:pt>
                <c:pt idx="35">
                  <c:v>2016-12</c:v>
                </c:pt>
                <c:pt idx="36">
                  <c:v>2017</c:v>
                </c:pt>
                <c:pt idx="37">
                  <c:v>2017-02</c:v>
                </c:pt>
                <c:pt idx="38">
                  <c:v>2017-03</c:v>
                </c:pt>
                <c:pt idx="39">
                  <c:v>2017-04</c:v>
                </c:pt>
                <c:pt idx="40">
                  <c:v>2017-05</c:v>
                </c:pt>
                <c:pt idx="41">
                  <c:v>2017-06</c:v>
                </c:pt>
                <c:pt idx="42">
                  <c:v>2017-07</c:v>
                </c:pt>
                <c:pt idx="43">
                  <c:v>2017-08</c:v>
                </c:pt>
                <c:pt idx="44">
                  <c:v>2017-09</c:v>
                </c:pt>
                <c:pt idx="45">
                  <c:v>2017-10</c:v>
                </c:pt>
                <c:pt idx="46">
                  <c:v>2017-11</c:v>
                </c:pt>
                <c:pt idx="47">
                  <c:v>2017-12</c:v>
                </c:pt>
                <c:pt idx="48">
                  <c:v>2018</c:v>
                </c:pt>
                <c:pt idx="49">
                  <c:v>2018-02</c:v>
                </c:pt>
                <c:pt idx="50">
                  <c:v>2018-03</c:v>
                </c:pt>
                <c:pt idx="51">
                  <c:v>2018-04</c:v>
                </c:pt>
                <c:pt idx="52">
                  <c:v>2018-05</c:v>
                </c:pt>
                <c:pt idx="53">
                  <c:v>2018-06</c:v>
                </c:pt>
                <c:pt idx="54">
                  <c:v>2018-07</c:v>
                </c:pt>
                <c:pt idx="55">
                  <c:v>2018-08</c:v>
                </c:pt>
                <c:pt idx="56">
                  <c:v>2018-09</c:v>
                </c:pt>
                <c:pt idx="57">
                  <c:v>2018-10</c:v>
                </c:pt>
                <c:pt idx="58">
                  <c:v>2018-11</c:v>
                </c:pt>
                <c:pt idx="59">
                  <c:v>2018-12</c:v>
                </c:pt>
                <c:pt idx="60">
                  <c:v>2019</c:v>
                </c:pt>
                <c:pt idx="61">
                  <c:v>2019-02</c:v>
                </c:pt>
                <c:pt idx="62">
                  <c:v>2019-03</c:v>
                </c:pt>
                <c:pt idx="63">
                  <c:v>2019-04</c:v>
                </c:pt>
                <c:pt idx="64">
                  <c:v>2019-05</c:v>
                </c:pt>
                <c:pt idx="65">
                  <c:v>2019-06</c:v>
                </c:pt>
                <c:pt idx="66">
                  <c:v>2019-07</c:v>
                </c:pt>
                <c:pt idx="67">
                  <c:v>2019-08</c:v>
                </c:pt>
                <c:pt idx="68">
                  <c:v>2019-09</c:v>
                </c:pt>
                <c:pt idx="69">
                  <c:v>2019-10</c:v>
                </c:pt>
                <c:pt idx="70">
                  <c:v>2019-11</c:v>
                </c:pt>
                <c:pt idx="71">
                  <c:v>2019-12</c:v>
                </c:pt>
                <c:pt idx="72">
                  <c:v>2020</c:v>
                </c:pt>
                <c:pt idx="73">
                  <c:v>2020-02</c:v>
                </c:pt>
                <c:pt idx="74">
                  <c:v>2020-03</c:v>
                </c:pt>
                <c:pt idx="75">
                  <c:v>2020-04</c:v>
                </c:pt>
                <c:pt idx="76">
                  <c:v>2020-05</c:v>
                </c:pt>
                <c:pt idx="77">
                  <c:v>2020-06</c:v>
                </c:pt>
                <c:pt idx="78">
                  <c:v>2020-07</c:v>
                </c:pt>
                <c:pt idx="79">
                  <c:v>2020-08</c:v>
                </c:pt>
                <c:pt idx="80">
                  <c:v>2020-09</c:v>
                </c:pt>
                <c:pt idx="81">
                  <c:v>2020-10</c:v>
                </c:pt>
                <c:pt idx="82">
                  <c:v>2020-11</c:v>
                </c:pt>
                <c:pt idx="83">
                  <c:v>2020-12</c:v>
                </c:pt>
                <c:pt idx="84">
                  <c:v>2021</c:v>
                </c:pt>
                <c:pt idx="85">
                  <c:v>2021-02</c:v>
                </c:pt>
                <c:pt idx="86">
                  <c:v>2021-03</c:v>
                </c:pt>
                <c:pt idx="87">
                  <c:v>2021-04</c:v>
                </c:pt>
                <c:pt idx="88">
                  <c:v>2021-05</c:v>
                </c:pt>
                <c:pt idx="89">
                  <c:v>2021-06</c:v>
                </c:pt>
                <c:pt idx="90">
                  <c:v>2021-07</c:v>
                </c:pt>
              </c:strCache>
            </c:strRef>
          </c:cat>
          <c:val>
            <c:numRef>
              <c:f>'HB21 (1)'!$B$3:$B$93</c:f>
              <c:numCache>
                <c:formatCode>General</c:formatCode>
                <c:ptCount val="91"/>
                <c:pt idx="0">
                  <c:v>11.3</c:v>
                </c:pt>
                <c:pt idx="1">
                  <c:v>11.2</c:v>
                </c:pt>
                <c:pt idx="2">
                  <c:v>11.1</c:v>
                </c:pt>
                <c:pt idx="3">
                  <c:v>11</c:v>
                </c:pt>
                <c:pt idx="4">
                  <c:v>10.9</c:v>
                </c:pt>
                <c:pt idx="5">
                  <c:v>10.8</c:v>
                </c:pt>
                <c:pt idx="6">
                  <c:v>10.8</c:v>
                </c:pt>
                <c:pt idx="7">
                  <c:v>10.7</c:v>
                </c:pt>
                <c:pt idx="8">
                  <c:v>10.7</c:v>
                </c:pt>
                <c:pt idx="9">
                  <c:v>10.7</c:v>
                </c:pt>
                <c:pt idx="10">
                  <c:v>10.7</c:v>
                </c:pt>
                <c:pt idx="11">
                  <c:v>10.6</c:v>
                </c:pt>
                <c:pt idx="12">
                  <c:v>10.5</c:v>
                </c:pt>
                <c:pt idx="13">
                  <c:v>10.5</c:v>
                </c:pt>
                <c:pt idx="14">
                  <c:v>10.4</c:v>
                </c:pt>
                <c:pt idx="15">
                  <c:v>10.3</c:v>
                </c:pt>
                <c:pt idx="16">
                  <c:v>10.199999999999999</c:v>
                </c:pt>
                <c:pt idx="17">
                  <c:v>10.199999999999999</c:v>
                </c:pt>
                <c:pt idx="18">
                  <c:v>10</c:v>
                </c:pt>
                <c:pt idx="19">
                  <c:v>9.9</c:v>
                </c:pt>
                <c:pt idx="20">
                  <c:v>9.8000000000000007</c:v>
                </c:pt>
                <c:pt idx="21">
                  <c:v>9.8000000000000007</c:v>
                </c:pt>
                <c:pt idx="22">
                  <c:v>9.6999999999999993</c:v>
                </c:pt>
                <c:pt idx="23">
                  <c:v>9.6</c:v>
                </c:pt>
                <c:pt idx="24">
                  <c:v>9.5</c:v>
                </c:pt>
                <c:pt idx="25">
                  <c:v>9.5</c:v>
                </c:pt>
                <c:pt idx="26">
                  <c:v>9.4</c:v>
                </c:pt>
                <c:pt idx="27">
                  <c:v>9.3000000000000007</c:v>
                </c:pt>
                <c:pt idx="28">
                  <c:v>9.3000000000000007</c:v>
                </c:pt>
                <c:pt idx="29">
                  <c:v>9.1999999999999993</c:v>
                </c:pt>
                <c:pt idx="30">
                  <c:v>9.1</c:v>
                </c:pt>
                <c:pt idx="31">
                  <c:v>9</c:v>
                </c:pt>
                <c:pt idx="32">
                  <c:v>9</c:v>
                </c:pt>
                <c:pt idx="33">
                  <c:v>8.9</c:v>
                </c:pt>
                <c:pt idx="34">
                  <c:v>8.8000000000000007</c:v>
                </c:pt>
                <c:pt idx="35">
                  <c:v>8.6999999999999993</c:v>
                </c:pt>
                <c:pt idx="36">
                  <c:v>8.6</c:v>
                </c:pt>
                <c:pt idx="37">
                  <c:v>8.5</c:v>
                </c:pt>
                <c:pt idx="38">
                  <c:v>8.5</c:v>
                </c:pt>
                <c:pt idx="39">
                  <c:v>8.3000000000000007</c:v>
                </c:pt>
                <c:pt idx="40">
                  <c:v>8.3000000000000007</c:v>
                </c:pt>
                <c:pt idx="41">
                  <c:v>8.1999999999999993</c:v>
                </c:pt>
                <c:pt idx="42">
                  <c:v>8.1</c:v>
                </c:pt>
                <c:pt idx="43">
                  <c:v>8.1</c:v>
                </c:pt>
                <c:pt idx="44">
                  <c:v>8</c:v>
                </c:pt>
                <c:pt idx="45">
                  <c:v>7.9</c:v>
                </c:pt>
                <c:pt idx="46">
                  <c:v>7.8</c:v>
                </c:pt>
                <c:pt idx="47">
                  <c:v>7.8</c:v>
                </c:pt>
                <c:pt idx="48">
                  <c:v>7.7</c:v>
                </c:pt>
                <c:pt idx="49">
                  <c:v>7.6</c:v>
                </c:pt>
                <c:pt idx="50">
                  <c:v>7.5</c:v>
                </c:pt>
                <c:pt idx="51">
                  <c:v>7.5</c:v>
                </c:pt>
                <c:pt idx="52">
                  <c:v>7.3</c:v>
                </c:pt>
                <c:pt idx="53">
                  <c:v>7.3</c:v>
                </c:pt>
                <c:pt idx="54">
                  <c:v>7.2</c:v>
                </c:pt>
                <c:pt idx="55">
                  <c:v>7.2</c:v>
                </c:pt>
                <c:pt idx="56">
                  <c:v>7.1</c:v>
                </c:pt>
                <c:pt idx="57">
                  <c:v>7.1</c:v>
                </c:pt>
                <c:pt idx="58">
                  <c:v>7.1</c:v>
                </c:pt>
                <c:pt idx="59">
                  <c:v>7</c:v>
                </c:pt>
                <c:pt idx="60">
                  <c:v>7</c:v>
                </c:pt>
                <c:pt idx="61">
                  <c:v>7</c:v>
                </c:pt>
                <c:pt idx="62">
                  <c:v>6.9</c:v>
                </c:pt>
                <c:pt idx="63">
                  <c:v>6.8</c:v>
                </c:pt>
                <c:pt idx="64">
                  <c:v>6.8</c:v>
                </c:pt>
                <c:pt idx="65">
                  <c:v>6.6</c:v>
                </c:pt>
                <c:pt idx="66">
                  <c:v>6.7</c:v>
                </c:pt>
                <c:pt idx="67">
                  <c:v>6.6</c:v>
                </c:pt>
                <c:pt idx="68">
                  <c:v>6.6</c:v>
                </c:pt>
                <c:pt idx="69">
                  <c:v>6.6</c:v>
                </c:pt>
                <c:pt idx="70">
                  <c:v>6.6</c:v>
                </c:pt>
                <c:pt idx="71">
                  <c:v>6.6</c:v>
                </c:pt>
                <c:pt idx="72">
                  <c:v>6.6</c:v>
                </c:pt>
                <c:pt idx="73">
                  <c:v>6.6</c:v>
                </c:pt>
                <c:pt idx="74">
                  <c:v>6.3</c:v>
                </c:pt>
                <c:pt idx="75">
                  <c:v>6.6</c:v>
                </c:pt>
                <c:pt idx="76">
                  <c:v>6.8</c:v>
                </c:pt>
                <c:pt idx="77">
                  <c:v>7.3</c:v>
                </c:pt>
                <c:pt idx="78">
                  <c:v>7.6</c:v>
                </c:pt>
                <c:pt idx="79">
                  <c:v>7.7</c:v>
                </c:pt>
                <c:pt idx="80">
                  <c:v>7.7</c:v>
                </c:pt>
                <c:pt idx="81">
                  <c:v>7.5</c:v>
                </c:pt>
                <c:pt idx="82">
                  <c:v>7.3</c:v>
                </c:pt>
                <c:pt idx="83">
                  <c:v>7.4</c:v>
                </c:pt>
                <c:pt idx="84">
                  <c:v>7.4</c:v>
                </c:pt>
                <c:pt idx="85">
                  <c:v>7.4</c:v>
                </c:pt>
                <c:pt idx="86">
                  <c:v>7.4</c:v>
                </c:pt>
                <c:pt idx="87">
                  <c:v>7.5</c:v>
                </c:pt>
                <c:pt idx="88">
                  <c:v>7.3</c:v>
                </c:pt>
                <c:pt idx="89">
                  <c:v>7.1</c:v>
                </c:pt>
                <c:pt idx="90">
                  <c:v>6.9</c:v>
                </c:pt>
              </c:numCache>
            </c:numRef>
          </c:val>
          <c:smooth val="0"/>
          <c:extLst>
            <c:ext xmlns:c16="http://schemas.microsoft.com/office/drawing/2014/chart" uri="{C3380CC4-5D6E-409C-BE32-E72D297353CC}">
              <c16:uniqueId val="{00000000-32C8-4B0A-BC32-F566E3C2C59F}"/>
            </c:ext>
          </c:extLst>
        </c:ser>
        <c:ser>
          <c:idx val="1"/>
          <c:order val="1"/>
          <c:tx>
            <c:v>Sverige</c:v>
          </c:tx>
          <c:spPr>
            <a:ln w="31750" cap="rnd">
              <a:solidFill>
                <a:schemeClr val="bg2">
                  <a:lumMod val="25000"/>
                </a:schemeClr>
              </a:solidFill>
              <a:round/>
            </a:ln>
            <a:effectLst/>
          </c:spPr>
          <c:marker>
            <c:symbol val="none"/>
          </c:marker>
          <c:val>
            <c:numRef>
              <c:f>'HB21 (1)'!$D$3:$D$93</c:f>
              <c:numCache>
                <c:formatCode>0.0</c:formatCode>
                <c:ptCount val="91"/>
                <c:pt idx="0">
                  <c:v>8.6</c:v>
                </c:pt>
                <c:pt idx="1">
                  <c:v>8.5</c:v>
                </c:pt>
                <c:pt idx="2">
                  <c:v>8.6</c:v>
                </c:pt>
                <c:pt idx="3">
                  <c:v>8.6999999999999993</c:v>
                </c:pt>
                <c:pt idx="4">
                  <c:v>8</c:v>
                </c:pt>
                <c:pt idx="5">
                  <c:v>9.1999999999999993</c:v>
                </c:pt>
                <c:pt idx="6">
                  <c:v>7.1</c:v>
                </c:pt>
                <c:pt idx="7">
                  <c:v>7.4</c:v>
                </c:pt>
                <c:pt idx="8">
                  <c:v>7.2</c:v>
                </c:pt>
                <c:pt idx="9">
                  <c:v>7.5</c:v>
                </c:pt>
                <c:pt idx="10">
                  <c:v>7.4</c:v>
                </c:pt>
                <c:pt idx="11">
                  <c:v>7</c:v>
                </c:pt>
                <c:pt idx="12">
                  <c:v>8.4</c:v>
                </c:pt>
                <c:pt idx="13">
                  <c:v>8.4</c:v>
                </c:pt>
                <c:pt idx="14">
                  <c:v>8</c:v>
                </c:pt>
                <c:pt idx="15">
                  <c:v>8.3000000000000007</c:v>
                </c:pt>
                <c:pt idx="16">
                  <c:v>8</c:v>
                </c:pt>
                <c:pt idx="17">
                  <c:v>8.5</c:v>
                </c:pt>
                <c:pt idx="18">
                  <c:v>6.5</c:v>
                </c:pt>
                <c:pt idx="19">
                  <c:v>6.4</c:v>
                </c:pt>
                <c:pt idx="20">
                  <c:v>6.7</c:v>
                </c:pt>
                <c:pt idx="21">
                  <c:v>6.7</c:v>
                </c:pt>
                <c:pt idx="22">
                  <c:v>6.2</c:v>
                </c:pt>
                <c:pt idx="23">
                  <c:v>6.7</c:v>
                </c:pt>
                <c:pt idx="24">
                  <c:v>7.5</c:v>
                </c:pt>
                <c:pt idx="25">
                  <c:v>7.6</c:v>
                </c:pt>
                <c:pt idx="26">
                  <c:v>7.7</c:v>
                </c:pt>
                <c:pt idx="27">
                  <c:v>7.3</c:v>
                </c:pt>
                <c:pt idx="28">
                  <c:v>7.6</c:v>
                </c:pt>
                <c:pt idx="29">
                  <c:v>7.6</c:v>
                </c:pt>
                <c:pt idx="30">
                  <c:v>6.3</c:v>
                </c:pt>
                <c:pt idx="31">
                  <c:v>6.6</c:v>
                </c:pt>
                <c:pt idx="32">
                  <c:v>6.1</c:v>
                </c:pt>
                <c:pt idx="33">
                  <c:v>6.4</c:v>
                </c:pt>
                <c:pt idx="34">
                  <c:v>6.2</c:v>
                </c:pt>
                <c:pt idx="35">
                  <c:v>6.5</c:v>
                </c:pt>
                <c:pt idx="36">
                  <c:v>7.3</c:v>
                </c:pt>
                <c:pt idx="37">
                  <c:v>7.4</c:v>
                </c:pt>
                <c:pt idx="38">
                  <c:v>6.8</c:v>
                </c:pt>
                <c:pt idx="39">
                  <c:v>7.2</c:v>
                </c:pt>
                <c:pt idx="40">
                  <c:v>7.2</c:v>
                </c:pt>
                <c:pt idx="41">
                  <c:v>7.4</c:v>
                </c:pt>
                <c:pt idx="42">
                  <c:v>6.6</c:v>
                </c:pt>
                <c:pt idx="43">
                  <c:v>6</c:v>
                </c:pt>
                <c:pt idx="44">
                  <c:v>6.2</c:v>
                </c:pt>
                <c:pt idx="45">
                  <c:v>6.3</c:v>
                </c:pt>
                <c:pt idx="46">
                  <c:v>5.8</c:v>
                </c:pt>
                <c:pt idx="47">
                  <c:v>6</c:v>
                </c:pt>
                <c:pt idx="48">
                  <c:v>7</c:v>
                </c:pt>
                <c:pt idx="49">
                  <c:v>6.3</c:v>
                </c:pt>
                <c:pt idx="50">
                  <c:v>6.5</c:v>
                </c:pt>
                <c:pt idx="51">
                  <c:v>6.8</c:v>
                </c:pt>
                <c:pt idx="52">
                  <c:v>6.5</c:v>
                </c:pt>
                <c:pt idx="53">
                  <c:v>7.2</c:v>
                </c:pt>
                <c:pt idx="54">
                  <c:v>6.2</c:v>
                </c:pt>
                <c:pt idx="55">
                  <c:v>6</c:v>
                </c:pt>
                <c:pt idx="56">
                  <c:v>5.8</c:v>
                </c:pt>
                <c:pt idx="57">
                  <c:v>5.7</c:v>
                </c:pt>
                <c:pt idx="58">
                  <c:v>5.8</c:v>
                </c:pt>
                <c:pt idx="59">
                  <c:v>6.1</c:v>
                </c:pt>
                <c:pt idx="60">
                  <c:v>6.5</c:v>
                </c:pt>
                <c:pt idx="61">
                  <c:v>7.3</c:v>
                </c:pt>
                <c:pt idx="62">
                  <c:v>7.7</c:v>
                </c:pt>
                <c:pt idx="63">
                  <c:v>6.8</c:v>
                </c:pt>
                <c:pt idx="64">
                  <c:v>7.1</c:v>
                </c:pt>
                <c:pt idx="65">
                  <c:v>7.2</c:v>
                </c:pt>
                <c:pt idx="66">
                  <c:v>6.9</c:v>
                </c:pt>
                <c:pt idx="67">
                  <c:v>6.9</c:v>
                </c:pt>
                <c:pt idx="68">
                  <c:v>6</c:v>
                </c:pt>
                <c:pt idx="69">
                  <c:v>6</c:v>
                </c:pt>
                <c:pt idx="70">
                  <c:v>6.8</c:v>
                </c:pt>
                <c:pt idx="71">
                  <c:v>6</c:v>
                </c:pt>
                <c:pt idx="72">
                  <c:v>7.5</c:v>
                </c:pt>
                <c:pt idx="73">
                  <c:v>8.1999999999999993</c:v>
                </c:pt>
                <c:pt idx="74">
                  <c:v>7.1</c:v>
                </c:pt>
                <c:pt idx="75">
                  <c:v>8.1999999999999993</c:v>
                </c:pt>
                <c:pt idx="76">
                  <c:v>9</c:v>
                </c:pt>
                <c:pt idx="77">
                  <c:v>9.8000000000000007</c:v>
                </c:pt>
                <c:pt idx="78">
                  <c:v>8.9</c:v>
                </c:pt>
                <c:pt idx="79">
                  <c:v>8.8000000000000007</c:v>
                </c:pt>
                <c:pt idx="80">
                  <c:v>8.3000000000000007</c:v>
                </c:pt>
                <c:pt idx="81">
                  <c:v>7.8</c:v>
                </c:pt>
                <c:pt idx="82">
                  <c:v>7.7</c:v>
                </c:pt>
                <c:pt idx="83">
                  <c:v>8.1999999999999993</c:v>
                </c:pt>
                <c:pt idx="84">
                  <c:v>9.3000000000000007</c:v>
                </c:pt>
                <c:pt idx="85">
                  <c:v>9.6999999999999993</c:v>
                </c:pt>
                <c:pt idx="86">
                  <c:v>10</c:v>
                </c:pt>
                <c:pt idx="87">
                  <c:v>9.4</c:v>
                </c:pt>
                <c:pt idx="88">
                  <c:v>9.8000000000000007</c:v>
                </c:pt>
                <c:pt idx="89">
                  <c:v>10.3</c:v>
                </c:pt>
                <c:pt idx="90">
                  <c:v>8</c:v>
                </c:pt>
              </c:numCache>
            </c:numRef>
          </c:val>
          <c:smooth val="0"/>
          <c:extLst>
            <c:ext xmlns:c16="http://schemas.microsoft.com/office/drawing/2014/chart" uri="{C3380CC4-5D6E-409C-BE32-E72D297353CC}">
              <c16:uniqueId val="{00000001-32C8-4B0A-BC32-F566E3C2C59F}"/>
            </c:ext>
          </c:extLst>
        </c:ser>
        <c:dLbls>
          <c:showLegendKey val="0"/>
          <c:showVal val="0"/>
          <c:showCatName val="0"/>
          <c:showSerName val="0"/>
          <c:showPercent val="0"/>
          <c:showBubbleSize val="0"/>
        </c:dLbls>
        <c:smooth val="0"/>
        <c:axId val="669753792"/>
        <c:axId val="669756744"/>
      </c:lineChart>
      <c:dateAx>
        <c:axId val="669753792"/>
        <c:scaling>
          <c:orientation val="minMax"/>
        </c:scaling>
        <c:delete val="0"/>
        <c:axPos val="b"/>
        <c:numFmt formatCode="yyyy;@" sourceLinked="0"/>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669756744"/>
        <c:crosses val="autoZero"/>
        <c:auto val="0"/>
        <c:lblOffset val="100"/>
        <c:baseTimeUnit val="days"/>
        <c:majorUnit val="12"/>
      </c:dateAx>
      <c:valAx>
        <c:axId val="669756744"/>
        <c:scaling>
          <c:orientation val="minMax"/>
          <c:min val="4"/>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66975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v>Centrala museer</c:v>
          </c:tx>
          <c:spPr>
            <a:solidFill>
              <a:schemeClr val="bg2">
                <a:lumMod val="25000"/>
              </a:schemeClr>
            </a:solidFill>
            <a:ln>
              <a:noFill/>
            </a:ln>
            <a:effectLst/>
          </c:spPr>
          <c:cat>
            <c:strRef>
              <c:f>Kultur!$A$22:$A$39</c:f>
              <c:strCach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strCache>
            </c:strRef>
          </c:cat>
          <c:val>
            <c:numRef>
              <c:f>Kultur!$B$22:$B$39</c:f>
              <c:numCache>
                <c:formatCode>General</c:formatCode>
                <c:ptCount val="18"/>
                <c:pt idx="0">
                  <c:v>4.8231190000000002</c:v>
                </c:pt>
                <c:pt idx="1">
                  <c:v>5.4422490000000003</c:v>
                </c:pt>
                <c:pt idx="2">
                  <c:v>7.6909710000000002</c:v>
                </c:pt>
                <c:pt idx="3">
                  <c:v>7.1146219999999998</c:v>
                </c:pt>
                <c:pt idx="4">
                  <c:v>5.927162</c:v>
                </c:pt>
                <c:pt idx="5">
                  <c:v>6.5317829999999999</c:v>
                </c:pt>
                <c:pt idx="6">
                  <c:v>6.6545079999999999</c:v>
                </c:pt>
                <c:pt idx="7">
                  <c:v>6.9645299999999999</c:v>
                </c:pt>
                <c:pt idx="8">
                  <c:v>7.3129080000000002</c:v>
                </c:pt>
                <c:pt idx="9">
                  <c:v>6.3993960000000003</c:v>
                </c:pt>
                <c:pt idx="10">
                  <c:v>6.319115</c:v>
                </c:pt>
                <c:pt idx="11">
                  <c:v>6.856268</c:v>
                </c:pt>
                <c:pt idx="12">
                  <c:v>6.6880290000000002</c:v>
                </c:pt>
                <c:pt idx="13">
                  <c:v>7.7569319999999999</c:v>
                </c:pt>
                <c:pt idx="14">
                  <c:v>7.6240730000000001</c:v>
                </c:pt>
                <c:pt idx="15">
                  <c:v>7.2710619999999997</c:v>
                </c:pt>
                <c:pt idx="16">
                  <c:v>8.7960759999999993</c:v>
                </c:pt>
                <c:pt idx="17">
                  <c:v>2.9492780000000001</c:v>
                </c:pt>
              </c:numCache>
            </c:numRef>
          </c:val>
          <c:extLst>
            <c:ext xmlns:c16="http://schemas.microsoft.com/office/drawing/2014/chart" uri="{C3380CC4-5D6E-409C-BE32-E72D297353CC}">
              <c16:uniqueId val="{00000000-0CD9-49F0-A5F2-15A551F4765D}"/>
            </c:ext>
          </c:extLst>
        </c:ser>
        <c:ser>
          <c:idx val="1"/>
          <c:order val="1"/>
          <c:tx>
            <c:v>Övriga statliga museer</c:v>
          </c:tx>
          <c:spPr>
            <a:solidFill>
              <a:schemeClr val="bg2">
                <a:lumMod val="50000"/>
              </a:schemeClr>
            </a:solidFill>
            <a:ln>
              <a:noFill/>
            </a:ln>
            <a:effectLst/>
          </c:spPr>
          <c:cat>
            <c:strRef>
              <c:f>Kultur!$A$22:$A$39</c:f>
              <c:strCach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strCache>
            </c:strRef>
          </c:cat>
          <c:val>
            <c:numRef>
              <c:f>Kultur!$C$22:$C$39</c:f>
              <c:numCache>
                <c:formatCode>General</c:formatCode>
                <c:ptCount val="18"/>
                <c:pt idx="0">
                  <c:v>1.829545</c:v>
                </c:pt>
                <c:pt idx="1">
                  <c:v>1.3353379999999999</c:v>
                </c:pt>
                <c:pt idx="2">
                  <c:v>1.490953</c:v>
                </c:pt>
                <c:pt idx="3">
                  <c:v>1.387094</c:v>
                </c:pt>
                <c:pt idx="4">
                  <c:v>1.3956230000000001</c:v>
                </c:pt>
                <c:pt idx="5">
                  <c:v>1.4515370000000001</c:v>
                </c:pt>
                <c:pt idx="6">
                  <c:v>1.4833369999999999</c:v>
                </c:pt>
                <c:pt idx="7">
                  <c:v>1.4946109999999999</c:v>
                </c:pt>
                <c:pt idx="8">
                  <c:v>1.699837</c:v>
                </c:pt>
                <c:pt idx="9">
                  <c:v>1.613062</c:v>
                </c:pt>
                <c:pt idx="10">
                  <c:v>1.8428549999999999</c:v>
                </c:pt>
                <c:pt idx="11">
                  <c:v>1.817499</c:v>
                </c:pt>
                <c:pt idx="12">
                  <c:v>1.895025</c:v>
                </c:pt>
                <c:pt idx="13">
                  <c:v>1.964564</c:v>
                </c:pt>
                <c:pt idx="14">
                  <c:v>1.5675129999999999</c:v>
                </c:pt>
                <c:pt idx="15">
                  <c:v>1.4827520000000001</c:v>
                </c:pt>
                <c:pt idx="16">
                  <c:v>1.4864090000000001</c:v>
                </c:pt>
                <c:pt idx="17">
                  <c:v>0.44166800000000001</c:v>
                </c:pt>
              </c:numCache>
            </c:numRef>
          </c:val>
          <c:extLst>
            <c:ext xmlns:c16="http://schemas.microsoft.com/office/drawing/2014/chart" uri="{C3380CC4-5D6E-409C-BE32-E72D297353CC}">
              <c16:uniqueId val="{00000001-0CD9-49F0-A5F2-15A551F4765D}"/>
            </c:ext>
          </c:extLst>
        </c:ser>
        <c:ser>
          <c:idx val="2"/>
          <c:order val="2"/>
          <c:tx>
            <c:v>Regionala museer</c:v>
          </c:tx>
          <c:spPr>
            <a:solidFill>
              <a:schemeClr val="bg1">
                <a:lumMod val="65000"/>
              </a:schemeClr>
            </a:solidFill>
            <a:ln>
              <a:noFill/>
            </a:ln>
            <a:effectLst/>
          </c:spPr>
          <c:cat>
            <c:strRef>
              <c:f>Kultur!$A$22:$A$39</c:f>
              <c:strCach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strCache>
            </c:strRef>
          </c:cat>
          <c:val>
            <c:numRef>
              <c:f>Kultur!$D$22:$D$39</c:f>
              <c:numCache>
                <c:formatCode>General</c:formatCode>
                <c:ptCount val="18"/>
                <c:pt idx="0">
                  <c:v>3.3593959999999998</c:v>
                </c:pt>
                <c:pt idx="1">
                  <c:v>3.4128660000000002</c:v>
                </c:pt>
                <c:pt idx="2">
                  <c:v>3.36626</c:v>
                </c:pt>
                <c:pt idx="3">
                  <c:v>3.477754</c:v>
                </c:pt>
                <c:pt idx="4">
                  <c:v>3.490043</c:v>
                </c:pt>
                <c:pt idx="5">
                  <c:v>3.5211399999999999</c:v>
                </c:pt>
                <c:pt idx="6">
                  <c:v>3.764815</c:v>
                </c:pt>
                <c:pt idx="7">
                  <c:v>3.9821070000000001</c:v>
                </c:pt>
                <c:pt idx="8">
                  <c:v>3.9281890000000002</c:v>
                </c:pt>
                <c:pt idx="9">
                  <c:v>4.0875409999999999</c:v>
                </c:pt>
                <c:pt idx="10">
                  <c:v>3.7230859999999999</c:v>
                </c:pt>
                <c:pt idx="11">
                  <c:v>3.9641329999999999</c:v>
                </c:pt>
                <c:pt idx="12">
                  <c:v>3.6660840000000001</c:v>
                </c:pt>
                <c:pt idx="13">
                  <c:v>4.0107419999999996</c:v>
                </c:pt>
                <c:pt idx="14">
                  <c:v>3.8689429999999998</c:v>
                </c:pt>
                <c:pt idx="15">
                  <c:v>3.526885</c:v>
                </c:pt>
                <c:pt idx="16">
                  <c:v>3.574659</c:v>
                </c:pt>
                <c:pt idx="17">
                  <c:v>1.5939430000000001</c:v>
                </c:pt>
              </c:numCache>
            </c:numRef>
          </c:val>
          <c:extLst>
            <c:ext xmlns:c16="http://schemas.microsoft.com/office/drawing/2014/chart" uri="{C3380CC4-5D6E-409C-BE32-E72D297353CC}">
              <c16:uniqueId val="{00000002-0CD9-49F0-A5F2-15A551F4765D}"/>
            </c:ext>
          </c:extLst>
        </c:ser>
        <c:ser>
          <c:idx val="3"/>
          <c:order val="3"/>
          <c:tx>
            <c:v>Kommunala museer</c:v>
          </c:tx>
          <c:spPr>
            <a:solidFill>
              <a:schemeClr val="bg1">
                <a:lumMod val="85000"/>
              </a:schemeClr>
            </a:solidFill>
            <a:ln>
              <a:noFill/>
            </a:ln>
            <a:effectLst/>
          </c:spPr>
          <c:cat>
            <c:strRef>
              <c:f>Kultur!$A$22:$A$39</c:f>
              <c:strCache>
                <c:ptCount val="18"/>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strCache>
            </c:strRef>
          </c:cat>
          <c:val>
            <c:numRef>
              <c:f>Kultur!$E$22:$E$39</c:f>
              <c:numCache>
                <c:formatCode>General</c:formatCode>
                <c:ptCount val="18"/>
                <c:pt idx="0">
                  <c:v>4.7156190000000002</c:v>
                </c:pt>
                <c:pt idx="1">
                  <c:v>4.632695</c:v>
                </c:pt>
                <c:pt idx="2">
                  <c:v>5.426024</c:v>
                </c:pt>
                <c:pt idx="3">
                  <c:v>5.4415129999999996</c:v>
                </c:pt>
                <c:pt idx="4">
                  <c:v>5.3890849999999997</c:v>
                </c:pt>
                <c:pt idx="5">
                  <c:v>5.3281539999999996</c:v>
                </c:pt>
                <c:pt idx="6">
                  <c:v>5.7360340000000001</c:v>
                </c:pt>
                <c:pt idx="7">
                  <c:v>5.8198369999999997</c:v>
                </c:pt>
                <c:pt idx="8">
                  <c:v>6.0193760000000003</c:v>
                </c:pt>
                <c:pt idx="9">
                  <c:v>6.0408739999999996</c:v>
                </c:pt>
                <c:pt idx="10">
                  <c:v>6.0015869999999998</c:v>
                </c:pt>
                <c:pt idx="11">
                  <c:v>5.7685649999999997</c:v>
                </c:pt>
                <c:pt idx="12">
                  <c:v>6.4452489999999996</c:v>
                </c:pt>
                <c:pt idx="13">
                  <c:v>6.1485669999999999</c:v>
                </c:pt>
                <c:pt idx="14">
                  <c:v>6.5560739999999997</c:v>
                </c:pt>
                <c:pt idx="15">
                  <c:v>5.7842120000000001</c:v>
                </c:pt>
                <c:pt idx="16">
                  <c:v>5.8124969999999996</c:v>
                </c:pt>
                <c:pt idx="17">
                  <c:v>3.0720429999999999</c:v>
                </c:pt>
              </c:numCache>
            </c:numRef>
          </c:val>
          <c:extLst>
            <c:ext xmlns:c16="http://schemas.microsoft.com/office/drawing/2014/chart" uri="{C3380CC4-5D6E-409C-BE32-E72D297353CC}">
              <c16:uniqueId val="{00000003-0CD9-49F0-A5F2-15A551F4765D}"/>
            </c:ext>
          </c:extLst>
        </c:ser>
        <c:dLbls>
          <c:showLegendKey val="0"/>
          <c:showVal val="0"/>
          <c:showCatName val="0"/>
          <c:showSerName val="0"/>
          <c:showPercent val="0"/>
          <c:showBubbleSize val="0"/>
        </c:dLbls>
        <c:axId val="492583232"/>
        <c:axId val="492584544"/>
      </c:areaChart>
      <c:catAx>
        <c:axId val="4925832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2584544"/>
        <c:crosses val="autoZero"/>
        <c:auto val="1"/>
        <c:lblAlgn val="ctr"/>
        <c:lblOffset val="100"/>
        <c:noMultiLvlLbl val="0"/>
      </c:catAx>
      <c:valAx>
        <c:axId val="49258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25832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Klimat!$B$2</c:f>
              <c:strCache>
                <c:ptCount val="1"/>
                <c:pt idx="0">
                  <c:v>EU och Storbritannien</c:v>
                </c:pt>
              </c:strCache>
            </c:strRef>
          </c:tx>
          <c:spPr>
            <a:ln w="28575" cap="rnd">
              <a:solidFill>
                <a:schemeClr val="accent1"/>
              </a:solidFill>
              <a:round/>
            </a:ln>
            <a:effectLst/>
          </c:spPr>
          <c:marker>
            <c:symbol val="none"/>
          </c:marker>
          <c:cat>
            <c:strRef>
              <c:f>Klimat!$A$3:$A$52</c:f>
              <c:strCache>
                <c:ptCount val="50"/>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strCache>
            </c:strRef>
          </c:cat>
          <c:val>
            <c:numRef>
              <c:f>Klimat!$B$3:$B$52</c:f>
              <c:numCache>
                <c:formatCode>0</c:formatCode>
                <c:ptCount val="50"/>
                <c:pt idx="0">
                  <c:v>4200.7370000000001</c:v>
                </c:pt>
                <c:pt idx="1">
                  <c:v>4205.3890000000001</c:v>
                </c:pt>
                <c:pt idx="2">
                  <c:v>4327.9579999999996</c:v>
                </c:pt>
                <c:pt idx="3">
                  <c:v>4547.8410000000003</c:v>
                </c:pt>
                <c:pt idx="4">
                  <c:v>4448.5349999999999</c:v>
                </c:pt>
                <c:pt idx="5">
                  <c:v>4338.2659999999996</c:v>
                </c:pt>
                <c:pt idx="6">
                  <c:v>4595.5450000000001</c:v>
                </c:pt>
                <c:pt idx="7">
                  <c:v>4590.2539999999999</c:v>
                </c:pt>
                <c:pt idx="8">
                  <c:v>4726.8530000000001</c:v>
                </c:pt>
                <c:pt idx="9">
                  <c:v>4909.4989999999998</c:v>
                </c:pt>
                <c:pt idx="10">
                  <c:v>4765.0119999999997</c:v>
                </c:pt>
                <c:pt idx="11">
                  <c:v>4568.3</c:v>
                </c:pt>
                <c:pt idx="12">
                  <c:v>4453.6120000000001</c:v>
                </c:pt>
                <c:pt idx="13">
                  <c:v>4421.8710000000001</c:v>
                </c:pt>
                <c:pt idx="14">
                  <c:v>4434.7160000000003</c:v>
                </c:pt>
                <c:pt idx="15">
                  <c:v>4476.7610000000004</c:v>
                </c:pt>
                <c:pt idx="16">
                  <c:v>4497.6360000000004</c:v>
                </c:pt>
                <c:pt idx="17">
                  <c:v>4545.259</c:v>
                </c:pt>
                <c:pt idx="18">
                  <c:v>4539.893</c:v>
                </c:pt>
                <c:pt idx="19">
                  <c:v>4538.51</c:v>
                </c:pt>
                <c:pt idx="20">
                  <c:v>4408.7259999999997</c:v>
                </c:pt>
                <c:pt idx="21">
                  <c:v>4359.4539999999997</c:v>
                </c:pt>
                <c:pt idx="22">
                  <c:v>4203.72</c:v>
                </c:pt>
                <c:pt idx="23">
                  <c:v>4120.5590000000002</c:v>
                </c:pt>
                <c:pt idx="24">
                  <c:v>4105.2150000000001</c:v>
                </c:pt>
                <c:pt idx="25">
                  <c:v>4153.4799999999996</c:v>
                </c:pt>
                <c:pt idx="26">
                  <c:v>4265.6400000000003</c:v>
                </c:pt>
                <c:pt idx="27">
                  <c:v>4172.8090000000002</c:v>
                </c:pt>
                <c:pt idx="28">
                  <c:v>4164.107</c:v>
                </c:pt>
                <c:pt idx="29">
                  <c:v>4099.9650000000001</c:v>
                </c:pt>
                <c:pt idx="30">
                  <c:v>4121.42</c:v>
                </c:pt>
                <c:pt idx="31">
                  <c:v>4186.29</c:v>
                </c:pt>
                <c:pt idx="32">
                  <c:v>4161.1989999999996</c:v>
                </c:pt>
                <c:pt idx="33">
                  <c:v>4267.9669999999996</c:v>
                </c:pt>
                <c:pt idx="34">
                  <c:v>4273.3370000000004</c:v>
                </c:pt>
                <c:pt idx="35">
                  <c:v>4249.1360000000004</c:v>
                </c:pt>
                <c:pt idx="36">
                  <c:v>4265.9030000000002</c:v>
                </c:pt>
                <c:pt idx="37">
                  <c:v>4219.1059999999998</c:v>
                </c:pt>
                <c:pt idx="38">
                  <c:v>4122.6049999999996</c:v>
                </c:pt>
                <c:pt idx="39">
                  <c:v>3793.116</c:v>
                </c:pt>
                <c:pt idx="40">
                  <c:v>3920.6129999999998</c:v>
                </c:pt>
                <c:pt idx="41">
                  <c:v>3766.2020000000002</c:v>
                </c:pt>
                <c:pt idx="42">
                  <c:v>3722.0140000000001</c:v>
                </c:pt>
                <c:pt idx="43">
                  <c:v>3631.0329999999999</c:v>
                </c:pt>
                <c:pt idx="44">
                  <c:v>3450.0859999999998</c:v>
                </c:pt>
                <c:pt idx="45">
                  <c:v>3492.4650000000001</c:v>
                </c:pt>
                <c:pt idx="46">
                  <c:v>3474.5940000000001</c:v>
                </c:pt>
                <c:pt idx="47">
                  <c:v>3487.886</c:v>
                </c:pt>
                <c:pt idx="48">
                  <c:v>3434.5990000000002</c:v>
                </c:pt>
                <c:pt idx="49">
                  <c:v>3303.9749999999999</c:v>
                </c:pt>
              </c:numCache>
            </c:numRef>
          </c:val>
          <c:smooth val="0"/>
          <c:extLst>
            <c:ext xmlns:c16="http://schemas.microsoft.com/office/drawing/2014/chart" uri="{C3380CC4-5D6E-409C-BE32-E72D297353CC}">
              <c16:uniqueId val="{00000000-1278-4E69-9181-3C8E7EC03FD5}"/>
            </c:ext>
          </c:extLst>
        </c:ser>
        <c:ser>
          <c:idx val="1"/>
          <c:order val="1"/>
          <c:tx>
            <c:strRef>
              <c:f>Klimat!$C$2</c:f>
              <c:strCache>
                <c:ptCount val="1"/>
                <c:pt idx="0">
                  <c:v>USA</c:v>
                </c:pt>
              </c:strCache>
            </c:strRef>
          </c:tx>
          <c:spPr>
            <a:ln w="28575" cap="rnd">
              <a:solidFill>
                <a:schemeClr val="accent2"/>
              </a:solidFill>
              <a:round/>
            </a:ln>
            <a:effectLst/>
          </c:spPr>
          <c:marker>
            <c:symbol val="none"/>
          </c:marker>
          <c:val>
            <c:numRef>
              <c:f>Klimat!$C$3:$C$52</c:f>
              <c:numCache>
                <c:formatCode>0</c:formatCode>
                <c:ptCount val="50"/>
                <c:pt idx="0">
                  <c:v>4685.4290000000001</c:v>
                </c:pt>
                <c:pt idx="1">
                  <c:v>4550.8090000000002</c:v>
                </c:pt>
                <c:pt idx="2">
                  <c:v>4799.5829999999996</c:v>
                </c:pt>
                <c:pt idx="3">
                  <c:v>4987.2479999999996</c:v>
                </c:pt>
                <c:pt idx="4">
                  <c:v>4822.6210000000001</c:v>
                </c:pt>
                <c:pt idx="5">
                  <c:v>4608.9480000000003</c:v>
                </c:pt>
                <c:pt idx="6">
                  <c:v>4903.6360000000004</c:v>
                </c:pt>
                <c:pt idx="7">
                  <c:v>5067.7939999999999</c:v>
                </c:pt>
                <c:pt idx="8">
                  <c:v>5062.2359999999999</c:v>
                </c:pt>
                <c:pt idx="9">
                  <c:v>5100.6099999999997</c:v>
                </c:pt>
                <c:pt idx="10">
                  <c:v>4874.232</c:v>
                </c:pt>
                <c:pt idx="11">
                  <c:v>4805.6760000000004</c:v>
                </c:pt>
                <c:pt idx="12">
                  <c:v>4559.9970000000003</c:v>
                </c:pt>
                <c:pt idx="13">
                  <c:v>4539.5330000000004</c:v>
                </c:pt>
                <c:pt idx="14">
                  <c:v>4749.3599999999997</c:v>
                </c:pt>
                <c:pt idx="15">
                  <c:v>4775.3999999999996</c:v>
                </c:pt>
                <c:pt idx="16">
                  <c:v>4734.692</c:v>
                </c:pt>
                <c:pt idx="17">
                  <c:v>4892.1049999999996</c:v>
                </c:pt>
                <c:pt idx="18">
                  <c:v>5115.3</c:v>
                </c:pt>
                <c:pt idx="19">
                  <c:v>5172.6660000000002</c:v>
                </c:pt>
                <c:pt idx="20">
                  <c:v>5065.0559999999996</c:v>
                </c:pt>
                <c:pt idx="21">
                  <c:v>5023.4880000000003</c:v>
                </c:pt>
                <c:pt idx="22">
                  <c:v>5104.848</c:v>
                </c:pt>
                <c:pt idx="23">
                  <c:v>5223.92</c:v>
                </c:pt>
                <c:pt idx="24">
                  <c:v>5307.1509999999998</c:v>
                </c:pt>
                <c:pt idx="25">
                  <c:v>5358.9719999999998</c:v>
                </c:pt>
                <c:pt idx="26">
                  <c:v>5506.4639999999999</c:v>
                </c:pt>
                <c:pt idx="27">
                  <c:v>5680.4849999999997</c:v>
                </c:pt>
                <c:pt idx="28">
                  <c:v>5694.6040000000003</c:v>
                </c:pt>
                <c:pt idx="29">
                  <c:v>5713.8680000000004</c:v>
                </c:pt>
                <c:pt idx="30">
                  <c:v>5917.3549999999996</c:v>
                </c:pt>
                <c:pt idx="31">
                  <c:v>5860.0550000000003</c:v>
                </c:pt>
                <c:pt idx="32">
                  <c:v>5780.6120000000001</c:v>
                </c:pt>
                <c:pt idx="33">
                  <c:v>5856.48</c:v>
                </c:pt>
                <c:pt idx="34">
                  <c:v>5939.3609999999999</c:v>
                </c:pt>
                <c:pt idx="35">
                  <c:v>5948.4719999999998</c:v>
                </c:pt>
                <c:pt idx="36">
                  <c:v>5843.1610000000001</c:v>
                </c:pt>
                <c:pt idx="37">
                  <c:v>5931.9889999999996</c:v>
                </c:pt>
                <c:pt idx="38">
                  <c:v>5742.9269999999997</c:v>
                </c:pt>
                <c:pt idx="39">
                  <c:v>5325.0770000000002</c:v>
                </c:pt>
                <c:pt idx="40">
                  <c:v>5567.64</c:v>
                </c:pt>
                <c:pt idx="41">
                  <c:v>5438.9189999999999</c:v>
                </c:pt>
                <c:pt idx="42">
                  <c:v>5263.6409999999996</c:v>
                </c:pt>
                <c:pt idx="43">
                  <c:v>5337.0320000000002</c:v>
                </c:pt>
                <c:pt idx="44">
                  <c:v>5412.9620000000004</c:v>
                </c:pt>
                <c:pt idx="45">
                  <c:v>5248.9629999999997</c:v>
                </c:pt>
                <c:pt idx="46">
                  <c:v>5152.585</c:v>
                </c:pt>
                <c:pt idx="47">
                  <c:v>5082.8909999999996</c:v>
                </c:pt>
                <c:pt idx="48">
                  <c:v>5243.7439999999997</c:v>
                </c:pt>
                <c:pt idx="49">
                  <c:v>5107.2610000000004</c:v>
                </c:pt>
              </c:numCache>
            </c:numRef>
          </c:val>
          <c:smooth val="0"/>
          <c:extLst>
            <c:ext xmlns:c16="http://schemas.microsoft.com/office/drawing/2014/chart" uri="{C3380CC4-5D6E-409C-BE32-E72D297353CC}">
              <c16:uniqueId val="{00000001-1278-4E69-9181-3C8E7EC03FD5}"/>
            </c:ext>
          </c:extLst>
        </c:ser>
        <c:ser>
          <c:idx val="2"/>
          <c:order val="2"/>
          <c:tx>
            <c:strRef>
              <c:f>Klimat!$D$2</c:f>
              <c:strCache>
                <c:ptCount val="1"/>
                <c:pt idx="0">
                  <c:v>Ryssland</c:v>
                </c:pt>
              </c:strCache>
            </c:strRef>
          </c:tx>
          <c:spPr>
            <a:ln w="28575" cap="rnd">
              <a:solidFill>
                <a:schemeClr val="accent3"/>
              </a:solidFill>
              <a:round/>
            </a:ln>
            <a:effectLst/>
          </c:spPr>
          <c:marker>
            <c:symbol val="none"/>
          </c:marker>
          <c:val>
            <c:numRef>
              <c:f>Klimat!$D$3:$D$52</c:f>
              <c:numCache>
                <c:formatCode>0</c:formatCode>
                <c:ptCount val="50"/>
                <c:pt idx="0">
                  <c:v>1314.1679999999999</c:v>
                </c:pt>
                <c:pt idx="1">
                  <c:v>1315.623</c:v>
                </c:pt>
                <c:pt idx="2">
                  <c:v>1379.0889999999999</c:v>
                </c:pt>
                <c:pt idx="3">
                  <c:v>1457.53</c:v>
                </c:pt>
                <c:pt idx="4">
                  <c:v>1529.3820000000001</c:v>
                </c:pt>
                <c:pt idx="5">
                  <c:v>1635.82</c:v>
                </c:pt>
                <c:pt idx="6">
                  <c:v>1690.3920000000001</c:v>
                </c:pt>
                <c:pt idx="7">
                  <c:v>1727.7239999999999</c:v>
                </c:pt>
                <c:pt idx="8">
                  <c:v>1833.732</c:v>
                </c:pt>
                <c:pt idx="9">
                  <c:v>1855.55</c:v>
                </c:pt>
                <c:pt idx="10">
                  <c:v>1907.453</c:v>
                </c:pt>
                <c:pt idx="11">
                  <c:v>1902.6590000000001</c:v>
                </c:pt>
                <c:pt idx="12">
                  <c:v>1937.3889999999999</c:v>
                </c:pt>
                <c:pt idx="13">
                  <c:v>1958.518</c:v>
                </c:pt>
                <c:pt idx="14">
                  <c:v>1977.567</c:v>
                </c:pt>
                <c:pt idx="15">
                  <c:v>2004.3019999999999</c:v>
                </c:pt>
                <c:pt idx="16">
                  <c:v>2061.875</c:v>
                </c:pt>
                <c:pt idx="17">
                  <c:v>2110.8470000000002</c:v>
                </c:pt>
                <c:pt idx="18">
                  <c:v>2158.7910000000002</c:v>
                </c:pt>
                <c:pt idx="19">
                  <c:v>2164.1460000000002</c:v>
                </c:pt>
                <c:pt idx="20">
                  <c:v>2393.6579999999999</c:v>
                </c:pt>
                <c:pt idx="21">
                  <c:v>2359.0619999999999</c:v>
                </c:pt>
                <c:pt idx="22">
                  <c:v>2179.83</c:v>
                </c:pt>
                <c:pt idx="23">
                  <c:v>1988.9549999999999</c:v>
                </c:pt>
                <c:pt idx="24">
                  <c:v>1789.1120000000001</c:v>
                </c:pt>
                <c:pt idx="25">
                  <c:v>1746.1590000000001</c:v>
                </c:pt>
                <c:pt idx="26">
                  <c:v>1702.48</c:v>
                </c:pt>
                <c:pt idx="27">
                  <c:v>1589.05</c:v>
                </c:pt>
                <c:pt idx="28">
                  <c:v>1591.508</c:v>
                </c:pt>
                <c:pt idx="29">
                  <c:v>1638.229</c:v>
                </c:pt>
                <c:pt idx="30">
                  <c:v>1675.162</c:v>
                </c:pt>
                <c:pt idx="31">
                  <c:v>1682.29</c:v>
                </c:pt>
                <c:pt idx="32">
                  <c:v>1670.894</c:v>
                </c:pt>
                <c:pt idx="33">
                  <c:v>1736.0719999999999</c:v>
                </c:pt>
                <c:pt idx="34">
                  <c:v>1734.1489999999999</c:v>
                </c:pt>
                <c:pt idx="35">
                  <c:v>1734.028</c:v>
                </c:pt>
                <c:pt idx="36">
                  <c:v>1770.6310000000001</c:v>
                </c:pt>
                <c:pt idx="37">
                  <c:v>1772.1189999999999</c:v>
                </c:pt>
                <c:pt idx="38">
                  <c:v>1757.4469999999999</c:v>
                </c:pt>
                <c:pt idx="39">
                  <c:v>1653.6510000000001</c:v>
                </c:pt>
                <c:pt idx="40">
                  <c:v>1731.633</c:v>
                </c:pt>
                <c:pt idx="41">
                  <c:v>1818.22</c:v>
                </c:pt>
                <c:pt idx="42">
                  <c:v>1799.7159999999999</c:v>
                </c:pt>
                <c:pt idx="43">
                  <c:v>1745.096</c:v>
                </c:pt>
                <c:pt idx="44">
                  <c:v>1727.0809999999999</c:v>
                </c:pt>
                <c:pt idx="45">
                  <c:v>1730.5</c:v>
                </c:pt>
                <c:pt idx="46">
                  <c:v>1710.8610000000001</c:v>
                </c:pt>
                <c:pt idx="47">
                  <c:v>1738.0170000000001</c:v>
                </c:pt>
                <c:pt idx="48">
                  <c:v>1805.769</c:v>
                </c:pt>
                <c:pt idx="49">
                  <c:v>1792.0150000000001</c:v>
                </c:pt>
              </c:numCache>
            </c:numRef>
          </c:val>
          <c:smooth val="0"/>
          <c:extLst>
            <c:ext xmlns:c16="http://schemas.microsoft.com/office/drawing/2014/chart" uri="{C3380CC4-5D6E-409C-BE32-E72D297353CC}">
              <c16:uniqueId val="{00000002-1278-4E69-9181-3C8E7EC03FD5}"/>
            </c:ext>
          </c:extLst>
        </c:ser>
        <c:ser>
          <c:idx val="3"/>
          <c:order val="3"/>
          <c:tx>
            <c:strRef>
              <c:f>Klimat!$F$2</c:f>
              <c:strCache>
                <c:ptCount val="1"/>
                <c:pt idx="0">
                  <c:v>Japan</c:v>
                </c:pt>
              </c:strCache>
            </c:strRef>
          </c:tx>
          <c:spPr>
            <a:ln w="28575" cap="rnd">
              <a:solidFill>
                <a:schemeClr val="accent4"/>
              </a:solidFill>
              <a:round/>
            </a:ln>
            <a:effectLst/>
          </c:spPr>
          <c:marker>
            <c:symbol val="none"/>
          </c:marker>
          <c:val>
            <c:numRef>
              <c:f>Klimat!$F$3:$F$52</c:f>
              <c:numCache>
                <c:formatCode>0</c:formatCode>
                <c:ptCount val="50"/>
                <c:pt idx="0">
                  <c:v>857.85299999999995</c:v>
                </c:pt>
                <c:pt idx="1">
                  <c:v>855.69899999999996</c:v>
                </c:pt>
                <c:pt idx="2">
                  <c:v>901.51499999999999</c:v>
                </c:pt>
                <c:pt idx="3">
                  <c:v>1015.462</c:v>
                </c:pt>
                <c:pt idx="4">
                  <c:v>1013.932</c:v>
                </c:pt>
                <c:pt idx="5">
                  <c:v>958.20299999999997</c:v>
                </c:pt>
                <c:pt idx="6">
                  <c:v>988.59799999999996</c:v>
                </c:pt>
                <c:pt idx="7">
                  <c:v>1013.522</c:v>
                </c:pt>
                <c:pt idx="8">
                  <c:v>1013.53</c:v>
                </c:pt>
                <c:pt idx="9">
                  <c:v>1039.2460000000001</c:v>
                </c:pt>
                <c:pt idx="10">
                  <c:v>1013.21</c:v>
                </c:pt>
                <c:pt idx="11">
                  <c:v>990.80799999999999</c:v>
                </c:pt>
                <c:pt idx="12">
                  <c:v>948.14200000000005</c:v>
                </c:pt>
                <c:pt idx="13">
                  <c:v>950.096</c:v>
                </c:pt>
                <c:pt idx="14">
                  <c:v>1018.049</c:v>
                </c:pt>
                <c:pt idx="15">
                  <c:v>991.66499999999996</c:v>
                </c:pt>
                <c:pt idx="16">
                  <c:v>988.07600000000002</c:v>
                </c:pt>
                <c:pt idx="17">
                  <c:v>994.42700000000002</c:v>
                </c:pt>
                <c:pt idx="18">
                  <c:v>1066.6510000000001</c:v>
                </c:pt>
                <c:pt idx="19">
                  <c:v>1096.731</c:v>
                </c:pt>
                <c:pt idx="20">
                  <c:v>1149.47</c:v>
                </c:pt>
                <c:pt idx="21">
                  <c:v>1153.4259999999999</c:v>
                </c:pt>
                <c:pt idx="22">
                  <c:v>1161.239</c:v>
                </c:pt>
                <c:pt idx="23">
                  <c:v>1150.174</c:v>
                </c:pt>
                <c:pt idx="24">
                  <c:v>1206.46</c:v>
                </c:pt>
                <c:pt idx="25">
                  <c:v>1221.114</c:v>
                </c:pt>
                <c:pt idx="26">
                  <c:v>1233.3389999999999</c:v>
                </c:pt>
                <c:pt idx="27">
                  <c:v>1226.6410000000001</c:v>
                </c:pt>
                <c:pt idx="28">
                  <c:v>1187.8969999999999</c:v>
                </c:pt>
                <c:pt idx="29">
                  <c:v>1227.819</c:v>
                </c:pt>
                <c:pt idx="30">
                  <c:v>1241.6300000000001</c:v>
                </c:pt>
                <c:pt idx="31">
                  <c:v>1229.212</c:v>
                </c:pt>
                <c:pt idx="32">
                  <c:v>1268.559</c:v>
                </c:pt>
                <c:pt idx="33">
                  <c:v>1272.1320000000001</c:v>
                </c:pt>
                <c:pt idx="34">
                  <c:v>1270.3330000000001</c:v>
                </c:pt>
                <c:pt idx="35">
                  <c:v>1276.9269999999999</c:v>
                </c:pt>
                <c:pt idx="36">
                  <c:v>1259.797</c:v>
                </c:pt>
                <c:pt idx="37">
                  <c:v>1300.2329999999999</c:v>
                </c:pt>
                <c:pt idx="38">
                  <c:v>1213.5119999999999</c:v>
                </c:pt>
                <c:pt idx="39">
                  <c:v>1146.232</c:v>
                </c:pt>
                <c:pt idx="40">
                  <c:v>1197.4269999999999</c:v>
                </c:pt>
                <c:pt idx="41">
                  <c:v>1249.7929999999999</c:v>
                </c:pt>
                <c:pt idx="42">
                  <c:v>1289.3030000000001</c:v>
                </c:pt>
                <c:pt idx="43">
                  <c:v>1313.482</c:v>
                </c:pt>
                <c:pt idx="44">
                  <c:v>1273.5409999999999</c:v>
                </c:pt>
                <c:pt idx="45">
                  <c:v>1227.9469999999999</c:v>
                </c:pt>
                <c:pt idx="46">
                  <c:v>1213.3489999999999</c:v>
                </c:pt>
                <c:pt idx="47">
                  <c:v>1199.191</c:v>
                </c:pt>
                <c:pt idx="48">
                  <c:v>1178.8599999999999</c:v>
                </c:pt>
                <c:pt idx="49">
                  <c:v>1153.7170000000001</c:v>
                </c:pt>
              </c:numCache>
            </c:numRef>
          </c:val>
          <c:smooth val="0"/>
          <c:extLst>
            <c:ext xmlns:c16="http://schemas.microsoft.com/office/drawing/2014/chart" uri="{C3380CC4-5D6E-409C-BE32-E72D297353CC}">
              <c16:uniqueId val="{00000003-1278-4E69-9181-3C8E7EC03FD5}"/>
            </c:ext>
          </c:extLst>
        </c:ser>
        <c:ser>
          <c:idx val="4"/>
          <c:order val="4"/>
          <c:tx>
            <c:strRef>
              <c:f>Klimat!$H$2</c:f>
              <c:strCache>
                <c:ptCount val="1"/>
                <c:pt idx="0">
                  <c:v>Internationellt flyg och transport</c:v>
                </c:pt>
              </c:strCache>
            </c:strRef>
          </c:tx>
          <c:spPr>
            <a:ln w="28575" cap="rnd">
              <a:solidFill>
                <a:schemeClr val="accent5"/>
              </a:solidFill>
              <a:round/>
            </a:ln>
            <a:effectLst/>
          </c:spPr>
          <c:marker>
            <c:symbol val="none"/>
          </c:marker>
          <c:val>
            <c:numRef>
              <c:f>Klimat!$H$3:$H$52</c:f>
              <c:numCache>
                <c:formatCode>0</c:formatCode>
                <c:ptCount val="50"/>
                <c:pt idx="0">
                  <c:v>522.673</c:v>
                </c:pt>
                <c:pt idx="1">
                  <c:v>522.673</c:v>
                </c:pt>
                <c:pt idx="2">
                  <c:v>549.63900000000001</c:v>
                </c:pt>
                <c:pt idx="3">
                  <c:v>578.35500000000002</c:v>
                </c:pt>
                <c:pt idx="4">
                  <c:v>545.18899999999996</c:v>
                </c:pt>
                <c:pt idx="5">
                  <c:v>514.45899999999995</c:v>
                </c:pt>
                <c:pt idx="6">
                  <c:v>525.71199999999999</c:v>
                </c:pt>
                <c:pt idx="7">
                  <c:v>541.07799999999997</c:v>
                </c:pt>
                <c:pt idx="8">
                  <c:v>550.26099999999997</c:v>
                </c:pt>
                <c:pt idx="9">
                  <c:v>567.95000000000005</c:v>
                </c:pt>
                <c:pt idx="10">
                  <c:v>558.54899999999998</c:v>
                </c:pt>
                <c:pt idx="11">
                  <c:v>533.33100000000002</c:v>
                </c:pt>
                <c:pt idx="12">
                  <c:v>507.32600000000002</c:v>
                </c:pt>
                <c:pt idx="13">
                  <c:v>490.202</c:v>
                </c:pt>
                <c:pt idx="14">
                  <c:v>501.67500000000001</c:v>
                </c:pt>
                <c:pt idx="15">
                  <c:v>530.55799999999999</c:v>
                </c:pt>
                <c:pt idx="16">
                  <c:v>571.99199999999996</c:v>
                </c:pt>
                <c:pt idx="17">
                  <c:v>582.39</c:v>
                </c:pt>
                <c:pt idx="18">
                  <c:v>612.90099999999995</c:v>
                </c:pt>
                <c:pt idx="19">
                  <c:v>626.94000000000005</c:v>
                </c:pt>
                <c:pt idx="20">
                  <c:v>629.59</c:v>
                </c:pt>
                <c:pt idx="21">
                  <c:v>637.18499999999995</c:v>
                </c:pt>
                <c:pt idx="22">
                  <c:v>673.78599999999994</c:v>
                </c:pt>
                <c:pt idx="23">
                  <c:v>666.19200000000001</c:v>
                </c:pt>
                <c:pt idx="24">
                  <c:v>693.24800000000005</c:v>
                </c:pt>
                <c:pt idx="25">
                  <c:v>717.64800000000002</c:v>
                </c:pt>
                <c:pt idx="26">
                  <c:v>739.40499999999997</c:v>
                </c:pt>
                <c:pt idx="27">
                  <c:v>765.36199999999997</c:v>
                </c:pt>
                <c:pt idx="28">
                  <c:v>789.596</c:v>
                </c:pt>
                <c:pt idx="29">
                  <c:v>827.38499999999999</c:v>
                </c:pt>
                <c:pt idx="30">
                  <c:v>852.94899999999996</c:v>
                </c:pt>
                <c:pt idx="31">
                  <c:v>821.23800000000006</c:v>
                </c:pt>
                <c:pt idx="32">
                  <c:v>859.08399999999995</c:v>
                </c:pt>
                <c:pt idx="33">
                  <c:v>867.86900000000003</c:v>
                </c:pt>
                <c:pt idx="34">
                  <c:v>945.83600000000001</c:v>
                </c:pt>
                <c:pt idx="35">
                  <c:v>991.76099999999997</c:v>
                </c:pt>
                <c:pt idx="36">
                  <c:v>1044.29</c:v>
                </c:pt>
                <c:pt idx="37">
                  <c:v>1092.5060000000001</c:v>
                </c:pt>
                <c:pt idx="38">
                  <c:v>1102.3150000000001</c:v>
                </c:pt>
                <c:pt idx="39">
                  <c:v>1049.5640000000001</c:v>
                </c:pt>
                <c:pt idx="40">
                  <c:v>1120.3610000000001</c:v>
                </c:pt>
                <c:pt idx="41">
                  <c:v>1137.9559999999999</c:v>
                </c:pt>
                <c:pt idx="42">
                  <c:v>1095.124</c:v>
                </c:pt>
                <c:pt idx="43">
                  <c:v>1101.2349999999999</c:v>
                </c:pt>
                <c:pt idx="44">
                  <c:v>1138.7360000000001</c:v>
                </c:pt>
                <c:pt idx="45">
                  <c:v>1190.4090000000001</c:v>
                </c:pt>
                <c:pt idx="46">
                  <c:v>1231.8689999999999</c:v>
                </c:pt>
                <c:pt idx="47">
                  <c:v>1281.0840000000001</c:v>
                </c:pt>
                <c:pt idx="48">
                  <c:v>1318.827</c:v>
                </c:pt>
                <c:pt idx="49">
                  <c:v>1357.739</c:v>
                </c:pt>
              </c:numCache>
            </c:numRef>
          </c:val>
          <c:smooth val="0"/>
          <c:extLst>
            <c:ext xmlns:c16="http://schemas.microsoft.com/office/drawing/2014/chart" uri="{C3380CC4-5D6E-409C-BE32-E72D297353CC}">
              <c16:uniqueId val="{00000004-1278-4E69-9181-3C8E7EC03FD5}"/>
            </c:ext>
          </c:extLst>
        </c:ser>
        <c:ser>
          <c:idx val="5"/>
          <c:order val="5"/>
          <c:tx>
            <c:strRef>
              <c:f>Klimat!$N$2</c:f>
              <c:strCache>
                <c:ptCount val="1"/>
                <c:pt idx="0">
                  <c:v>Indien</c:v>
                </c:pt>
              </c:strCache>
            </c:strRef>
          </c:tx>
          <c:spPr>
            <a:ln w="28575" cap="rnd">
              <a:solidFill>
                <a:schemeClr val="accent6"/>
              </a:solidFill>
              <a:round/>
            </a:ln>
            <a:effectLst/>
          </c:spPr>
          <c:marker>
            <c:symbol val="none"/>
          </c:marker>
          <c:val>
            <c:numRef>
              <c:f>Klimat!$N$3:$N$52</c:f>
              <c:numCache>
                <c:formatCode>0</c:formatCode>
                <c:ptCount val="50"/>
                <c:pt idx="0">
                  <c:v>232.81399999999999</c:v>
                </c:pt>
                <c:pt idx="1">
                  <c:v>233.898</c:v>
                </c:pt>
                <c:pt idx="2">
                  <c:v>243.26</c:v>
                </c:pt>
                <c:pt idx="3">
                  <c:v>241.66200000000001</c:v>
                </c:pt>
                <c:pt idx="4">
                  <c:v>259.54700000000003</c:v>
                </c:pt>
                <c:pt idx="5">
                  <c:v>277.09800000000001</c:v>
                </c:pt>
                <c:pt idx="6">
                  <c:v>296.38200000000001</c:v>
                </c:pt>
                <c:pt idx="7">
                  <c:v>301.70499999999998</c:v>
                </c:pt>
                <c:pt idx="8">
                  <c:v>269.26499999999999</c:v>
                </c:pt>
                <c:pt idx="9">
                  <c:v>289.68299999999999</c:v>
                </c:pt>
                <c:pt idx="10">
                  <c:v>301.827</c:v>
                </c:pt>
                <c:pt idx="11">
                  <c:v>332.10599999999999</c:v>
                </c:pt>
                <c:pt idx="12">
                  <c:v>352.76400000000001</c:v>
                </c:pt>
                <c:pt idx="13">
                  <c:v>375.60500000000002</c:v>
                </c:pt>
                <c:pt idx="14">
                  <c:v>411.17899999999997</c:v>
                </c:pt>
                <c:pt idx="15">
                  <c:v>429.78800000000001</c:v>
                </c:pt>
                <c:pt idx="16">
                  <c:v>467.44600000000003</c:v>
                </c:pt>
                <c:pt idx="17">
                  <c:v>500.649</c:v>
                </c:pt>
                <c:pt idx="18">
                  <c:v>530.79300000000001</c:v>
                </c:pt>
                <c:pt idx="19">
                  <c:v>568.40300000000002</c:v>
                </c:pt>
                <c:pt idx="20">
                  <c:v>599.82399999999996</c:v>
                </c:pt>
                <c:pt idx="21">
                  <c:v>645.63699999999994</c:v>
                </c:pt>
                <c:pt idx="22">
                  <c:v>668.44100000000003</c:v>
                </c:pt>
                <c:pt idx="23">
                  <c:v>698.52499999999998</c:v>
                </c:pt>
                <c:pt idx="24">
                  <c:v>743.13599999999997</c:v>
                </c:pt>
                <c:pt idx="25">
                  <c:v>798.34900000000005</c:v>
                </c:pt>
                <c:pt idx="26">
                  <c:v>835.13699999999994</c:v>
                </c:pt>
                <c:pt idx="27">
                  <c:v>876.86800000000005</c:v>
                </c:pt>
                <c:pt idx="28">
                  <c:v>891.88</c:v>
                </c:pt>
                <c:pt idx="29">
                  <c:v>960.38699999999994</c:v>
                </c:pt>
                <c:pt idx="30">
                  <c:v>993.97500000000002</c:v>
                </c:pt>
                <c:pt idx="31">
                  <c:v>1010.2910000000001</c:v>
                </c:pt>
                <c:pt idx="32">
                  <c:v>1049.1600000000001</c:v>
                </c:pt>
                <c:pt idx="33">
                  <c:v>1075.07</c:v>
                </c:pt>
                <c:pt idx="34">
                  <c:v>1164.9829999999999</c:v>
                </c:pt>
                <c:pt idx="35">
                  <c:v>1219.3510000000001</c:v>
                </c:pt>
                <c:pt idx="36">
                  <c:v>1299.4970000000001</c:v>
                </c:pt>
                <c:pt idx="37">
                  <c:v>1411.221</c:v>
                </c:pt>
                <c:pt idx="38">
                  <c:v>1498.796</c:v>
                </c:pt>
                <c:pt idx="39">
                  <c:v>1673.4670000000001</c:v>
                </c:pt>
                <c:pt idx="40">
                  <c:v>1761.402</c:v>
                </c:pt>
                <c:pt idx="41">
                  <c:v>1858.6120000000001</c:v>
                </c:pt>
                <c:pt idx="42">
                  <c:v>2000.84</c:v>
                </c:pt>
                <c:pt idx="43">
                  <c:v>2068.6030000000001</c:v>
                </c:pt>
                <c:pt idx="44">
                  <c:v>2235.915</c:v>
                </c:pt>
                <c:pt idx="45">
                  <c:v>2292.9560000000001</c:v>
                </c:pt>
                <c:pt idx="46">
                  <c:v>2321.8040000000001</c:v>
                </c:pt>
                <c:pt idx="47">
                  <c:v>2425.4160000000002</c:v>
                </c:pt>
                <c:pt idx="48">
                  <c:v>2556.547</c:v>
                </c:pt>
                <c:pt idx="49">
                  <c:v>2597.36</c:v>
                </c:pt>
              </c:numCache>
            </c:numRef>
          </c:val>
          <c:smooth val="0"/>
          <c:extLst>
            <c:ext xmlns:c16="http://schemas.microsoft.com/office/drawing/2014/chart" uri="{C3380CC4-5D6E-409C-BE32-E72D297353CC}">
              <c16:uniqueId val="{00000005-1278-4E69-9181-3C8E7EC03FD5}"/>
            </c:ext>
          </c:extLst>
        </c:ser>
        <c:ser>
          <c:idx val="6"/>
          <c:order val="6"/>
          <c:tx>
            <c:strRef>
              <c:f>Klimat!$P$2</c:f>
              <c:strCache>
                <c:ptCount val="1"/>
                <c:pt idx="0">
                  <c:v>Kina</c:v>
                </c:pt>
              </c:strCache>
            </c:strRef>
          </c:tx>
          <c:spPr>
            <a:ln w="28575" cap="rnd">
              <a:solidFill>
                <a:schemeClr val="accent1">
                  <a:lumMod val="60000"/>
                </a:schemeClr>
              </a:solidFill>
              <a:round/>
            </a:ln>
            <a:effectLst/>
          </c:spPr>
          <c:marker>
            <c:symbol val="none"/>
          </c:marker>
          <c:val>
            <c:numRef>
              <c:f>Klimat!$P$3:$P$52</c:f>
              <c:numCache>
                <c:formatCode>0</c:formatCode>
                <c:ptCount val="50"/>
                <c:pt idx="0">
                  <c:v>906.56200000000001</c:v>
                </c:pt>
                <c:pt idx="1">
                  <c:v>910.399</c:v>
                </c:pt>
                <c:pt idx="2">
                  <c:v>971.52700000000004</c:v>
                </c:pt>
                <c:pt idx="3">
                  <c:v>1012.162</c:v>
                </c:pt>
                <c:pt idx="4">
                  <c:v>1030.068</c:v>
                </c:pt>
                <c:pt idx="5">
                  <c:v>1180.9870000000001</c:v>
                </c:pt>
                <c:pt idx="6">
                  <c:v>1228.3389999999999</c:v>
                </c:pt>
                <c:pt idx="7">
                  <c:v>1381.116</c:v>
                </c:pt>
                <c:pt idx="8">
                  <c:v>1558.173</c:v>
                </c:pt>
                <c:pt idx="9">
                  <c:v>1596.711</c:v>
                </c:pt>
                <c:pt idx="10">
                  <c:v>1563.2860000000001</c:v>
                </c:pt>
                <c:pt idx="11">
                  <c:v>1549.6669999999999</c:v>
                </c:pt>
                <c:pt idx="12">
                  <c:v>1620.4570000000001</c:v>
                </c:pt>
                <c:pt idx="13">
                  <c:v>1706.192</c:v>
                </c:pt>
                <c:pt idx="14">
                  <c:v>1860.7760000000001</c:v>
                </c:pt>
                <c:pt idx="15">
                  <c:v>1876.2090000000001</c:v>
                </c:pt>
                <c:pt idx="16">
                  <c:v>1981.9870000000001</c:v>
                </c:pt>
                <c:pt idx="17">
                  <c:v>2121.6799999999998</c:v>
                </c:pt>
                <c:pt idx="18">
                  <c:v>2283.183</c:v>
                </c:pt>
                <c:pt idx="19">
                  <c:v>2362.3069999999998</c:v>
                </c:pt>
                <c:pt idx="20">
                  <c:v>2404.7429999999999</c:v>
                </c:pt>
                <c:pt idx="21">
                  <c:v>2540.0459999999998</c:v>
                </c:pt>
                <c:pt idx="22">
                  <c:v>2673.1</c:v>
                </c:pt>
                <c:pt idx="23">
                  <c:v>2896.8490000000002</c:v>
                </c:pt>
                <c:pt idx="24">
                  <c:v>3077.9050000000002</c:v>
                </c:pt>
                <c:pt idx="25">
                  <c:v>3392.35</c:v>
                </c:pt>
                <c:pt idx="26">
                  <c:v>3376.895</c:v>
                </c:pt>
                <c:pt idx="27">
                  <c:v>3435.875</c:v>
                </c:pt>
                <c:pt idx="28">
                  <c:v>3514.5329999999999</c:v>
                </c:pt>
                <c:pt idx="29">
                  <c:v>3447.0659999999998</c:v>
                </c:pt>
                <c:pt idx="30">
                  <c:v>3682.4830000000002</c:v>
                </c:pt>
                <c:pt idx="31">
                  <c:v>3856.5540000000001</c:v>
                </c:pt>
                <c:pt idx="32">
                  <c:v>4160.9459999999999</c:v>
                </c:pt>
                <c:pt idx="33">
                  <c:v>4826.4269999999997</c:v>
                </c:pt>
                <c:pt idx="34">
                  <c:v>5570.3559999999998</c:v>
                </c:pt>
                <c:pt idx="35">
                  <c:v>6273.3609999999999</c:v>
                </c:pt>
                <c:pt idx="36">
                  <c:v>6974.8779999999997</c:v>
                </c:pt>
                <c:pt idx="37">
                  <c:v>7649.8980000000001</c:v>
                </c:pt>
                <c:pt idx="38">
                  <c:v>7817.7870000000003</c:v>
                </c:pt>
                <c:pt idx="39">
                  <c:v>8378.2090000000007</c:v>
                </c:pt>
                <c:pt idx="40">
                  <c:v>9160.7870000000003</c:v>
                </c:pt>
                <c:pt idx="41">
                  <c:v>10037.252</c:v>
                </c:pt>
                <c:pt idx="42">
                  <c:v>10271.433000000001</c:v>
                </c:pt>
                <c:pt idx="43">
                  <c:v>10532.511</c:v>
                </c:pt>
                <c:pt idx="44">
                  <c:v>10653.923000000001</c:v>
                </c:pt>
                <c:pt idx="45">
                  <c:v>10671.339</c:v>
                </c:pt>
                <c:pt idx="46">
                  <c:v>10691.814</c:v>
                </c:pt>
                <c:pt idx="47">
                  <c:v>10911.224</c:v>
                </c:pt>
                <c:pt idx="48">
                  <c:v>11157.071</c:v>
                </c:pt>
                <c:pt idx="49">
                  <c:v>11535.2</c:v>
                </c:pt>
              </c:numCache>
            </c:numRef>
          </c:val>
          <c:smooth val="0"/>
          <c:extLst>
            <c:ext xmlns:c16="http://schemas.microsoft.com/office/drawing/2014/chart" uri="{C3380CC4-5D6E-409C-BE32-E72D297353CC}">
              <c16:uniqueId val="{00000006-1278-4E69-9181-3C8E7EC03FD5}"/>
            </c:ext>
          </c:extLst>
        </c:ser>
        <c:ser>
          <c:idx val="7"/>
          <c:order val="7"/>
          <c:tx>
            <c:strRef>
              <c:f>Klimat!$Q$2</c:f>
              <c:strCache>
                <c:ptCount val="1"/>
                <c:pt idx="0">
                  <c:v>Övriga länder</c:v>
                </c:pt>
              </c:strCache>
            </c:strRef>
          </c:tx>
          <c:spPr>
            <a:ln w="28575" cap="rnd">
              <a:solidFill>
                <a:schemeClr val="accent2">
                  <a:lumMod val="60000"/>
                </a:schemeClr>
              </a:solidFill>
              <a:round/>
            </a:ln>
            <a:effectLst/>
          </c:spPr>
          <c:marker>
            <c:symbol val="none"/>
          </c:marker>
          <c:val>
            <c:numRef>
              <c:f>Klimat!$Q$3:$Q$52</c:f>
              <c:numCache>
                <c:formatCode>0</c:formatCode>
                <c:ptCount val="50"/>
                <c:pt idx="0">
                  <c:v>3039.7620000000006</c:v>
                </c:pt>
                <c:pt idx="1">
                  <c:v>3096.364</c:v>
                </c:pt>
                <c:pt idx="2">
                  <c:v>3311.8160000000003</c:v>
                </c:pt>
                <c:pt idx="3">
                  <c:v>3624.5369999999998</c:v>
                </c:pt>
                <c:pt idx="4">
                  <c:v>3767.114</c:v>
                </c:pt>
                <c:pt idx="5">
                  <c:v>3837.8740000000007</c:v>
                </c:pt>
                <c:pt idx="6">
                  <c:v>4117.1439999999993</c:v>
                </c:pt>
                <c:pt idx="7">
                  <c:v>4267.8719999999994</c:v>
                </c:pt>
                <c:pt idx="8">
                  <c:v>4570.6070000000009</c:v>
                </c:pt>
                <c:pt idx="9">
                  <c:v>4770.8110000000006</c:v>
                </c:pt>
                <c:pt idx="10">
                  <c:v>4906.7190000000001</c:v>
                </c:pt>
                <c:pt idx="11">
                  <c:v>4827.7129999999997</c:v>
                </c:pt>
                <c:pt idx="12">
                  <c:v>4895.5279999999993</c:v>
                </c:pt>
                <c:pt idx="13">
                  <c:v>4968.8240000000005</c:v>
                </c:pt>
                <c:pt idx="14">
                  <c:v>5065.5310000000009</c:v>
                </c:pt>
                <c:pt idx="15">
                  <c:v>5195.2709999999997</c:v>
                </c:pt>
                <c:pt idx="16">
                  <c:v>5327.9719999999998</c:v>
                </c:pt>
                <c:pt idx="17">
                  <c:v>5548.9050000000007</c:v>
                </c:pt>
                <c:pt idx="18">
                  <c:v>5754.9610000000011</c:v>
                </c:pt>
                <c:pt idx="19">
                  <c:v>5921.3750000000009</c:v>
                </c:pt>
                <c:pt idx="20">
                  <c:v>6032.2359999999999</c:v>
                </c:pt>
                <c:pt idx="21">
                  <c:v>6089.1800000000012</c:v>
                </c:pt>
                <c:pt idx="22">
                  <c:v>6076.7390000000005</c:v>
                </c:pt>
                <c:pt idx="23">
                  <c:v>6096.5680000000002</c:v>
                </c:pt>
                <c:pt idx="24">
                  <c:v>6167.0449999999992</c:v>
                </c:pt>
                <c:pt idx="25">
                  <c:v>6359.9189999999999</c:v>
                </c:pt>
                <c:pt idx="26">
                  <c:v>6548.9830000000002</c:v>
                </c:pt>
                <c:pt idx="27">
                  <c:v>6796.7249999999995</c:v>
                </c:pt>
                <c:pt idx="28">
                  <c:v>6803.9169999999995</c:v>
                </c:pt>
                <c:pt idx="29">
                  <c:v>6921.7049999999999</c:v>
                </c:pt>
                <c:pt idx="30">
                  <c:v>7214.8209999999999</c:v>
                </c:pt>
                <c:pt idx="31">
                  <c:v>7355.4099999999989</c:v>
                </c:pt>
                <c:pt idx="32">
                  <c:v>7508.1219999999994</c:v>
                </c:pt>
                <c:pt idx="33">
                  <c:v>7805.1720000000005</c:v>
                </c:pt>
                <c:pt idx="34">
                  <c:v>8106.8919999999998</c:v>
                </c:pt>
                <c:pt idx="35">
                  <c:v>8358.4089999999997</c:v>
                </c:pt>
                <c:pt idx="36">
                  <c:v>8622.9979999999996</c:v>
                </c:pt>
                <c:pt idx="37">
                  <c:v>8941.9330000000009</c:v>
                </c:pt>
                <c:pt idx="38">
                  <c:v>9220.0500000000011</c:v>
                </c:pt>
                <c:pt idx="39">
                  <c:v>9071.19</c:v>
                </c:pt>
                <c:pt idx="40">
                  <c:v>9511.2910000000011</c:v>
                </c:pt>
                <c:pt idx="41">
                  <c:v>9727.8180000000011</c:v>
                </c:pt>
                <c:pt idx="42">
                  <c:v>10045.412999999999</c:v>
                </c:pt>
                <c:pt idx="43">
                  <c:v>10176.824999999997</c:v>
                </c:pt>
                <c:pt idx="44">
                  <c:v>10352.243</c:v>
                </c:pt>
                <c:pt idx="45">
                  <c:v>10392.908999999998</c:v>
                </c:pt>
                <c:pt idx="46">
                  <c:v>10502.820000000002</c:v>
                </c:pt>
                <c:pt idx="47">
                  <c:v>10668.912</c:v>
                </c:pt>
                <c:pt idx="48">
                  <c:v>10972.696</c:v>
                </c:pt>
                <c:pt idx="49">
                  <c:v>11169.305</c:v>
                </c:pt>
              </c:numCache>
            </c:numRef>
          </c:val>
          <c:smooth val="0"/>
          <c:extLst>
            <c:ext xmlns:c16="http://schemas.microsoft.com/office/drawing/2014/chart" uri="{C3380CC4-5D6E-409C-BE32-E72D297353CC}">
              <c16:uniqueId val="{00000007-1278-4E69-9181-3C8E7EC03FD5}"/>
            </c:ext>
          </c:extLst>
        </c:ser>
        <c:dLbls>
          <c:showLegendKey val="0"/>
          <c:showVal val="0"/>
          <c:showCatName val="0"/>
          <c:showSerName val="0"/>
          <c:showPercent val="0"/>
          <c:showBubbleSize val="0"/>
        </c:dLbls>
        <c:smooth val="0"/>
        <c:axId val="494779688"/>
        <c:axId val="494780672"/>
      </c:lineChart>
      <c:catAx>
        <c:axId val="494779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4780672"/>
        <c:crosses val="autoZero"/>
        <c:auto val="1"/>
        <c:lblAlgn val="ctr"/>
        <c:lblOffset val="100"/>
        <c:noMultiLvlLbl val="0"/>
      </c:catAx>
      <c:valAx>
        <c:axId val="494780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4779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Klimat!$B$58</c:f>
              <c:strCache>
                <c:ptCount val="1"/>
                <c:pt idx="0">
                  <c:v>Sverige</c:v>
                </c:pt>
              </c:strCache>
            </c:strRef>
          </c:tx>
          <c:spPr>
            <a:ln w="31750" cap="rnd">
              <a:solidFill>
                <a:schemeClr val="bg2">
                  <a:lumMod val="25000"/>
                </a:schemeClr>
              </a:solidFill>
              <a:round/>
            </a:ln>
            <a:effectLst/>
          </c:spPr>
          <c:marker>
            <c:symbol val="none"/>
          </c:marker>
          <c:cat>
            <c:strRef>
              <c:f>'\Users\fx0331aa\Downloads\[Ekonomifakta-25909-2021-08-20.xlsx]Ekonomifakta'!$A$3:$A$122</c:f>
              <c:strCache>
                <c:ptCount val="120"/>
                <c:pt idx="0">
                  <c:v>1900</c:v>
                </c:pt>
                <c:pt idx="1">
                  <c:v>1901</c:v>
                </c:pt>
                <c:pt idx="2">
                  <c:v>1902</c:v>
                </c:pt>
                <c:pt idx="3">
                  <c:v>1903</c:v>
                </c:pt>
                <c:pt idx="4">
                  <c:v>1904</c:v>
                </c:pt>
                <c:pt idx="5">
                  <c:v>1905</c:v>
                </c:pt>
                <c:pt idx="6">
                  <c:v>1906</c:v>
                </c:pt>
                <c:pt idx="7">
                  <c:v>1907</c:v>
                </c:pt>
                <c:pt idx="8">
                  <c:v>1908</c:v>
                </c:pt>
                <c:pt idx="9">
                  <c:v>1909</c:v>
                </c:pt>
                <c:pt idx="10">
                  <c:v>1910</c:v>
                </c:pt>
                <c:pt idx="11">
                  <c:v>1911</c:v>
                </c:pt>
                <c:pt idx="12">
                  <c:v>1912</c:v>
                </c:pt>
                <c:pt idx="13">
                  <c:v>1913</c:v>
                </c:pt>
                <c:pt idx="14">
                  <c:v>1914</c:v>
                </c:pt>
                <c:pt idx="15">
                  <c:v>1915</c:v>
                </c:pt>
                <c:pt idx="16">
                  <c:v>1916</c:v>
                </c:pt>
                <c:pt idx="17">
                  <c:v>1917</c:v>
                </c:pt>
                <c:pt idx="18">
                  <c:v>1918</c:v>
                </c:pt>
                <c:pt idx="19">
                  <c:v>1919</c:v>
                </c:pt>
                <c:pt idx="20">
                  <c:v>1920</c:v>
                </c:pt>
                <c:pt idx="21">
                  <c:v>1921</c:v>
                </c:pt>
                <c:pt idx="22">
                  <c:v>1922</c:v>
                </c:pt>
                <c:pt idx="23">
                  <c:v>1923</c:v>
                </c:pt>
                <c:pt idx="24">
                  <c:v>1924</c:v>
                </c:pt>
                <c:pt idx="25">
                  <c:v>1925</c:v>
                </c:pt>
                <c:pt idx="26">
                  <c:v>1926</c:v>
                </c:pt>
                <c:pt idx="27">
                  <c:v>1927</c:v>
                </c:pt>
                <c:pt idx="28">
                  <c:v>1928</c:v>
                </c:pt>
                <c:pt idx="29">
                  <c:v>1929</c:v>
                </c:pt>
                <c:pt idx="30">
                  <c:v>1930</c:v>
                </c:pt>
                <c:pt idx="31">
                  <c:v>1931</c:v>
                </c:pt>
                <c:pt idx="32">
                  <c:v>1932</c:v>
                </c:pt>
                <c:pt idx="33">
                  <c:v>1933</c:v>
                </c:pt>
                <c:pt idx="34">
                  <c:v>1934</c:v>
                </c:pt>
                <c:pt idx="35">
                  <c:v>1935</c:v>
                </c:pt>
                <c:pt idx="36">
                  <c:v>1936</c:v>
                </c:pt>
                <c:pt idx="37">
                  <c:v>1937</c:v>
                </c:pt>
                <c:pt idx="38">
                  <c:v>1938</c:v>
                </c:pt>
                <c:pt idx="39">
                  <c:v>1939</c:v>
                </c:pt>
                <c:pt idx="40">
                  <c:v>1940</c:v>
                </c:pt>
                <c:pt idx="41">
                  <c:v>1941</c:v>
                </c:pt>
                <c:pt idx="42">
                  <c:v>1942</c:v>
                </c:pt>
                <c:pt idx="43">
                  <c:v>1943</c:v>
                </c:pt>
                <c:pt idx="44">
                  <c:v>1944</c:v>
                </c:pt>
                <c:pt idx="45">
                  <c:v>1945</c:v>
                </c:pt>
                <c:pt idx="46">
                  <c:v>1946</c:v>
                </c:pt>
                <c:pt idx="47">
                  <c:v>1947</c:v>
                </c:pt>
                <c:pt idx="48">
                  <c:v>1948</c:v>
                </c:pt>
                <c:pt idx="49">
                  <c:v>1949</c:v>
                </c:pt>
                <c:pt idx="50">
                  <c:v>1950</c:v>
                </c:pt>
                <c:pt idx="51">
                  <c:v>1951</c:v>
                </c:pt>
                <c:pt idx="52">
                  <c:v>1952</c:v>
                </c:pt>
                <c:pt idx="53">
                  <c:v>1953</c:v>
                </c:pt>
                <c:pt idx="54">
                  <c:v>1954</c:v>
                </c:pt>
                <c:pt idx="55">
                  <c:v>1955</c:v>
                </c:pt>
                <c:pt idx="56">
                  <c:v>1956</c:v>
                </c:pt>
                <c:pt idx="57">
                  <c:v>1957</c:v>
                </c:pt>
                <c:pt idx="58">
                  <c:v>1958</c:v>
                </c:pt>
                <c:pt idx="59">
                  <c:v>1959</c:v>
                </c:pt>
                <c:pt idx="60">
                  <c:v>1960</c:v>
                </c:pt>
                <c:pt idx="61">
                  <c:v>1961</c:v>
                </c:pt>
                <c:pt idx="62">
                  <c:v>1962</c:v>
                </c:pt>
                <c:pt idx="63">
                  <c:v>1963</c:v>
                </c:pt>
                <c:pt idx="64">
                  <c:v>1964</c:v>
                </c:pt>
                <c:pt idx="65">
                  <c:v>1965</c:v>
                </c:pt>
                <c:pt idx="66">
                  <c:v>1966</c:v>
                </c:pt>
                <c:pt idx="67">
                  <c:v>1967</c:v>
                </c:pt>
                <c:pt idx="68">
                  <c:v>1968</c:v>
                </c:pt>
                <c:pt idx="69">
                  <c:v>1969</c:v>
                </c:pt>
                <c:pt idx="70">
                  <c:v>1970</c:v>
                </c:pt>
                <c:pt idx="71">
                  <c:v>1971</c:v>
                </c:pt>
                <c:pt idx="72">
                  <c:v>1972</c:v>
                </c:pt>
                <c:pt idx="73">
                  <c:v>1973</c:v>
                </c:pt>
                <c:pt idx="74">
                  <c:v>1974</c:v>
                </c:pt>
                <c:pt idx="75">
                  <c:v>1975</c:v>
                </c:pt>
                <c:pt idx="76">
                  <c:v>1976</c:v>
                </c:pt>
                <c:pt idx="77">
                  <c:v>1977</c:v>
                </c:pt>
                <c:pt idx="78">
                  <c:v>1978</c:v>
                </c:pt>
                <c:pt idx="79">
                  <c:v>1979</c:v>
                </c:pt>
                <c:pt idx="80">
                  <c:v>1980</c:v>
                </c:pt>
                <c:pt idx="81">
                  <c:v>1981</c:v>
                </c:pt>
                <c:pt idx="82">
                  <c:v>1982</c:v>
                </c:pt>
                <c:pt idx="83">
                  <c:v>1983</c:v>
                </c:pt>
                <c:pt idx="84">
                  <c:v>1984</c:v>
                </c:pt>
                <c:pt idx="85">
                  <c:v>1985</c:v>
                </c:pt>
                <c:pt idx="86">
                  <c:v>1986</c:v>
                </c:pt>
                <c:pt idx="87">
                  <c:v>1987</c:v>
                </c:pt>
                <c:pt idx="88">
                  <c:v>1988</c:v>
                </c:pt>
                <c:pt idx="89">
                  <c:v>1989</c:v>
                </c:pt>
                <c:pt idx="90">
                  <c:v>1990</c:v>
                </c:pt>
                <c:pt idx="91">
                  <c:v>1991</c:v>
                </c:pt>
                <c:pt idx="92">
                  <c:v>1992</c:v>
                </c:pt>
                <c:pt idx="93">
                  <c:v>1993</c:v>
                </c:pt>
                <c:pt idx="94">
                  <c:v>1994</c:v>
                </c:pt>
                <c:pt idx="95">
                  <c:v>1995</c:v>
                </c:pt>
                <c:pt idx="96">
                  <c:v>1996</c:v>
                </c:pt>
                <c:pt idx="97">
                  <c:v>1997</c:v>
                </c:pt>
                <c:pt idx="98">
                  <c:v>1998</c:v>
                </c:pt>
                <c:pt idx="99">
                  <c:v>1999</c:v>
                </c:pt>
                <c:pt idx="100">
                  <c:v>2000</c:v>
                </c:pt>
                <c:pt idx="101">
                  <c:v>2001</c:v>
                </c:pt>
                <c:pt idx="102">
                  <c:v>2002</c:v>
                </c:pt>
                <c:pt idx="103">
                  <c:v>2003</c:v>
                </c:pt>
                <c:pt idx="104">
                  <c:v>2004</c:v>
                </c:pt>
                <c:pt idx="105">
                  <c:v>2005</c:v>
                </c:pt>
                <c:pt idx="106">
                  <c:v>2006</c:v>
                </c:pt>
                <c:pt idx="107">
                  <c:v>2007</c:v>
                </c:pt>
                <c:pt idx="108">
                  <c:v>2008</c:v>
                </c:pt>
                <c:pt idx="109">
                  <c:v>2009</c:v>
                </c:pt>
                <c:pt idx="110">
                  <c:v>2010</c:v>
                </c:pt>
                <c:pt idx="111">
                  <c:v>2011</c:v>
                </c:pt>
                <c:pt idx="112">
                  <c:v>2012</c:v>
                </c:pt>
                <c:pt idx="113">
                  <c:v>2013</c:v>
                </c:pt>
                <c:pt idx="114">
                  <c:v>2014</c:v>
                </c:pt>
                <c:pt idx="115">
                  <c:v>2015</c:v>
                </c:pt>
                <c:pt idx="116">
                  <c:v>2016</c:v>
                </c:pt>
                <c:pt idx="117">
                  <c:v>2017</c:v>
                </c:pt>
                <c:pt idx="118">
                  <c:v>2018</c:v>
                </c:pt>
                <c:pt idx="119">
                  <c:v>2019</c:v>
                </c:pt>
              </c:strCache>
            </c:strRef>
          </c:cat>
          <c:val>
            <c:numRef>
              <c:f>Klimat!$B$59:$B$178</c:f>
              <c:numCache>
                <c:formatCode>0</c:formatCode>
                <c:ptCount val="120"/>
                <c:pt idx="0">
                  <c:v>9.94</c:v>
                </c:pt>
                <c:pt idx="1">
                  <c:v>9.23</c:v>
                </c:pt>
                <c:pt idx="2">
                  <c:v>9.67</c:v>
                </c:pt>
                <c:pt idx="3">
                  <c:v>10.62</c:v>
                </c:pt>
                <c:pt idx="4">
                  <c:v>11.19</c:v>
                </c:pt>
                <c:pt idx="5">
                  <c:v>11.01</c:v>
                </c:pt>
                <c:pt idx="6">
                  <c:v>12.23</c:v>
                </c:pt>
                <c:pt idx="7">
                  <c:v>13.84</c:v>
                </c:pt>
                <c:pt idx="8">
                  <c:v>14.78</c:v>
                </c:pt>
                <c:pt idx="9">
                  <c:v>13.61</c:v>
                </c:pt>
                <c:pt idx="10">
                  <c:v>14.07</c:v>
                </c:pt>
                <c:pt idx="11">
                  <c:v>13.71</c:v>
                </c:pt>
                <c:pt idx="12">
                  <c:v>15.19</c:v>
                </c:pt>
                <c:pt idx="13">
                  <c:v>17.07</c:v>
                </c:pt>
                <c:pt idx="14">
                  <c:v>16.079999999999998</c:v>
                </c:pt>
                <c:pt idx="15">
                  <c:v>16.2</c:v>
                </c:pt>
                <c:pt idx="16">
                  <c:v>17.07</c:v>
                </c:pt>
                <c:pt idx="17">
                  <c:v>7.33</c:v>
                </c:pt>
                <c:pt idx="18">
                  <c:v>8.67</c:v>
                </c:pt>
                <c:pt idx="19">
                  <c:v>8.32</c:v>
                </c:pt>
                <c:pt idx="20">
                  <c:v>11.27</c:v>
                </c:pt>
                <c:pt idx="21">
                  <c:v>6.51</c:v>
                </c:pt>
                <c:pt idx="22">
                  <c:v>10.77</c:v>
                </c:pt>
                <c:pt idx="23">
                  <c:v>13.11</c:v>
                </c:pt>
                <c:pt idx="24">
                  <c:v>15.64</c:v>
                </c:pt>
                <c:pt idx="25">
                  <c:v>13.97</c:v>
                </c:pt>
                <c:pt idx="26">
                  <c:v>13.58</c:v>
                </c:pt>
                <c:pt idx="27">
                  <c:v>19.100000000000001</c:v>
                </c:pt>
                <c:pt idx="28">
                  <c:v>17.600000000000001</c:v>
                </c:pt>
                <c:pt idx="29">
                  <c:v>20.99</c:v>
                </c:pt>
                <c:pt idx="30">
                  <c:v>20.51</c:v>
                </c:pt>
                <c:pt idx="31">
                  <c:v>20.52</c:v>
                </c:pt>
                <c:pt idx="32">
                  <c:v>20.3</c:v>
                </c:pt>
                <c:pt idx="33">
                  <c:v>21.15</c:v>
                </c:pt>
                <c:pt idx="34">
                  <c:v>23.55</c:v>
                </c:pt>
                <c:pt idx="35">
                  <c:v>24.77</c:v>
                </c:pt>
                <c:pt idx="36">
                  <c:v>27.14</c:v>
                </c:pt>
                <c:pt idx="37">
                  <c:v>31.36</c:v>
                </c:pt>
                <c:pt idx="38">
                  <c:v>28.32</c:v>
                </c:pt>
                <c:pt idx="39">
                  <c:v>31.75</c:v>
                </c:pt>
                <c:pt idx="40">
                  <c:v>20.02</c:v>
                </c:pt>
                <c:pt idx="41">
                  <c:v>16.3</c:v>
                </c:pt>
                <c:pt idx="42">
                  <c:v>14.11</c:v>
                </c:pt>
                <c:pt idx="43">
                  <c:v>17.16</c:v>
                </c:pt>
                <c:pt idx="44">
                  <c:v>13.48</c:v>
                </c:pt>
                <c:pt idx="45">
                  <c:v>4.93</c:v>
                </c:pt>
                <c:pt idx="46">
                  <c:v>18.829999999999998</c:v>
                </c:pt>
                <c:pt idx="47">
                  <c:v>27.19</c:v>
                </c:pt>
                <c:pt idx="48">
                  <c:v>33.380000000000003</c:v>
                </c:pt>
                <c:pt idx="49">
                  <c:v>29.08</c:v>
                </c:pt>
                <c:pt idx="50">
                  <c:v>31.05</c:v>
                </c:pt>
                <c:pt idx="51">
                  <c:v>36.229999999999997</c:v>
                </c:pt>
                <c:pt idx="52">
                  <c:v>37.409999999999997</c:v>
                </c:pt>
                <c:pt idx="53">
                  <c:v>35.270000000000003</c:v>
                </c:pt>
                <c:pt idx="54">
                  <c:v>37.380000000000003</c:v>
                </c:pt>
                <c:pt idx="55">
                  <c:v>42.37</c:v>
                </c:pt>
                <c:pt idx="56">
                  <c:v>47</c:v>
                </c:pt>
                <c:pt idx="57">
                  <c:v>42.09</c:v>
                </c:pt>
                <c:pt idx="58">
                  <c:v>45.59</c:v>
                </c:pt>
                <c:pt idx="59">
                  <c:v>45.94</c:v>
                </c:pt>
                <c:pt idx="60">
                  <c:v>53.28</c:v>
                </c:pt>
                <c:pt idx="61">
                  <c:v>52.88</c:v>
                </c:pt>
                <c:pt idx="62">
                  <c:v>55.56</c:v>
                </c:pt>
                <c:pt idx="63">
                  <c:v>59.94</c:v>
                </c:pt>
                <c:pt idx="64">
                  <c:v>65.42</c:v>
                </c:pt>
                <c:pt idx="65">
                  <c:v>67.8</c:v>
                </c:pt>
                <c:pt idx="66">
                  <c:v>78.58</c:v>
                </c:pt>
                <c:pt idx="67">
                  <c:v>74.69</c:v>
                </c:pt>
                <c:pt idx="68">
                  <c:v>84.09</c:v>
                </c:pt>
                <c:pt idx="69">
                  <c:v>93.6</c:v>
                </c:pt>
                <c:pt idx="70">
                  <c:v>100</c:v>
                </c:pt>
                <c:pt idx="71">
                  <c:v>91.57</c:v>
                </c:pt>
                <c:pt idx="72">
                  <c:v>91.78</c:v>
                </c:pt>
                <c:pt idx="73">
                  <c:v>94.57</c:v>
                </c:pt>
                <c:pt idx="74">
                  <c:v>86.48</c:v>
                </c:pt>
                <c:pt idx="75">
                  <c:v>87.49</c:v>
                </c:pt>
                <c:pt idx="76">
                  <c:v>95.59</c:v>
                </c:pt>
                <c:pt idx="77">
                  <c:v>92.88</c:v>
                </c:pt>
                <c:pt idx="78">
                  <c:v>86.09</c:v>
                </c:pt>
                <c:pt idx="79">
                  <c:v>91.93</c:v>
                </c:pt>
                <c:pt idx="80">
                  <c:v>77.680000000000007</c:v>
                </c:pt>
                <c:pt idx="81">
                  <c:v>75.16</c:v>
                </c:pt>
                <c:pt idx="82">
                  <c:v>67.430000000000007</c:v>
                </c:pt>
                <c:pt idx="83">
                  <c:v>63.11</c:v>
                </c:pt>
                <c:pt idx="84">
                  <c:v>62.06</c:v>
                </c:pt>
                <c:pt idx="85">
                  <c:v>67.540000000000006</c:v>
                </c:pt>
                <c:pt idx="86">
                  <c:v>67.16</c:v>
                </c:pt>
                <c:pt idx="87">
                  <c:v>64.64</c:v>
                </c:pt>
                <c:pt idx="88">
                  <c:v>62.18</c:v>
                </c:pt>
                <c:pt idx="89">
                  <c:v>60.11</c:v>
                </c:pt>
                <c:pt idx="90">
                  <c:v>56.23</c:v>
                </c:pt>
                <c:pt idx="91">
                  <c:v>55.78</c:v>
                </c:pt>
                <c:pt idx="92">
                  <c:v>55.24</c:v>
                </c:pt>
                <c:pt idx="93">
                  <c:v>56.03</c:v>
                </c:pt>
                <c:pt idx="94">
                  <c:v>59.42</c:v>
                </c:pt>
                <c:pt idx="95">
                  <c:v>59.71</c:v>
                </c:pt>
                <c:pt idx="96">
                  <c:v>60.52</c:v>
                </c:pt>
                <c:pt idx="97">
                  <c:v>56.45</c:v>
                </c:pt>
                <c:pt idx="98">
                  <c:v>57.35</c:v>
                </c:pt>
                <c:pt idx="99">
                  <c:v>55.32</c:v>
                </c:pt>
                <c:pt idx="100">
                  <c:v>53.42</c:v>
                </c:pt>
                <c:pt idx="101">
                  <c:v>55.34</c:v>
                </c:pt>
                <c:pt idx="102">
                  <c:v>62.16</c:v>
                </c:pt>
                <c:pt idx="103">
                  <c:v>59.3</c:v>
                </c:pt>
                <c:pt idx="104">
                  <c:v>59.02</c:v>
                </c:pt>
                <c:pt idx="105">
                  <c:v>55.82</c:v>
                </c:pt>
                <c:pt idx="106">
                  <c:v>53.66</c:v>
                </c:pt>
                <c:pt idx="107">
                  <c:v>52.02</c:v>
                </c:pt>
                <c:pt idx="108">
                  <c:v>53.18</c:v>
                </c:pt>
                <c:pt idx="109">
                  <c:v>46.62</c:v>
                </c:pt>
                <c:pt idx="110">
                  <c:v>56.32</c:v>
                </c:pt>
                <c:pt idx="111">
                  <c:v>56</c:v>
                </c:pt>
                <c:pt idx="112">
                  <c:v>50.93</c:v>
                </c:pt>
                <c:pt idx="113">
                  <c:v>48.55</c:v>
                </c:pt>
                <c:pt idx="114">
                  <c:v>47</c:v>
                </c:pt>
                <c:pt idx="115">
                  <c:v>45.818545790000002</c:v>
                </c:pt>
                <c:pt idx="116">
                  <c:v>46.307740879999997</c:v>
                </c:pt>
                <c:pt idx="117">
                  <c:v>45.988338210000002</c:v>
                </c:pt>
                <c:pt idx="118">
                  <c:v>45.179360529999997</c:v>
                </c:pt>
                <c:pt idx="119">
                  <c:v>46.39</c:v>
                </c:pt>
              </c:numCache>
            </c:numRef>
          </c:val>
          <c:smooth val="0"/>
          <c:extLst>
            <c:ext xmlns:c16="http://schemas.microsoft.com/office/drawing/2014/chart" uri="{C3380CC4-5D6E-409C-BE32-E72D297353CC}">
              <c16:uniqueId val="{00000000-F677-46B2-81A7-C9F5F1F54A8C}"/>
            </c:ext>
          </c:extLst>
        </c:ser>
        <c:ser>
          <c:idx val="1"/>
          <c:order val="1"/>
          <c:tx>
            <c:strRef>
              <c:f>Klimat!$C$58</c:f>
              <c:strCache>
                <c:ptCount val="1"/>
                <c:pt idx="0">
                  <c:v>Globalt</c:v>
                </c:pt>
              </c:strCache>
            </c:strRef>
          </c:tx>
          <c:spPr>
            <a:ln w="31750" cap="rnd">
              <a:solidFill>
                <a:schemeClr val="bg1">
                  <a:lumMod val="75000"/>
                </a:schemeClr>
              </a:solidFill>
              <a:round/>
            </a:ln>
            <a:effectLst/>
          </c:spPr>
          <c:marker>
            <c:symbol val="none"/>
          </c:marker>
          <c:val>
            <c:numRef>
              <c:f>Klimat!$C$59:$C$178</c:f>
              <c:numCache>
                <c:formatCode>0</c:formatCode>
                <c:ptCount val="120"/>
                <c:pt idx="0">
                  <c:v>13.18</c:v>
                </c:pt>
                <c:pt idx="1">
                  <c:v>13.62</c:v>
                </c:pt>
                <c:pt idx="2">
                  <c:v>13.96</c:v>
                </c:pt>
                <c:pt idx="3">
                  <c:v>15.22</c:v>
                </c:pt>
                <c:pt idx="4">
                  <c:v>15.4</c:v>
                </c:pt>
                <c:pt idx="5">
                  <c:v>16.36</c:v>
                </c:pt>
                <c:pt idx="6">
                  <c:v>17.440000000000001</c:v>
                </c:pt>
                <c:pt idx="7">
                  <c:v>19.34</c:v>
                </c:pt>
                <c:pt idx="8">
                  <c:v>18.5</c:v>
                </c:pt>
                <c:pt idx="9">
                  <c:v>19.37</c:v>
                </c:pt>
                <c:pt idx="10">
                  <c:v>20.21</c:v>
                </c:pt>
                <c:pt idx="11">
                  <c:v>20.63</c:v>
                </c:pt>
                <c:pt idx="12">
                  <c:v>21.69</c:v>
                </c:pt>
                <c:pt idx="13">
                  <c:v>23.27</c:v>
                </c:pt>
                <c:pt idx="14">
                  <c:v>20.97</c:v>
                </c:pt>
                <c:pt idx="15">
                  <c:v>20.68</c:v>
                </c:pt>
                <c:pt idx="16">
                  <c:v>22.23</c:v>
                </c:pt>
                <c:pt idx="17">
                  <c:v>23.56</c:v>
                </c:pt>
                <c:pt idx="18">
                  <c:v>23.09</c:v>
                </c:pt>
                <c:pt idx="19">
                  <c:v>19.89</c:v>
                </c:pt>
                <c:pt idx="20">
                  <c:v>23</c:v>
                </c:pt>
                <c:pt idx="21">
                  <c:v>19.809999999999999</c:v>
                </c:pt>
                <c:pt idx="22">
                  <c:v>20.85</c:v>
                </c:pt>
                <c:pt idx="23">
                  <c:v>23.93</c:v>
                </c:pt>
                <c:pt idx="24">
                  <c:v>23.76</c:v>
                </c:pt>
                <c:pt idx="25">
                  <c:v>24.06</c:v>
                </c:pt>
                <c:pt idx="26">
                  <c:v>24.25</c:v>
                </c:pt>
                <c:pt idx="27">
                  <c:v>26.2</c:v>
                </c:pt>
                <c:pt idx="28">
                  <c:v>26.28</c:v>
                </c:pt>
                <c:pt idx="29">
                  <c:v>28.25</c:v>
                </c:pt>
                <c:pt idx="30">
                  <c:v>25.98</c:v>
                </c:pt>
                <c:pt idx="31">
                  <c:v>23.19</c:v>
                </c:pt>
                <c:pt idx="32">
                  <c:v>20.9</c:v>
                </c:pt>
                <c:pt idx="33">
                  <c:v>22.03</c:v>
                </c:pt>
                <c:pt idx="34">
                  <c:v>24.01</c:v>
                </c:pt>
                <c:pt idx="35">
                  <c:v>25.34</c:v>
                </c:pt>
                <c:pt idx="36">
                  <c:v>27.88</c:v>
                </c:pt>
                <c:pt idx="37">
                  <c:v>29.83</c:v>
                </c:pt>
                <c:pt idx="38">
                  <c:v>28.18</c:v>
                </c:pt>
                <c:pt idx="39">
                  <c:v>29.41</c:v>
                </c:pt>
                <c:pt idx="40">
                  <c:v>32.049999999999997</c:v>
                </c:pt>
                <c:pt idx="41">
                  <c:v>32.909999999999997</c:v>
                </c:pt>
                <c:pt idx="42">
                  <c:v>33.11</c:v>
                </c:pt>
                <c:pt idx="43">
                  <c:v>34.32</c:v>
                </c:pt>
                <c:pt idx="44">
                  <c:v>34.119999999999997</c:v>
                </c:pt>
                <c:pt idx="45">
                  <c:v>28.62</c:v>
                </c:pt>
                <c:pt idx="46">
                  <c:v>30.55</c:v>
                </c:pt>
                <c:pt idx="47">
                  <c:v>34.340000000000003</c:v>
                </c:pt>
                <c:pt idx="48">
                  <c:v>36.24</c:v>
                </c:pt>
                <c:pt idx="49">
                  <c:v>35.01</c:v>
                </c:pt>
                <c:pt idx="50">
                  <c:v>40.22</c:v>
                </c:pt>
                <c:pt idx="51">
                  <c:v>43.6</c:v>
                </c:pt>
                <c:pt idx="52">
                  <c:v>44.29</c:v>
                </c:pt>
                <c:pt idx="53">
                  <c:v>45.42</c:v>
                </c:pt>
                <c:pt idx="54">
                  <c:v>46.02</c:v>
                </c:pt>
                <c:pt idx="55">
                  <c:v>50.38</c:v>
                </c:pt>
                <c:pt idx="56">
                  <c:v>53.71</c:v>
                </c:pt>
                <c:pt idx="57">
                  <c:v>56.01</c:v>
                </c:pt>
                <c:pt idx="58">
                  <c:v>57.49</c:v>
                </c:pt>
                <c:pt idx="59">
                  <c:v>60.55</c:v>
                </c:pt>
                <c:pt idx="60">
                  <c:v>63.39</c:v>
                </c:pt>
                <c:pt idx="61">
                  <c:v>63.66</c:v>
                </c:pt>
                <c:pt idx="62">
                  <c:v>66.27</c:v>
                </c:pt>
                <c:pt idx="63">
                  <c:v>69.900000000000006</c:v>
                </c:pt>
                <c:pt idx="64">
                  <c:v>73.900000000000006</c:v>
                </c:pt>
                <c:pt idx="65">
                  <c:v>77.23</c:v>
                </c:pt>
                <c:pt idx="66">
                  <c:v>81.13</c:v>
                </c:pt>
                <c:pt idx="67">
                  <c:v>83.72</c:v>
                </c:pt>
                <c:pt idx="68">
                  <c:v>87.98</c:v>
                </c:pt>
                <c:pt idx="69">
                  <c:v>93.26</c:v>
                </c:pt>
                <c:pt idx="70">
                  <c:v>100</c:v>
                </c:pt>
                <c:pt idx="71">
                  <c:v>103.82</c:v>
                </c:pt>
                <c:pt idx="72">
                  <c:v>107.97</c:v>
                </c:pt>
                <c:pt idx="73">
                  <c:v>113.84</c:v>
                </c:pt>
                <c:pt idx="74">
                  <c:v>114.06</c:v>
                </c:pt>
                <c:pt idx="75">
                  <c:v>113.4</c:v>
                </c:pt>
                <c:pt idx="76">
                  <c:v>120.01</c:v>
                </c:pt>
                <c:pt idx="77">
                  <c:v>123.76</c:v>
                </c:pt>
                <c:pt idx="78">
                  <c:v>125.19</c:v>
                </c:pt>
                <c:pt idx="79">
                  <c:v>132.16999999999999</c:v>
                </c:pt>
                <c:pt idx="80">
                  <c:v>130.79</c:v>
                </c:pt>
                <c:pt idx="81">
                  <c:v>126.77</c:v>
                </c:pt>
                <c:pt idx="82">
                  <c:v>125.68</c:v>
                </c:pt>
                <c:pt idx="83">
                  <c:v>125.22</c:v>
                </c:pt>
                <c:pt idx="84">
                  <c:v>129.72999999999999</c:v>
                </c:pt>
                <c:pt idx="85">
                  <c:v>133.65</c:v>
                </c:pt>
                <c:pt idx="86">
                  <c:v>137.75</c:v>
                </c:pt>
                <c:pt idx="87">
                  <c:v>141.25</c:v>
                </c:pt>
                <c:pt idx="88">
                  <c:v>146.46</c:v>
                </c:pt>
                <c:pt idx="89">
                  <c:v>149.66999999999999</c:v>
                </c:pt>
                <c:pt idx="90">
                  <c:v>149.86000000000001</c:v>
                </c:pt>
                <c:pt idx="91">
                  <c:v>151.54</c:v>
                </c:pt>
                <c:pt idx="92">
                  <c:v>149.96</c:v>
                </c:pt>
                <c:pt idx="93">
                  <c:v>149.77000000000001</c:v>
                </c:pt>
                <c:pt idx="94">
                  <c:v>152.33000000000001</c:v>
                </c:pt>
                <c:pt idx="95">
                  <c:v>155.56</c:v>
                </c:pt>
                <c:pt idx="96">
                  <c:v>159.09</c:v>
                </c:pt>
                <c:pt idx="97">
                  <c:v>161.76</c:v>
                </c:pt>
                <c:pt idx="98">
                  <c:v>162.25</c:v>
                </c:pt>
                <c:pt idx="99">
                  <c:v>161.88</c:v>
                </c:pt>
                <c:pt idx="100">
                  <c:v>166.12</c:v>
                </c:pt>
                <c:pt idx="101">
                  <c:v>170.07</c:v>
                </c:pt>
                <c:pt idx="102">
                  <c:v>172.56</c:v>
                </c:pt>
                <c:pt idx="103">
                  <c:v>181.99</c:v>
                </c:pt>
                <c:pt idx="104">
                  <c:v>191.04</c:v>
                </c:pt>
                <c:pt idx="105">
                  <c:v>198.42</c:v>
                </c:pt>
                <c:pt idx="106">
                  <c:v>205.67</c:v>
                </c:pt>
                <c:pt idx="107">
                  <c:v>209.8</c:v>
                </c:pt>
                <c:pt idx="108">
                  <c:v>216.53</c:v>
                </c:pt>
                <c:pt idx="109">
                  <c:v>214.58</c:v>
                </c:pt>
                <c:pt idx="110">
                  <c:v>225.22</c:v>
                </c:pt>
                <c:pt idx="111">
                  <c:v>234.47</c:v>
                </c:pt>
                <c:pt idx="112">
                  <c:v>238.66</c:v>
                </c:pt>
                <c:pt idx="113">
                  <c:v>241.13</c:v>
                </c:pt>
                <c:pt idx="114">
                  <c:v>243.15</c:v>
                </c:pt>
                <c:pt idx="115">
                  <c:v>229.99673659999999</c:v>
                </c:pt>
                <c:pt idx="116">
                  <c:v>230.32801430000001</c:v>
                </c:pt>
                <c:pt idx="117">
                  <c:v>233.4683982</c:v>
                </c:pt>
                <c:pt idx="118">
                  <c:v>239.0108558</c:v>
                </c:pt>
                <c:pt idx="119">
                  <c:v>241.22</c:v>
                </c:pt>
              </c:numCache>
            </c:numRef>
          </c:val>
          <c:smooth val="0"/>
          <c:extLst>
            <c:ext xmlns:c16="http://schemas.microsoft.com/office/drawing/2014/chart" uri="{C3380CC4-5D6E-409C-BE32-E72D297353CC}">
              <c16:uniqueId val="{00000001-F677-46B2-81A7-C9F5F1F54A8C}"/>
            </c:ext>
          </c:extLst>
        </c:ser>
        <c:dLbls>
          <c:showLegendKey val="0"/>
          <c:showVal val="0"/>
          <c:showCatName val="0"/>
          <c:showSerName val="0"/>
          <c:showPercent val="0"/>
          <c:showBubbleSize val="0"/>
        </c:dLbls>
        <c:smooth val="0"/>
        <c:axId val="484688712"/>
        <c:axId val="484686088"/>
      </c:lineChart>
      <c:catAx>
        <c:axId val="48468871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484686088"/>
        <c:crosses val="autoZero"/>
        <c:auto val="1"/>
        <c:lblAlgn val="ctr"/>
        <c:lblOffset val="100"/>
        <c:tickLblSkip val="5"/>
        <c:noMultiLvlLbl val="0"/>
      </c:catAx>
      <c:valAx>
        <c:axId val="48468608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48468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Klimat!$B$223</c:f>
              <c:strCache>
                <c:ptCount val="1"/>
                <c:pt idx="0">
                  <c:v>Kol</c:v>
                </c:pt>
              </c:strCache>
            </c:strRef>
          </c:tx>
          <c:spPr>
            <a:solidFill>
              <a:schemeClr val="bg2">
                <a:lumMod val="25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Klimat!$B$224:$B$227</c:f>
              <c:numCache>
                <c:formatCode>General</c:formatCode>
                <c:ptCount val="4"/>
                <c:pt idx="1">
                  <c:v>24</c:v>
                </c:pt>
              </c:numCache>
            </c:numRef>
          </c:val>
          <c:extLst>
            <c:ext xmlns:c16="http://schemas.microsoft.com/office/drawing/2014/chart" uri="{C3380CC4-5D6E-409C-BE32-E72D297353CC}">
              <c16:uniqueId val="{00000000-8B7A-432D-AB2A-F7235E68A5D7}"/>
            </c:ext>
          </c:extLst>
        </c:ser>
        <c:ser>
          <c:idx val="1"/>
          <c:order val="1"/>
          <c:tx>
            <c:strRef>
              <c:f>Klimat!$C$223</c:f>
              <c:strCache>
                <c:ptCount val="1"/>
                <c:pt idx="0">
                  <c:v>Gas</c:v>
                </c:pt>
              </c:strCache>
            </c:strRef>
          </c:tx>
          <c:spPr>
            <a:solidFill>
              <a:schemeClr val="bg2">
                <a:lumMod val="50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Klimat!$C$224:$C$227</c:f>
              <c:numCache>
                <c:formatCode>General</c:formatCode>
                <c:ptCount val="4"/>
                <c:pt idx="0">
                  <c:v>6.5</c:v>
                </c:pt>
                <c:pt idx="1">
                  <c:v>16</c:v>
                </c:pt>
              </c:numCache>
            </c:numRef>
          </c:val>
          <c:extLst>
            <c:ext xmlns:c16="http://schemas.microsoft.com/office/drawing/2014/chart" uri="{C3380CC4-5D6E-409C-BE32-E72D297353CC}">
              <c16:uniqueId val="{00000001-8B7A-432D-AB2A-F7235E68A5D7}"/>
            </c:ext>
          </c:extLst>
        </c:ser>
        <c:ser>
          <c:idx val="2"/>
          <c:order val="2"/>
          <c:tx>
            <c:strRef>
              <c:f>Klimat!$D$223</c:f>
              <c:strCache>
                <c:ptCount val="1"/>
                <c:pt idx="0">
                  <c:v>Olja</c:v>
                </c:pt>
              </c:strCache>
            </c:strRef>
          </c:tx>
          <c:spPr>
            <a:solidFill>
              <a:schemeClr val="accent3"/>
            </a:solidFill>
            <a:ln>
              <a:noFill/>
            </a:ln>
            <a:effectLst/>
          </c:spPr>
          <c:invertIfNegative val="0"/>
          <c:cat>
            <c:strRef>
              <c:f>Klimat!$A$224:$A$227</c:f>
              <c:strCache>
                <c:ptCount val="4"/>
                <c:pt idx="0">
                  <c:v>Frankrike</c:v>
                </c:pt>
                <c:pt idx="1">
                  <c:v>Tyskland</c:v>
                </c:pt>
                <c:pt idx="2">
                  <c:v>Sverige</c:v>
                </c:pt>
                <c:pt idx="3">
                  <c:v>Schewiz</c:v>
                </c:pt>
              </c:strCache>
            </c:strRef>
          </c:cat>
          <c:val>
            <c:numRef>
              <c:f>Klimat!$D$224:$D$227</c:f>
              <c:numCache>
                <c:formatCode>General</c:formatCode>
                <c:ptCount val="4"/>
                <c:pt idx="1">
                  <c:v>4</c:v>
                </c:pt>
              </c:numCache>
            </c:numRef>
          </c:val>
          <c:extLst>
            <c:ext xmlns:c16="http://schemas.microsoft.com/office/drawing/2014/chart" uri="{C3380CC4-5D6E-409C-BE32-E72D297353CC}">
              <c16:uniqueId val="{00000002-8B7A-432D-AB2A-F7235E68A5D7}"/>
            </c:ext>
          </c:extLst>
        </c:ser>
        <c:ser>
          <c:idx val="3"/>
          <c:order val="3"/>
          <c:tx>
            <c:strRef>
              <c:f>Klimat!$E$223</c:f>
              <c:strCache>
                <c:ptCount val="1"/>
                <c:pt idx="0">
                  <c:v>Kärnkraft</c:v>
                </c:pt>
              </c:strCache>
            </c:strRef>
          </c:tx>
          <c:spPr>
            <a:solidFill>
              <a:schemeClr val="accent6">
                <a:lumMod val="60000"/>
                <a:lumOff val="40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Klimat!$E$224:$E$227</c:f>
              <c:numCache>
                <c:formatCode>General</c:formatCode>
                <c:ptCount val="4"/>
                <c:pt idx="0">
                  <c:v>67</c:v>
                </c:pt>
                <c:pt idx="1">
                  <c:v>11</c:v>
                </c:pt>
                <c:pt idx="2">
                  <c:v>30</c:v>
                </c:pt>
                <c:pt idx="3">
                  <c:v>34</c:v>
                </c:pt>
              </c:numCache>
            </c:numRef>
          </c:val>
          <c:extLst>
            <c:ext xmlns:c16="http://schemas.microsoft.com/office/drawing/2014/chart" uri="{C3380CC4-5D6E-409C-BE32-E72D297353CC}">
              <c16:uniqueId val="{00000003-8B7A-432D-AB2A-F7235E68A5D7}"/>
            </c:ext>
          </c:extLst>
        </c:ser>
        <c:ser>
          <c:idx val="4"/>
          <c:order val="4"/>
          <c:tx>
            <c:strRef>
              <c:f>Klimat!$F$223</c:f>
              <c:strCache>
                <c:ptCount val="1"/>
                <c:pt idx="0">
                  <c:v>Vatten</c:v>
                </c:pt>
              </c:strCache>
            </c:strRef>
          </c:tx>
          <c:spPr>
            <a:solidFill>
              <a:schemeClr val="accent5">
                <a:lumMod val="60000"/>
                <a:lumOff val="40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Klimat!$F$224:$F$227</c:f>
              <c:numCache>
                <c:formatCode>General</c:formatCode>
                <c:ptCount val="4"/>
                <c:pt idx="0">
                  <c:v>12</c:v>
                </c:pt>
                <c:pt idx="2">
                  <c:v>45</c:v>
                </c:pt>
                <c:pt idx="3">
                  <c:v>54</c:v>
                </c:pt>
              </c:numCache>
            </c:numRef>
          </c:val>
          <c:extLst>
            <c:ext xmlns:c16="http://schemas.microsoft.com/office/drawing/2014/chart" uri="{C3380CC4-5D6E-409C-BE32-E72D297353CC}">
              <c16:uniqueId val="{00000004-8B7A-432D-AB2A-F7235E68A5D7}"/>
            </c:ext>
          </c:extLst>
        </c:ser>
        <c:ser>
          <c:idx val="5"/>
          <c:order val="5"/>
          <c:tx>
            <c:strRef>
              <c:f>Klimat!$G$223</c:f>
              <c:strCache>
                <c:ptCount val="1"/>
                <c:pt idx="0">
                  <c:v>Vind</c:v>
                </c:pt>
              </c:strCache>
            </c:strRef>
          </c:tx>
          <c:spPr>
            <a:solidFill>
              <a:schemeClr val="accent2">
                <a:lumMod val="60000"/>
                <a:lumOff val="40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Klimat!$G$224:$G$227</c:f>
              <c:numCache>
                <c:formatCode>General</c:formatCode>
                <c:ptCount val="4"/>
                <c:pt idx="0">
                  <c:v>7.4</c:v>
                </c:pt>
                <c:pt idx="1">
                  <c:v>24</c:v>
                </c:pt>
                <c:pt idx="2">
                  <c:v>16</c:v>
                </c:pt>
              </c:numCache>
            </c:numRef>
          </c:val>
          <c:extLst>
            <c:ext xmlns:c16="http://schemas.microsoft.com/office/drawing/2014/chart" uri="{C3380CC4-5D6E-409C-BE32-E72D297353CC}">
              <c16:uniqueId val="{00000005-8B7A-432D-AB2A-F7235E68A5D7}"/>
            </c:ext>
          </c:extLst>
        </c:ser>
        <c:ser>
          <c:idx val="6"/>
          <c:order val="6"/>
          <c:tx>
            <c:strRef>
              <c:f>Klimat!$H$223</c:f>
              <c:strCache>
                <c:ptCount val="1"/>
                <c:pt idx="0">
                  <c:v>Sol</c:v>
                </c:pt>
              </c:strCache>
            </c:strRef>
          </c:tx>
          <c:spPr>
            <a:solidFill>
              <a:schemeClr val="accent4">
                <a:lumMod val="60000"/>
                <a:lumOff val="40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Klimat!$H$224:$H$227</c:f>
              <c:numCache>
                <c:formatCode>General</c:formatCode>
                <c:ptCount val="4"/>
                <c:pt idx="1">
                  <c:v>9</c:v>
                </c:pt>
                <c:pt idx="3">
                  <c:v>5.8</c:v>
                </c:pt>
              </c:numCache>
            </c:numRef>
          </c:val>
          <c:extLst>
            <c:ext xmlns:c16="http://schemas.microsoft.com/office/drawing/2014/chart" uri="{C3380CC4-5D6E-409C-BE32-E72D297353CC}">
              <c16:uniqueId val="{00000006-8B7A-432D-AB2A-F7235E68A5D7}"/>
            </c:ext>
          </c:extLst>
        </c:ser>
        <c:ser>
          <c:idx val="7"/>
          <c:order val="7"/>
          <c:tx>
            <c:strRef>
              <c:f>Klimat!$I$223</c:f>
              <c:strCache>
                <c:ptCount val="1"/>
                <c:pt idx="0">
                  <c:v>Övrigt förnyelsebart</c:v>
                </c:pt>
              </c:strCache>
            </c:strRef>
          </c:tx>
          <c:spPr>
            <a:solidFill>
              <a:schemeClr val="accent4">
                <a:lumMod val="75000"/>
              </a:schemeClr>
            </a:solidFill>
            <a:ln>
              <a:noFill/>
            </a:ln>
            <a:effectLst/>
          </c:spPr>
          <c:invertIfNegative val="0"/>
          <c:cat>
            <c:strRef>
              <c:f>Klimat!$A$224:$A$227</c:f>
              <c:strCache>
                <c:ptCount val="4"/>
                <c:pt idx="0">
                  <c:v>Frankrike</c:v>
                </c:pt>
                <c:pt idx="1">
                  <c:v>Tyskland</c:v>
                </c:pt>
                <c:pt idx="2">
                  <c:v>Sverige</c:v>
                </c:pt>
                <c:pt idx="3">
                  <c:v>Schewiz</c:v>
                </c:pt>
              </c:strCache>
            </c:strRef>
          </c:cat>
          <c:val>
            <c:numRef>
              <c:f>Klimat!$I$224:$I$227</c:f>
              <c:numCache>
                <c:formatCode>General</c:formatCode>
                <c:ptCount val="4"/>
                <c:pt idx="1">
                  <c:v>8.9</c:v>
                </c:pt>
                <c:pt idx="2">
                  <c:v>6.4</c:v>
                </c:pt>
                <c:pt idx="3">
                  <c:v>4.8</c:v>
                </c:pt>
              </c:numCache>
            </c:numRef>
          </c:val>
          <c:extLst>
            <c:ext xmlns:c16="http://schemas.microsoft.com/office/drawing/2014/chart" uri="{C3380CC4-5D6E-409C-BE32-E72D297353CC}">
              <c16:uniqueId val="{00000007-8B7A-432D-AB2A-F7235E68A5D7}"/>
            </c:ext>
          </c:extLst>
        </c:ser>
        <c:dLbls>
          <c:showLegendKey val="0"/>
          <c:showVal val="0"/>
          <c:showCatName val="0"/>
          <c:showSerName val="0"/>
          <c:showPercent val="0"/>
          <c:showBubbleSize val="0"/>
        </c:dLbls>
        <c:gapWidth val="150"/>
        <c:overlap val="100"/>
        <c:axId val="520371664"/>
        <c:axId val="520378552"/>
      </c:barChart>
      <c:catAx>
        <c:axId val="52037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0378552"/>
        <c:crosses val="autoZero"/>
        <c:auto val="1"/>
        <c:lblAlgn val="ctr"/>
        <c:lblOffset val="100"/>
        <c:noMultiLvlLbl val="0"/>
      </c:catAx>
      <c:valAx>
        <c:axId val="52037855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2037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Klimat!$C$201</c:f>
              <c:strCache>
                <c:ptCount val="1"/>
                <c:pt idx="0">
                  <c:v>CO2e/kW</c:v>
                </c:pt>
              </c:strCache>
            </c:strRef>
          </c:tx>
          <c:spPr>
            <a:solidFill>
              <a:schemeClr val="bg2">
                <a:lumMod val="25000"/>
              </a:schemeClr>
            </a:solidFill>
            <a:ln>
              <a:noFill/>
            </a:ln>
            <a:effectLst/>
          </c:spPr>
          <c:invertIfNegative val="0"/>
          <c:cat>
            <c:strRef>
              <c:f>Klimat!$B$202:$B$205</c:f>
              <c:strCache>
                <c:ptCount val="4"/>
                <c:pt idx="0">
                  <c:v>Kärnkraft</c:v>
                </c:pt>
                <c:pt idx="1">
                  <c:v>Vattenkraft</c:v>
                </c:pt>
                <c:pt idx="2">
                  <c:v>Vindkraft</c:v>
                </c:pt>
                <c:pt idx="3">
                  <c:v>Solkraft</c:v>
                </c:pt>
              </c:strCache>
            </c:strRef>
          </c:cat>
          <c:val>
            <c:numRef>
              <c:f>Klimat!$C$202:$C$205</c:f>
              <c:numCache>
                <c:formatCode>General</c:formatCode>
                <c:ptCount val="4"/>
                <c:pt idx="0">
                  <c:v>2.5</c:v>
                </c:pt>
                <c:pt idx="1">
                  <c:v>4</c:v>
                </c:pt>
                <c:pt idx="2">
                  <c:v>12</c:v>
                </c:pt>
                <c:pt idx="3">
                  <c:v>24</c:v>
                </c:pt>
              </c:numCache>
            </c:numRef>
          </c:val>
          <c:extLst>
            <c:ext xmlns:c16="http://schemas.microsoft.com/office/drawing/2014/chart" uri="{C3380CC4-5D6E-409C-BE32-E72D297353CC}">
              <c16:uniqueId val="{00000000-F089-405B-86FA-B6AE98D05A95}"/>
            </c:ext>
          </c:extLst>
        </c:ser>
        <c:dLbls>
          <c:showLegendKey val="0"/>
          <c:showVal val="0"/>
          <c:showCatName val="0"/>
          <c:showSerName val="0"/>
          <c:showPercent val="0"/>
          <c:showBubbleSize val="0"/>
        </c:dLbls>
        <c:gapWidth val="219"/>
        <c:overlap val="-27"/>
        <c:axId val="540775608"/>
        <c:axId val="540769048"/>
      </c:barChart>
      <c:catAx>
        <c:axId val="54077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0769048"/>
        <c:crosses val="autoZero"/>
        <c:auto val="1"/>
        <c:lblAlgn val="ctr"/>
        <c:lblOffset val="100"/>
        <c:noMultiLvlLbl val="0"/>
      </c:catAx>
      <c:valAx>
        <c:axId val="540769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407756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Klimat!$B$184</c:f>
              <c:strCache>
                <c:ptCount val="1"/>
                <c:pt idx="0">
                  <c:v>Betong</c:v>
                </c:pt>
              </c:strCache>
            </c:strRef>
          </c:tx>
          <c:spPr>
            <a:solidFill>
              <a:schemeClr val="bg1">
                <a:lumMod val="75000"/>
              </a:schemeClr>
            </a:solidFill>
            <a:ln>
              <a:noFill/>
            </a:ln>
            <a:effectLst/>
          </c:spPr>
          <c:invertIfNegative val="0"/>
          <c:cat>
            <c:strRef>
              <c:f>Klimat!$A$185:$A$188</c:f>
              <c:strCache>
                <c:ptCount val="4"/>
                <c:pt idx="0">
                  <c:v>Kärnkraft</c:v>
                </c:pt>
                <c:pt idx="1">
                  <c:v>Vindkraft</c:v>
                </c:pt>
                <c:pt idx="2">
                  <c:v>Vattenkraft</c:v>
                </c:pt>
                <c:pt idx="3">
                  <c:v>Solkraft</c:v>
                </c:pt>
              </c:strCache>
            </c:strRef>
          </c:cat>
          <c:val>
            <c:numRef>
              <c:f>Klimat!$B$185:$B$188</c:f>
              <c:numCache>
                <c:formatCode>General</c:formatCode>
                <c:ptCount val="4"/>
                <c:pt idx="0">
                  <c:v>760</c:v>
                </c:pt>
                <c:pt idx="1">
                  <c:v>8000</c:v>
                </c:pt>
                <c:pt idx="2">
                  <c:v>14000</c:v>
                </c:pt>
                <c:pt idx="3">
                  <c:v>350</c:v>
                </c:pt>
              </c:numCache>
            </c:numRef>
          </c:val>
          <c:extLst>
            <c:ext xmlns:c16="http://schemas.microsoft.com/office/drawing/2014/chart" uri="{C3380CC4-5D6E-409C-BE32-E72D297353CC}">
              <c16:uniqueId val="{00000000-668D-4931-B3A8-B73C3B3C0018}"/>
            </c:ext>
          </c:extLst>
        </c:ser>
        <c:ser>
          <c:idx val="1"/>
          <c:order val="1"/>
          <c:tx>
            <c:strRef>
              <c:f>Klimat!$C$184</c:f>
              <c:strCache>
                <c:ptCount val="1"/>
                <c:pt idx="0">
                  <c:v>Cement</c:v>
                </c:pt>
              </c:strCache>
            </c:strRef>
          </c:tx>
          <c:spPr>
            <a:solidFill>
              <a:schemeClr val="accent2">
                <a:lumMod val="60000"/>
                <a:lumOff val="40000"/>
              </a:schemeClr>
            </a:solidFill>
            <a:ln>
              <a:noFill/>
            </a:ln>
            <a:effectLst/>
          </c:spPr>
          <c:invertIfNegative val="0"/>
          <c:cat>
            <c:strRef>
              <c:f>Klimat!$A$185:$A$188</c:f>
              <c:strCache>
                <c:ptCount val="4"/>
                <c:pt idx="0">
                  <c:v>Kärnkraft</c:v>
                </c:pt>
                <c:pt idx="1">
                  <c:v>Vindkraft</c:v>
                </c:pt>
                <c:pt idx="2">
                  <c:v>Vattenkraft</c:v>
                </c:pt>
                <c:pt idx="3">
                  <c:v>Solkraft</c:v>
                </c:pt>
              </c:strCache>
            </c:strRef>
          </c:cat>
          <c:val>
            <c:numRef>
              <c:f>Klimat!$C$185:$C$188</c:f>
              <c:numCache>
                <c:formatCode>General</c:formatCode>
                <c:ptCount val="4"/>
                <c:pt idx="1">
                  <c:v>0</c:v>
                </c:pt>
                <c:pt idx="3">
                  <c:v>3700</c:v>
                </c:pt>
              </c:numCache>
            </c:numRef>
          </c:val>
          <c:extLst>
            <c:ext xmlns:c16="http://schemas.microsoft.com/office/drawing/2014/chart" uri="{C3380CC4-5D6E-409C-BE32-E72D297353CC}">
              <c16:uniqueId val="{00000001-668D-4931-B3A8-B73C3B3C0018}"/>
            </c:ext>
          </c:extLst>
        </c:ser>
        <c:ser>
          <c:idx val="2"/>
          <c:order val="2"/>
          <c:tx>
            <c:strRef>
              <c:f>Klimat!$D$184</c:f>
              <c:strCache>
                <c:ptCount val="1"/>
                <c:pt idx="0">
                  <c:v>Stål</c:v>
                </c:pt>
              </c:strCache>
            </c:strRef>
          </c:tx>
          <c:spPr>
            <a:solidFill>
              <a:schemeClr val="accent4">
                <a:lumMod val="60000"/>
                <a:lumOff val="40000"/>
              </a:schemeClr>
            </a:solidFill>
            <a:ln>
              <a:noFill/>
            </a:ln>
            <a:effectLst/>
          </c:spPr>
          <c:invertIfNegative val="0"/>
          <c:cat>
            <c:strRef>
              <c:f>Klimat!$A$185:$A$188</c:f>
              <c:strCache>
                <c:ptCount val="4"/>
                <c:pt idx="0">
                  <c:v>Kärnkraft</c:v>
                </c:pt>
                <c:pt idx="1">
                  <c:v>Vindkraft</c:v>
                </c:pt>
                <c:pt idx="2">
                  <c:v>Vattenkraft</c:v>
                </c:pt>
                <c:pt idx="3">
                  <c:v>Solkraft</c:v>
                </c:pt>
              </c:strCache>
            </c:strRef>
          </c:cat>
          <c:val>
            <c:numRef>
              <c:f>Klimat!$D$185:$D$188</c:f>
              <c:numCache>
                <c:formatCode>General</c:formatCode>
                <c:ptCount val="4"/>
                <c:pt idx="0">
                  <c:v>160</c:v>
                </c:pt>
                <c:pt idx="1">
                  <c:v>1800</c:v>
                </c:pt>
                <c:pt idx="2">
                  <c:v>67</c:v>
                </c:pt>
                <c:pt idx="3">
                  <c:v>7900</c:v>
                </c:pt>
              </c:numCache>
            </c:numRef>
          </c:val>
          <c:extLst>
            <c:ext xmlns:c16="http://schemas.microsoft.com/office/drawing/2014/chart" uri="{C3380CC4-5D6E-409C-BE32-E72D297353CC}">
              <c16:uniqueId val="{00000002-668D-4931-B3A8-B73C3B3C0018}"/>
            </c:ext>
          </c:extLst>
        </c:ser>
        <c:ser>
          <c:idx val="3"/>
          <c:order val="3"/>
          <c:tx>
            <c:strRef>
              <c:f>Klimat!$E$184</c:f>
              <c:strCache>
                <c:ptCount val="1"/>
                <c:pt idx="0">
                  <c:v>Övriga metaller</c:v>
                </c:pt>
              </c:strCache>
            </c:strRef>
          </c:tx>
          <c:spPr>
            <a:solidFill>
              <a:schemeClr val="tx1">
                <a:lumMod val="65000"/>
                <a:lumOff val="35000"/>
              </a:schemeClr>
            </a:solidFill>
            <a:ln>
              <a:noFill/>
            </a:ln>
            <a:effectLst/>
          </c:spPr>
          <c:invertIfNegative val="0"/>
          <c:cat>
            <c:strRef>
              <c:f>Klimat!$A$185:$A$188</c:f>
              <c:strCache>
                <c:ptCount val="4"/>
                <c:pt idx="0">
                  <c:v>Kärnkraft</c:v>
                </c:pt>
                <c:pt idx="1">
                  <c:v>Vindkraft</c:v>
                </c:pt>
                <c:pt idx="2">
                  <c:v>Vattenkraft</c:v>
                </c:pt>
                <c:pt idx="3">
                  <c:v>Solkraft</c:v>
                </c:pt>
              </c:strCache>
            </c:strRef>
          </c:cat>
          <c:val>
            <c:numRef>
              <c:f>Klimat!$E$185:$E$188</c:f>
              <c:numCache>
                <c:formatCode>General</c:formatCode>
                <c:ptCount val="4"/>
                <c:pt idx="0">
                  <c:v>10</c:v>
                </c:pt>
                <c:pt idx="1">
                  <c:v>178</c:v>
                </c:pt>
                <c:pt idx="2">
                  <c:v>1</c:v>
                </c:pt>
                <c:pt idx="3">
                  <c:v>1587</c:v>
                </c:pt>
              </c:numCache>
            </c:numRef>
          </c:val>
          <c:extLst>
            <c:ext xmlns:c16="http://schemas.microsoft.com/office/drawing/2014/chart" uri="{C3380CC4-5D6E-409C-BE32-E72D297353CC}">
              <c16:uniqueId val="{00000003-668D-4931-B3A8-B73C3B3C0018}"/>
            </c:ext>
          </c:extLst>
        </c:ser>
        <c:ser>
          <c:idx val="4"/>
          <c:order val="4"/>
          <c:tx>
            <c:strRef>
              <c:f>Klimat!$F$184</c:f>
              <c:strCache>
                <c:ptCount val="1"/>
                <c:pt idx="0">
                  <c:v>Glas</c:v>
                </c:pt>
              </c:strCache>
            </c:strRef>
          </c:tx>
          <c:spPr>
            <a:solidFill>
              <a:schemeClr val="accent6">
                <a:lumMod val="60000"/>
                <a:lumOff val="40000"/>
              </a:schemeClr>
            </a:solidFill>
            <a:ln>
              <a:noFill/>
            </a:ln>
            <a:effectLst/>
          </c:spPr>
          <c:invertIfNegative val="0"/>
          <c:cat>
            <c:strRef>
              <c:f>Klimat!$A$185:$A$188</c:f>
              <c:strCache>
                <c:ptCount val="4"/>
                <c:pt idx="0">
                  <c:v>Kärnkraft</c:v>
                </c:pt>
                <c:pt idx="1">
                  <c:v>Vindkraft</c:v>
                </c:pt>
                <c:pt idx="2">
                  <c:v>Vattenkraft</c:v>
                </c:pt>
                <c:pt idx="3">
                  <c:v>Solkraft</c:v>
                </c:pt>
              </c:strCache>
            </c:strRef>
          </c:cat>
          <c:val>
            <c:numRef>
              <c:f>Klimat!$F$185:$F$188</c:f>
              <c:numCache>
                <c:formatCode>General</c:formatCode>
                <c:ptCount val="4"/>
                <c:pt idx="1">
                  <c:v>92</c:v>
                </c:pt>
                <c:pt idx="3">
                  <c:v>2700</c:v>
                </c:pt>
              </c:numCache>
            </c:numRef>
          </c:val>
          <c:extLst>
            <c:ext xmlns:c16="http://schemas.microsoft.com/office/drawing/2014/chart" uri="{C3380CC4-5D6E-409C-BE32-E72D297353CC}">
              <c16:uniqueId val="{00000004-668D-4931-B3A8-B73C3B3C0018}"/>
            </c:ext>
          </c:extLst>
        </c:ser>
        <c:ser>
          <c:idx val="5"/>
          <c:order val="5"/>
          <c:tx>
            <c:strRef>
              <c:f>Klimat!$G$184</c:f>
              <c:strCache>
                <c:ptCount val="1"/>
                <c:pt idx="0">
                  <c:v>Plast</c:v>
                </c:pt>
              </c:strCache>
            </c:strRef>
          </c:tx>
          <c:spPr>
            <a:solidFill>
              <a:schemeClr val="accent6"/>
            </a:solidFill>
            <a:ln>
              <a:noFill/>
            </a:ln>
            <a:effectLst/>
          </c:spPr>
          <c:invertIfNegative val="0"/>
          <c:cat>
            <c:strRef>
              <c:f>Klimat!$A$185:$A$188</c:f>
              <c:strCache>
                <c:ptCount val="4"/>
                <c:pt idx="0">
                  <c:v>Kärnkraft</c:v>
                </c:pt>
                <c:pt idx="1">
                  <c:v>Vindkraft</c:v>
                </c:pt>
                <c:pt idx="2">
                  <c:v>Vattenkraft</c:v>
                </c:pt>
                <c:pt idx="3">
                  <c:v>Solkraft</c:v>
                </c:pt>
              </c:strCache>
            </c:strRef>
          </c:cat>
          <c:val>
            <c:numRef>
              <c:f>Klimat!$G$185:$G$188</c:f>
              <c:numCache>
                <c:formatCode>General</c:formatCode>
                <c:ptCount val="4"/>
                <c:pt idx="1">
                  <c:v>190</c:v>
                </c:pt>
                <c:pt idx="3">
                  <c:v>210</c:v>
                </c:pt>
              </c:numCache>
            </c:numRef>
          </c:val>
          <c:extLst>
            <c:ext xmlns:c16="http://schemas.microsoft.com/office/drawing/2014/chart" uri="{C3380CC4-5D6E-409C-BE32-E72D297353CC}">
              <c16:uniqueId val="{00000005-668D-4931-B3A8-B73C3B3C0018}"/>
            </c:ext>
          </c:extLst>
        </c:ser>
        <c:dLbls>
          <c:showLegendKey val="0"/>
          <c:showVal val="0"/>
          <c:showCatName val="0"/>
          <c:showSerName val="0"/>
          <c:showPercent val="0"/>
          <c:showBubbleSize val="0"/>
        </c:dLbls>
        <c:gapWidth val="150"/>
        <c:overlap val="100"/>
        <c:axId val="437238592"/>
        <c:axId val="437237608"/>
      </c:barChart>
      <c:catAx>
        <c:axId val="43723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7237608"/>
        <c:crosses val="autoZero"/>
        <c:auto val="1"/>
        <c:lblAlgn val="ctr"/>
        <c:lblOffset val="100"/>
        <c:noMultiLvlLbl val="0"/>
      </c:catAx>
      <c:valAx>
        <c:axId val="437237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723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'HB21 (1)'!$B$508</c:f>
              <c:strCache>
                <c:ptCount val="1"/>
                <c:pt idx="0">
                  <c:v>BNP</c:v>
                </c:pt>
              </c:strCache>
            </c:strRef>
          </c:tx>
          <c:spPr>
            <a:solidFill>
              <a:schemeClr val="bg2">
                <a:lumMod val="25000"/>
              </a:schemeClr>
            </a:solidFill>
            <a:ln>
              <a:noFill/>
            </a:ln>
            <a:effectLst/>
          </c:spPr>
          <c:invertIfNegative val="0"/>
          <c:cat>
            <c:numRef>
              <c:f>'HB21 (1)'!$A$509:$A$513</c:f>
              <c:numCache>
                <c:formatCode>General</c:formatCode>
                <c:ptCount val="5"/>
                <c:pt idx="0">
                  <c:v>2020</c:v>
                </c:pt>
                <c:pt idx="1">
                  <c:v>2021</c:v>
                </c:pt>
                <c:pt idx="2">
                  <c:v>2022</c:v>
                </c:pt>
                <c:pt idx="3">
                  <c:v>2023</c:v>
                </c:pt>
                <c:pt idx="4">
                  <c:v>2024</c:v>
                </c:pt>
              </c:numCache>
            </c:numRef>
          </c:cat>
          <c:val>
            <c:numRef>
              <c:f>'HB21 (1)'!$B$509:$B$513</c:f>
              <c:numCache>
                <c:formatCode>General</c:formatCode>
                <c:ptCount val="5"/>
                <c:pt idx="0">
                  <c:v>-2.8</c:v>
                </c:pt>
                <c:pt idx="1">
                  <c:v>4.4000000000000004</c:v>
                </c:pt>
                <c:pt idx="2">
                  <c:v>3.5</c:v>
                </c:pt>
                <c:pt idx="3">
                  <c:v>1.4</c:v>
                </c:pt>
                <c:pt idx="4">
                  <c:v>1.5</c:v>
                </c:pt>
              </c:numCache>
            </c:numRef>
          </c:val>
          <c:extLst>
            <c:ext xmlns:c16="http://schemas.microsoft.com/office/drawing/2014/chart" uri="{C3380CC4-5D6E-409C-BE32-E72D297353CC}">
              <c16:uniqueId val="{00000000-E32B-46F3-86D3-180014034B15}"/>
            </c:ext>
          </c:extLst>
        </c:ser>
        <c:dLbls>
          <c:showLegendKey val="0"/>
          <c:showVal val="0"/>
          <c:showCatName val="0"/>
          <c:showSerName val="0"/>
          <c:showPercent val="0"/>
          <c:showBubbleSize val="0"/>
        </c:dLbls>
        <c:gapWidth val="219"/>
        <c:overlap val="-27"/>
        <c:axId val="491289872"/>
        <c:axId val="491287248"/>
      </c:barChart>
      <c:catAx>
        <c:axId val="4912898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t"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1287248"/>
        <c:crosses val="autoZero"/>
        <c:auto val="1"/>
        <c:lblAlgn val="ctr"/>
        <c:lblOffset val="100"/>
        <c:noMultiLvlLbl val="0"/>
      </c:catAx>
      <c:valAx>
        <c:axId val="49128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1289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'HB21 (1)'!$B$98</c:f>
              <c:strCache>
                <c:ptCount val="1"/>
                <c:pt idx="0">
                  <c:v>Konfidens-indikator hushåll</c:v>
                </c:pt>
              </c:strCache>
            </c:strRef>
          </c:tx>
          <c:spPr>
            <a:ln w="28575" cap="rnd">
              <a:solidFill>
                <a:schemeClr val="bg2">
                  <a:lumMod val="25000"/>
                </a:schemeClr>
              </a:solidFill>
              <a:round/>
            </a:ln>
            <a:effectLst/>
          </c:spPr>
          <c:marker>
            <c:symbol val="none"/>
          </c:marker>
          <c:cat>
            <c:numRef>
              <c:f>'HB21 (1)'!$A$99:$A$406</c:f>
              <c:numCache>
                <c:formatCode>m/d/yyyy</c:formatCode>
                <c:ptCount val="308"/>
                <c:pt idx="0">
                  <c:v>35065</c:v>
                </c:pt>
                <c:pt idx="1">
                  <c:v>35096</c:v>
                </c:pt>
                <c:pt idx="2">
                  <c:v>35125</c:v>
                </c:pt>
                <c:pt idx="3">
                  <c:v>35156</c:v>
                </c:pt>
                <c:pt idx="4">
                  <c:v>35186</c:v>
                </c:pt>
                <c:pt idx="5">
                  <c:v>35217</c:v>
                </c:pt>
                <c:pt idx="6">
                  <c:v>35247</c:v>
                </c:pt>
                <c:pt idx="7">
                  <c:v>35278</c:v>
                </c:pt>
                <c:pt idx="8">
                  <c:v>35309</c:v>
                </c:pt>
                <c:pt idx="9">
                  <c:v>35339</c:v>
                </c:pt>
                <c:pt idx="10">
                  <c:v>35370</c:v>
                </c:pt>
                <c:pt idx="11">
                  <c:v>35400</c:v>
                </c:pt>
                <c:pt idx="12">
                  <c:v>35431</c:v>
                </c:pt>
                <c:pt idx="13">
                  <c:v>35462</c:v>
                </c:pt>
                <c:pt idx="14">
                  <c:v>35490</c:v>
                </c:pt>
                <c:pt idx="15">
                  <c:v>35521</c:v>
                </c:pt>
                <c:pt idx="16">
                  <c:v>35551</c:v>
                </c:pt>
                <c:pt idx="17">
                  <c:v>35582</c:v>
                </c:pt>
                <c:pt idx="18">
                  <c:v>35612</c:v>
                </c:pt>
                <c:pt idx="19">
                  <c:v>35643</c:v>
                </c:pt>
                <c:pt idx="20">
                  <c:v>35674</c:v>
                </c:pt>
                <c:pt idx="21">
                  <c:v>35704</c:v>
                </c:pt>
                <c:pt idx="22">
                  <c:v>35735</c:v>
                </c:pt>
                <c:pt idx="23">
                  <c:v>35765</c:v>
                </c:pt>
                <c:pt idx="24">
                  <c:v>35796</c:v>
                </c:pt>
                <c:pt idx="25">
                  <c:v>35827</c:v>
                </c:pt>
                <c:pt idx="26">
                  <c:v>35855</c:v>
                </c:pt>
                <c:pt idx="27">
                  <c:v>35886</c:v>
                </c:pt>
                <c:pt idx="28">
                  <c:v>35916</c:v>
                </c:pt>
                <c:pt idx="29">
                  <c:v>35947</c:v>
                </c:pt>
                <c:pt idx="30">
                  <c:v>35977</c:v>
                </c:pt>
                <c:pt idx="31">
                  <c:v>36008</c:v>
                </c:pt>
                <c:pt idx="32">
                  <c:v>36039</c:v>
                </c:pt>
                <c:pt idx="33">
                  <c:v>36069</c:v>
                </c:pt>
                <c:pt idx="34">
                  <c:v>36100</c:v>
                </c:pt>
                <c:pt idx="35">
                  <c:v>36130</c:v>
                </c:pt>
                <c:pt idx="36">
                  <c:v>36161</c:v>
                </c:pt>
                <c:pt idx="37">
                  <c:v>36192</c:v>
                </c:pt>
                <c:pt idx="38">
                  <c:v>36220</c:v>
                </c:pt>
                <c:pt idx="39">
                  <c:v>36251</c:v>
                </c:pt>
                <c:pt idx="40">
                  <c:v>36281</c:v>
                </c:pt>
                <c:pt idx="41">
                  <c:v>36312</c:v>
                </c:pt>
                <c:pt idx="42">
                  <c:v>36342</c:v>
                </c:pt>
                <c:pt idx="43">
                  <c:v>36373</c:v>
                </c:pt>
                <c:pt idx="44">
                  <c:v>36404</c:v>
                </c:pt>
                <c:pt idx="45">
                  <c:v>36434</c:v>
                </c:pt>
                <c:pt idx="46">
                  <c:v>36465</c:v>
                </c:pt>
                <c:pt idx="47">
                  <c:v>36495</c:v>
                </c:pt>
                <c:pt idx="48">
                  <c:v>36526</c:v>
                </c:pt>
                <c:pt idx="49">
                  <c:v>36557</c:v>
                </c:pt>
                <c:pt idx="50">
                  <c:v>36586</c:v>
                </c:pt>
                <c:pt idx="51">
                  <c:v>36617</c:v>
                </c:pt>
                <c:pt idx="52">
                  <c:v>36647</c:v>
                </c:pt>
                <c:pt idx="53">
                  <c:v>36678</c:v>
                </c:pt>
                <c:pt idx="54">
                  <c:v>36708</c:v>
                </c:pt>
                <c:pt idx="55">
                  <c:v>36739</c:v>
                </c:pt>
                <c:pt idx="56">
                  <c:v>36770</c:v>
                </c:pt>
                <c:pt idx="57">
                  <c:v>36800</c:v>
                </c:pt>
                <c:pt idx="58">
                  <c:v>36831</c:v>
                </c:pt>
                <c:pt idx="59">
                  <c:v>36861</c:v>
                </c:pt>
                <c:pt idx="60">
                  <c:v>36892</c:v>
                </c:pt>
                <c:pt idx="61">
                  <c:v>36923</c:v>
                </c:pt>
                <c:pt idx="62">
                  <c:v>36951</c:v>
                </c:pt>
                <c:pt idx="63">
                  <c:v>36982</c:v>
                </c:pt>
                <c:pt idx="64">
                  <c:v>37012</c:v>
                </c:pt>
                <c:pt idx="65">
                  <c:v>37043</c:v>
                </c:pt>
                <c:pt idx="66">
                  <c:v>37073</c:v>
                </c:pt>
                <c:pt idx="67">
                  <c:v>37104</c:v>
                </c:pt>
                <c:pt idx="68">
                  <c:v>37135</c:v>
                </c:pt>
                <c:pt idx="69">
                  <c:v>37165</c:v>
                </c:pt>
                <c:pt idx="70">
                  <c:v>37196</c:v>
                </c:pt>
                <c:pt idx="71">
                  <c:v>37226</c:v>
                </c:pt>
                <c:pt idx="72">
                  <c:v>37257</c:v>
                </c:pt>
                <c:pt idx="73">
                  <c:v>37288</c:v>
                </c:pt>
                <c:pt idx="74">
                  <c:v>37316</c:v>
                </c:pt>
                <c:pt idx="75">
                  <c:v>37347</c:v>
                </c:pt>
                <c:pt idx="76">
                  <c:v>37377</c:v>
                </c:pt>
                <c:pt idx="77">
                  <c:v>37408</c:v>
                </c:pt>
                <c:pt idx="78">
                  <c:v>37438</c:v>
                </c:pt>
                <c:pt idx="79">
                  <c:v>37469</c:v>
                </c:pt>
                <c:pt idx="80">
                  <c:v>37500</c:v>
                </c:pt>
                <c:pt idx="81">
                  <c:v>37530</c:v>
                </c:pt>
                <c:pt idx="82">
                  <c:v>37561</c:v>
                </c:pt>
                <c:pt idx="83">
                  <c:v>37591</c:v>
                </c:pt>
                <c:pt idx="84">
                  <c:v>37622</c:v>
                </c:pt>
                <c:pt idx="85">
                  <c:v>37653</c:v>
                </c:pt>
                <c:pt idx="86">
                  <c:v>37681</c:v>
                </c:pt>
                <c:pt idx="87">
                  <c:v>37712</c:v>
                </c:pt>
                <c:pt idx="88">
                  <c:v>37742</c:v>
                </c:pt>
                <c:pt idx="89">
                  <c:v>37773</c:v>
                </c:pt>
                <c:pt idx="90">
                  <c:v>37803</c:v>
                </c:pt>
                <c:pt idx="91">
                  <c:v>37834</c:v>
                </c:pt>
                <c:pt idx="92">
                  <c:v>37865</c:v>
                </c:pt>
                <c:pt idx="93">
                  <c:v>37895</c:v>
                </c:pt>
                <c:pt idx="94">
                  <c:v>37926</c:v>
                </c:pt>
                <c:pt idx="95">
                  <c:v>37956</c:v>
                </c:pt>
                <c:pt idx="96">
                  <c:v>37987</c:v>
                </c:pt>
                <c:pt idx="97">
                  <c:v>38018</c:v>
                </c:pt>
                <c:pt idx="98">
                  <c:v>38047</c:v>
                </c:pt>
                <c:pt idx="99">
                  <c:v>38078</c:v>
                </c:pt>
                <c:pt idx="100">
                  <c:v>38108</c:v>
                </c:pt>
                <c:pt idx="101">
                  <c:v>38139</c:v>
                </c:pt>
                <c:pt idx="102">
                  <c:v>38169</c:v>
                </c:pt>
                <c:pt idx="103">
                  <c:v>38200</c:v>
                </c:pt>
                <c:pt idx="104">
                  <c:v>38231</c:v>
                </c:pt>
                <c:pt idx="105">
                  <c:v>38261</c:v>
                </c:pt>
                <c:pt idx="106">
                  <c:v>38292</c:v>
                </c:pt>
                <c:pt idx="107">
                  <c:v>38322</c:v>
                </c:pt>
                <c:pt idx="108">
                  <c:v>38353</c:v>
                </c:pt>
                <c:pt idx="109">
                  <c:v>38384</c:v>
                </c:pt>
                <c:pt idx="110">
                  <c:v>38412</c:v>
                </c:pt>
                <c:pt idx="111">
                  <c:v>38443</c:v>
                </c:pt>
                <c:pt idx="112">
                  <c:v>38473</c:v>
                </c:pt>
                <c:pt idx="113">
                  <c:v>38504</c:v>
                </c:pt>
                <c:pt idx="114">
                  <c:v>38534</c:v>
                </c:pt>
                <c:pt idx="115">
                  <c:v>38565</c:v>
                </c:pt>
                <c:pt idx="116">
                  <c:v>38596</c:v>
                </c:pt>
                <c:pt idx="117">
                  <c:v>38626</c:v>
                </c:pt>
                <c:pt idx="118">
                  <c:v>38657</c:v>
                </c:pt>
                <c:pt idx="119">
                  <c:v>38687</c:v>
                </c:pt>
                <c:pt idx="120">
                  <c:v>38718</c:v>
                </c:pt>
                <c:pt idx="121">
                  <c:v>38749</c:v>
                </c:pt>
                <c:pt idx="122">
                  <c:v>38777</c:v>
                </c:pt>
                <c:pt idx="123">
                  <c:v>38808</c:v>
                </c:pt>
                <c:pt idx="124">
                  <c:v>38838</c:v>
                </c:pt>
                <c:pt idx="125">
                  <c:v>38869</c:v>
                </c:pt>
                <c:pt idx="126">
                  <c:v>38899</c:v>
                </c:pt>
                <c:pt idx="127">
                  <c:v>38930</c:v>
                </c:pt>
                <c:pt idx="128">
                  <c:v>38961</c:v>
                </c:pt>
                <c:pt idx="129">
                  <c:v>38991</c:v>
                </c:pt>
                <c:pt idx="130">
                  <c:v>39022</c:v>
                </c:pt>
                <c:pt idx="131">
                  <c:v>39052</c:v>
                </c:pt>
                <c:pt idx="132">
                  <c:v>39083</c:v>
                </c:pt>
                <c:pt idx="133">
                  <c:v>39114</c:v>
                </c:pt>
                <c:pt idx="134">
                  <c:v>39142</c:v>
                </c:pt>
                <c:pt idx="135">
                  <c:v>39173</c:v>
                </c:pt>
                <c:pt idx="136">
                  <c:v>39203</c:v>
                </c:pt>
                <c:pt idx="137">
                  <c:v>39234</c:v>
                </c:pt>
                <c:pt idx="138">
                  <c:v>39264</c:v>
                </c:pt>
                <c:pt idx="139">
                  <c:v>39295</c:v>
                </c:pt>
                <c:pt idx="140">
                  <c:v>39326</c:v>
                </c:pt>
                <c:pt idx="141">
                  <c:v>39356</c:v>
                </c:pt>
                <c:pt idx="142">
                  <c:v>39387</c:v>
                </c:pt>
                <c:pt idx="143">
                  <c:v>39417</c:v>
                </c:pt>
                <c:pt idx="144">
                  <c:v>39448</c:v>
                </c:pt>
                <c:pt idx="145">
                  <c:v>39479</c:v>
                </c:pt>
                <c:pt idx="146">
                  <c:v>39508</c:v>
                </c:pt>
                <c:pt idx="147">
                  <c:v>39539</c:v>
                </c:pt>
                <c:pt idx="148">
                  <c:v>39569</c:v>
                </c:pt>
                <c:pt idx="149">
                  <c:v>39600</c:v>
                </c:pt>
                <c:pt idx="150">
                  <c:v>39630</c:v>
                </c:pt>
                <c:pt idx="151">
                  <c:v>39661</c:v>
                </c:pt>
                <c:pt idx="152">
                  <c:v>39692</c:v>
                </c:pt>
                <c:pt idx="153">
                  <c:v>39722</c:v>
                </c:pt>
                <c:pt idx="154">
                  <c:v>39753</c:v>
                </c:pt>
                <c:pt idx="155">
                  <c:v>39783</c:v>
                </c:pt>
                <c:pt idx="156">
                  <c:v>39814</c:v>
                </c:pt>
                <c:pt idx="157">
                  <c:v>39845</c:v>
                </c:pt>
                <c:pt idx="158">
                  <c:v>39873</c:v>
                </c:pt>
                <c:pt idx="159">
                  <c:v>39904</c:v>
                </c:pt>
                <c:pt idx="160">
                  <c:v>39934</c:v>
                </c:pt>
                <c:pt idx="161">
                  <c:v>39965</c:v>
                </c:pt>
                <c:pt idx="162">
                  <c:v>39995</c:v>
                </c:pt>
                <c:pt idx="163">
                  <c:v>40026</c:v>
                </c:pt>
                <c:pt idx="164">
                  <c:v>40057</c:v>
                </c:pt>
                <c:pt idx="165">
                  <c:v>40087</c:v>
                </c:pt>
                <c:pt idx="166">
                  <c:v>40118</c:v>
                </c:pt>
                <c:pt idx="167">
                  <c:v>40148</c:v>
                </c:pt>
                <c:pt idx="168">
                  <c:v>40179</c:v>
                </c:pt>
                <c:pt idx="169">
                  <c:v>40210</c:v>
                </c:pt>
                <c:pt idx="170">
                  <c:v>40238</c:v>
                </c:pt>
                <c:pt idx="171">
                  <c:v>40269</c:v>
                </c:pt>
                <c:pt idx="172">
                  <c:v>40299</c:v>
                </c:pt>
                <c:pt idx="173">
                  <c:v>40330</c:v>
                </c:pt>
                <c:pt idx="174">
                  <c:v>40360</c:v>
                </c:pt>
                <c:pt idx="175">
                  <c:v>40391</c:v>
                </c:pt>
                <c:pt idx="176">
                  <c:v>40422</c:v>
                </c:pt>
                <c:pt idx="177">
                  <c:v>40452</c:v>
                </c:pt>
                <c:pt idx="178">
                  <c:v>40483</c:v>
                </c:pt>
                <c:pt idx="179">
                  <c:v>40513</c:v>
                </c:pt>
                <c:pt idx="180">
                  <c:v>40544</c:v>
                </c:pt>
                <c:pt idx="181">
                  <c:v>40575</c:v>
                </c:pt>
                <c:pt idx="182">
                  <c:v>40603</c:v>
                </c:pt>
                <c:pt idx="183">
                  <c:v>40634</c:v>
                </c:pt>
                <c:pt idx="184">
                  <c:v>40664</c:v>
                </c:pt>
                <c:pt idx="185">
                  <c:v>40695</c:v>
                </c:pt>
                <c:pt idx="186">
                  <c:v>40725</c:v>
                </c:pt>
                <c:pt idx="187">
                  <c:v>40756</c:v>
                </c:pt>
                <c:pt idx="188">
                  <c:v>40787</c:v>
                </c:pt>
                <c:pt idx="189">
                  <c:v>40817</c:v>
                </c:pt>
                <c:pt idx="190">
                  <c:v>40848</c:v>
                </c:pt>
                <c:pt idx="191">
                  <c:v>40878</c:v>
                </c:pt>
                <c:pt idx="192">
                  <c:v>40909</c:v>
                </c:pt>
                <c:pt idx="193">
                  <c:v>40940</c:v>
                </c:pt>
                <c:pt idx="194">
                  <c:v>40969</c:v>
                </c:pt>
                <c:pt idx="195">
                  <c:v>41000</c:v>
                </c:pt>
                <c:pt idx="196">
                  <c:v>41030</c:v>
                </c:pt>
                <c:pt idx="197">
                  <c:v>41061</c:v>
                </c:pt>
                <c:pt idx="198">
                  <c:v>41091</c:v>
                </c:pt>
                <c:pt idx="199">
                  <c:v>41122</c:v>
                </c:pt>
                <c:pt idx="200">
                  <c:v>41153</c:v>
                </c:pt>
                <c:pt idx="201">
                  <c:v>41183</c:v>
                </c:pt>
                <c:pt idx="202">
                  <c:v>41214</c:v>
                </c:pt>
                <c:pt idx="203">
                  <c:v>41244</c:v>
                </c:pt>
                <c:pt idx="204">
                  <c:v>41275</c:v>
                </c:pt>
                <c:pt idx="205">
                  <c:v>41306</c:v>
                </c:pt>
                <c:pt idx="206">
                  <c:v>41334</c:v>
                </c:pt>
                <c:pt idx="207">
                  <c:v>41365</c:v>
                </c:pt>
                <c:pt idx="208">
                  <c:v>41395</c:v>
                </c:pt>
                <c:pt idx="209">
                  <c:v>41426</c:v>
                </c:pt>
                <c:pt idx="210">
                  <c:v>41456</c:v>
                </c:pt>
                <c:pt idx="211">
                  <c:v>41487</c:v>
                </c:pt>
                <c:pt idx="212">
                  <c:v>41518</c:v>
                </c:pt>
                <c:pt idx="213">
                  <c:v>41548</c:v>
                </c:pt>
                <c:pt idx="214">
                  <c:v>41579</c:v>
                </c:pt>
                <c:pt idx="215">
                  <c:v>41609</c:v>
                </c:pt>
                <c:pt idx="216">
                  <c:v>41640</c:v>
                </c:pt>
                <c:pt idx="217">
                  <c:v>41671</c:v>
                </c:pt>
                <c:pt idx="218">
                  <c:v>41699</c:v>
                </c:pt>
                <c:pt idx="219">
                  <c:v>41730</c:v>
                </c:pt>
                <c:pt idx="220">
                  <c:v>41760</c:v>
                </c:pt>
                <c:pt idx="221">
                  <c:v>41791</c:v>
                </c:pt>
                <c:pt idx="222">
                  <c:v>41821</c:v>
                </c:pt>
                <c:pt idx="223">
                  <c:v>41852</c:v>
                </c:pt>
                <c:pt idx="224">
                  <c:v>41883</c:v>
                </c:pt>
                <c:pt idx="225">
                  <c:v>41913</c:v>
                </c:pt>
                <c:pt idx="226">
                  <c:v>41944</c:v>
                </c:pt>
                <c:pt idx="227">
                  <c:v>41974</c:v>
                </c:pt>
                <c:pt idx="228">
                  <c:v>42005</c:v>
                </c:pt>
                <c:pt idx="229">
                  <c:v>42036</c:v>
                </c:pt>
                <c:pt idx="230">
                  <c:v>42064</c:v>
                </c:pt>
                <c:pt idx="231">
                  <c:v>42095</c:v>
                </c:pt>
                <c:pt idx="232">
                  <c:v>42125</c:v>
                </c:pt>
                <c:pt idx="233">
                  <c:v>42156</c:v>
                </c:pt>
                <c:pt idx="234">
                  <c:v>42186</c:v>
                </c:pt>
                <c:pt idx="235">
                  <c:v>42217</c:v>
                </c:pt>
                <c:pt idx="236">
                  <c:v>42248</c:v>
                </c:pt>
                <c:pt idx="237">
                  <c:v>42278</c:v>
                </c:pt>
                <c:pt idx="238">
                  <c:v>42309</c:v>
                </c:pt>
                <c:pt idx="239">
                  <c:v>42339</c:v>
                </c:pt>
                <c:pt idx="240">
                  <c:v>42370</c:v>
                </c:pt>
                <c:pt idx="241">
                  <c:v>42401</c:v>
                </c:pt>
                <c:pt idx="242">
                  <c:v>42430</c:v>
                </c:pt>
                <c:pt idx="243">
                  <c:v>42461</c:v>
                </c:pt>
                <c:pt idx="244">
                  <c:v>42491</c:v>
                </c:pt>
                <c:pt idx="245">
                  <c:v>42522</c:v>
                </c:pt>
                <c:pt idx="246">
                  <c:v>42552</c:v>
                </c:pt>
                <c:pt idx="247">
                  <c:v>42583</c:v>
                </c:pt>
                <c:pt idx="248">
                  <c:v>42614</c:v>
                </c:pt>
                <c:pt idx="249">
                  <c:v>42644</c:v>
                </c:pt>
                <c:pt idx="250">
                  <c:v>42675</c:v>
                </c:pt>
                <c:pt idx="251">
                  <c:v>42705</c:v>
                </c:pt>
                <c:pt idx="252">
                  <c:v>42736</c:v>
                </c:pt>
                <c:pt idx="253">
                  <c:v>42767</c:v>
                </c:pt>
                <c:pt idx="254">
                  <c:v>42795</c:v>
                </c:pt>
                <c:pt idx="255">
                  <c:v>42826</c:v>
                </c:pt>
                <c:pt idx="256">
                  <c:v>42856</c:v>
                </c:pt>
                <c:pt idx="257">
                  <c:v>42887</c:v>
                </c:pt>
                <c:pt idx="258">
                  <c:v>42917</c:v>
                </c:pt>
                <c:pt idx="259">
                  <c:v>42948</c:v>
                </c:pt>
                <c:pt idx="260">
                  <c:v>42979</c:v>
                </c:pt>
                <c:pt idx="261">
                  <c:v>43009</c:v>
                </c:pt>
                <c:pt idx="262">
                  <c:v>43040</c:v>
                </c:pt>
                <c:pt idx="263">
                  <c:v>43070</c:v>
                </c:pt>
                <c:pt idx="264">
                  <c:v>43101</c:v>
                </c:pt>
                <c:pt idx="265">
                  <c:v>43132</c:v>
                </c:pt>
                <c:pt idx="266">
                  <c:v>43160</c:v>
                </c:pt>
                <c:pt idx="267">
                  <c:v>43191</c:v>
                </c:pt>
                <c:pt idx="268">
                  <c:v>43221</c:v>
                </c:pt>
                <c:pt idx="269">
                  <c:v>43252</c:v>
                </c:pt>
                <c:pt idx="270">
                  <c:v>43282</c:v>
                </c:pt>
                <c:pt idx="271">
                  <c:v>43313</c:v>
                </c:pt>
                <c:pt idx="272">
                  <c:v>43344</c:v>
                </c:pt>
                <c:pt idx="273">
                  <c:v>43374</c:v>
                </c:pt>
                <c:pt idx="274">
                  <c:v>43405</c:v>
                </c:pt>
                <c:pt idx="275">
                  <c:v>43435</c:v>
                </c:pt>
                <c:pt idx="276">
                  <c:v>43466</c:v>
                </c:pt>
                <c:pt idx="277">
                  <c:v>43497</c:v>
                </c:pt>
                <c:pt idx="278">
                  <c:v>43525</c:v>
                </c:pt>
                <c:pt idx="279">
                  <c:v>43556</c:v>
                </c:pt>
                <c:pt idx="280">
                  <c:v>43586</c:v>
                </c:pt>
                <c:pt idx="281">
                  <c:v>43617</c:v>
                </c:pt>
                <c:pt idx="282">
                  <c:v>43647</c:v>
                </c:pt>
                <c:pt idx="283">
                  <c:v>43678</c:v>
                </c:pt>
                <c:pt idx="284">
                  <c:v>43709</c:v>
                </c:pt>
                <c:pt idx="285">
                  <c:v>43739</c:v>
                </c:pt>
                <c:pt idx="286">
                  <c:v>43770</c:v>
                </c:pt>
                <c:pt idx="287">
                  <c:v>43800</c:v>
                </c:pt>
                <c:pt idx="288">
                  <c:v>43831</c:v>
                </c:pt>
                <c:pt idx="289">
                  <c:v>43862</c:v>
                </c:pt>
                <c:pt idx="290">
                  <c:v>43891</c:v>
                </c:pt>
                <c:pt idx="291">
                  <c:v>43922</c:v>
                </c:pt>
                <c:pt idx="292">
                  <c:v>43952</c:v>
                </c:pt>
                <c:pt idx="293">
                  <c:v>43983</c:v>
                </c:pt>
                <c:pt idx="294">
                  <c:v>44013</c:v>
                </c:pt>
                <c:pt idx="295">
                  <c:v>44044</c:v>
                </c:pt>
                <c:pt idx="296">
                  <c:v>44075</c:v>
                </c:pt>
                <c:pt idx="297">
                  <c:v>44105</c:v>
                </c:pt>
                <c:pt idx="298">
                  <c:v>44136</c:v>
                </c:pt>
                <c:pt idx="299">
                  <c:v>44166</c:v>
                </c:pt>
                <c:pt idx="300">
                  <c:v>44197</c:v>
                </c:pt>
                <c:pt idx="301">
                  <c:v>44228</c:v>
                </c:pt>
                <c:pt idx="302">
                  <c:v>44256</c:v>
                </c:pt>
                <c:pt idx="303">
                  <c:v>44287</c:v>
                </c:pt>
                <c:pt idx="304">
                  <c:v>44317</c:v>
                </c:pt>
                <c:pt idx="305">
                  <c:v>44348</c:v>
                </c:pt>
                <c:pt idx="306">
                  <c:v>44378</c:v>
                </c:pt>
                <c:pt idx="307">
                  <c:v>44409</c:v>
                </c:pt>
              </c:numCache>
            </c:numRef>
          </c:cat>
          <c:val>
            <c:numRef>
              <c:f>'HB21 (1)'!$B$99:$B$406</c:f>
              <c:numCache>
                <c:formatCode>General</c:formatCode>
                <c:ptCount val="308"/>
                <c:pt idx="0">
                  <c:v>77.400000000000006</c:v>
                </c:pt>
                <c:pt idx="1">
                  <c:v>80.3</c:v>
                </c:pt>
                <c:pt idx="2">
                  <c:v>79.7</c:v>
                </c:pt>
                <c:pt idx="3">
                  <c:v>78.599999999999994</c:v>
                </c:pt>
                <c:pt idx="4">
                  <c:v>79.8</c:v>
                </c:pt>
                <c:pt idx="5">
                  <c:v>80.7</c:v>
                </c:pt>
                <c:pt idx="6">
                  <c:v>78.2</c:v>
                </c:pt>
                <c:pt idx="7">
                  <c:v>85.5</c:v>
                </c:pt>
                <c:pt idx="8">
                  <c:v>86.5</c:v>
                </c:pt>
                <c:pt idx="9">
                  <c:v>81.3</c:v>
                </c:pt>
                <c:pt idx="10">
                  <c:v>82.8</c:v>
                </c:pt>
                <c:pt idx="11">
                  <c:v>83.9</c:v>
                </c:pt>
                <c:pt idx="12">
                  <c:v>82.6</c:v>
                </c:pt>
                <c:pt idx="13">
                  <c:v>84.8</c:v>
                </c:pt>
                <c:pt idx="14">
                  <c:v>89.1</c:v>
                </c:pt>
                <c:pt idx="15">
                  <c:v>91</c:v>
                </c:pt>
                <c:pt idx="16">
                  <c:v>92.9</c:v>
                </c:pt>
                <c:pt idx="17">
                  <c:v>92.9</c:v>
                </c:pt>
                <c:pt idx="18">
                  <c:v>95.2</c:v>
                </c:pt>
                <c:pt idx="19">
                  <c:v>94</c:v>
                </c:pt>
                <c:pt idx="20">
                  <c:v>97.3</c:v>
                </c:pt>
                <c:pt idx="21">
                  <c:v>102.6</c:v>
                </c:pt>
                <c:pt idx="22">
                  <c:v>100.4</c:v>
                </c:pt>
                <c:pt idx="23">
                  <c:v>105</c:v>
                </c:pt>
                <c:pt idx="24">
                  <c:v>104.4</c:v>
                </c:pt>
                <c:pt idx="25">
                  <c:v>101.4</c:v>
                </c:pt>
                <c:pt idx="26">
                  <c:v>101.5</c:v>
                </c:pt>
                <c:pt idx="27">
                  <c:v>104.9</c:v>
                </c:pt>
                <c:pt idx="28">
                  <c:v>106.1</c:v>
                </c:pt>
                <c:pt idx="29">
                  <c:v>106.7</c:v>
                </c:pt>
                <c:pt idx="30">
                  <c:v>107.5</c:v>
                </c:pt>
                <c:pt idx="31">
                  <c:v>104.2</c:v>
                </c:pt>
                <c:pt idx="32">
                  <c:v>104.8</c:v>
                </c:pt>
                <c:pt idx="33">
                  <c:v>106</c:v>
                </c:pt>
                <c:pt idx="34">
                  <c:v>107.7</c:v>
                </c:pt>
                <c:pt idx="35">
                  <c:v>105.6</c:v>
                </c:pt>
                <c:pt idx="36">
                  <c:v>110.7</c:v>
                </c:pt>
                <c:pt idx="37">
                  <c:v>108.3</c:v>
                </c:pt>
                <c:pt idx="38">
                  <c:v>109.1</c:v>
                </c:pt>
                <c:pt idx="39">
                  <c:v>108.9</c:v>
                </c:pt>
                <c:pt idx="40">
                  <c:v>109.9</c:v>
                </c:pt>
                <c:pt idx="41">
                  <c:v>111.7</c:v>
                </c:pt>
                <c:pt idx="42">
                  <c:v>111.4</c:v>
                </c:pt>
                <c:pt idx="43">
                  <c:v>115.9</c:v>
                </c:pt>
                <c:pt idx="44">
                  <c:v>117.1</c:v>
                </c:pt>
                <c:pt idx="45">
                  <c:v>117.1</c:v>
                </c:pt>
                <c:pt idx="46">
                  <c:v>114.2</c:v>
                </c:pt>
                <c:pt idx="47">
                  <c:v>118.4</c:v>
                </c:pt>
                <c:pt idx="48">
                  <c:v>123.5</c:v>
                </c:pt>
                <c:pt idx="49">
                  <c:v>123.3</c:v>
                </c:pt>
                <c:pt idx="50">
                  <c:v>125</c:v>
                </c:pt>
                <c:pt idx="51">
                  <c:v>123.7</c:v>
                </c:pt>
                <c:pt idx="52">
                  <c:v>121.4</c:v>
                </c:pt>
                <c:pt idx="53">
                  <c:v>120.2</c:v>
                </c:pt>
                <c:pt idx="54">
                  <c:v>119.4</c:v>
                </c:pt>
                <c:pt idx="55">
                  <c:v>122.5</c:v>
                </c:pt>
                <c:pt idx="56">
                  <c:v>118.4</c:v>
                </c:pt>
                <c:pt idx="57">
                  <c:v>120.2</c:v>
                </c:pt>
                <c:pt idx="58">
                  <c:v>118.9</c:v>
                </c:pt>
                <c:pt idx="59">
                  <c:v>115.7</c:v>
                </c:pt>
                <c:pt idx="60">
                  <c:v>110.3</c:v>
                </c:pt>
                <c:pt idx="61">
                  <c:v>107.4</c:v>
                </c:pt>
                <c:pt idx="62">
                  <c:v>105.3</c:v>
                </c:pt>
                <c:pt idx="63">
                  <c:v>102.9</c:v>
                </c:pt>
                <c:pt idx="64">
                  <c:v>103</c:v>
                </c:pt>
                <c:pt idx="65">
                  <c:v>102.3</c:v>
                </c:pt>
                <c:pt idx="66">
                  <c:v>101.2</c:v>
                </c:pt>
                <c:pt idx="67">
                  <c:v>99.7</c:v>
                </c:pt>
                <c:pt idx="68">
                  <c:v>95</c:v>
                </c:pt>
                <c:pt idx="69">
                  <c:v>97.1</c:v>
                </c:pt>
                <c:pt idx="70">
                  <c:v>100.3</c:v>
                </c:pt>
                <c:pt idx="71">
                  <c:v>99.8</c:v>
                </c:pt>
                <c:pt idx="72">
                  <c:v>97.4</c:v>
                </c:pt>
                <c:pt idx="73">
                  <c:v>104.6</c:v>
                </c:pt>
                <c:pt idx="74">
                  <c:v>106.8</c:v>
                </c:pt>
                <c:pt idx="75">
                  <c:v>105.2</c:v>
                </c:pt>
                <c:pt idx="76">
                  <c:v>104.5</c:v>
                </c:pt>
                <c:pt idx="77">
                  <c:v>102.6</c:v>
                </c:pt>
                <c:pt idx="78">
                  <c:v>104</c:v>
                </c:pt>
                <c:pt idx="79">
                  <c:v>99.2</c:v>
                </c:pt>
                <c:pt idx="80">
                  <c:v>100.2</c:v>
                </c:pt>
                <c:pt idx="81">
                  <c:v>96.1</c:v>
                </c:pt>
                <c:pt idx="82">
                  <c:v>97</c:v>
                </c:pt>
                <c:pt idx="83">
                  <c:v>95</c:v>
                </c:pt>
                <c:pt idx="84">
                  <c:v>91.1</c:v>
                </c:pt>
                <c:pt idx="85">
                  <c:v>92.4</c:v>
                </c:pt>
                <c:pt idx="86">
                  <c:v>88.2</c:v>
                </c:pt>
                <c:pt idx="87">
                  <c:v>89.2</c:v>
                </c:pt>
                <c:pt idx="88">
                  <c:v>91.7</c:v>
                </c:pt>
                <c:pt idx="89">
                  <c:v>94.1</c:v>
                </c:pt>
                <c:pt idx="90">
                  <c:v>99.7</c:v>
                </c:pt>
                <c:pt idx="91">
                  <c:v>100.2</c:v>
                </c:pt>
                <c:pt idx="92">
                  <c:v>104.9</c:v>
                </c:pt>
                <c:pt idx="93">
                  <c:v>99.1</c:v>
                </c:pt>
                <c:pt idx="94">
                  <c:v>92.6</c:v>
                </c:pt>
                <c:pt idx="95">
                  <c:v>93.8</c:v>
                </c:pt>
                <c:pt idx="96">
                  <c:v>98</c:v>
                </c:pt>
                <c:pt idx="97">
                  <c:v>104.1</c:v>
                </c:pt>
                <c:pt idx="98">
                  <c:v>98.5</c:v>
                </c:pt>
                <c:pt idx="99">
                  <c:v>104.2</c:v>
                </c:pt>
                <c:pt idx="100">
                  <c:v>98.6</c:v>
                </c:pt>
                <c:pt idx="101">
                  <c:v>102.4</c:v>
                </c:pt>
                <c:pt idx="102">
                  <c:v>99</c:v>
                </c:pt>
                <c:pt idx="103">
                  <c:v>101.1</c:v>
                </c:pt>
                <c:pt idx="104">
                  <c:v>101.4</c:v>
                </c:pt>
                <c:pt idx="105">
                  <c:v>102.9</c:v>
                </c:pt>
                <c:pt idx="106">
                  <c:v>103</c:v>
                </c:pt>
                <c:pt idx="107">
                  <c:v>105.8</c:v>
                </c:pt>
                <c:pt idx="108">
                  <c:v>105.6</c:v>
                </c:pt>
                <c:pt idx="109">
                  <c:v>103.8</c:v>
                </c:pt>
                <c:pt idx="110">
                  <c:v>107</c:v>
                </c:pt>
                <c:pt idx="111">
                  <c:v>100.4</c:v>
                </c:pt>
                <c:pt idx="112">
                  <c:v>102</c:v>
                </c:pt>
                <c:pt idx="113">
                  <c:v>102.4</c:v>
                </c:pt>
                <c:pt idx="114">
                  <c:v>102.5</c:v>
                </c:pt>
                <c:pt idx="115">
                  <c:v>107.6</c:v>
                </c:pt>
                <c:pt idx="116">
                  <c:v>105.9</c:v>
                </c:pt>
                <c:pt idx="117">
                  <c:v>107.1</c:v>
                </c:pt>
                <c:pt idx="118">
                  <c:v>106.2</c:v>
                </c:pt>
                <c:pt idx="119">
                  <c:v>109.7</c:v>
                </c:pt>
                <c:pt idx="120">
                  <c:v>115</c:v>
                </c:pt>
                <c:pt idx="121">
                  <c:v>111</c:v>
                </c:pt>
                <c:pt idx="122">
                  <c:v>108.5</c:v>
                </c:pt>
                <c:pt idx="123">
                  <c:v>110</c:v>
                </c:pt>
                <c:pt idx="124">
                  <c:v>112.4</c:v>
                </c:pt>
                <c:pt idx="125">
                  <c:v>108.7</c:v>
                </c:pt>
                <c:pt idx="126">
                  <c:v>109.1</c:v>
                </c:pt>
                <c:pt idx="127">
                  <c:v>107.1</c:v>
                </c:pt>
                <c:pt idx="128">
                  <c:v>109.4</c:v>
                </c:pt>
                <c:pt idx="129">
                  <c:v>108.8</c:v>
                </c:pt>
                <c:pt idx="130">
                  <c:v>107.6</c:v>
                </c:pt>
                <c:pt idx="131">
                  <c:v>107.5</c:v>
                </c:pt>
                <c:pt idx="132">
                  <c:v>105.1</c:v>
                </c:pt>
                <c:pt idx="133">
                  <c:v>109.1</c:v>
                </c:pt>
                <c:pt idx="134">
                  <c:v>108</c:v>
                </c:pt>
                <c:pt idx="135">
                  <c:v>115.8</c:v>
                </c:pt>
                <c:pt idx="136">
                  <c:v>109</c:v>
                </c:pt>
                <c:pt idx="137">
                  <c:v>113.2</c:v>
                </c:pt>
                <c:pt idx="138">
                  <c:v>112.8</c:v>
                </c:pt>
                <c:pt idx="139">
                  <c:v>109.6</c:v>
                </c:pt>
                <c:pt idx="140">
                  <c:v>105.6</c:v>
                </c:pt>
                <c:pt idx="141">
                  <c:v>109.3</c:v>
                </c:pt>
                <c:pt idx="142">
                  <c:v>106.5</c:v>
                </c:pt>
                <c:pt idx="143">
                  <c:v>104.4</c:v>
                </c:pt>
                <c:pt idx="144">
                  <c:v>100.2</c:v>
                </c:pt>
                <c:pt idx="145">
                  <c:v>95.8</c:v>
                </c:pt>
                <c:pt idx="146">
                  <c:v>97.3</c:v>
                </c:pt>
                <c:pt idx="147">
                  <c:v>94.5</c:v>
                </c:pt>
                <c:pt idx="148">
                  <c:v>90.6</c:v>
                </c:pt>
                <c:pt idx="149">
                  <c:v>82.1</c:v>
                </c:pt>
                <c:pt idx="150">
                  <c:v>72.7</c:v>
                </c:pt>
                <c:pt idx="151">
                  <c:v>76.8</c:v>
                </c:pt>
                <c:pt idx="152">
                  <c:v>79.5</c:v>
                </c:pt>
                <c:pt idx="153">
                  <c:v>67.3</c:v>
                </c:pt>
                <c:pt idx="154">
                  <c:v>68.900000000000006</c:v>
                </c:pt>
                <c:pt idx="155">
                  <c:v>73.400000000000006</c:v>
                </c:pt>
                <c:pt idx="156">
                  <c:v>80.400000000000006</c:v>
                </c:pt>
                <c:pt idx="157">
                  <c:v>79.8</c:v>
                </c:pt>
                <c:pt idx="158">
                  <c:v>78.900000000000006</c:v>
                </c:pt>
                <c:pt idx="159">
                  <c:v>73</c:v>
                </c:pt>
                <c:pt idx="160">
                  <c:v>81.8</c:v>
                </c:pt>
                <c:pt idx="161">
                  <c:v>83.8</c:v>
                </c:pt>
                <c:pt idx="162">
                  <c:v>89.7</c:v>
                </c:pt>
                <c:pt idx="163">
                  <c:v>94.7</c:v>
                </c:pt>
                <c:pt idx="164">
                  <c:v>97.1</c:v>
                </c:pt>
                <c:pt idx="165">
                  <c:v>101.1</c:v>
                </c:pt>
                <c:pt idx="166">
                  <c:v>103</c:v>
                </c:pt>
                <c:pt idx="167">
                  <c:v>100</c:v>
                </c:pt>
                <c:pt idx="168">
                  <c:v>97.4</c:v>
                </c:pt>
                <c:pt idx="169">
                  <c:v>102.2</c:v>
                </c:pt>
                <c:pt idx="170">
                  <c:v>102.8</c:v>
                </c:pt>
                <c:pt idx="171">
                  <c:v>105.1</c:v>
                </c:pt>
                <c:pt idx="172">
                  <c:v>106.3</c:v>
                </c:pt>
                <c:pt idx="173">
                  <c:v>107.9</c:v>
                </c:pt>
                <c:pt idx="174">
                  <c:v>106.1</c:v>
                </c:pt>
                <c:pt idx="175">
                  <c:v>108.7</c:v>
                </c:pt>
                <c:pt idx="176">
                  <c:v>114.4</c:v>
                </c:pt>
                <c:pt idx="177">
                  <c:v>111.3</c:v>
                </c:pt>
                <c:pt idx="178">
                  <c:v>111.9</c:v>
                </c:pt>
                <c:pt idx="179">
                  <c:v>112.3</c:v>
                </c:pt>
                <c:pt idx="180">
                  <c:v>111.6</c:v>
                </c:pt>
                <c:pt idx="181">
                  <c:v>109.8</c:v>
                </c:pt>
                <c:pt idx="182">
                  <c:v>104.6</c:v>
                </c:pt>
                <c:pt idx="183">
                  <c:v>103.4</c:v>
                </c:pt>
                <c:pt idx="184">
                  <c:v>102.6</c:v>
                </c:pt>
                <c:pt idx="185">
                  <c:v>104.2</c:v>
                </c:pt>
                <c:pt idx="186">
                  <c:v>99.7</c:v>
                </c:pt>
                <c:pt idx="187">
                  <c:v>92.4</c:v>
                </c:pt>
                <c:pt idx="188">
                  <c:v>86.7</c:v>
                </c:pt>
                <c:pt idx="189">
                  <c:v>87.8</c:v>
                </c:pt>
                <c:pt idx="190">
                  <c:v>89.7</c:v>
                </c:pt>
                <c:pt idx="191">
                  <c:v>91.1</c:v>
                </c:pt>
                <c:pt idx="192">
                  <c:v>93</c:v>
                </c:pt>
                <c:pt idx="193">
                  <c:v>92.6</c:v>
                </c:pt>
                <c:pt idx="194">
                  <c:v>95.5</c:v>
                </c:pt>
                <c:pt idx="195">
                  <c:v>97.4</c:v>
                </c:pt>
                <c:pt idx="196">
                  <c:v>96.8</c:v>
                </c:pt>
                <c:pt idx="197">
                  <c:v>97.4</c:v>
                </c:pt>
                <c:pt idx="198">
                  <c:v>97.8</c:v>
                </c:pt>
                <c:pt idx="199">
                  <c:v>98.7</c:v>
                </c:pt>
                <c:pt idx="200">
                  <c:v>96.4</c:v>
                </c:pt>
                <c:pt idx="201">
                  <c:v>96.2</c:v>
                </c:pt>
                <c:pt idx="202">
                  <c:v>92.6</c:v>
                </c:pt>
                <c:pt idx="203">
                  <c:v>87.8</c:v>
                </c:pt>
                <c:pt idx="204">
                  <c:v>95.4</c:v>
                </c:pt>
                <c:pt idx="205">
                  <c:v>96.5</c:v>
                </c:pt>
                <c:pt idx="206">
                  <c:v>97.3</c:v>
                </c:pt>
                <c:pt idx="207">
                  <c:v>97.3</c:v>
                </c:pt>
                <c:pt idx="208">
                  <c:v>95.4</c:v>
                </c:pt>
                <c:pt idx="209">
                  <c:v>96.3</c:v>
                </c:pt>
                <c:pt idx="210">
                  <c:v>100.7</c:v>
                </c:pt>
                <c:pt idx="211">
                  <c:v>99.9</c:v>
                </c:pt>
                <c:pt idx="212">
                  <c:v>96.9</c:v>
                </c:pt>
                <c:pt idx="213">
                  <c:v>101.6</c:v>
                </c:pt>
                <c:pt idx="214">
                  <c:v>105.4</c:v>
                </c:pt>
                <c:pt idx="215">
                  <c:v>104.6</c:v>
                </c:pt>
                <c:pt idx="216">
                  <c:v>102.8</c:v>
                </c:pt>
                <c:pt idx="217">
                  <c:v>101.2</c:v>
                </c:pt>
                <c:pt idx="218">
                  <c:v>100.6</c:v>
                </c:pt>
                <c:pt idx="219">
                  <c:v>101.5</c:v>
                </c:pt>
                <c:pt idx="220">
                  <c:v>103.4</c:v>
                </c:pt>
                <c:pt idx="221">
                  <c:v>103.5</c:v>
                </c:pt>
                <c:pt idx="222">
                  <c:v>103.4</c:v>
                </c:pt>
                <c:pt idx="223">
                  <c:v>98.7</c:v>
                </c:pt>
                <c:pt idx="224">
                  <c:v>104.4</c:v>
                </c:pt>
                <c:pt idx="225">
                  <c:v>98.7</c:v>
                </c:pt>
                <c:pt idx="226">
                  <c:v>97.5</c:v>
                </c:pt>
                <c:pt idx="227">
                  <c:v>99.3</c:v>
                </c:pt>
                <c:pt idx="228">
                  <c:v>99.5</c:v>
                </c:pt>
                <c:pt idx="229">
                  <c:v>98.7</c:v>
                </c:pt>
                <c:pt idx="230">
                  <c:v>100.5</c:v>
                </c:pt>
                <c:pt idx="231">
                  <c:v>98.9</c:v>
                </c:pt>
                <c:pt idx="232">
                  <c:v>100.3</c:v>
                </c:pt>
                <c:pt idx="233">
                  <c:v>99.5</c:v>
                </c:pt>
                <c:pt idx="234">
                  <c:v>99.5</c:v>
                </c:pt>
                <c:pt idx="235">
                  <c:v>102.7</c:v>
                </c:pt>
                <c:pt idx="236">
                  <c:v>98.7</c:v>
                </c:pt>
                <c:pt idx="237">
                  <c:v>97.3</c:v>
                </c:pt>
                <c:pt idx="238">
                  <c:v>93.9</c:v>
                </c:pt>
                <c:pt idx="239">
                  <c:v>98.6</c:v>
                </c:pt>
                <c:pt idx="240">
                  <c:v>96.9</c:v>
                </c:pt>
                <c:pt idx="241">
                  <c:v>97.9</c:v>
                </c:pt>
                <c:pt idx="242">
                  <c:v>100.2</c:v>
                </c:pt>
                <c:pt idx="243">
                  <c:v>97.9</c:v>
                </c:pt>
                <c:pt idx="244">
                  <c:v>97.7</c:v>
                </c:pt>
                <c:pt idx="245">
                  <c:v>101</c:v>
                </c:pt>
                <c:pt idx="246">
                  <c:v>97.8</c:v>
                </c:pt>
                <c:pt idx="247">
                  <c:v>96.5</c:v>
                </c:pt>
                <c:pt idx="248">
                  <c:v>102.5</c:v>
                </c:pt>
                <c:pt idx="249">
                  <c:v>104.1</c:v>
                </c:pt>
                <c:pt idx="250">
                  <c:v>103.6</c:v>
                </c:pt>
                <c:pt idx="251">
                  <c:v>101.9</c:v>
                </c:pt>
                <c:pt idx="252">
                  <c:v>103</c:v>
                </c:pt>
                <c:pt idx="253">
                  <c:v>103.5</c:v>
                </c:pt>
                <c:pt idx="254">
                  <c:v>103.7</c:v>
                </c:pt>
                <c:pt idx="255">
                  <c:v>104.1</c:v>
                </c:pt>
                <c:pt idx="256">
                  <c:v>108.5</c:v>
                </c:pt>
                <c:pt idx="257">
                  <c:v>105</c:v>
                </c:pt>
                <c:pt idx="258">
                  <c:v>103.5</c:v>
                </c:pt>
                <c:pt idx="259">
                  <c:v>103.1</c:v>
                </c:pt>
                <c:pt idx="260">
                  <c:v>103</c:v>
                </c:pt>
                <c:pt idx="261">
                  <c:v>105.7</c:v>
                </c:pt>
                <c:pt idx="262">
                  <c:v>107.3</c:v>
                </c:pt>
                <c:pt idx="263">
                  <c:v>106.6</c:v>
                </c:pt>
                <c:pt idx="264">
                  <c:v>106.4</c:v>
                </c:pt>
                <c:pt idx="265">
                  <c:v>104.6</c:v>
                </c:pt>
                <c:pt idx="266">
                  <c:v>102.4</c:v>
                </c:pt>
                <c:pt idx="267">
                  <c:v>102.2</c:v>
                </c:pt>
                <c:pt idx="268">
                  <c:v>102.2</c:v>
                </c:pt>
                <c:pt idx="269">
                  <c:v>100.3</c:v>
                </c:pt>
                <c:pt idx="270">
                  <c:v>100.6</c:v>
                </c:pt>
                <c:pt idx="271">
                  <c:v>104.2</c:v>
                </c:pt>
                <c:pt idx="272">
                  <c:v>105.1</c:v>
                </c:pt>
                <c:pt idx="273">
                  <c:v>99.5</c:v>
                </c:pt>
                <c:pt idx="274">
                  <c:v>98.1</c:v>
                </c:pt>
                <c:pt idx="275">
                  <c:v>95.1</c:v>
                </c:pt>
                <c:pt idx="276">
                  <c:v>93.3</c:v>
                </c:pt>
                <c:pt idx="277">
                  <c:v>93.6</c:v>
                </c:pt>
                <c:pt idx="278">
                  <c:v>96.7</c:v>
                </c:pt>
                <c:pt idx="279">
                  <c:v>98.4</c:v>
                </c:pt>
                <c:pt idx="280">
                  <c:v>95.1</c:v>
                </c:pt>
                <c:pt idx="281">
                  <c:v>96.6</c:v>
                </c:pt>
                <c:pt idx="282">
                  <c:v>99</c:v>
                </c:pt>
                <c:pt idx="283">
                  <c:v>95.4</c:v>
                </c:pt>
                <c:pt idx="284">
                  <c:v>91.1</c:v>
                </c:pt>
                <c:pt idx="285">
                  <c:v>94.1</c:v>
                </c:pt>
                <c:pt idx="286">
                  <c:v>93.8</c:v>
                </c:pt>
                <c:pt idx="287">
                  <c:v>94.2</c:v>
                </c:pt>
                <c:pt idx="288">
                  <c:v>93.4</c:v>
                </c:pt>
                <c:pt idx="289">
                  <c:v>98.9</c:v>
                </c:pt>
                <c:pt idx="290">
                  <c:v>89.8</c:v>
                </c:pt>
                <c:pt idx="291">
                  <c:v>72.900000000000006</c:v>
                </c:pt>
                <c:pt idx="292">
                  <c:v>77.3</c:v>
                </c:pt>
                <c:pt idx="293">
                  <c:v>84.2</c:v>
                </c:pt>
                <c:pt idx="294">
                  <c:v>84.8</c:v>
                </c:pt>
                <c:pt idx="295">
                  <c:v>85.7</c:v>
                </c:pt>
                <c:pt idx="296">
                  <c:v>88.1</c:v>
                </c:pt>
                <c:pt idx="297">
                  <c:v>89.9</c:v>
                </c:pt>
                <c:pt idx="298">
                  <c:v>88.5</c:v>
                </c:pt>
                <c:pt idx="299">
                  <c:v>92.1</c:v>
                </c:pt>
                <c:pt idx="300">
                  <c:v>94.2</c:v>
                </c:pt>
                <c:pt idx="301">
                  <c:v>97.6</c:v>
                </c:pt>
                <c:pt idx="302">
                  <c:v>97.4</c:v>
                </c:pt>
                <c:pt idx="303">
                  <c:v>103.3</c:v>
                </c:pt>
                <c:pt idx="304">
                  <c:v>111.4</c:v>
                </c:pt>
                <c:pt idx="305">
                  <c:v>108.7</c:v>
                </c:pt>
                <c:pt idx="306">
                  <c:v>106.2</c:v>
                </c:pt>
                <c:pt idx="307">
                  <c:v>108.6</c:v>
                </c:pt>
              </c:numCache>
            </c:numRef>
          </c:val>
          <c:smooth val="0"/>
          <c:extLst>
            <c:ext xmlns:c16="http://schemas.microsoft.com/office/drawing/2014/chart" uri="{C3380CC4-5D6E-409C-BE32-E72D297353CC}">
              <c16:uniqueId val="{00000000-E119-4DBD-BDC8-BEBD840A8836}"/>
            </c:ext>
          </c:extLst>
        </c:ser>
        <c:dLbls>
          <c:showLegendKey val="0"/>
          <c:showVal val="0"/>
          <c:showCatName val="0"/>
          <c:showSerName val="0"/>
          <c:showPercent val="0"/>
          <c:showBubbleSize val="0"/>
        </c:dLbls>
        <c:smooth val="0"/>
        <c:axId val="649511112"/>
        <c:axId val="649513736"/>
      </c:lineChart>
      <c:dateAx>
        <c:axId val="649511112"/>
        <c:scaling>
          <c:orientation val="minMax"/>
          <c:min val="38718"/>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9513736"/>
        <c:crosses val="autoZero"/>
        <c:auto val="1"/>
        <c:lblOffset val="100"/>
        <c:baseTimeUnit val="months"/>
        <c:majorUnit val="1"/>
        <c:majorTimeUnit val="years"/>
      </c:dateAx>
      <c:valAx>
        <c:axId val="649513736"/>
        <c:scaling>
          <c:orientation val="minMax"/>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49511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'HB21 (1)'!$B$544</c:f>
              <c:strCache>
                <c:ptCount val="1"/>
                <c:pt idx="0">
                  <c:v>Antal konkurser</c:v>
                </c:pt>
              </c:strCache>
            </c:strRef>
          </c:tx>
          <c:spPr>
            <a:ln w="28575" cap="rnd">
              <a:solidFill>
                <a:schemeClr val="bg2">
                  <a:lumMod val="25000"/>
                </a:schemeClr>
              </a:solidFill>
              <a:round/>
            </a:ln>
            <a:effectLst/>
          </c:spPr>
          <c:marker>
            <c:symbol val="none"/>
          </c:marker>
          <c:cat>
            <c:strRef>
              <c:f>'HB21 (1)'!$A$556:$A$576</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'HB21 (1)'!$B$556:$B$576</c:f>
              <c:numCache>
                <c:formatCode>0.00</c:formatCode>
                <c:ptCount val="21"/>
                <c:pt idx="0">
                  <c:v>5614</c:v>
                </c:pt>
                <c:pt idx="1">
                  <c:v>6286</c:v>
                </c:pt>
                <c:pt idx="2">
                  <c:v>6892</c:v>
                </c:pt>
                <c:pt idx="3">
                  <c:v>7098</c:v>
                </c:pt>
                <c:pt idx="4">
                  <c:v>6582</c:v>
                </c:pt>
                <c:pt idx="5">
                  <c:v>5858</c:v>
                </c:pt>
                <c:pt idx="6">
                  <c:v>5245</c:v>
                </c:pt>
                <c:pt idx="7">
                  <c:v>4891</c:v>
                </c:pt>
                <c:pt idx="8">
                  <c:v>5500</c:v>
                </c:pt>
                <c:pt idx="9">
                  <c:v>6890</c:v>
                </c:pt>
                <c:pt idx="10">
                  <c:v>6215</c:v>
                </c:pt>
                <c:pt idx="11">
                  <c:v>6040</c:v>
                </c:pt>
                <c:pt idx="12">
                  <c:v>6659</c:v>
                </c:pt>
                <c:pt idx="13">
                  <c:v>6960</c:v>
                </c:pt>
                <c:pt idx="14">
                  <c:v>6564</c:v>
                </c:pt>
                <c:pt idx="15">
                  <c:v>6068</c:v>
                </c:pt>
                <c:pt idx="16">
                  <c:v>5684</c:v>
                </c:pt>
                <c:pt idx="17">
                  <c:v>5869</c:v>
                </c:pt>
                <c:pt idx="18">
                  <c:v>6688</c:v>
                </c:pt>
                <c:pt idx="19">
                  <c:v>6698</c:v>
                </c:pt>
                <c:pt idx="20">
                  <c:v>6715</c:v>
                </c:pt>
              </c:numCache>
            </c:numRef>
          </c:val>
          <c:smooth val="0"/>
          <c:extLst>
            <c:ext xmlns:c16="http://schemas.microsoft.com/office/drawing/2014/chart" uri="{C3380CC4-5D6E-409C-BE32-E72D297353CC}">
              <c16:uniqueId val="{00000000-7399-4605-9804-B150F6EF1E1B}"/>
            </c:ext>
          </c:extLst>
        </c:ser>
        <c:dLbls>
          <c:showLegendKey val="0"/>
          <c:showVal val="0"/>
          <c:showCatName val="0"/>
          <c:showSerName val="0"/>
          <c:showPercent val="0"/>
          <c:showBubbleSize val="0"/>
        </c:dLbls>
        <c:smooth val="0"/>
        <c:axId val="663757584"/>
        <c:axId val="663757912"/>
      </c:lineChart>
      <c:catAx>
        <c:axId val="66375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63757912"/>
        <c:crosses val="autoZero"/>
        <c:auto val="1"/>
        <c:lblAlgn val="ctr"/>
        <c:lblOffset val="100"/>
        <c:tickLblSkip val="2"/>
        <c:tickMarkSkip val="2"/>
        <c:noMultiLvlLbl val="0"/>
      </c:catAx>
      <c:valAx>
        <c:axId val="663757912"/>
        <c:scaling>
          <c:orientation val="minMax"/>
          <c:min val="4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63757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bg2">
                  <a:lumMod val="25000"/>
                </a:schemeClr>
              </a:solidFill>
              <a:round/>
            </a:ln>
            <a:effectLst/>
          </c:spPr>
          <c:marker>
            <c:symbol val="none"/>
          </c:marker>
          <c:cat>
            <c:strRef>
              <c:f>'Makroekonomisk utveckling'!$B$356:$B$555</c:f>
              <c:strCache>
                <c:ptCount val="200"/>
                <c:pt idx="0">
                  <c:v>2005</c:v>
                </c:pt>
                <c:pt idx="1">
                  <c:v>feb-05</c:v>
                </c:pt>
                <c:pt idx="2">
                  <c:v>mar-05</c:v>
                </c:pt>
                <c:pt idx="3">
                  <c:v>apr-05</c:v>
                </c:pt>
                <c:pt idx="4">
                  <c:v>maj-05</c:v>
                </c:pt>
                <c:pt idx="5">
                  <c:v>jun-05</c:v>
                </c:pt>
                <c:pt idx="6">
                  <c:v>jul-05</c:v>
                </c:pt>
                <c:pt idx="7">
                  <c:v>aug-05</c:v>
                </c:pt>
                <c:pt idx="8">
                  <c:v>sep-05</c:v>
                </c:pt>
                <c:pt idx="9">
                  <c:v>okt-05</c:v>
                </c:pt>
                <c:pt idx="10">
                  <c:v>nov-05</c:v>
                </c:pt>
                <c:pt idx="11">
                  <c:v>dec-05</c:v>
                </c:pt>
                <c:pt idx="12">
                  <c:v>jan-06</c:v>
                </c:pt>
                <c:pt idx="13">
                  <c:v>feb-06</c:v>
                </c:pt>
                <c:pt idx="14">
                  <c:v>mar-06</c:v>
                </c:pt>
                <c:pt idx="15">
                  <c:v>apr-06</c:v>
                </c:pt>
                <c:pt idx="16">
                  <c:v>maj-06</c:v>
                </c:pt>
                <c:pt idx="17">
                  <c:v>jun-06</c:v>
                </c:pt>
                <c:pt idx="18">
                  <c:v>jul-06</c:v>
                </c:pt>
                <c:pt idx="19">
                  <c:v>aug-06</c:v>
                </c:pt>
                <c:pt idx="20">
                  <c:v>sep-06</c:v>
                </c:pt>
                <c:pt idx="21">
                  <c:v>okt-06</c:v>
                </c:pt>
                <c:pt idx="22">
                  <c:v>nov-06</c:v>
                </c:pt>
                <c:pt idx="23">
                  <c:v>dec-06</c:v>
                </c:pt>
                <c:pt idx="24">
                  <c:v>2007</c:v>
                </c:pt>
                <c:pt idx="25">
                  <c:v>feb-07</c:v>
                </c:pt>
                <c:pt idx="26">
                  <c:v>mar-07</c:v>
                </c:pt>
                <c:pt idx="27">
                  <c:v>apr-07</c:v>
                </c:pt>
                <c:pt idx="28">
                  <c:v>maj-07</c:v>
                </c:pt>
                <c:pt idx="29">
                  <c:v>jun-07</c:v>
                </c:pt>
                <c:pt idx="30">
                  <c:v>jul-07</c:v>
                </c:pt>
                <c:pt idx="31">
                  <c:v>aug-07</c:v>
                </c:pt>
                <c:pt idx="32">
                  <c:v>sep-07</c:v>
                </c:pt>
                <c:pt idx="33">
                  <c:v>okt-07</c:v>
                </c:pt>
                <c:pt idx="34">
                  <c:v>nov-07</c:v>
                </c:pt>
                <c:pt idx="35">
                  <c:v>dec-07</c:v>
                </c:pt>
                <c:pt idx="36">
                  <c:v>jan-08</c:v>
                </c:pt>
                <c:pt idx="37">
                  <c:v>feb-08</c:v>
                </c:pt>
                <c:pt idx="38">
                  <c:v>mar-08</c:v>
                </c:pt>
                <c:pt idx="39">
                  <c:v>apr-08</c:v>
                </c:pt>
                <c:pt idx="40">
                  <c:v>maj-08</c:v>
                </c:pt>
                <c:pt idx="41">
                  <c:v>jun-08</c:v>
                </c:pt>
                <c:pt idx="42">
                  <c:v>jul-08</c:v>
                </c:pt>
                <c:pt idx="43">
                  <c:v>aug-08</c:v>
                </c:pt>
                <c:pt idx="44">
                  <c:v>sep-08</c:v>
                </c:pt>
                <c:pt idx="45">
                  <c:v>okt-08</c:v>
                </c:pt>
                <c:pt idx="46">
                  <c:v>nov-08</c:v>
                </c:pt>
                <c:pt idx="47">
                  <c:v>dec-08</c:v>
                </c:pt>
                <c:pt idx="48">
                  <c:v>2009</c:v>
                </c:pt>
                <c:pt idx="49">
                  <c:v>feb-09</c:v>
                </c:pt>
                <c:pt idx="50">
                  <c:v>mar-09</c:v>
                </c:pt>
                <c:pt idx="51">
                  <c:v>apr-09</c:v>
                </c:pt>
                <c:pt idx="52">
                  <c:v>maj-09</c:v>
                </c:pt>
                <c:pt idx="53">
                  <c:v>jun-09</c:v>
                </c:pt>
                <c:pt idx="54">
                  <c:v>jul-09</c:v>
                </c:pt>
                <c:pt idx="55">
                  <c:v>aug-09</c:v>
                </c:pt>
                <c:pt idx="56">
                  <c:v>sep-09</c:v>
                </c:pt>
                <c:pt idx="57">
                  <c:v>okt-09</c:v>
                </c:pt>
                <c:pt idx="58">
                  <c:v>nov-09</c:v>
                </c:pt>
                <c:pt idx="59">
                  <c:v>dec-09</c:v>
                </c:pt>
                <c:pt idx="60">
                  <c:v>jan-10</c:v>
                </c:pt>
                <c:pt idx="61">
                  <c:v>feb-10</c:v>
                </c:pt>
                <c:pt idx="62">
                  <c:v>mar-10</c:v>
                </c:pt>
                <c:pt idx="63">
                  <c:v>apr-10</c:v>
                </c:pt>
                <c:pt idx="64">
                  <c:v>maj-10</c:v>
                </c:pt>
                <c:pt idx="65">
                  <c:v>jun-10</c:v>
                </c:pt>
                <c:pt idx="66">
                  <c:v>jul-10</c:v>
                </c:pt>
                <c:pt idx="67">
                  <c:v>aug-10</c:v>
                </c:pt>
                <c:pt idx="68">
                  <c:v>sep-10</c:v>
                </c:pt>
                <c:pt idx="69">
                  <c:v>okt-10</c:v>
                </c:pt>
                <c:pt idx="70">
                  <c:v>nov-10</c:v>
                </c:pt>
                <c:pt idx="71">
                  <c:v>dec-10</c:v>
                </c:pt>
                <c:pt idx="72">
                  <c:v>2011</c:v>
                </c:pt>
                <c:pt idx="73">
                  <c:v>feb-11</c:v>
                </c:pt>
                <c:pt idx="74">
                  <c:v>mar-11</c:v>
                </c:pt>
                <c:pt idx="75">
                  <c:v>apr-11</c:v>
                </c:pt>
                <c:pt idx="76">
                  <c:v>maj-11</c:v>
                </c:pt>
                <c:pt idx="77">
                  <c:v>jun-11</c:v>
                </c:pt>
                <c:pt idx="78">
                  <c:v>jul-11</c:v>
                </c:pt>
                <c:pt idx="79">
                  <c:v>aug-11</c:v>
                </c:pt>
                <c:pt idx="80">
                  <c:v>sep-11</c:v>
                </c:pt>
                <c:pt idx="81">
                  <c:v>okt-11</c:v>
                </c:pt>
                <c:pt idx="82">
                  <c:v>nov-11</c:v>
                </c:pt>
                <c:pt idx="83">
                  <c:v>dec-11</c:v>
                </c:pt>
                <c:pt idx="84">
                  <c:v>jan-12</c:v>
                </c:pt>
                <c:pt idx="85">
                  <c:v>feb-12</c:v>
                </c:pt>
                <c:pt idx="86">
                  <c:v>mar-12</c:v>
                </c:pt>
                <c:pt idx="87">
                  <c:v>apr-12</c:v>
                </c:pt>
                <c:pt idx="88">
                  <c:v>maj-12</c:v>
                </c:pt>
                <c:pt idx="89">
                  <c:v>jun-12</c:v>
                </c:pt>
                <c:pt idx="90">
                  <c:v>jul-12</c:v>
                </c:pt>
                <c:pt idx="91">
                  <c:v>aug-12</c:v>
                </c:pt>
                <c:pt idx="92">
                  <c:v>sep-12</c:v>
                </c:pt>
                <c:pt idx="93">
                  <c:v>okt-12</c:v>
                </c:pt>
                <c:pt idx="94">
                  <c:v>nov-12</c:v>
                </c:pt>
                <c:pt idx="95">
                  <c:v>dec-12</c:v>
                </c:pt>
                <c:pt idx="96">
                  <c:v>2013</c:v>
                </c:pt>
                <c:pt idx="97">
                  <c:v>feb-13</c:v>
                </c:pt>
                <c:pt idx="98">
                  <c:v>mar-13</c:v>
                </c:pt>
                <c:pt idx="99">
                  <c:v>apr-13</c:v>
                </c:pt>
                <c:pt idx="100">
                  <c:v>maj-13</c:v>
                </c:pt>
                <c:pt idx="101">
                  <c:v>jun-13</c:v>
                </c:pt>
                <c:pt idx="102">
                  <c:v>jul-13</c:v>
                </c:pt>
                <c:pt idx="103">
                  <c:v>aug-13</c:v>
                </c:pt>
                <c:pt idx="104">
                  <c:v>sep-13</c:v>
                </c:pt>
                <c:pt idx="105">
                  <c:v>okt-13</c:v>
                </c:pt>
                <c:pt idx="106">
                  <c:v>nov-13</c:v>
                </c:pt>
                <c:pt idx="107">
                  <c:v>dec-13</c:v>
                </c:pt>
                <c:pt idx="108">
                  <c:v>jan-14</c:v>
                </c:pt>
                <c:pt idx="109">
                  <c:v>feb-14</c:v>
                </c:pt>
                <c:pt idx="110">
                  <c:v>mar-14</c:v>
                </c:pt>
                <c:pt idx="111">
                  <c:v>apr-14</c:v>
                </c:pt>
                <c:pt idx="112">
                  <c:v>maj-14</c:v>
                </c:pt>
                <c:pt idx="113">
                  <c:v>jun-14</c:v>
                </c:pt>
                <c:pt idx="114">
                  <c:v>jul-14</c:v>
                </c:pt>
                <c:pt idx="115">
                  <c:v>aug-14</c:v>
                </c:pt>
                <c:pt idx="116">
                  <c:v>sep-14</c:v>
                </c:pt>
                <c:pt idx="117">
                  <c:v>okt-14</c:v>
                </c:pt>
                <c:pt idx="118">
                  <c:v>nov-14</c:v>
                </c:pt>
                <c:pt idx="119">
                  <c:v>dec-14</c:v>
                </c:pt>
                <c:pt idx="120">
                  <c:v>2015</c:v>
                </c:pt>
                <c:pt idx="121">
                  <c:v>feb-15</c:v>
                </c:pt>
                <c:pt idx="122">
                  <c:v>mar-15</c:v>
                </c:pt>
                <c:pt idx="123">
                  <c:v>apr-15</c:v>
                </c:pt>
                <c:pt idx="124">
                  <c:v>maj-15</c:v>
                </c:pt>
                <c:pt idx="125">
                  <c:v>jun-15</c:v>
                </c:pt>
                <c:pt idx="126">
                  <c:v>jul-15</c:v>
                </c:pt>
                <c:pt idx="127">
                  <c:v>aug-15</c:v>
                </c:pt>
                <c:pt idx="128">
                  <c:v>sep-15</c:v>
                </c:pt>
                <c:pt idx="129">
                  <c:v>okt-15</c:v>
                </c:pt>
                <c:pt idx="130">
                  <c:v>nov-15</c:v>
                </c:pt>
                <c:pt idx="131">
                  <c:v>dec-15</c:v>
                </c:pt>
                <c:pt idx="132">
                  <c:v>jan-16</c:v>
                </c:pt>
                <c:pt idx="133">
                  <c:v>feb-16</c:v>
                </c:pt>
                <c:pt idx="134">
                  <c:v>mar-16</c:v>
                </c:pt>
                <c:pt idx="135">
                  <c:v>apr-16</c:v>
                </c:pt>
                <c:pt idx="136">
                  <c:v>maj-16</c:v>
                </c:pt>
                <c:pt idx="137">
                  <c:v>jun-16</c:v>
                </c:pt>
                <c:pt idx="138">
                  <c:v>jul-16</c:v>
                </c:pt>
                <c:pt idx="139">
                  <c:v>aug-16</c:v>
                </c:pt>
                <c:pt idx="140">
                  <c:v>sep-16</c:v>
                </c:pt>
                <c:pt idx="141">
                  <c:v>okt-16</c:v>
                </c:pt>
                <c:pt idx="142">
                  <c:v>nov-16</c:v>
                </c:pt>
                <c:pt idx="143">
                  <c:v>dec-16</c:v>
                </c:pt>
                <c:pt idx="144">
                  <c:v>2017</c:v>
                </c:pt>
                <c:pt idx="145">
                  <c:v>feb-17</c:v>
                </c:pt>
                <c:pt idx="146">
                  <c:v>mar-17</c:v>
                </c:pt>
                <c:pt idx="147">
                  <c:v>apr-17</c:v>
                </c:pt>
                <c:pt idx="148">
                  <c:v>maj-17</c:v>
                </c:pt>
                <c:pt idx="149">
                  <c:v>jun-17</c:v>
                </c:pt>
                <c:pt idx="150">
                  <c:v>jul-17</c:v>
                </c:pt>
                <c:pt idx="151">
                  <c:v>aug-17</c:v>
                </c:pt>
                <c:pt idx="152">
                  <c:v>sep-17</c:v>
                </c:pt>
                <c:pt idx="153">
                  <c:v>okt-17</c:v>
                </c:pt>
                <c:pt idx="154">
                  <c:v>nov-17</c:v>
                </c:pt>
                <c:pt idx="155">
                  <c:v>dec-17</c:v>
                </c:pt>
                <c:pt idx="156">
                  <c:v>jan-18</c:v>
                </c:pt>
                <c:pt idx="157">
                  <c:v>feb-18</c:v>
                </c:pt>
                <c:pt idx="158">
                  <c:v>mar-18</c:v>
                </c:pt>
                <c:pt idx="159">
                  <c:v>apr-18</c:v>
                </c:pt>
                <c:pt idx="160">
                  <c:v>maj-18</c:v>
                </c:pt>
                <c:pt idx="161">
                  <c:v>jun-18</c:v>
                </c:pt>
                <c:pt idx="162">
                  <c:v>jul-18</c:v>
                </c:pt>
                <c:pt idx="163">
                  <c:v>aug-18</c:v>
                </c:pt>
                <c:pt idx="164">
                  <c:v>sep-18</c:v>
                </c:pt>
                <c:pt idx="165">
                  <c:v>okt-18</c:v>
                </c:pt>
                <c:pt idx="166">
                  <c:v>nov-18</c:v>
                </c:pt>
                <c:pt idx="167">
                  <c:v>dec-18</c:v>
                </c:pt>
                <c:pt idx="168">
                  <c:v>2019</c:v>
                </c:pt>
                <c:pt idx="169">
                  <c:v>feb-19</c:v>
                </c:pt>
                <c:pt idx="170">
                  <c:v>mar-19</c:v>
                </c:pt>
                <c:pt idx="171">
                  <c:v>apr-19</c:v>
                </c:pt>
                <c:pt idx="172">
                  <c:v>maj-19</c:v>
                </c:pt>
                <c:pt idx="173">
                  <c:v>jun-19</c:v>
                </c:pt>
                <c:pt idx="174">
                  <c:v>jul-19</c:v>
                </c:pt>
                <c:pt idx="175">
                  <c:v>aug-19</c:v>
                </c:pt>
                <c:pt idx="176">
                  <c:v>sep-19</c:v>
                </c:pt>
                <c:pt idx="177">
                  <c:v>okt-19</c:v>
                </c:pt>
                <c:pt idx="178">
                  <c:v>nov-19</c:v>
                </c:pt>
                <c:pt idx="179">
                  <c:v>dec-19</c:v>
                </c:pt>
                <c:pt idx="180">
                  <c:v>jan-20</c:v>
                </c:pt>
                <c:pt idx="181">
                  <c:v>feb-20</c:v>
                </c:pt>
                <c:pt idx="182">
                  <c:v>mar-20</c:v>
                </c:pt>
                <c:pt idx="183">
                  <c:v>apr-20</c:v>
                </c:pt>
                <c:pt idx="184">
                  <c:v>maj-20</c:v>
                </c:pt>
                <c:pt idx="185">
                  <c:v>jun-20</c:v>
                </c:pt>
                <c:pt idx="186">
                  <c:v>jul-20</c:v>
                </c:pt>
                <c:pt idx="187">
                  <c:v>aug-20</c:v>
                </c:pt>
                <c:pt idx="188">
                  <c:v>sep-20</c:v>
                </c:pt>
                <c:pt idx="189">
                  <c:v>okt-20</c:v>
                </c:pt>
                <c:pt idx="190">
                  <c:v>nov-20</c:v>
                </c:pt>
                <c:pt idx="191">
                  <c:v>dec-20</c:v>
                </c:pt>
                <c:pt idx="192">
                  <c:v>2021</c:v>
                </c:pt>
                <c:pt idx="193">
                  <c:v>feb-21</c:v>
                </c:pt>
                <c:pt idx="194">
                  <c:v>mar-21</c:v>
                </c:pt>
                <c:pt idx="195">
                  <c:v>apr-21</c:v>
                </c:pt>
                <c:pt idx="196">
                  <c:v>maj-21</c:v>
                </c:pt>
                <c:pt idx="197">
                  <c:v>jun-21</c:v>
                </c:pt>
                <c:pt idx="198">
                  <c:v>jul-21</c:v>
                </c:pt>
                <c:pt idx="199">
                  <c:v>aug-21</c:v>
                </c:pt>
              </c:strCache>
            </c:strRef>
          </c:cat>
          <c:val>
            <c:numRef>
              <c:f>'Makroekonomisk utveckling'!$C$356:$C$555</c:f>
              <c:numCache>
                <c:formatCode>0.0</c:formatCode>
                <c:ptCount val="200"/>
                <c:pt idx="0">
                  <c:v>7.3</c:v>
                </c:pt>
                <c:pt idx="1">
                  <c:v>8</c:v>
                </c:pt>
                <c:pt idx="2">
                  <c:v>7.7</c:v>
                </c:pt>
                <c:pt idx="3">
                  <c:v>7.9</c:v>
                </c:pt>
                <c:pt idx="4">
                  <c:v>8.1999999999999993</c:v>
                </c:pt>
                <c:pt idx="5">
                  <c:v>9.5</c:v>
                </c:pt>
                <c:pt idx="6">
                  <c:v>7.6</c:v>
                </c:pt>
                <c:pt idx="7">
                  <c:v>7.3</c:v>
                </c:pt>
                <c:pt idx="8">
                  <c:v>6.9</c:v>
                </c:pt>
                <c:pt idx="9">
                  <c:v>7.4</c:v>
                </c:pt>
                <c:pt idx="10">
                  <c:v>6.5</c:v>
                </c:pt>
                <c:pt idx="11">
                  <c:v>7.4</c:v>
                </c:pt>
                <c:pt idx="12">
                  <c:v>8.3000000000000007</c:v>
                </c:pt>
                <c:pt idx="13">
                  <c:v>7.3</c:v>
                </c:pt>
                <c:pt idx="14">
                  <c:v>7.9</c:v>
                </c:pt>
                <c:pt idx="15">
                  <c:v>8.1</c:v>
                </c:pt>
                <c:pt idx="16">
                  <c:v>7.4</c:v>
                </c:pt>
                <c:pt idx="17">
                  <c:v>8.5</c:v>
                </c:pt>
                <c:pt idx="18">
                  <c:v>6.5</c:v>
                </c:pt>
                <c:pt idx="19">
                  <c:v>6.4</c:v>
                </c:pt>
                <c:pt idx="20">
                  <c:v>6.1</c:v>
                </c:pt>
                <c:pt idx="21">
                  <c:v>6</c:v>
                </c:pt>
                <c:pt idx="22">
                  <c:v>5.9</c:v>
                </c:pt>
                <c:pt idx="23">
                  <c:v>6.1</c:v>
                </c:pt>
                <c:pt idx="24">
                  <c:v>6.9</c:v>
                </c:pt>
                <c:pt idx="25">
                  <c:v>6.4</c:v>
                </c:pt>
                <c:pt idx="26">
                  <c:v>6.9</c:v>
                </c:pt>
                <c:pt idx="27">
                  <c:v>6.5</c:v>
                </c:pt>
                <c:pt idx="28">
                  <c:v>6.1</c:v>
                </c:pt>
                <c:pt idx="29">
                  <c:v>7.8</c:v>
                </c:pt>
                <c:pt idx="30">
                  <c:v>5.4</c:v>
                </c:pt>
                <c:pt idx="31">
                  <c:v>5.3</c:v>
                </c:pt>
                <c:pt idx="32">
                  <c:v>5.6</c:v>
                </c:pt>
                <c:pt idx="33">
                  <c:v>5.7</c:v>
                </c:pt>
                <c:pt idx="34">
                  <c:v>5.2</c:v>
                </c:pt>
                <c:pt idx="35">
                  <c:v>5.6</c:v>
                </c:pt>
                <c:pt idx="36">
                  <c:v>6.4</c:v>
                </c:pt>
                <c:pt idx="37">
                  <c:v>6.1</c:v>
                </c:pt>
                <c:pt idx="38">
                  <c:v>6.3</c:v>
                </c:pt>
                <c:pt idx="39">
                  <c:v>6</c:v>
                </c:pt>
                <c:pt idx="40">
                  <c:v>5.9</c:v>
                </c:pt>
                <c:pt idx="41">
                  <c:v>8.1</c:v>
                </c:pt>
                <c:pt idx="42">
                  <c:v>5.8</c:v>
                </c:pt>
                <c:pt idx="43">
                  <c:v>5.2</c:v>
                </c:pt>
                <c:pt idx="44">
                  <c:v>5.9</c:v>
                </c:pt>
                <c:pt idx="45">
                  <c:v>5.7</c:v>
                </c:pt>
                <c:pt idx="46">
                  <c:v>6.2</c:v>
                </c:pt>
                <c:pt idx="47">
                  <c:v>6.4</c:v>
                </c:pt>
                <c:pt idx="48">
                  <c:v>7.3</c:v>
                </c:pt>
                <c:pt idx="49">
                  <c:v>8</c:v>
                </c:pt>
                <c:pt idx="50">
                  <c:v>8.3000000000000007</c:v>
                </c:pt>
                <c:pt idx="51">
                  <c:v>8.3000000000000007</c:v>
                </c:pt>
                <c:pt idx="52">
                  <c:v>9</c:v>
                </c:pt>
                <c:pt idx="53">
                  <c:v>9.8000000000000007</c:v>
                </c:pt>
                <c:pt idx="54">
                  <c:v>7.9</c:v>
                </c:pt>
                <c:pt idx="55">
                  <c:v>8</c:v>
                </c:pt>
                <c:pt idx="56">
                  <c:v>8.3000000000000007</c:v>
                </c:pt>
                <c:pt idx="57">
                  <c:v>8.1</c:v>
                </c:pt>
                <c:pt idx="58">
                  <c:v>8</c:v>
                </c:pt>
                <c:pt idx="59">
                  <c:v>8.6</c:v>
                </c:pt>
                <c:pt idx="60">
                  <c:v>9.5</c:v>
                </c:pt>
                <c:pt idx="61">
                  <c:v>9.3000000000000007</c:v>
                </c:pt>
                <c:pt idx="62">
                  <c:v>9.3000000000000007</c:v>
                </c:pt>
                <c:pt idx="63">
                  <c:v>9.6999999999999993</c:v>
                </c:pt>
                <c:pt idx="64">
                  <c:v>9</c:v>
                </c:pt>
                <c:pt idx="65">
                  <c:v>9.6</c:v>
                </c:pt>
                <c:pt idx="66">
                  <c:v>8.1999999999999993</c:v>
                </c:pt>
                <c:pt idx="67">
                  <c:v>7.7</c:v>
                </c:pt>
                <c:pt idx="68">
                  <c:v>7.9</c:v>
                </c:pt>
                <c:pt idx="69">
                  <c:v>7.7</c:v>
                </c:pt>
                <c:pt idx="70">
                  <c:v>7.4</c:v>
                </c:pt>
                <c:pt idx="71">
                  <c:v>7.6</c:v>
                </c:pt>
                <c:pt idx="72">
                  <c:v>8.4</c:v>
                </c:pt>
                <c:pt idx="73">
                  <c:v>8.1</c:v>
                </c:pt>
                <c:pt idx="74">
                  <c:v>8.4</c:v>
                </c:pt>
                <c:pt idx="75">
                  <c:v>8.1999999999999993</c:v>
                </c:pt>
                <c:pt idx="76">
                  <c:v>8.1</c:v>
                </c:pt>
                <c:pt idx="77">
                  <c:v>9.1999999999999993</c:v>
                </c:pt>
                <c:pt idx="78">
                  <c:v>7.2</c:v>
                </c:pt>
                <c:pt idx="79">
                  <c:v>7</c:v>
                </c:pt>
                <c:pt idx="80">
                  <c:v>7</c:v>
                </c:pt>
                <c:pt idx="81">
                  <c:v>7.2</c:v>
                </c:pt>
                <c:pt idx="82">
                  <c:v>7.1</c:v>
                </c:pt>
                <c:pt idx="83">
                  <c:v>7.3</c:v>
                </c:pt>
                <c:pt idx="84">
                  <c:v>8.4</c:v>
                </c:pt>
                <c:pt idx="85">
                  <c:v>8.1999999999999993</c:v>
                </c:pt>
                <c:pt idx="86">
                  <c:v>8</c:v>
                </c:pt>
                <c:pt idx="87">
                  <c:v>8</c:v>
                </c:pt>
                <c:pt idx="88">
                  <c:v>8.5</c:v>
                </c:pt>
                <c:pt idx="89">
                  <c:v>9.1</c:v>
                </c:pt>
                <c:pt idx="90">
                  <c:v>7.4</c:v>
                </c:pt>
                <c:pt idx="91">
                  <c:v>7.5</c:v>
                </c:pt>
                <c:pt idx="92">
                  <c:v>7.6</c:v>
                </c:pt>
                <c:pt idx="93">
                  <c:v>7.5</c:v>
                </c:pt>
                <c:pt idx="94">
                  <c:v>7.8</c:v>
                </c:pt>
                <c:pt idx="95">
                  <c:v>7.6</c:v>
                </c:pt>
                <c:pt idx="96">
                  <c:v>8.4</c:v>
                </c:pt>
                <c:pt idx="97">
                  <c:v>8.5</c:v>
                </c:pt>
                <c:pt idx="98">
                  <c:v>8.8000000000000007</c:v>
                </c:pt>
                <c:pt idx="99">
                  <c:v>8.6999999999999993</c:v>
                </c:pt>
                <c:pt idx="100">
                  <c:v>8.1999999999999993</c:v>
                </c:pt>
                <c:pt idx="101">
                  <c:v>9.1</c:v>
                </c:pt>
                <c:pt idx="102">
                  <c:v>7.2</c:v>
                </c:pt>
                <c:pt idx="103">
                  <c:v>7.3</c:v>
                </c:pt>
                <c:pt idx="104">
                  <c:v>7.5</c:v>
                </c:pt>
                <c:pt idx="105">
                  <c:v>7.3</c:v>
                </c:pt>
                <c:pt idx="106">
                  <c:v>7.5</c:v>
                </c:pt>
                <c:pt idx="107">
                  <c:v>7.5</c:v>
                </c:pt>
                <c:pt idx="108">
                  <c:v>8.6</c:v>
                </c:pt>
                <c:pt idx="109">
                  <c:v>8.5</c:v>
                </c:pt>
                <c:pt idx="110">
                  <c:v>8.6</c:v>
                </c:pt>
                <c:pt idx="111">
                  <c:v>8.6999999999999993</c:v>
                </c:pt>
                <c:pt idx="112">
                  <c:v>8</c:v>
                </c:pt>
                <c:pt idx="113">
                  <c:v>9.1999999999999993</c:v>
                </c:pt>
                <c:pt idx="114">
                  <c:v>7.1</c:v>
                </c:pt>
                <c:pt idx="115">
                  <c:v>7.4</c:v>
                </c:pt>
                <c:pt idx="116">
                  <c:v>7.2</c:v>
                </c:pt>
                <c:pt idx="117">
                  <c:v>7.5</c:v>
                </c:pt>
                <c:pt idx="118">
                  <c:v>7.4</c:v>
                </c:pt>
                <c:pt idx="119">
                  <c:v>7</c:v>
                </c:pt>
                <c:pt idx="120">
                  <c:v>8.4</c:v>
                </c:pt>
                <c:pt idx="121">
                  <c:v>8.4</c:v>
                </c:pt>
                <c:pt idx="122">
                  <c:v>8</c:v>
                </c:pt>
                <c:pt idx="123">
                  <c:v>8.3000000000000007</c:v>
                </c:pt>
                <c:pt idx="124">
                  <c:v>8</c:v>
                </c:pt>
                <c:pt idx="125">
                  <c:v>8.5</c:v>
                </c:pt>
                <c:pt idx="126">
                  <c:v>6.5</c:v>
                </c:pt>
                <c:pt idx="127">
                  <c:v>6.4</c:v>
                </c:pt>
                <c:pt idx="128">
                  <c:v>6.7</c:v>
                </c:pt>
                <c:pt idx="129">
                  <c:v>6.7</c:v>
                </c:pt>
                <c:pt idx="130">
                  <c:v>6.2</c:v>
                </c:pt>
                <c:pt idx="131">
                  <c:v>6.7</c:v>
                </c:pt>
                <c:pt idx="132">
                  <c:v>7.5</c:v>
                </c:pt>
                <c:pt idx="133">
                  <c:v>7.6</c:v>
                </c:pt>
                <c:pt idx="134">
                  <c:v>7.7</c:v>
                </c:pt>
                <c:pt idx="135">
                  <c:v>7.3</c:v>
                </c:pt>
                <c:pt idx="136">
                  <c:v>7.6</c:v>
                </c:pt>
                <c:pt idx="137">
                  <c:v>7.6</c:v>
                </c:pt>
                <c:pt idx="138">
                  <c:v>6.3</c:v>
                </c:pt>
                <c:pt idx="139">
                  <c:v>6.6</c:v>
                </c:pt>
                <c:pt idx="140">
                  <c:v>6.1</c:v>
                </c:pt>
                <c:pt idx="141">
                  <c:v>6.4</c:v>
                </c:pt>
                <c:pt idx="142">
                  <c:v>6.2</c:v>
                </c:pt>
                <c:pt idx="143">
                  <c:v>6.5</c:v>
                </c:pt>
                <c:pt idx="144">
                  <c:v>7.3</c:v>
                </c:pt>
                <c:pt idx="145">
                  <c:v>7.4</c:v>
                </c:pt>
                <c:pt idx="146">
                  <c:v>6.8</c:v>
                </c:pt>
                <c:pt idx="147">
                  <c:v>7.2</c:v>
                </c:pt>
                <c:pt idx="148">
                  <c:v>7.2</c:v>
                </c:pt>
                <c:pt idx="149">
                  <c:v>7.4</c:v>
                </c:pt>
                <c:pt idx="150">
                  <c:v>6.6</c:v>
                </c:pt>
                <c:pt idx="151">
                  <c:v>6</c:v>
                </c:pt>
                <c:pt idx="152">
                  <c:v>6.2</c:v>
                </c:pt>
                <c:pt idx="153">
                  <c:v>6.3</c:v>
                </c:pt>
                <c:pt idx="154">
                  <c:v>5.8</c:v>
                </c:pt>
                <c:pt idx="155">
                  <c:v>6</c:v>
                </c:pt>
                <c:pt idx="156">
                  <c:v>7</c:v>
                </c:pt>
                <c:pt idx="157">
                  <c:v>6.3</c:v>
                </c:pt>
                <c:pt idx="158">
                  <c:v>6.5</c:v>
                </c:pt>
                <c:pt idx="159">
                  <c:v>6.8</c:v>
                </c:pt>
                <c:pt idx="160">
                  <c:v>6.5</c:v>
                </c:pt>
                <c:pt idx="161">
                  <c:v>7.2</c:v>
                </c:pt>
                <c:pt idx="162">
                  <c:v>6.2</c:v>
                </c:pt>
                <c:pt idx="163">
                  <c:v>6</c:v>
                </c:pt>
                <c:pt idx="164">
                  <c:v>5.8</c:v>
                </c:pt>
                <c:pt idx="165">
                  <c:v>5.7</c:v>
                </c:pt>
                <c:pt idx="166">
                  <c:v>5.8</c:v>
                </c:pt>
                <c:pt idx="167">
                  <c:v>6.1</c:v>
                </c:pt>
                <c:pt idx="168">
                  <c:v>6.5</c:v>
                </c:pt>
                <c:pt idx="169">
                  <c:v>7.3</c:v>
                </c:pt>
                <c:pt idx="170">
                  <c:v>7.7</c:v>
                </c:pt>
                <c:pt idx="171">
                  <c:v>6.8</c:v>
                </c:pt>
                <c:pt idx="172">
                  <c:v>7.1</c:v>
                </c:pt>
                <c:pt idx="173">
                  <c:v>7.2</c:v>
                </c:pt>
                <c:pt idx="174">
                  <c:v>6.9</c:v>
                </c:pt>
                <c:pt idx="175">
                  <c:v>6.9</c:v>
                </c:pt>
                <c:pt idx="176">
                  <c:v>6</c:v>
                </c:pt>
                <c:pt idx="177">
                  <c:v>6</c:v>
                </c:pt>
                <c:pt idx="178">
                  <c:v>6.8</c:v>
                </c:pt>
                <c:pt idx="179">
                  <c:v>6</c:v>
                </c:pt>
                <c:pt idx="180">
                  <c:v>7.5</c:v>
                </c:pt>
                <c:pt idx="181">
                  <c:v>8.1999999999999993</c:v>
                </c:pt>
                <c:pt idx="182">
                  <c:v>7.1</c:v>
                </c:pt>
                <c:pt idx="183">
                  <c:v>8.1999999999999993</c:v>
                </c:pt>
                <c:pt idx="184">
                  <c:v>9</c:v>
                </c:pt>
                <c:pt idx="185">
                  <c:v>9.8000000000000007</c:v>
                </c:pt>
                <c:pt idx="186">
                  <c:v>8.9</c:v>
                </c:pt>
                <c:pt idx="187">
                  <c:v>8.8000000000000007</c:v>
                </c:pt>
                <c:pt idx="188">
                  <c:v>8.3000000000000007</c:v>
                </c:pt>
                <c:pt idx="189">
                  <c:v>7.8</c:v>
                </c:pt>
                <c:pt idx="190">
                  <c:v>7.7</c:v>
                </c:pt>
                <c:pt idx="191">
                  <c:v>8.1999999999999993</c:v>
                </c:pt>
                <c:pt idx="192">
                  <c:v>9.3000000000000007</c:v>
                </c:pt>
                <c:pt idx="193">
                  <c:v>9.6999999999999993</c:v>
                </c:pt>
                <c:pt idx="194">
                  <c:v>10</c:v>
                </c:pt>
                <c:pt idx="195">
                  <c:v>9.4</c:v>
                </c:pt>
                <c:pt idx="196">
                  <c:v>9.8000000000000007</c:v>
                </c:pt>
                <c:pt idx="197">
                  <c:v>10.3</c:v>
                </c:pt>
                <c:pt idx="198">
                  <c:v>8</c:v>
                </c:pt>
                <c:pt idx="199">
                  <c:v>8.5</c:v>
                </c:pt>
              </c:numCache>
            </c:numRef>
          </c:val>
          <c:smooth val="0"/>
          <c:extLst>
            <c:ext xmlns:c16="http://schemas.microsoft.com/office/drawing/2014/chart" uri="{C3380CC4-5D6E-409C-BE32-E72D297353CC}">
              <c16:uniqueId val="{00000000-9ECF-4794-B116-B562FCC59FC3}"/>
            </c:ext>
          </c:extLst>
        </c:ser>
        <c:dLbls>
          <c:showLegendKey val="0"/>
          <c:showVal val="0"/>
          <c:showCatName val="0"/>
          <c:showSerName val="0"/>
          <c:showPercent val="0"/>
          <c:showBubbleSize val="0"/>
        </c:dLbls>
        <c:smooth val="0"/>
        <c:axId val="420146552"/>
        <c:axId val="420149504"/>
      </c:lineChart>
      <c:catAx>
        <c:axId val="420146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0149504"/>
        <c:crosses val="autoZero"/>
        <c:auto val="1"/>
        <c:lblAlgn val="ctr"/>
        <c:lblOffset val="100"/>
        <c:tickLblSkip val="24"/>
        <c:noMultiLvlLbl val="0"/>
      </c:catAx>
      <c:valAx>
        <c:axId val="420149504"/>
        <c:scaling>
          <c:orientation val="minMax"/>
          <c:min val="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0146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bg2">
                  <a:lumMod val="25000"/>
                </a:schemeClr>
              </a:solidFill>
              <a:round/>
            </a:ln>
            <a:effectLst/>
          </c:spPr>
          <c:marker>
            <c:symbol val="none"/>
          </c:marker>
          <c:cat>
            <c:strRef>
              <c:f>'Makroekonomisk utveckling'!$B$136:$B$347</c:f>
              <c:strCache>
                <c:ptCount val="212"/>
                <c:pt idx="12">
                  <c:v>jan-05</c:v>
                </c:pt>
                <c:pt idx="13">
                  <c:v>feb-05</c:v>
                </c:pt>
                <c:pt idx="14">
                  <c:v>mar-05</c:v>
                </c:pt>
                <c:pt idx="15">
                  <c:v>apr-05</c:v>
                </c:pt>
                <c:pt idx="16">
                  <c:v>maj-05</c:v>
                </c:pt>
                <c:pt idx="17">
                  <c:v>jun-05</c:v>
                </c:pt>
                <c:pt idx="18">
                  <c:v>jul-05</c:v>
                </c:pt>
                <c:pt idx="19">
                  <c:v>aug-05</c:v>
                </c:pt>
                <c:pt idx="20">
                  <c:v>sep-05</c:v>
                </c:pt>
                <c:pt idx="21">
                  <c:v>okt-05</c:v>
                </c:pt>
                <c:pt idx="22">
                  <c:v>nov-05</c:v>
                </c:pt>
                <c:pt idx="23">
                  <c:v>dec-05</c:v>
                </c:pt>
                <c:pt idx="24">
                  <c:v>jan-06</c:v>
                </c:pt>
                <c:pt idx="25">
                  <c:v>feb-06</c:v>
                </c:pt>
                <c:pt idx="26">
                  <c:v>mar-06</c:v>
                </c:pt>
                <c:pt idx="27">
                  <c:v>apr-06</c:v>
                </c:pt>
                <c:pt idx="28">
                  <c:v>maj-06</c:v>
                </c:pt>
                <c:pt idx="29">
                  <c:v>jun-06</c:v>
                </c:pt>
                <c:pt idx="30">
                  <c:v>jul-06</c:v>
                </c:pt>
                <c:pt idx="31">
                  <c:v>aug-06</c:v>
                </c:pt>
                <c:pt idx="32">
                  <c:v>sep-06</c:v>
                </c:pt>
                <c:pt idx="33">
                  <c:v>okt-06</c:v>
                </c:pt>
                <c:pt idx="34">
                  <c:v>nov-06</c:v>
                </c:pt>
                <c:pt idx="35">
                  <c:v>dec-06</c:v>
                </c:pt>
                <c:pt idx="36">
                  <c:v>jan-07</c:v>
                </c:pt>
                <c:pt idx="37">
                  <c:v>feb-07</c:v>
                </c:pt>
                <c:pt idx="38">
                  <c:v>mar-07</c:v>
                </c:pt>
                <c:pt idx="39">
                  <c:v>apr-07</c:v>
                </c:pt>
                <c:pt idx="40">
                  <c:v>maj-07</c:v>
                </c:pt>
                <c:pt idx="41">
                  <c:v>jun-07</c:v>
                </c:pt>
                <c:pt idx="42">
                  <c:v>jul-07</c:v>
                </c:pt>
                <c:pt idx="43">
                  <c:v>aug-07</c:v>
                </c:pt>
                <c:pt idx="44">
                  <c:v>sep-07</c:v>
                </c:pt>
                <c:pt idx="45">
                  <c:v>okt-07</c:v>
                </c:pt>
                <c:pt idx="46">
                  <c:v>nov-07</c:v>
                </c:pt>
                <c:pt idx="47">
                  <c:v>dec-07</c:v>
                </c:pt>
                <c:pt idx="48">
                  <c:v>jan-08</c:v>
                </c:pt>
                <c:pt idx="49">
                  <c:v>feb-08</c:v>
                </c:pt>
                <c:pt idx="50">
                  <c:v>mar-08</c:v>
                </c:pt>
                <c:pt idx="51">
                  <c:v>apr-08</c:v>
                </c:pt>
                <c:pt idx="52">
                  <c:v>maj-08</c:v>
                </c:pt>
                <c:pt idx="53">
                  <c:v>jun-08</c:v>
                </c:pt>
                <c:pt idx="54">
                  <c:v>jul-08</c:v>
                </c:pt>
                <c:pt idx="55">
                  <c:v>aug-08</c:v>
                </c:pt>
                <c:pt idx="56">
                  <c:v>sep-08</c:v>
                </c:pt>
                <c:pt idx="57">
                  <c:v>okt-08</c:v>
                </c:pt>
                <c:pt idx="58">
                  <c:v>nov-08</c:v>
                </c:pt>
                <c:pt idx="59">
                  <c:v>dec-08</c:v>
                </c:pt>
                <c:pt idx="60">
                  <c:v>jan-09</c:v>
                </c:pt>
                <c:pt idx="61">
                  <c:v>feb-09</c:v>
                </c:pt>
                <c:pt idx="62">
                  <c:v>mar-09</c:v>
                </c:pt>
                <c:pt idx="63">
                  <c:v>apr-09</c:v>
                </c:pt>
                <c:pt idx="64">
                  <c:v>maj-09</c:v>
                </c:pt>
                <c:pt idx="65">
                  <c:v>jun-09</c:v>
                </c:pt>
                <c:pt idx="66">
                  <c:v>jul-09</c:v>
                </c:pt>
                <c:pt idx="67">
                  <c:v>aug-09</c:v>
                </c:pt>
                <c:pt idx="68">
                  <c:v>sep-09</c:v>
                </c:pt>
                <c:pt idx="69">
                  <c:v>okt-09</c:v>
                </c:pt>
                <c:pt idx="70">
                  <c:v>nov-09</c:v>
                </c:pt>
                <c:pt idx="71">
                  <c:v>dec-09</c:v>
                </c:pt>
                <c:pt idx="72">
                  <c:v>jan-10</c:v>
                </c:pt>
                <c:pt idx="73">
                  <c:v>feb-10</c:v>
                </c:pt>
                <c:pt idx="74">
                  <c:v>mar-10</c:v>
                </c:pt>
                <c:pt idx="75">
                  <c:v>apr-10</c:v>
                </c:pt>
                <c:pt idx="76">
                  <c:v>maj-10</c:v>
                </c:pt>
                <c:pt idx="77">
                  <c:v>jun-10</c:v>
                </c:pt>
                <c:pt idx="78">
                  <c:v>jul-10</c:v>
                </c:pt>
                <c:pt idx="79">
                  <c:v>aug-10</c:v>
                </c:pt>
                <c:pt idx="80">
                  <c:v>sep-10</c:v>
                </c:pt>
                <c:pt idx="81">
                  <c:v>okt-10</c:v>
                </c:pt>
                <c:pt idx="82">
                  <c:v>nov-10</c:v>
                </c:pt>
                <c:pt idx="83">
                  <c:v>dec-10</c:v>
                </c:pt>
                <c:pt idx="84">
                  <c:v>jan-11</c:v>
                </c:pt>
                <c:pt idx="85">
                  <c:v>feb-11</c:v>
                </c:pt>
                <c:pt idx="86">
                  <c:v>mar-11</c:v>
                </c:pt>
                <c:pt idx="87">
                  <c:v>apr-11</c:v>
                </c:pt>
                <c:pt idx="88">
                  <c:v>maj-11</c:v>
                </c:pt>
                <c:pt idx="89">
                  <c:v>jun-11</c:v>
                </c:pt>
                <c:pt idx="90">
                  <c:v>jul-11</c:v>
                </c:pt>
                <c:pt idx="91">
                  <c:v>aug-11</c:v>
                </c:pt>
                <c:pt idx="92">
                  <c:v>sep-11</c:v>
                </c:pt>
                <c:pt idx="93">
                  <c:v>okt-11</c:v>
                </c:pt>
                <c:pt idx="94">
                  <c:v>nov-11</c:v>
                </c:pt>
                <c:pt idx="95">
                  <c:v>dec-11</c:v>
                </c:pt>
                <c:pt idx="96">
                  <c:v>jan-12</c:v>
                </c:pt>
                <c:pt idx="97">
                  <c:v>feb-12</c:v>
                </c:pt>
                <c:pt idx="98">
                  <c:v>mar-12</c:v>
                </c:pt>
                <c:pt idx="99">
                  <c:v>apr-12</c:v>
                </c:pt>
                <c:pt idx="100">
                  <c:v>maj-12</c:v>
                </c:pt>
                <c:pt idx="101">
                  <c:v>jun-12</c:v>
                </c:pt>
                <c:pt idx="102">
                  <c:v>jul-12</c:v>
                </c:pt>
                <c:pt idx="103">
                  <c:v>aug-12</c:v>
                </c:pt>
                <c:pt idx="104">
                  <c:v>sep-12</c:v>
                </c:pt>
                <c:pt idx="105">
                  <c:v>okt-12</c:v>
                </c:pt>
                <c:pt idx="106">
                  <c:v>nov-12</c:v>
                </c:pt>
                <c:pt idx="107">
                  <c:v>dec-12</c:v>
                </c:pt>
                <c:pt idx="108">
                  <c:v>jan-13</c:v>
                </c:pt>
                <c:pt idx="109">
                  <c:v>feb-13</c:v>
                </c:pt>
                <c:pt idx="110">
                  <c:v>mar-13</c:v>
                </c:pt>
                <c:pt idx="111">
                  <c:v>apr-13</c:v>
                </c:pt>
                <c:pt idx="112">
                  <c:v>maj-13</c:v>
                </c:pt>
                <c:pt idx="113">
                  <c:v>jun-13</c:v>
                </c:pt>
                <c:pt idx="114">
                  <c:v>jul-13</c:v>
                </c:pt>
                <c:pt idx="115">
                  <c:v>aug-13</c:v>
                </c:pt>
                <c:pt idx="116">
                  <c:v>sep-13</c:v>
                </c:pt>
                <c:pt idx="117">
                  <c:v>okt-13</c:v>
                </c:pt>
                <c:pt idx="118">
                  <c:v>nov-13</c:v>
                </c:pt>
                <c:pt idx="119">
                  <c:v>dec-13</c:v>
                </c:pt>
                <c:pt idx="120">
                  <c:v>jan-14</c:v>
                </c:pt>
                <c:pt idx="121">
                  <c:v>feb-14</c:v>
                </c:pt>
                <c:pt idx="122">
                  <c:v>mar-14</c:v>
                </c:pt>
                <c:pt idx="123">
                  <c:v>apr-14</c:v>
                </c:pt>
                <c:pt idx="124">
                  <c:v>maj-14</c:v>
                </c:pt>
                <c:pt idx="125">
                  <c:v>jun-14</c:v>
                </c:pt>
                <c:pt idx="126">
                  <c:v>jul-14</c:v>
                </c:pt>
                <c:pt idx="127">
                  <c:v>aug-14</c:v>
                </c:pt>
                <c:pt idx="128">
                  <c:v>sep-14</c:v>
                </c:pt>
                <c:pt idx="129">
                  <c:v>okt-14</c:v>
                </c:pt>
                <c:pt idx="130">
                  <c:v>nov-14</c:v>
                </c:pt>
                <c:pt idx="131">
                  <c:v>dec-14</c:v>
                </c:pt>
                <c:pt idx="132">
                  <c:v>jan-15</c:v>
                </c:pt>
                <c:pt idx="133">
                  <c:v>feb-15</c:v>
                </c:pt>
                <c:pt idx="134">
                  <c:v>mar-15</c:v>
                </c:pt>
                <c:pt idx="135">
                  <c:v>apr-15</c:v>
                </c:pt>
                <c:pt idx="136">
                  <c:v>maj-15</c:v>
                </c:pt>
                <c:pt idx="137">
                  <c:v>jun-15</c:v>
                </c:pt>
                <c:pt idx="138">
                  <c:v>jul-15</c:v>
                </c:pt>
                <c:pt idx="139">
                  <c:v>aug-15</c:v>
                </c:pt>
                <c:pt idx="140">
                  <c:v>sep-15</c:v>
                </c:pt>
                <c:pt idx="141">
                  <c:v>okt-15</c:v>
                </c:pt>
                <c:pt idx="142">
                  <c:v>nov-15</c:v>
                </c:pt>
                <c:pt idx="143">
                  <c:v>dec-15</c:v>
                </c:pt>
                <c:pt idx="144">
                  <c:v>jan-16</c:v>
                </c:pt>
                <c:pt idx="145">
                  <c:v>feb-16</c:v>
                </c:pt>
                <c:pt idx="146">
                  <c:v>mar-16</c:v>
                </c:pt>
                <c:pt idx="147">
                  <c:v>apr-16</c:v>
                </c:pt>
                <c:pt idx="148">
                  <c:v>maj-16</c:v>
                </c:pt>
                <c:pt idx="149">
                  <c:v>jun-16</c:v>
                </c:pt>
                <c:pt idx="150">
                  <c:v>jul-16</c:v>
                </c:pt>
                <c:pt idx="151">
                  <c:v>aug-16</c:v>
                </c:pt>
                <c:pt idx="152">
                  <c:v>sep-16</c:v>
                </c:pt>
                <c:pt idx="153">
                  <c:v>okt-16</c:v>
                </c:pt>
                <c:pt idx="154">
                  <c:v>nov-16</c:v>
                </c:pt>
                <c:pt idx="155">
                  <c:v>dec-16</c:v>
                </c:pt>
                <c:pt idx="156">
                  <c:v>jan-17</c:v>
                </c:pt>
                <c:pt idx="157">
                  <c:v>feb-17</c:v>
                </c:pt>
                <c:pt idx="158">
                  <c:v>mar-17</c:v>
                </c:pt>
                <c:pt idx="159">
                  <c:v>apr-17</c:v>
                </c:pt>
                <c:pt idx="160">
                  <c:v>maj-17</c:v>
                </c:pt>
                <c:pt idx="161">
                  <c:v>jun-17</c:v>
                </c:pt>
                <c:pt idx="162">
                  <c:v>jul-17</c:v>
                </c:pt>
                <c:pt idx="163">
                  <c:v>aug-17</c:v>
                </c:pt>
                <c:pt idx="164">
                  <c:v>sep-17</c:v>
                </c:pt>
                <c:pt idx="165">
                  <c:v>okt-17</c:v>
                </c:pt>
                <c:pt idx="166">
                  <c:v>nov-17</c:v>
                </c:pt>
                <c:pt idx="167">
                  <c:v>dec-17</c:v>
                </c:pt>
                <c:pt idx="168">
                  <c:v>jan-18</c:v>
                </c:pt>
                <c:pt idx="169">
                  <c:v>feb-18</c:v>
                </c:pt>
                <c:pt idx="170">
                  <c:v>mar-18</c:v>
                </c:pt>
                <c:pt idx="171">
                  <c:v>apr-18</c:v>
                </c:pt>
                <c:pt idx="172">
                  <c:v>maj-18</c:v>
                </c:pt>
                <c:pt idx="173">
                  <c:v>jun-18</c:v>
                </c:pt>
                <c:pt idx="174">
                  <c:v>jul-18</c:v>
                </c:pt>
                <c:pt idx="175">
                  <c:v>aug-18</c:v>
                </c:pt>
                <c:pt idx="176">
                  <c:v>sep-18</c:v>
                </c:pt>
                <c:pt idx="177">
                  <c:v>okt-18</c:v>
                </c:pt>
                <c:pt idx="178">
                  <c:v>nov-18</c:v>
                </c:pt>
                <c:pt idx="179">
                  <c:v>dec-18</c:v>
                </c:pt>
                <c:pt idx="180">
                  <c:v>jan-19</c:v>
                </c:pt>
                <c:pt idx="181">
                  <c:v>feb-19</c:v>
                </c:pt>
                <c:pt idx="182">
                  <c:v>mar-19</c:v>
                </c:pt>
                <c:pt idx="183">
                  <c:v>apr-19</c:v>
                </c:pt>
                <c:pt idx="184">
                  <c:v>maj-19</c:v>
                </c:pt>
                <c:pt idx="185">
                  <c:v>jun-19</c:v>
                </c:pt>
                <c:pt idx="186">
                  <c:v>jul-19</c:v>
                </c:pt>
                <c:pt idx="187">
                  <c:v>aug-19</c:v>
                </c:pt>
                <c:pt idx="188">
                  <c:v>sep-19</c:v>
                </c:pt>
                <c:pt idx="189">
                  <c:v>okt-19</c:v>
                </c:pt>
                <c:pt idx="190">
                  <c:v>nov-19</c:v>
                </c:pt>
                <c:pt idx="191">
                  <c:v>dec-19</c:v>
                </c:pt>
                <c:pt idx="192">
                  <c:v>jan-20</c:v>
                </c:pt>
                <c:pt idx="193">
                  <c:v>feb-20</c:v>
                </c:pt>
                <c:pt idx="194">
                  <c:v>mar-20</c:v>
                </c:pt>
                <c:pt idx="195">
                  <c:v>apr-20</c:v>
                </c:pt>
                <c:pt idx="196">
                  <c:v>maj-20</c:v>
                </c:pt>
                <c:pt idx="197">
                  <c:v>jun-20</c:v>
                </c:pt>
                <c:pt idx="198">
                  <c:v>jul-20</c:v>
                </c:pt>
                <c:pt idx="199">
                  <c:v>aug-20</c:v>
                </c:pt>
                <c:pt idx="200">
                  <c:v>sep-20</c:v>
                </c:pt>
                <c:pt idx="201">
                  <c:v>okt-20</c:v>
                </c:pt>
                <c:pt idx="202">
                  <c:v>nov-20</c:v>
                </c:pt>
                <c:pt idx="203">
                  <c:v>dec-20</c:v>
                </c:pt>
                <c:pt idx="204">
                  <c:v>jan-21</c:v>
                </c:pt>
                <c:pt idx="205">
                  <c:v>feb-21</c:v>
                </c:pt>
                <c:pt idx="206">
                  <c:v>mar-21</c:v>
                </c:pt>
                <c:pt idx="207">
                  <c:v>apr-21</c:v>
                </c:pt>
                <c:pt idx="208">
                  <c:v>maj-21</c:v>
                </c:pt>
                <c:pt idx="209">
                  <c:v>jun-21</c:v>
                </c:pt>
                <c:pt idx="210">
                  <c:v>jul-21</c:v>
                </c:pt>
                <c:pt idx="211">
                  <c:v>aug-21</c:v>
                </c:pt>
              </c:strCache>
            </c:strRef>
          </c:cat>
          <c:val>
            <c:numRef>
              <c:f>'Makroekonomisk utveckling'!$C$136:$C$347</c:f>
              <c:numCache>
                <c:formatCode>General</c:formatCode>
                <c:ptCount val="212"/>
                <c:pt idx="12" formatCode="0.00">
                  <c:v>11.5</c:v>
                </c:pt>
                <c:pt idx="13" formatCode="0.00">
                  <c:v>11.7</c:v>
                </c:pt>
                <c:pt idx="14" formatCode="0.00">
                  <c:v>11.9</c:v>
                </c:pt>
                <c:pt idx="15" formatCode="0.00">
                  <c:v>12.3</c:v>
                </c:pt>
                <c:pt idx="16" formatCode="0.00">
                  <c:v>12.9</c:v>
                </c:pt>
                <c:pt idx="17" formatCode="0.00">
                  <c:v>12.8</c:v>
                </c:pt>
                <c:pt idx="18" formatCode="0.00">
                  <c:v>12.4</c:v>
                </c:pt>
                <c:pt idx="19" formatCode="0.00">
                  <c:v>12.4</c:v>
                </c:pt>
                <c:pt idx="20" formatCode="0.00">
                  <c:v>12.5</c:v>
                </c:pt>
                <c:pt idx="21" formatCode="0.00">
                  <c:v>12.5</c:v>
                </c:pt>
                <c:pt idx="22" formatCode="0.00">
                  <c:v>12.5</c:v>
                </c:pt>
                <c:pt idx="23" formatCode="0.00">
                  <c:v>12.2</c:v>
                </c:pt>
                <c:pt idx="24" formatCode="0.00">
                  <c:v>12.1</c:v>
                </c:pt>
                <c:pt idx="25" formatCode="0.00">
                  <c:v>12.4</c:v>
                </c:pt>
                <c:pt idx="26" formatCode="0.00">
                  <c:v>12.8</c:v>
                </c:pt>
                <c:pt idx="27" formatCode="0.00">
                  <c:v>13.2</c:v>
                </c:pt>
                <c:pt idx="28" formatCode="0.00">
                  <c:v>14.1</c:v>
                </c:pt>
                <c:pt idx="29" formatCode="0.00">
                  <c:v>14.1</c:v>
                </c:pt>
                <c:pt idx="30" formatCode="0.00">
                  <c:v>13.6</c:v>
                </c:pt>
                <c:pt idx="31" formatCode="0.00">
                  <c:v>13.8</c:v>
                </c:pt>
                <c:pt idx="32" formatCode="0.00">
                  <c:v>14.1</c:v>
                </c:pt>
                <c:pt idx="33" formatCode="0.00">
                  <c:v>14.3</c:v>
                </c:pt>
                <c:pt idx="34" formatCode="0.00">
                  <c:v>14.2</c:v>
                </c:pt>
                <c:pt idx="35" formatCode="0.00">
                  <c:v>13.7</c:v>
                </c:pt>
                <c:pt idx="36" formatCode="0.00">
                  <c:v>13.7</c:v>
                </c:pt>
                <c:pt idx="37" formatCode="0.00">
                  <c:v>14.1</c:v>
                </c:pt>
                <c:pt idx="38" formatCode="0.00">
                  <c:v>14.6</c:v>
                </c:pt>
                <c:pt idx="39" formatCode="0.00">
                  <c:v>15.3</c:v>
                </c:pt>
                <c:pt idx="40" formatCode="0.00">
                  <c:v>16.2</c:v>
                </c:pt>
                <c:pt idx="41" formatCode="0.00">
                  <c:v>16.600000000000001</c:v>
                </c:pt>
                <c:pt idx="42" formatCode="0.00">
                  <c:v>16.399999999999999</c:v>
                </c:pt>
                <c:pt idx="43" formatCode="0.00">
                  <c:v>16.3</c:v>
                </c:pt>
                <c:pt idx="44" formatCode="0.00">
                  <c:v>16.3</c:v>
                </c:pt>
                <c:pt idx="45" formatCode="0.00">
                  <c:v>16.899999999999999</c:v>
                </c:pt>
                <c:pt idx="46" formatCode="0.00">
                  <c:v>17.2</c:v>
                </c:pt>
                <c:pt idx="47" formatCode="0.00">
                  <c:v>17</c:v>
                </c:pt>
                <c:pt idx="48" formatCode="0.00">
                  <c:v>17.100000000000001</c:v>
                </c:pt>
                <c:pt idx="49" formatCode="0.00">
                  <c:v>17.3</c:v>
                </c:pt>
                <c:pt idx="50" formatCode="0.00">
                  <c:v>17.899999999999999</c:v>
                </c:pt>
                <c:pt idx="51" formatCode="0.00">
                  <c:v>18.7</c:v>
                </c:pt>
                <c:pt idx="52" formatCode="0.00">
                  <c:v>19.7</c:v>
                </c:pt>
                <c:pt idx="53" formatCode="0.00">
                  <c:v>19.2</c:v>
                </c:pt>
                <c:pt idx="54" formatCode="0.00">
                  <c:v>19.3</c:v>
                </c:pt>
                <c:pt idx="55" formatCode="0.00">
                  <c:v>18.5</c:v>
                </c:pt>
                <c:pt idx="56" formatCode="0.00">
                  <c:v>18.2</c:v>
                </c:pt>
                <c:pt idx="57" formatCode="0.00">
                  <c:v>18</c:v>
                </c:pt>
                <c:pt idx="58" formatCode="0.00">
                  <c:v>17.5</c:v>
                </c:pt>
                <c:pt idx="59" formatCode="0.00">
                  <c:v>16.600000000000001</c:v>
                </c:pt>
                <c:pt idx="60" formatCode="0.00">
                  <c:v>16.2</c:v>
                </c:pt>
                <c:pt idx="61" formatCode="0.00">
                  <c:v>16.2</c:v>
                </c:pt>
                <c:pt idx="62" formatCode="0.00">
                  <c:v>16.600000000000001</c:v>
                </c:pt>
                <c:pt idx="63" formatCode="0.00">
                  <c:v>16.7</c:v>
                </c:pt>
                <c:pt idx="64" formatCode="0.00">
                  <c:v>17.399999999999999</c:v>
                </c:pt>
                <c:pt idx="65" formatCode="0.00">
                  <c:v>17.600000000000001</c:v>
                </c:pt>
                <c:pt idx="66" formatCode="0.00">
                  <c:v>17.5</c:v>
                </c:pt>
                <c:pt idx="67" formatCode="0.00">
                  <c:v>17</c:v>
                </c:pt>
                <c:pt idx="68" formatCode="0.00">
                  <c:v>17.100000000000001</c:v>
                </c:pt>
                <c:pt idx="69" formatCode="0.00">
                  <c:v>17.2</c:v>
                </c:pt>
                <c:pt idx="70" formatCode="0.00">
                  <c:v>17.2</c:v>
                </c:pt>
                <c:pt idx="71" formatCode="0.00">
                  <c:v>17</c:v>
                </c:pt>
                <c:pt idx="72" formatCode="0.00">
                  <c:v>16.8</c:v>
                </c:pt>
                <c:pt idx="73" formatCode="0.00">
                  <c:v>17.100000000000001</c:v>
                </c:pt>
                <c:pt idx="74" formatCode="0.00">
                  <c:v>17.7</c:v>
                </c:pt>
                <c:pt idx="75" formatCode="0.00">
                  <c:v>18.3</c:v>
                </c:pt>
                <c:pt idx="76" formatCode="0.00">
                  <c:v>19.399999999999999</c:v>
                </c:pt>
                <c:pt idx="77" formatCode="0.00">
                  <c:v>19.5</c:v>
                </c:pt>
                <c:pt idx="78" formatCode="0.00">
                  <c:v>19.600000000000001</c:v>
                </c:pt>
                <c:pt idx="79" formatCode="0.00">
                  <c:v>19.5</c:v>
                </c:pt>
                <c:pt idx="80" formatCode="0.00">
                  <c:v>19.600000000000001</c:v>
                </c:pt>
                <c:pt idx="81" formatCode="0.00">
                  <c:v>19.899999999999999</c:v>
                </c:pt>
                <c:pt idx="82" formatCode="0.00">
                  <c:v>20</c:v>
                </c:pt>
                <c:pt idx="83" formatCode="0.00">
                  <c:v>19.899999999999999</c:v>
                </c:pt>
                <c:pt idx="84" formatCode="0.00">
                  <c:v>20</c:v>
                </c:pt>
                <c:pt idx="85" formatCode="0.00">
                  <c:v>20.399999999999999</c:v>
                </c:pt>
                <c:pt idx="86" formatCode="0.00">
                  <c:v>21</c:v>
                </c:pt>
                <c:pt idx="87" formatCode="0.00">
                  <c:v>21.9</c:v>
                </c:pt>
                <c:pt idx="88" formatCode="0.00">
                  <c:v>23.1</c:v>
                </c:pt>
                <c:pt idx="89" formatCode="0.00">
                  <c:v>23.6</c:v>
                </c:pt>
                <c:pt idx="90" formatCode="0.00">
                  <c:v>23.6</c:v>
                </c:pt>
                <c:pt idx="91" formatCode="0.00">
                  <c:v>23.3</c:v>
                </c:pt>
                <c:pt idx="92" formatCode="0.00">
                  <c:v>23.3</c:v>
                </c:pt>
                <c:pt idx="93" formatCode="0.00">
                  <c:v>23.2</c:v>
                </c:pt>
                <c:pt idx="94" formatCode="0.00">
                  <c:v>23.2</c:v>
                </c:pt>
                <c:pt idx="95" formatCode="0.00">
                  <c:v>22.9</c:v>
                </c:pt>
                <c:pt idx="96" formatCode="0.00">
                  <c:v>22.6</c:v>
                </c:pt>
                <c:pt idx="97" formatCode="0.00">
                  <c:v>22.8</c:v>
                </c:pt>
                <c:pt idx="98" formatCode="0.00">
                  <c:v>23.4</c:v>
                </c:pt>
                <c:pt idx="99" formatCode="0.00">
                  <c:v>24.1</c:v>
                </c:pt>
                <c:pt idx="100" formatCode="0.00">
                  <c:v>25.2</c:v>
                </c:pt>
                <c:pt idx="101" formatCode="0.00">
                  <c:v>25.3</c:v>
                </c:pt>
                <c:pt idx="102" formatCode="0.00">
                  <c:v>25.3</c:v>
                </c:pt>
                <c:pt idx="103" formatCode="0.00">
                  <c:v>24.9</c:v>
                </c:pt>
                <c:pt idx="104" formatCode="0.00">
                  <c:v>24.8</c:v>
                </c:pt>
                <c:pt idx="105" formatCode="0.00">
                  <c:v>24.7</c:v>
                </c:pt>
                <c:pt idx="106" formatCode="0.00">
                  <c:v>24.8</c:v>
                </c:pt>
                <c:pt idx="107" formatCode="0.00">
                  <c:v>24.5</c:v>
                </c:pt>
                <c:pt idx="108" formatCode="0.00">
                  <c:v>24.6</c:v>
                </c:pt>
                <c:pt idx="109" formatCode="0.00">
                  <c:v>25</c:v>
                </c:pt>
                <c:pt idx="110" formatCode="0.00">
                  <c:v>25.4</c:v>
                </c:pt>
                <c:pt idx="111" formatCode="0.00">
                  <c:v>26.3</c:v>
                </c:pt>
                <c:pt idx="112" formatCode="0.00">
                  <c:v>27.6</c:v>
                </c:pt>
                <c:pt idx="113" formatCode="0.00">
                  <c:v>27.9</c:v>
                </c:pt>
                <c:pt idx="114" formatCode="0.00">
                  <c:v>27.9</c:v>
                </c:pt>
                <c:pt idx="115" formatCode="0.00">
                  <c:v>27.6</c:v>
                </c:pt>
                <c:pt idx="116" formatCode="0.00">
                  <c:v>27.8</c:v>
                </c:pt>
                <c:pt idx="117" formatCode="0.00">
                  <c:v>27.9</c:v>
                </c:pt>
                <c:pt idx="118" formatCode="0.00">
                  <c:v>28.1</c:v>
                </c:pt>
                <c:pt idx="119" formatCode="0.00">
                  <c:v>27.8</c:v>
                </c:pt>
                <c:pt idx="120" formatCode="0.00">
                  <c:v>28</c:v>
                </c:pt>
                <c:pt idx="121" formatCode="0.00">
                  <c:v>28.5</c:v>
                </c:pt>
                <c:pt idx="122" formatCode="0.00">
                  <c:v>29.5</c:v>
                </c:pt>
                <c:pt idx="123" formatCode="0.00">
                  <c:v>30.6</c:v>
                </c:pt>
                <c:pt idx="124" formatCode="0.00">
                  <c:v>31.9</c:v>
                </c:pt>
                <c:pt idx="125" formatCode="0.00">
                  <c:v>31.1</c:v>
                </c:pt>
                <c:pt idx="126" formatCode="0.00">
                  <c:v>32.200000000000003</c:v>
                </c:pt>
                <c:pt idx="127" formatCode="0.00">
                  <c:v>32.4</c:v>
                </c:pt>
                <c:pt idx="128" formatCode="0.00">
                  <c:v>32.700000000000003</c:v>
                </c:pt>
                <c:pt idx="129" formatCode="0.00">
                  <c:v>32.9</c:v>
                </c:pt>
                <c:pt idx="130" formatCode="0.00">
                  <c:v>33</c:v>
                </c:pt>
                <c:pt idx="131" formatCode="0.00">
                  <c:v>32.6</c:v>
                </c:pt>
                <c:pt idx="132" formatCode="0.00">
                  <c:v>32.799999999999997</c:v>
                </c:pt>
                <c:pt idx="133" formatCode="0.00">
                  <c:v>33.4</c:v>
                </c:pt>
                <c:pt idx="134" formatCode="0.00">
                  <c:v>34.4</c:v>
                </c:pt>
                <c:pt idx="135" formatCode="0.00">
                  <c:v>35.6</c:v>
                </c:pt>
                <c:pt idx="136" formatCode="0.00">
                  <c:v>37</c:v>
                </c:pt>
                <c:pt idx="137" formatCode="0.00">
                  <c:v>37.6</c:v>
                </c:pt>
                <c:pt idx="138" formatCode="0.00">
                  <c:v>37.4</c:v>
                </c:pt>
                <c:pt idx="139" formatCode="0.00">
                  <c:v>37.5</c:v>
                </c:pt>
                <c:pt idx="140" formatCode="0.00">
                  <c:v>37.700000000000003</c:v>
                </c:pt>
                <c:pt idx="141" formatCode="0.00">
                  <c:v>37.9</c:v>
                </c:pt>
                <c:pt idx="142" formatCode="0.00">
                  <c:v>37.9</c:v>
                </c:pt>
                <c:pt idx="143" formatCode="0.00">
                  <c:v>37.6</c:v>
                </c:pt>
                <c:pt idx="144" formatCode="0.00">
                  <c:v>37.6</c:v>
                </c:pt>
                <c:pt idx="145" formatCode="0.00">
                  <c:v>38.1</c:v>
                </c:pt>
                <c:pt idx="146" formatCode="0.00">
                  <c:v>39.1</c:v>
                </c:pt>
                <c:pt idx="147" formatCode="0.00">
                  <c:v>40.4</c:v>
                </c:pt>
                <c:pt idx="148" formatCode="0.00">
                  <c:v>41.8</c:v>
                </c:pt>
                <c:pt idx="149" formatCode="0.00">
                  <c:v>42.3</c:v>
                </c:pt>
                <c:pt idx="150" formatCode="0.00">
                  <c:v>42.3</c:v>
                </c:pt>
                <c:pt idx="151" formatCode="0.00">
                  <c:v>42.7</c:v>
                </c:pt>
                <c:pt idx="152" formatCode="0.00">
                  <c:v>43.2</c:v>
                </c:pt>
                <c:pt idx="153" formatCode="0.00">
                  <c:v>43.5</c:v>
                </c:pt>
                <c:pt idx="154" formatCode="0.00">
                  <c:v>44</c:v>
                </c:pt>
                <c:pt idx="155" formatCode="0.00">
                  <c:v>43.9</c:v>
                </c:pt>
                <c:pt idx="156" formatCode="0.00">
                  <c:v>44.1</c:v>
                </c:pt>
                <c:pt idx="157" formatCode="0.00">
                  <c:v>44.6</c:v>
                </c:pt>
                <c:pt idx="158" formatCode="0.00">
                  <c:v>45.5</c:v>
                </c:pt>
                <c:pt idx="159" formatCode="0.00">
                  <c:v>46.4</c:v>
                </c:pt>
                <c:pt idx="160" formatCode="0.00">
                  <c:v>47.5</c:v>
                </c:pt>
                <c:pt idx="161" formatCode="0.00">
                  <c:v>47.3</c:v>
                </c:pt>
                <c:pt idx="162" formatCode="0.00">
                  <c:v>47</c:v>
                </c:pt>
                <c:pt idx="163" formatCode="0.00">
                  <c:v>47.2</c:v>
                </c:pt>
                <c:pt idx="164" formatCode="0.00">
                  <c:v>47.3</c:v>
                </c:pt>
                <c:pt idx="165" formatCode="0.00">
                  <c:v>47.1</c:v>
                </c:pt>
                <c:pt idx="166" formatCode="0.00">
                  <c:v>46.9</c:v>
                </c:pt>
                <c:pt idx="167" formatCode="0.00">
                  <c:v>46.4</c:v>
                </c:pt>
                <c:pt idx="168" formatCode="0.00">
                  <c:v>46.2</c:v>
                </c:pt>
                <c:pt idx="169" formatCode="0.00">
                  <c:v>46.4</c:v>
                </c:pt>
                <c:pt idx="170" formatCode="0.00">
                  <c:v>46.9</c:v>
                </c:pt>
                <c:pt idx="171" formatCode="0.00">
                  <c:v>47.6</c:v>
                </c:pt>
                <c:pt idx="172" formatCode="0.00">
                  <c:v>48.6</c:v>
                </c:pt>
                <c:pt idx="173" formatCode="0.00">
                  <c:v>48.3</c:v>
                </c:pt>
                <c:pt idx="174" formatCode="0.00">
                  <c:v>47.9</c:v>
                </c:pt>
                <c:pt idx="175" formatCode="0.00">
                  <c:v>47.9</c:v>
                </c:pt>
                <c:pt idx="176" formatCode="0.00">
                  <c:v>48</c:v>
                </c:pt>
                <c:pt idx="177" formatCode="0.00">
                  <c:v>47.9</c:v>
                </c:pt>
                <c:pt idx="178" formatCode="0.00">
                  <c:v>47.5</c:v>
                </c:pt>
                <c:pt idx="179" formatCode="0.00">
                  <c:v>46.7</c:v>
                </c:pt>
                <c:pt idx="180" formatCode="0.00">
                  <c:v>46.3</c:v>
                </c:pt>
                <c:pt idx="181" formatCode="0.00">
                  <c:v>46.6</c:v>
                </c:pt>
                <c:pt idx="182" formatCode="0.00">
                  <c:v>46.9</c:v>
                </c:pt>
                <c:pt idx="183" formatCode="0.00">
                  <c:v>47.6</c:v>
                </c:pt>
                <c:pt idx="184" formatCode="0.00">
                  <c:v>48.2</c:v>
                </c:pt>
                <c:pt idx="185" formatCode="0.00">
                  <c:v>47.8</c:v>
                </c:pt>
                <c:pt idx="186" formatCode="0.00">
                  <c:v>47.4</c:v>
                </c:pt>
                <c:pt idx="187" formatCode="0.00">
                  <c:v>47.3</c:v>
                </c:pt>
                <c:pt idx="188" formatCode="0.00">
                  <c:v>47.1</c:v>
                </c:pt>
                <c:pt idx="189" formatCode="0.00">
                  <c:v>46.9</c:v>
                </c:pt>
                <c:pt idx="190" formatCode="0.00">
                  <c:v>46.5</c:v>
                </c:pt>
                <c:pt idx="191" formatCode="0.00">
                  <c:v>45.8</c:v>
                </c:pt>
                <c:pt idx="192" formatCode="0.00">
                  <c:v>45.4</c:v>
                </c:pt>
                <c:pt idx="193" formatCode="0.00">
                  <c:v>45.5</c:v>
                </c:pt>
                <c:pt idx="194" formatCode="0.00">
                  <c:v>44.6</c:v>
                </c:pt>
                <c:pt idx="195" formatCode="0.00">
                  <c:v>43.5</c:v>
                </c:pt>
                <c:pt idx="196" formatCode="0.00">
                  <c:v>42.9</c:v>
                </c:pt>
                <c:pt idx="197" formatCode="0.00">
                  <c:v>41.9</c:v>
                </c:pt>
                <c:pt idx="198" formatCode="0.00">
                  <c:v>41.7</c:v>
                </c:pt>
                <c:pt idx="199" formatCode="0.00">
                  <c:v>41.8</c:v>
                </c:pt>
                <c:pt idx="200" formatCode="0.00">
                  <c:v>42.4</c:v>
                </c:pt>
                <c:pt idx="201" formatCode="0.00">
                  <c:v>42.7</c:v>
                </c:pt>
                <c:pt idx="202" formatCode="0.00">
                  <c:v>42.6</c:v>
                </c:pt>
                <c:pt idx="203" formatCode="0.00">
                  <c:v>42.3</c:v>
                </c:pt>
                <c:pt idx="204" formatCode="0.00">
                  <c:v>42.3</c:v>
                </c:pt>
                <c:pt idx="205" formatCode="0.00">
                  <c:v>42.6</c:v>
                </c:pt>
                <c:pt idx="206" formatCode="0.00">
                  <c:v>43.3</c:v>
                </c:pt>
                <c:pt idx="207" formatCode="0.00">
                  <c:v>44.1</c:v>
                </c:pt>
                <c:pt idx="208" formatCode="0.00">
                  <c:v>44.8</c:v>
                </c:pt>
                <c:pt idx="209" formatCode="0.00">
                  <c:v>44.9</c:v>
                </c:pt>
                <c:pt idx="210" formatCode="0.00">
                  <c:v>44.8</c:v>
                </c:pt>
                <c:pt idx="211" formatCode="0.00">
                  <c:v>45.2</c:v>
                </c:pt>
              </c:numCache>
            </c:numRef>
          </c:val>
          <c:smooth val="0"/>
          <c:extLst>
            <c:ext xmlns:c16="http://schemas.microsoft.com/office/drawing/2014/chart" uri="{C3380CC4-5D6E-409C-BE32-E72D297353CC}">
              <c16:uniqueId val="{00000000-2EE2-4DC8-A9DC-090733C5EB63}"/>
            </c:ext>
          </c:extLst>
        </c:ser>
        <c:dLbls>
          <c:showLegendKey val="0"/>
          <c:showVal val="0"/>
          <c:showCatName val="0"/>
          <c:showSerName val="0"/>
          <c:showPercent val="0"/>
          <c:showBubbleSize val="0"/>
        </c:dLbls>
        <c:smooth val="0"/>
        <c:axId val="429702568"/>
        <c:axId val="429700272"/>
      </c:lineChart>
      <c:catAx>
        <c:axId val="429702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9700272"/>
        <c:crosses val="autoZero"/>
        <c:auto val="1"/>
        <c:lblAlgn val="ctr"/>
        <c:lblOffset val="100"/>
        <c:tickLblSkip val="12"/>
        <c:tickMarkSkip val="1"/>
        <c:noMultiLvlLbl val="0"/>
      </c:catAx>
      <c:valAx>
        <c:axId val="429700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9702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75000"/>
              </a:schemeClr>
            </a:solidFill>
            <a:ln>
              <a:noFill/>
            </a:ln>
            <a:effectLst/>
          </c:spPr>
          <c:invertIfNegative val="0"/>
          <c:dPt>
            <c:idx val="0"/>
            <c:invertIfNegative val="0"/>
            <c:bubble3D val="0"/>
            <c:spPr>
              <a:solidFill>
                <a:schemeClr val="bg2">
                  <a:lumMod val="25000"/>
                </a:schemeClr>
              </a:solidFill>
              <a:ln>
                <a:noFill/>
              </a:ln>
              <a:effectLst/>
            </c:spPr>
            <c:extLst>
              <c:ext xmlns:c16="http://schemas.microsoft.com/office/drawing/2014/chart" uri="{C3380CC4-5D6E-409C-BE32-E72D297353CC}">
                <c16:uniqueId val="{00000000-8ECD-4AA3-8DF2-EF8D8863AC86}"/>
              </c:ext>
            </c:extLst>
          </c:dPt>
          <c:cat>
            <c:strRef>
              <c:f>'Vård och omsorg'!$A$22:$A$50</c:f>
              <c:strCache>
                <c:ptCount val="29"/>
                <c:pt idx="0">
                  <c:v>Sverige</c:v>
                </c:pt>
                <c:pt idx="1">
                  <c:v>Danmark</c:v>
                </c:pt>
                <c:pt idx="2">
                  <c:v>Irland</c:v>
                </c:pt>
                <c:pt idx="3">
                  <c:v>Spanien</c:v>
                </c:pt>
                <c:pt idx="4">
                  <c:v>Italien</c:v>
                </c:pt>
                <c:pt idx="5">
                  <c:v>Nederländern</c:v>
                </c:pt>
                <c:pt idx="6">
                  <c:v>Cypern</c:v>
                </c:pt>
                <c:pt idx="7">
                  <c:v>Portugal</c:v>
                </c:pt>
                <c:pt idx="8">
                  <c:v>Norge</c:v>
                </c:pt>
                <c:pt idx="9">
                  <c:v>Fomöamd</c:v>
                </c:pt>
                <c:pt idx="10">
                  <c:v>Grekland</c:v>
                </c:pt>
                <c:pt idx="11">
                  <c:v>Malta</c:v>
                </c:pt>
                <c:pt idx="12">
                  <c:v>Slovenien</c:v>
                </c:pt>
                <c:pt idx="13">
                  <c:v>Luxemburg</c:v>
                </c:pt>
                <c:pt idx="14">
                  <c:v>Estland</c:v>
                </c:pt>
                <c:pt idx="15">
                  <c:v>EU-27</c:v>
                </c:pt>
                <c:pt idx="16">
                  <c:v>Lettland</c:v>
                </c:pt>
                <c:pt idx="17">
                  <c:v>Beligen</c:v>
                </c:pt>
                <c:pt idx="18">
                  <c:v>Kroatien</c:v>
                </c:pt>
                <c:pt idx="19">
                  <c:v>Slovakien</c:v>
                </c:pt>
                <c:pt idx="20">
                  <c:v>Frankrike</c:v>
                </c:pt>
                <c:pt idx="21">
                  <c:v>Litauen</c:v>
                </c:pt>
                <c:pt idx="22">
                  <c:v>Polen</c:v>
                </c:pt>
                <c:pt idx="23">
                  <c:v>Tjeckien</c:v>
                </c:pt>
                <c:pt idx="24">
                  <c:v>Ungern</c:v>
                </c:pt>
                <c:pt idx="25">
                  <c:v>Rumäninen</c:v>
                </c:pt>
                <c:pt idx="26">
                  <c:v>Österrike</c:v>
                </c:pt>
                <c:pt idx="27">
                  <c:v>Bulgarien</c:v>
                </c:pt>
                <c:pt idx="28">
                  <c:v>Tyskland</c:v>
                </c:pt>
              </c:strCache>
            </c:strRef>
          </c:cat>
          <c:val>
            <c:numRef>
              <c:f>'Vård och omsorg'!$B$22:$B$50</c:f>
              <c:numCache>
                <c:formatCode>General</c:formatCode>
                <c:ptCount val="29"/>
                <c:pt idx="0">
                  <c:v>2.1</c:v>
                </c:pt>
                <c:pt idx="1">
                  <c:v>2.4</c:v>
                </c:pt>
                <c:pt idx="2">
                  <c:v>3</c:v>
                </c:pt>
                <c:pt idx="3">
                  <c:v>3</c:v>
                </c:pt>
                <c:pt idx="4">
                  <c:v>3.1</c:v>
                </c:pt>
                <c:pt idx="5">
                  <c:v>3.2</c:v>
                </c:pt>
                <c:pt idx="6">
                  <c:v>3.3</c:v>
                </c:pt>
                <c:pt idx="7">
                  <c:v>3.5</c:v>
                </c:pt>
                <c:pt idx="8">
                  <c:v>3.5</c:v>
                </c:pt>
                <c:pt idx="9">
                  <c:v>3.6</c:v>
                </c:pt>
                <c:pt idx="10">
                  <c:v>4.2</c:v>
                </c:pt>
                <c:pt idx="11">
                  <c:v>4.3</c:v>
                </c:pt>
                <c:pt idx="12">
                  <c:v>4.4000000000000004</c:v>
                </c:pt>
                <c:pt idx="13">
                  <c:v>4.5</c:v>
                </c:pt>
                <c:pt idx="14">
                  <c:v>4.5999999999999996</c:v>
                </c:pt>
                <c:pt idx="15">
                  <c:v>5</c:v>
                </c:pt>
                <c:pt idx="16">
                  <c:v>5.5</c:v>
                </c:pt>
                <c:pt idx="17">
                  <c:v>5.6</c:v>
                </c:pt>
                <c:pt idx="18">
                  <c:v>5.6</c:v>
                </c:pt>
                <c:pt idx="19">
                  <c:v>5.7</c:v>
                </c:pt>
                <c:pt idx="20">
                  <c:v>5.9</c:v>
                </c:pt>
                <c:pt idx="21">
                  <c:v>6.4</c:v>
                </c:pt>
                <c:pt idx="22">
                  <c:v>6.5</c:v>
                </c:pt>
                <c:pt idx="23">
                  <c:v>6.6</c:v>
                </c:pt>
                <c:pt idx="24">
                  <c:v>7</c:v>
                </c:pt>
                <c:pt idx="25">
                  <c:v>7</c:v>
                </c:pt>
                <c:pt idx="26">
                  <c:v>7.3</c:v>
                </c:pt>
                <c:pt idx="27">
                  <c:v>7.6</c:v>
                </c:pt>
                <c:pt idx="28">
                  <c:v>8</c:v>
                </c:pt>
              </c:numCache>
            </c:numRef>
          </c:val>
          <c:extLst>
            <c:ext xmlns:c16="http://schemas.microsoft.com/office/drawing/2014/chart" uri="{C3380CC4-5D6E-409C-BE32-E72D297353CC}">
              <c16:uniqueId val="{00000000-A046-4622-9986-3805AF35B469}"/>
            </c:ext>
          </c:extLst>
        </c:ser>
        <c:dLbls>
          <c:showLegendKey val="0"/>
          <c:showVal val="0"/>
          <c:showCatName val="0"/>
          <c:showSerName val="0"/>
          <c:showPercent val="0"/>
          <c:showBubbleSize val="0"/>
        </c:dLbls>
        <c:gapWidth val="182"/>
        <c:axId val="441711824"/>
        <c:axId val="441707560"/>
      </c:barChart>
      <c:catAx>
        <c:axId val="441711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1707560"/>
        <c:crosses val="autoZero"/>
        <c:auto val="1"/>
        <c:lblAlgn val="ctr"/>
        <c:lblOffset val="100"/>
        <c:noMultiLvlLbl val="0"/>
      </c:catAx>
      <c:valAx>
        <c:axId val="441707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1711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'Vård och omsorg'!$B$3:$E$3</c:f>
              <c:strCache>
                <c:ptCount val="4"/>
                <c:pt idx="0">
                  <c:v>Telefontillgänglighet primärvård</c:v>
                </c:pt>
                <c:pt idx="1">
                  <c:v>Medicinks bedömning i primärvård</c:v>
                </c:pt>
                <c:pt idx="2">
                  <c:v>Första besök i specialiserad fård</c:v>
                </c:pt>
                <c:pt idx="3">
                  <c:v>Operation/åtgärd i specialiserad vård</c:v>
                </c:pt>
              </c:strCache>
            </c:strRef>
          </c:cat>
          <c:val>
            <c:numRef>
              <c:f>'Vård och omsorg'!$B$4:$E$4</c:f>
              <c:numCache>
                <c:formatCode>General</c:formatCode>
                <c:ptCount val="4"/>
                <c:pt idx="0">
                  <c:v>87</c:v>
                </c:pt>
                <c:pt idx="1">
                  <c:v>81</c:v>
                </c:pt>
                <c:pt idx="2">
                  <c:v>72</c:v>
                </c:pt>
                <c:pt idx="3">
                  <c:v>53</c:v>
                </c:pt>
              </c:numCache>
            </c:numRef>
          </c:val>
          <c:extLst>
            <c:ext xmlns:c16="http://schemas.microsoft.com/office/drawing/2014/chart" uri="{C3380CC4-5D6E-409C-BE32-E72D297353CC}">
              <c16:uniqueId val="{00000000-3965-4996-9C36-36F04774152F}"/>
            </c:ext>
          </c:extLst>
        </c:ser>
        <c:dLbls>
          <c:showLegendKey val="0"/>
          <c:showVal val="0"/>
          <c:showCatName val="0"/>
          <c:showSerName val="0"/>
          <c:showPercent val="0"/>
          <c:showBubbleSize val="0"/>
        </c:dLbls>
        <c:gapWidth val="219"/>
        <c:overlap val="-27"/>
        <c:axId val="306713880"/>
        <c:axId val="306712240"/>
      </c:barChart>
      <c:catAx>
        <c:axId val="30671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6712240"/>
        <c:crosses val="autoZero"/>
        <c:auto val="1"/>
        <c:lblAlgn val="ctr"/>
        <c:lblOffset val="100"/>
        <c:noMultiLvlLbl val="0"/>
      </c:catAx>
      <c:valAx>
        <c:axId val="30671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6713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58C8DB424468A88C5D9528EB04A72"/>
        <w:category>
          <w:name w:val="Allmänt"/>
          <w:gallery w:val="placeholder"/>
        </w:category>
        <w:types>
          <w:type w:val="bbPlcHdr"/>
        </w:types>
        <w:behaviors>
          <w:behavior w:val="content"/>
        </w:behaviors>
        <w:guid w:val="{B77F5C82-61D6-40AE-BA67-E203CB82B31C}"/>
      </w:docPartPr>
      <w:docPartBody>
        <w:p w:rsidR="000A0786" w:rsidRDefault="00626711">
          <w:pPr>
            <w:pStyle w:val="45E58C8DB424468A88C5D9528EB04A72"/>
          </w:pPr>
          <w:r w:rsidRPr="005A0A93">
            <w:rPr>
              <w:rStyle w:val="Platshllartext"/>
            </w:rPr>
            <w:t>Förslag till riksdagsbeslut</w:t>
          </w:r>
        </w:p>
      </w:docPartBody>
    </w:docPart>
    <w:docPart>
      <w:docPartPr>
        <w:name w:val="527692968AC640B19C8DB2178C12D60A"/>
        <w:category>
          <w:name w:val="Allmänt"/>
          <w:gallery w:val="placeholder"/>
        </w:category>
        <w:types>
          <w:type w:val="bbPlcHdr"/>
        </w:types>
        <w:behaviors>
          <w:behavior w:val="content"/>
        </w:behaviors>
        <w:guid w:val="{34CEB04E-DF7E-4B47-8DFA-7F20023521C3}"/>
      </w:docPartPr>
      <w:docPartBody>
        <w:p w:rsidR="000A0786" w:rsidRDefault="00626711">
          <w:r>
            <w:rPr>
              <w:rStyle w:val="Platshllartext"/>
            </w:rPr>
            <w:t xml:space="preserve"> </w:t>
          </w:r>
        </w:p>
      </w:docPartBody>
    </w:docPart>
    <w:docPart>
      <w:docPartPr>
        <w:name w:val="6C4B4D311A464339914DC5A95AE8E82E"/>
        <w:category>
          <w:name w:val="Allmänt"/>
          <w:gallery w:val="placeholder"/>
        </w:category>
        <w:types>
          <w:type w:val="bbPlcHdr"/>
        </w:types>
        <w:behaviors>
          <w:behavior w:val="content"/>
        </w:behaviors>
        <w:guid w:val="{178FBA3D-E20F-4CEB-8FF0-69E91C720A8F}"/>
      </w:docPartPr>
      <w:docPartBody>
        <w:p w:rsidR="000A0786" w:rsidRDefault="00626711">
          <w:r>
            <w:t xml:space="preserve"> </w:t>
          </w:r>
        </w:p>
      </w:docPartBody>
    </w:docPart>
    <w:docPart>
      <w:docPartPr>
        <w:name w:val="FED4425899884C979B3719775EF81C2E"/>
        <w:category>
          <w:name w:val="Allmänt"/>
          <w:gallery w:val="placeholder"/>
        </w:category>
        <w:types>
          <w:type w:val="bbPlcHdr"/>
        </w:types>
        <w:behaviors>
          <w:behavior w:val="content"/>
        </w:behaviors>
        <w:guid w:val="{79209592-70A5-4896-BD17-41A37B292F4A}"/>
      </w:docPartPr>
      <w:docPartBody>
        <w:p w:rsidR="00786F2C" w:rsidRDefault="00786F2C"/>
      </w:docPartBody>
    </w:docPart>
    <w:docPart>
      <w:docPartPr>
        <w:name w:val="C02C5609311444229D2392A8663485F5"/>
        <w:category>
          <w:name w:val="Allmänt"/>
          <w:gallery w:val="placeholder"/>
        </w:category>
        <w:types>
          <w:type w:val="bbPlcHdr"/>
        </w:types>
        <w:behaviors>
          <w:behavior w:val="content"/>
        </w:behaviors>
        <w:guid w:val="{FEDCED4F-5AC9-45DE-9C5E-703EBEB58681}"/>
      </w:docPartPr>
      <w:docPartBody>
        <w:p w:rsidR="00D90699" w:rsidRDefault="008E644F">
          <w:r>
            <w:t>:3938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rlow">
    <w:altName w:val="Calibri"/>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11"/>
    <w:rsid w:val="0001140D"/>
    <w:rsid w:val="000443B2"/>
    <w:rsid w:val="000A0786"/>
    <w:rsid w:val="000B41AA"/>
    <w:rsid w:val="000D0666"/>
    <w:rsid w:val="000D4412"/>
    <w:rsid w:val="000F732A"/>
    <w:rsid w:val="00107FB2"/>
    <w:rsid w:val="001F1886"/>
    <w:rsid w:val="00271C71"/>
    <w:rsid w:val="002E48E5"/>
    <w:rsid w:val="003378A4"/>
    <w:rsid w:val="00344653"/>
    <w:rsid w:val="00407763"/>
    <w:rsid w:val="00494B23"/>
    <w:rsid w:val="004C7DBC"/>
    <w:rsid w:val="004E181A"/>
    <w:rsid w:val="004E4644"/>
    <w:rsid w:val="005876FE"/>
    <w:rsid w:val="005945BC"/>
    <w:rsid w:val="005C122D"/>
    <w:rsid w:val="00626711"/>
    <w:rsid w:val="00660A07"/>
    <w:rsid w:val="006B3EB9"/>
    <w:rsid w:val="006C2C1A"/>
    <w:rsid w:val="006D1CD9"/>
    <w:rsid w:val="00755C3D"/>
    <w:rsid w:val="00766B5B"/>
    <w:rsid w:val="00786F2C"/>
    <w:rsid w:val="007E799F"/>
    <w:rsid w:val="008000CA"/>
    <w:rsid w:val="008049FF"/>
    <w:rsid w:val="00820F9B"/>
    <w:rsid w:val="0083485E"/>
    <w:rsid w:val="00843365"/>
    <w:rsid w:val="00890299"/>
    <w:rsid w:val="008E644F"/>
    <w:rsid w:val="00906AB9"/>
    <w:rsid w:val="00920D15"/>
    <w:rsid w:val="009B6BEA"/>
    <w:rsid w:val="009E4DEE"/>
    <w:rsid w:val="009F6E41"/>
    <w:rsid w:val="00A04474"/>
    <w:rsid w:val="00A95127"/>
    <w:rsid w:val="00AB4720"/>
    <w:rsid w:val="00AC1E92"/>
    <w:rsid w:val="00AE2074"/>
    <w:rsid w:val="00B81949"/>
    <w:rsid w:val="00BA6157"/>
    <w:rsid w:val="00BA7DB9"/>
    <w:rsid w:val="00BC5B4E"/>
    <w:rsid w:val="00C16661"/>
    <w:rsid w:val="00C50AF0"/>
    <w:rsid w:val="00CB1E84"/>
    <w:rsid w:val="00CC2BBB"/>
    <w:rsid w:val="00D17456"/>
    <w:rsid w:val="00D57BCB"/>
    <w:rsid w:val="00D638E7"/>
    <w:rsid w:val="00D7472B"/>
    <w:rsid w:val="00D90699"/>
    <w:rsid w:val="00D96E32"/>
    <w:rsid w:val="00DC466A"/>
    <w:rsid w:val="00E208A9"/>
    <w:rsid w:val="00E5296A"/>
    <w:rsid w:val="00E5333B"/>
    <w:rsid w:val="00EA7300"/>
    <w:rsid w:val="00F048EF"/>
    <w:rsid w:val="00F722FC"/>
    <w:rsid w:val="00F7443E"/>
    <w:rsid w:val="00FA1D2F"/>
    <w:rsid w:val="00FC29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6B5B"/>
    <w:rPr>
      <w:color w:val="F4B083" w:themeColor="accent2" w:themeTint="99"/>
    </w:rPr>
  </w:style>
  <w:style w:type="paragraph" w:customStyle="1" w:styleId="45E58C8DB424468A88C5D9528EB04A72">
    <w:name w:val="45E58C8DB424468A88C5D9528EB04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C0CDF-C1E1-4981-901F-FCA8D5E042E0}"/>
</file>

<file path=customXml/itemProps2.xml><?xml version="1.0" encoding="utf-8"?>
<ds:datastoreItem xmlns:ds="http://schemas.openxmlformats.org/officeDocument/2006/customXml" ds:itemID="{89C87809-AD31-4457-9F0A-0643A74AECA3}"/>
</file>

<file path=customXml/itemProps3.xml><?xml version="1.0" encoding="utf-8"?>
<ds:datastoreItem xmlns:ds="http://schemas.openxmlformats.org/officeDocument/2006/customXml" ds:itemID="{E62D8960-59EE-4BDC-B289-DF1B68434369}"/>
</file>

<file path=docProps/app.xml><?xml version="1.0" encoding="utf-8"?>
<Properties xmlns="http://schemas.openxmlformats.org/officeDocument/2006/extended-properties" xmlns:vt="http://schemas.openxmlformats.org/officeDocument/2006/docPropsVTypes">
  <Template>Normal</Template>
  <TotalTime>2110</TotalTime>
  <Pages>130</Pages>
  <Words>40911</Words>
  <Characters>242197</Characters>
  <Application>Microsoft Office Word</Application>
  <DocSecurity>0</DocSecurity>
  <Lines>7812</Lines>
  <Paragraphs>5898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SD752 Nu är det dags för Sverige   Sverigedemokraternas förslag till statsbudget 2022</vt:lpstr>
      <vt:lpstr>
      </vt:lpstr>
    </vt:vector>
  </TitlesOfParts>
  <Company>Sveriges riksdag</Company>
  <LinksUpToDate>false</LinksUpToDate>
  <CharactersWithSpaces>277210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