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1A6" w:rsidRPr="00F002B7" w:rsidRDefault="004B11A6">
      <w:pPr>
        <w:pStyle w:val="Frslagsrubrik"/>
      </w:pPr>
      <w:r w:rsidRPr="00F002B7">
        <w:t>Förslag till riksdagsbeslut</w:t>
      </w:r>
    </w:p>
    <w:p w:rsidR="004B11A6" w:rsidRPr="00F002B7" w:rsidRDefault="004B11A6">
      <w:pPr>
        <w:pStyle w:val="Hemstlatt"/>
      </w:pPr>
      <w:r w:rsidRPr="00F002B7">
        <w:t>Riksdagen tillkännager för regeringen som sin mening vad som anförs i motionen om en ändring av reglerna i kreditupplysningsl</w:t>
      </w:r>
      <w:r w:rsidRPr="00F002B7">
        <w:t>a</w:t>
      </w:r>
      <w:r w:rsidRPr="00F002B7">
        <w:t>gen om näringsidkare.</w:t>
      </w:r>
    </w:p>
    <w:p w:rsidR="004B11A6" w:rsidRPr="00F002B7" w:rsidRDefault="004B11A6">
      <w:pPr>
        <w:pStyle w:val="Rubrik1"/>
      </w:pPr>
      <w:r w:rsidRPr="00F002B7">
        <w:t>Motivering</w:t>
      </w:r>
    </w:p>
    <w:p w:rsidR="004B11A6" w:rsidRPr="00F002B7" w:rsidRDefault="004B11A6">
      <w:r w:rsidRPr="00F002B7">
        <w:t>Jämlikt 7 § kreditupplysningslagen (1973:1173) får kreditupplysningar om fysiska personer som inte är näringsidkare inte innehålla uppgifter om andra betalningsförsummelser än sådana som slagits fast genom en domstols eller annan myndighets avgörande. Detta innebär motsatsvis att det är tillåtet att lämna upplysningar om näringsidkares betalningsförsummelser redan när en ansökan om betalningsföreläggande eller en stämningsansökan inges till Kr</w:t>
      </w:r>
      <w:r w:rsidRPr="00F002B7">
        <w:t>o</w:t>
      </w:r>
      <w:r w:rsidRPr="00F002B7">
        <w:t>nofogdemyndigheten respektive domstolen. I kreditupplysningsverksamheten har praxis sedan många år blivit att sådana upplysningar lämnas.</w:t>
      </w:r>
    </w:p>
    <w:p w:rsidR="004B11A6" w:rsidRPr="00F002B7" w:rsidRDefault="004B11A6">
      <w:pPr>
        <w:pStyle w:val="Normaltindrag"/>
      </w:pPr>
      <w:r w:rsidRPr="00F002B7">
        <w:t>En näringsidkare kan – liksom den som inte är näringsidkare – ha fullgoda skäl för att inte betala en påstådd skuld. Oftast finns i bakgrunden en tvist om skulden är riktig eller ej. Ibland kan det föreligga en kvittningsgill motfor</w:t>
      </w:r>
      <w:r w:rsidRPr="00F002B7">
        <w:t>d</w:t>
      </w:r>
      <w:r w:rsidRPr="00F002B7">
        <w:t>ran.</w:t>
      </w:r>
    </w:p>
    <w:p w:rsidR="004B11A6" w:rsidRPr="00F002B7" w:rsidRDefault="004B11A6">
      <w:pPr>
        <w:pStyle w:val="Normaltindrag"/>
      </w:pPr>
      <w:r w:rsidRPr="00F002B7">
        <w:t>En näringsidkare, som hotas med att ansökan om betalningsföreläggande inlämnas till Kronofogdemyndigheten, står då inför valet att antingen betala en oriktig skuld eller få en betalningsanmärkning, som kan få avsevärda ko</w:t>
      </w:r>
      <w:r w:rsidRPr="00F002B7">
        <w:t>n</w:t>
      </w:r>
      <w:r w:rsidRPr="00F002B7">
        <w:t>sekvenser för kreditvärdigheten och den fortsatta rörelsedrivande verksamh</w:t>
      </w:r>
      <w:r w:rsidRPr="00F002B7">
        <w:t>e</w:t>
      </w:r>
      <w:r w:rsidRPr="00F002B7">
        <w:t>ten. Detta är situationen för många av de näringsidkare som blir utsatta för fakturaskojeri. Man kan till och med hävda att reglerna i kreditupplysningsl</w:t>
      </w:r>
      <w:r w:rsidRPr="00F002B7">
        <w:t>a</w:t>
      </w:r>
      <w:r w:rsidRPr="00F002B7">
        <w:t>gen på detta sätt gynnar fakturaskojarna.</w:t>
      </w:r>
    </w:p>
    <w:p w:rsidR="004B11A6" w:rsidRPr="00F002B7" w:rsidRDefault="004B11A6">
      <w:pPr>
        <w:pStyle w:val="Normaltindrag"/>
      </w:pPr>
      <w:r w:rsidRPr="00F002B7">
        <w:t>Kreditupplysningar är ett viktigt instrument i en marknadsekonomi, som till stora delar bygger på att krediter lämnas. Emellertid finns det inte tillräc</w:t>
      </w:r>
      <w:r w:rsidRPr="00F002B7">
        <w:t>k</w:t>
      </w:r>
      <w:r w:rsidRPr="00F002B7">
        <w:t xml:space="preserve">liga och bärande skäl för att utsträcka kreditupplysningarna till att omfatta </w:t>
      </w:r>
      <w:r w:rsidRPr="00F002B7">
        <w:lastRenderedPageBreak/>
        <w:t>sådana skulder som inte blivit fastslagna av domstol eller Kronofogdemy</w:t>
      </w:r>
      <w:r w:rsidRPr="00F002B7">
        <w:t>n</w:t>
      </w:r>
      <w:r w:rsidRPr="00F002B7">
        <w:t>digheten, vare sig för fysiska personer utan näringsverksamhet eller fysiska eller juridiska personer som bedriver näringsverksamhet.</w:t>
      </w:r>
    </w:p>
    <w:p w:rsidR="004B11A6" w:rsidRPr="00F002B7" w:rsidRDefault="004B11A6">
      <w:pPr>
        <w:pStyle w:val="Normaltindrag"/>
      </w:pPr>
      <w:r w:rsidRPr="00F002B7">
        <w:t>I någon utsträckning har bättring skett genom den skyldighet att rätta up</w:t>
      </w:r>
      <w:r w:rsidRPr="00F002B7">
        <w:t>p</w:t>
      </w:r>
      <w:r w:rsidRPr="00F002B7">
        <w:t>gifter som Kronofogdemyndigheten har fått under senare tid. Men detta, och även regeln att all kreditupplysning som lämnas via nätet ska följa kreditup</w:t>
      </w:r>
      <w:r w:rsidRPr="00F002B7">
        <w:t>p</w:t>
      </w:r>
      <w:r w:rsidRPr="00F002B7">
        <w:t>lysningslagens regler, innebär inte att seriösa näringsidkare skyddas mot os</w:t>
      </w:r>
      <w:r w:rsidRPr="00F002B7">
        <w:t>e</w:t>
      </w:r>
      <w:r w:rsidRPr="00F002B7">
        <w:t>riösa telefonförsäljare eller bluffakturor. Redan risken för en betalningsa</w:t>
      </w:r>
      <w:r w:rsidRPr="00F002B7">
        <w:t>n</w:t>
      </w:r>
      <w:r w:rsidRPr="00F002B7">
        <w:t>märkning gör att många går med på att betala fullständigt felaktiga fakturor.</w:t>
      </w:r>
    </w:p>
    <w:p w:rsidR="004B11A6" w:rsidRPr="00F002B7" w:rsidRDefault="004B11A6">
      <w:pPr>
        <w:pStyle w:val="Normaltindrag"/>
      </w:pPr>
      <w:r w:rsidRPr="00F002B7">
        <w:t>Finansutskottet har vid tidigare ställningstagande till dessa frågor uttalat som sin förutsättning att regeringen noga följer ut</w:t>
      </w:r>
      <w:r w:rsidRPr="00F002B7">
        <w:t>vecklingen på området och vidtar åtgärder om det visar sig att den nuvarande regleringen drabbar enski</w:t>
      </w:r>
      <w:r w:rsidRPr="00F002B7">
        <w:t>l</w:t>
      </w:r>
      <w:r w:rsidRPr="00F002B7">
        <w:t>da och företag på ett negativt sätt. Särskilt betonades problematiken kring bluffakturor.</w:t>
      </w:r>
    </w:p>
    <w:p w:rsidR="004B11A6" w:rsidRPr="00F002B7" w:rsidRDefault="004B11A6">
      <w:pPr>
        <w:pStyle w:val="Normaltindrag"/>
      </w:pPr>
      <w:r w:rsidRPr="00F002B7">
        <w:t>Det är välkänt att problematiken kring bluffakturor inte bara fortsätter utan ökar år från år. I vilken utsträckning som en företagare inför hot om beta</w:t>
      </w:r>
      <w:r w:rsidRPr="00F002B7">
        <w:t>l</w:t>
      </w:r>
      <w:r w:rsidRPr="00F002B7">
        <w:t>ningsanmärkning betalar oriktiga fakturabelopp är väl i och för sig inte kla</w:t>
      </w:r>
      <w:r w:rsidRPr="00F002B7">
        <w:t>r</w:t>
      </w:r>
      <w:r w:rsidRPr="00F002B7">
        <w:t>lagt och torde också vara näst intill omöjligt att klarlägga. Det finns emelle</w:t>
      </w:r>
      <w:r w:rsidRPr="00F002B7">
        <w:t>r</w:t>
      </w:r>
      <w:r w:rsidRPr="00F002B7">
        <w:t>tid all anledning tro att det förekommer mycket frekvent på grund av att ingen företagare vill riskera att drabbas av de betydande problem som uppstår med en registrerad betalningsanmärkning. Det är under alla förhållanden avsevä</w:t>
      </w:r>
      <w:r w:rsidRPr="00F002B7">
        <w:t>r</w:t>
      </w:r>
      <w:r w:rsidRPr="00F002B7">
        <w:t>da belopp som på detta vis betalas utan att en riktig grund för kravet föreli</w:t>
      </w:r>
      <w:r w:rsidRPr="00F002B7">
        <w:t>g</w:t>
      </w:r>
      <w:r w:rsidRPr="00F002B7">
        <w:t>ger.</w:t>
      </w:r>
    </w:p>
    <w:p w:rsidR="004B11A6" w:rsidRPr="00F002B7" w:rsidRDefault="004B11A6">
      <w:pPr>
        <w:pStyle w:val="Normaltindrag"/>
      </w:pPr>
      <w:r w:rsidRPr="00F002B7">
        <w:t xml:space="preserve">Mot en lagändring har åberopats att det i </w:t>
      </w:r>
      <w:r w:rsidRPr="00F002B7">
        <w:t>näringslivet finns ett intresse av att i ett tidigt stadium få upplysningar om företag med betalningsproblem. Detta intresse kan emellertid inte vara tillräckligt för att uppväga nackdelarna med att företagare tvingas betala oriktiga skulder för att skydda sin kreditvä</w:t>
      </w:r>
      <w:r w:rsidRPr="00F002B7">
        <w:t>r</w:t>
      </w:r>
      <w:r w:rsidRPr="00F002B7">
        <w:t>dighet. Dessutom får det anses ovärdigt ett rättssamhälle att medverka till att sprida ut uppgifter om obetalda skulder intill dess att betalningsskyldigheten blivit fastställd av domstol eller Kronofogdemyndigheten. Det finns sannerl</w:t>
      </w:r>
      <w:r w:rsidRPr="00F002B7">
        <w:t>i</w:t>
      </w:r>
      <w:r w:rsidRPr="00F002B7">
        <w:t>gen ing</w:t>
      </w:r>
      <w:r w:rsidRPr="00F002B7">
        <w:t>a skäl att i denna fråga göra skillnad på enskilda personer och företag.</w:t>
      </w:r>
    </w:p>
    <w:p w:rsidR="004B11A6" w:rsidRPr="00F002B7" w:rsidRDefault="004B11A6">
      <w:pPr>
        <w:pStyle w:val="Normaltindrag"/>
      </w:pPr>
      <w:r w:rsidRPr="00F002B7">
        <w:t>Det är hög tid för regeringen att nu åtgärda denna problematik och därmed begränsa oseriösa eller kriminella företags möjligheter att genom bluffakturor tillskansa sig betalningar för oriktiga fordringar.</w:t>
      </w:r>
    </w:p>
    <w:p w:rsidR="004B11A6" w:rsidRPr="00F002B7" w:rsidRDefault="004B11A6">
      <w:pPr>
        <w:pStyle w:val="Normaltindrag"/>
      </w:pPr>
      <w:r w:rsidRPr="00F002B7">
        <w:t>Det bör också noteras att i vårt grannland Danmark har man sedan länge ett system för betalningsanmärkningar, som innebär att en kreditupplysning omedelbart tas bort när skulden blivit betald. I Danmark tycks krediterna i näringslivet fungera alldeles utmärkt trots olikheterna mot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2B7">
        <w:trPr>
          <w:cantSplit/>
        </w:trPr>
        <w:tc>
          <w:tcPr>
            <w:tcW w:w="3046" w:type="dxa"/>
          </w:tcPr>
          <w:p w:rsidR="004B11A6" w:rsidRPr="00F002B7" w:rsidRDefault="004B11A6">
            <w:pPr>
              <w:pStyle w:val="UnderskriftDatum"/>
              <w:spacing w:before="240"/>
            </w:pPr>
            <w:r w:rsidRPr="00F002B7">
              <w:t>Stockholm den 26 september 2011</w:t>
            </w:r>
          </w:p>
        </w:tc>
        <w:tc>
          <w:tcPr>
            <w:tcW w:w="3047" w:type="dxa"/>
          </w:tcPr>
          <w:p w:rsidR="004B11A6" w:rsidRPr="00F002B7" w:rsidRDefault="004B11A6">
            <w:pPr>
              <w:pStyle w:val="Underskrifter"/>
              <w:spacing w:before="240"/>
            </w:pPr>
          </w:p>
        </w:tc>
      </w:tr>
      <w:tr w:rsidR="00000000" w:rsidRPr="00F002B7">
        <w:trPr>
          <w:cantSplit/>
        </w:trPr>
        <w:tc>
          <w:tcPr>
            <w:tcW w:w="3046" w:type="dxa"/>
          </w:tcPr>
          <w:p w:rsidR="004B11A6" w:rsidRPr="00F002B7" w:rsidRDefault="004B11A6">
            <w:pPr>
              <w:pStyle w:val="Underskrifter"/>
            </w:pPr>
            <w:r w:rsidRPr="00F002B7">
              <w:t>Jan Ertsborn (FP)</w:t>
            </w:r>
          </w:p>
        </w:tc>
        <w:tc>
          <w:tcPr>
            <w:tcW w:w="3046" w:type="dxa"/>
          </w:tcPr>
          <w:p w:rsidR="004B11A6" w:rsidRPr="00F002B7" w:rsidRDefault="004B11A6">
            <w:pPr>
              <w:pStyle w:val="Underskrifter"/>
            </w:pPr>
            <w:r w:rsidRPr="00F002B7">
              <w:t>Anita Brodén (FP)</w:t>
            </w:r>
          </w:p>
        </w:tc>
      </w:tr>
    </w:tbl>
    <w:p w:rsidR="004B11A6" w:rsidRPr="00F002B7" w:rsidRDefault="004B11A6">
      <w:pPr>
        <w:pStyle w:val="Normaltindrag"/>
      </w:pPr>
    </w:p>
    <w:sectPr w:rsidR="004B11A6" w:rsidRPr="00F002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1A6" w:rsidRPr="00F002B7" w:rsidRDefault="004B11A6">
      <w:r w:rsidRPr="00F002B7">
        <w:separator/>
      </w:r>
    </w:p>
  </w:endnote>
  <w:endnote w:type="continuationSeparator" w:id="0">
    <w:p w:rsidR="004B11A6" w:rsidRPr="00F002B7" w:rsidRDefault="004B11A6">
      <w:r w:rsidRPr="00F002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A6" w:rsidRPr="00F002B7" w:rsidRDefault="00F002B7">
    <w:pPr>
      <w:pStyle w:val="Sidfot"/>
    </w:pPr>
    <w:r w:rsidRPr="00F002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364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A6" w:rsidRDefault="004B11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1A6" w:rsidRDefault="004B11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A6" w:rsidRPr="00F002B7" w:rsidRDefault="00F002B7">
    <w:pPr>
      <w:pStyle w:val="Sidfot"/>
    </w:pPr>
    <w:r w:rsidRPr="00F002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566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A6" w:rsidRDefault="004B11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1A6" w:rsidRDefault="004B11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A6" w:rsidRPr="00F002B7" w:rsidRDefault="00F002B7">
    <w:pPr>
      <w:pStyle w:val="Sidfot"/>
    </w:pPr>
    <w:r w:rsidRPr="00F002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593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A6" w:rsidRDefault="004B1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1A6" w:rsidRDefault="004B1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1A6" w:rsidRPr="00F002B7" w:rsidRDefault="004B11A6">
      <w:r w:rsidRPr="00F002B7">
        <w:separator/>
      </w:r>
    </w:p>
  </w:footnote>
  <w:footnote w:type="continuationSeparator" w:id="0">
    <w:p w:rsidR="004B11A6" w:rsidRPr="00F002B7" w:rsidRDefault="004B11A6">
      <w:r w:rsidRPr="00F002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A6" w:rsidRPr="00F002B7" w:rsidRDefault="00F002B7">
    <w:pPr>
      <w:pStyle w:val="Sidhuvud"/>
    </w:pPr>
    <w:r w:rsidRPr="00F002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142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A6" w:rsidRDefault="004B11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1A6" w:rsidRDefault="004B11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A6" w:rsidRPr="00F002B7" w:rsidRDefault="00F002B7">
    <w:pPr>
      <w:pStyle w:val="Sidhuvud"/>
    </w:pPr>
    <w:r w:rsidRPr="00F002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210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A6" w:rsidRDefault="004B11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1A6" w:rsidRDefault="004B11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A6" w:rsidRPr="00F002B7" w:rsidRDefault="004B11A6">
    <w:pPr>
      <w:pStyle w:val="FSHNormal"/>
      <w:tabs>
        <w:tab w:val="right" w:pos="5840"/>
      </w:tabs>
    </w:pPr>
    <w:r w:rsidRPr="00F002B7">
      <w:br/>
    </w:r>
    <w:r w:rsidRPr="00F002B7">
      <w:fldChar w:fldCharType="begin" w:fldLock="1"/>
    </w:r>
    <w:r w:rsidRPr="00F002B7">
      <w:instrText xml:space="preserve"> DOCPROPERTY</w:instrText>
    </w:r>
    <w:r w:rsidRPr="00F002B7">
      <w:rPr>
        <w:sz w:val="18"/>
      </w:rPr>
      <w:instrText xml:space="preserve"> "YearUser" *\charformat </w:instrText>
    </w:r>
    <w:r w:rsidRPr="00F002B7">
      <w:fldChar w:fldCharType="separate"/>
    </w:r>
    <w:r w:rsidRPr="00F002B7">
      <w:t>2011/12</w:t>
    </w:r>
    <w:r w:rsidRPr="00F002B7">
      <w:fldChar w:fldCharType="end"/>
    </w:r>
    <w:r w:rsidRPr="00F002B7">
      <w:t xml:space="preserve"> </w:t>
    </w:r>
    <w:r w:rsidRPr="00F002B7">
      <w:tab/>
      <w:t xml:space="preserve">mnr: </w:t>
    </w:r>
    <w:r w:rsidRPr="00F002B7">
      <w:fldChar w:fldCharType="begin" w:fldLock="1"/>
    </w:r>
    <w:r w:rsidRPr="00F002B7">
      <w:instrText xml:space="preserve"> DOCPROPERTY</w:instrText>
    </w:r>
    <w:r w:rsidRPr="00F002B7">
      <w:rPr>
        <w:sz w:val="18"/>
      </w:rPr>
      <w:instrText xml:space="preserve"> "Motionsnummer" *\charformat </w:instrText>
    </w:r>
    <w:r w:rsidRPr="00F002B7">
      <w:fldChar w:fldCharType="separate"/>
    </w:r>
    <w:r w:rsidRPr="00F002B7">
      <w:t>Fi204</w:t>
    </w:r>
    <w:r w:rsidRPr="00F002B7">
      <w:fldChar w:fldCharType="end"/>
    </w:r>
    <w:r w:rsidRPr="00F002B7">
      <w:br/>
    </w:r>
    <w:r w:rsidRPr="00F002B7">
      <w:fldChar w:fldCharType="begin" w:fldLock="1"/>
    </w:r>
    <w:r w:rsidRPr="00F002B7">
      <w:instrText xml:space="preserve"> DOCPROPERTY</w:instrText>
    </w:r>
    <w:r w:rsidRPr="00F002B7">
      <w:rPr>
        <w:sz w:val="18"/>
      </w:rPr>
      <w:instrText xml:space="preserve"> "Samling" *\charformat </w:instrText>
    </w:r>
    <w:r w:rsidRPr="00F002B7">
      <w:fldChar w:fldCharType="end"/>
    </w:r>
    <w:r w:rsidRPr="00F002B7">
      <w:tab/>
      <w:t xml:space="preserve">pnr: </w:t>
    </w:r>
    <w:r w:rsidRPr="00F002B7">
      <w:fldChar w:fldCharType="begin" w:fldLock="1"/>
    </w:r>
    <w:r w:rsidRPr="00F002B7">
      <w:instrText xml:space="preserve"> DOCPROPERTY</w:instrText>
    </w:r>
    <w:r w:rsidRPr="00F002B7">
      <w:rPr>
        <w:sz w:val="18"/>
      </w:rPr>
      <w:instrText xml:space="preserve"> "Partinummer" *\charformat </w:instrText>
    </w:r>
    <w:r w:rsidRPr="00F002B7">
      <w:fldChar w:fldCharType="separate"/>
    </w:r>
    <w:r w:rsidRPr="00F002B7">
      <w:t>FP1044</w:t>
    </w:r>
    <w:r w:rsidRPr="00F002B7">
      <w:fldChar w:fldCharType="end"/>
    </w:r>
  </w:p>
  <w:p w:rsidR="004B11A6" w:rsidRPr="00F002B7" w:rsidRDefault="004B11A6">
    <w:pPr>
      <w:pStyle w:val="FSHRub1"/>
    </w:pPr>
    <w:r w:rsidRPr="00F002B7">
      <w:t>Motion till riksdagen</w:t>
    </w:r>
    <w:r w:rsidRPr="00F002B7">
      <w:br/>
    </w:r>
    <w:r w:rsidRPr="00F002B7">
      <w:fldChar w:fldCharType="begin" w:fldLock="1"/>
    </w:r>
    <w:r w:rsidRPr="00F002B7">
      <w:instrText xml:space="preserve"> DOCPROPERTY "YearUser" *\charformat </w:instrText>
    </w:r>
    <w:r w:rsidRPr="00F002B7">
      <w:fldChar w:fldCharType="separate"/>
    </w:r>
    <w:r w:rsidRPr="00F002B7">
      <w:t>2011/12</w:t>
    </w:r>
    <w:r w:rsidRPr="00F002B7">
      <w:fldChar w:fldCharType="end"/>
    </w:r>
    <w:r w:rsidRPr="00F002B7">
      <w:t>:</w:t>
    </w:r>
    <w:r w:rsidRPr="00F002B7">
      <w:fldChar w:fldCharType="begin" w:fldLock="1"/>
    </w:r>
    <w:r w:rsidRPr="00F002B7">
      <w:instrText xml:space="preserve"> DOCPROPERTY "Motionsnummer" *\charformat </w:instrText>
    </w:r>
    <w:r w:rsidRPr="00F002B7">
      <w:fldChar w:fldCharType="separate"/>
    </w:r>
    <w:r w:rsidRPr="00F002B7">
      <w:t>Fi204</w:t>
    </w:r>
    <w:r w:rsidRPr="00F002B7">
      <w:fldChar w:fldCharType="end"/>
    </w:r>
  </w:p>
  <w:p w:rsidR="004B11A6" w:rsidRPr="00F002B7" w:rsidRDefault="004B11A6">
    <w:pPr>
      <w:pStyle w:val="FSHNormalS5"/>
    </w:pPr>
    <w:r w:rsidRPr="00F002B7">
      <w:fldChar w:fldCharType="begin" w:fldLock="1"/>
    </w:r>
    <w:r w:rsidRPr="00F002B7">
      <w:instrText xml:space="preserve"> DOCPROPERTY "MotionarText" *\charformat </w:instrText>
    </w:r>
    <w:r w:rsidRPr="00F002B7">
      <w:fldChar w:fldCharType="separate"/>
    </w:r>
    <w:r w:rsidRPr="00F002B7">
      <w:t>av Jan Ertsborn och Anita Brodén (FP)</w:t>
    </w:r>
    <w:r w:rsidRPr="00F002B7">
      <w:fldChar w:fldCharType="end"/>
    </w:r>
    <w:r w:rsidRPr="00F002B7">
      <w:br/>
    </w:r>
    <w:r w:rsidRPr="00F002B7">
      <w:fldChar w:fldCharType="begin" w:fldLock="1"/>
    </w:r>
    <w:r w:rsidRPr="00F002B7">
      <w:instrText xml:space="preserve"> DOCPROPERTY "SvarFrasKort" *\charformat </w:instrText>
    </w:r>
    <w:r w:rsidRPr="00F002B7">
      <w:fldChar w:fldCharType="end"/>
    </w:r>
  </w:p>
  <w:p w:rsidR="004B11A6" w:rsidRPr="00F002B7" w:rsidRDefault="004B11A6">
    <w:pPr>
      <w:pStyle w:val="FSHTitel"/>
    </w:pPr>
    <w:r w:rsidRPr="00F002B7">
      <w:fldChar w:fldCharType="begin" w:fldLock="1"/>
    </w:r>
    <w:r w:rsidRPr="00F002B7">
      <w:instrText xml:space="preserve"> DOCPROPERTY</w:instrText>
    </w:r>
    <w:r w:rsidRPr="00F002B7">
      <w:rPr>
        <w:sz w:val="18"/>
      </w:rPr>
      <w:instrText xml:space="preserve"> "RubrikSvar" *\charformat </w:instrText>
    </w:r>
    <w:r w:rsidRPr="00F002B7">
      <w:fldChar w:fldCharType="separate"/>
    </w:r>
    <w:r w:rsidRPr="00F002B7">
      <w:t>Kreditupplysningar om näringsidkare</w:t>
    </w:r>
    <w:r w:rsidRPr="00F002B7">
      <w:fldChar w:fldCharType="end"/>
    </w:r>
  </w:p>
  <w:p w:rsidR="004B11A6" w:rsidRPr="00F002B7" w:rsidRDefault="004B11A6">
    <w:pPr>
      <w:pStyle w:val="Normal00"/>
    </w:pPr>
  </w:p>
  <w:p w:rsidR="004B11A6" w:rsidRPr="00F002B7" w:rsidRDefault="004B11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6554152">
    <w:abstractNumId w:val="3"/>
  </w:num>
  <w:num w:numId="2" w16cid:durableId="142621776">
    <w:abstractNumId w:val="2"/>
  </w:num>
  <w:num w:numId="3" w16cid:durableId="340012944">
    <w:abstractNumId w:val="1"/>
  </w:num>
  <w:num w:numId="4" w16cid:durableId="1732730980">
    <w:abstractNumId w:val="0"/>
  </w:num>
  <w:num w:numId="5" w16cid:durableId="742139284">
    <w:abstractNumId w:val="7"/>
  </w:num>
  <w:num w:numId="6" w16cid:durableId="1640840118">
    <w:abstractNumId w:val="6"/>
  </w:num>
  <w:num w:numId="7" w16cid:durableId="1831942653">
    <w:abstractNumId w:val="5"/>
  </w:num>
  <w:num w:numId="8" w16cid:durableId="1305043623">
    <w:abstractNumId w:val="4"/>
  </w:num>
  <w:num w:numId="9" w16cid:durableId="1514031134">
    <w:abstractNumId w:val="8"/>
  </w:num>
  <w:num w:numId="10" w16cid:durableId="1750881627">
    <w:abstractNumId w:val="9"/>
  </w:num>
  <w:num w:numId="11" w16cid:durableId="1365905226">
    <w:abstractNumId w:val="10"/>
  </w:num>
  <w:num w:numId="12" w16cid:durableId="1001004528">
    <w:abstractNumId w:val="13"/>
  </w:num>
  <w:num w:numId="13" w16cid:durableId="856309209">
    <w:abstractNumId w:val="15"/>
  </w:num>
  <w:num w:numId="14" w16cid:durableId="2095475256">
    <w:abstractNumId w:val="16"/>
  </w:num>
  <w:num w:numId="15" w16cid:durableId="735973715">
    <w:abstractNumId w:val="11"/>
  </w:num>
  <w:num w:numId="16" w16cid:durableId="1604336488">
    <w:abstractNumId w:val="18"/>
  </w:num>
  <w:num w:numId="17" w16cid:durableId="1198817264">
    <w:abstractNumId w:val="17"/>
  </w:num>
  <w:num w:numId="18" w16cid:durableId="2073506697">
    <w:abstractNumId w:val="14"/>
  </w:num>
  <w:num w:numId="19" w16cid:durableId="971791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5"/>
    <w:docVar w:name="PersonGUIDs" w:val="{2998228B-41E9-466F-80DA-3FF00D1CAC40},{E3BA8755-2A3D-40E1-BF2D-DD31EAB9357C}"/>
  </w:docVars>
  <w:rsids>
    <w:rsidRoot w:val="003E7261"/>
    <w:rsid w:val="003E7261"/>
    <w:rsid w:val="004B11A6"/>
    <w:rsid w:val="00F00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1473A4-0736-4428-8B33-2031209E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3906</Characters>
  <Application>Microsoft Office Word</Application>
  <DocSecurity>4</DocSecurity>
  <Lines>68</Lines>
  <Paragraphs>18</Paragraphs>
  <ScaleCrop>false</ScaleCrop>
  <HeadingPairs>
    <vt:vector size="2" baseType="variant">
      <vt:variant>
        <vt:lpstr>Rubrik</vt:lpstr>
      </vt:variant>
      <vt:variant>
        <vt:i4>1</vt:i4>
      </vt:variant>
    </vt:vector>
  </HeadingPairs>
  <TitlesOfParts>
    <vt:vector size="1" baseType="lpstr">
      <vt:lpstr>FP1044</vt:lpstr>
    </vt:vector>
  </TitlesOfParts>
  <Company>Riksdagen</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FP1044</dc:title>
  <dc:subject>FP1044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2011-10-24T08:38:00Z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mot2000_533_2011-09-15</vt:lpwstr>
  </property>
  <property fmtid="{D5CDD505-2E9C-101B-9397-08002B2CF9AE}" pid="3" name="version">
    <vt:lpwstr>mot2000_533_2011-09-15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Kreditupplysningar om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Kreditupplysningar om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Anita Brodén (FP)</vt:lpwstr>
  </property>
  <property fmtid="{D5CDD505-2E9C-101B-9397-08002B2CF9AE}" pid="26" name="MotionarLista">
    <vt:lpwstr>Ertsborn, Jan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20112012000000700080000010440069</vt:lpwstr>
  </property>
  <property fmtid="{D5CDD505-2E9C-101B-9397-08002B2CF9AE}" pid="47" name="datum">
    <vt:lpwstr>110926</vt:lpwstr>
  </property>
  <property fmtid="{D5CDD505-2E9C-101B-9397-08002B2CF9AE}" pid="48" name="avsändar-e-post">
    <vt:lpwstr>susanne.hagbard@riksdagen.se</vt:lpwstr>
  </property>
  <property fmtid="{D5CDD505-2E9C-101B-9397-08002B2CF9AE}" pid="49" name="id">
    <vt:lpwstr>20112012000000700080000010440069</vt:lpwstr>
  </property>
  <property fmtid="{D5CDD505-2E9C-101B-9397-08002B2CF9AE}" pid="50" name="nummer">
    <vt:lpwstr>204</vt:lpwstr>
  </property>
  <property fmtid="{D5CDD505-2E9C-101B-9397-08002B2CF9AE}" pid="51" name="utskottsbeteckning">
    <vt:lpwstr>Fi</vt:lpwstr>
  </property>
  <property fmtid="{D5CDD505-2E9C-101B-9397-08002B2CF9AE}" pid="52" name="GlobalUID">
    <vt:lpwstr>{3246E581-6209-40D6-A5F9-25AB56C8902A}</vt:lpwstr>
  </property>
  <property fmtid="{D5CDD505-2E9C-101B-9397-08002B2CF9AE}" pid="53" name="Överföringar">
    <vt:i4>0</vt:i4>
  </property>
  <property fmtid="{D5CDD505-2E9C-101B-9397-08002B2CF9AE}" pid="54" name="Checksum">
    <vt:lpwstr>*0016713039558*</vt:lpwstr>
  </property>
  <property fmtid="{D5CDD505-2E9C-101B-9397-08002B2CF9AE}" pid="55" name="skuggnummer">
    <vt:lpwstr>67</vt:lpwstr>
  </property>
  <property fmtid="{D5CDD505-2E9C-101B-9397-08002B2CF9AE}" pid="56" name="urixVersion">
    <vt:lpwstr>4.5.0.25</vt:lpwstr>
  </property>
  <property fmtid="{D5CDD505-2E9C-101B-9397-08002B2CF9AE}" pid="57" name="urixOrigin">
    <vt:lpwstr>111024 10:38:37.811</vt:lpwstr>
  </property>
  <property fmtid="{D5CDD505-2E9C-101B-9397-08002B2CF9AE}" pid="58" name="urixGuid">
    <vt:lpwstr>{FFCA237A-E2A1-4ED4-A358-D89632545623}</vt:lpwstr>
  </property>
</Properties>
</file>