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CB3D7F" w:rsidRPr="00103E70">
        <w:tblPrEx>
          <w:tblCellMar>
            <w:top w:w="0" w:type="dxa"/>
            <w:left w:w="0" w:type="dxa"/>
            <w:bottom w:w="0" w:type="dxa"/>
            <w:right w:w="0" w:type="dxa"/>
          </w:tblCellMar>
        </w:tblPrEx>
        <w:trPr>
          <w:gridBefore w:val="1"/>
          <w:gridAfter w:val="1"/>
          <w:wBefore w:w="851" w:type="dxa"/>
          <w:wAfter w:w="851" w:type="dxa"/>
          <w:cantSplit/>
          <w:trHeight w:val="240"/>
        </w:trPr>
        <w:tc>
          <w:tcPr>
            <w:tcW w:w="9640" w:type="dxa"/>
            <w:gridSpan w:val="3"/>
          </w:tcPr>
          <w:p w:rsidR="00CB3D7F" w:rsidRPr="00103E70" w:rsidRDefault="00103E70" w:rsidP="00CB3D7F">
            <w:pPr>
              <w:pStyle w:val="EntLogo"/>
            </w:pPr>
            <w:r w:rsidRPr="00103E70">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3D7F" w:rsidRPr="00103E70">
        <w:tblPrEx>
          <w:tblCellMar>
            <w:top w:w="0" w:type="dxa"/>
            <w:left w:w="0" w:type="dxa"/>
            <w:bottom w:w="0" w:type="dxa"/>
            <w:right w:w="0" w:type="dxa"/>
          </w:tblCellMar>
        </w:tblPrEx>
        <w:trPr>
          <w:cantSplit/>
          <w:trHeight w:val="1120"/>
        </w:trPr>
        <w:tc>
          <w:tcPr>
            <w:tcW w:w="4821" w:type="dxa"/>
            <w:gridSpan w:val="2"/>
          </w:tcPr>
          <w:p w:rsidR="00CB3D7F" w:rsidRPr="00103E70" w:rsidRDefault="00CB3D7F" w:rsidP="00CB3D7F">
            <w:pPr>
              <w:pStyle w:val="EntInstit"/>
            </w:pPr>
            <w:r w:rsidRPr="00103E70">
              <w:t>EUROPEISKA</w:t>
            </w:r>
          </w:p>
          <w:p w:rsidR="00CB3D7F" w:rsidRPr="00103E70" w:rsidRDefault="00CB3D7F" w:rsidP="00CB3D7F">
            <w:pPr>
              <w:pStyle w:val="EntInstit"/>
            </w:pPr>
            <w:r w:rsidRPr="00103E70">
              <w:t>UNIONENS RÅD</w:t>
            </w:r>
          </w:p>
          <w:p w:rsidR="00CB3D7F" w:rsidRPr="00103E70" w:rsidRDefault="00CB3D7F" w:rsidP="00CB3D7F">
            <w:pPr>
              <w:pStyle w:val="EntInstit"/>
            </w:pPr>
          </w:p>
          <w:p w:rsidR="00CB3D7F" w:rsidRPr="00103E70" w:rsidRDefault="00CB3D7F" w:rsidP="00CB3D7F">
            <w:pPr>
              <w:pStyle w:val="EntInstit"/>
            </w:pPr>
          </w:p>
        </w:tc>
        <w:tc>
          <w:tcPr>
            <w:tcW w:w="1701" w:type="dxa"/>
          </w:tcPr>
          <w:p w:rsidR="00CB3D7F" w:rsidRPr="00103E70" w:rsidRDefault="00CB3D7F" w:rsidP="00CB3D7F">
            <w:pPr>
              <w:jc w:val="right"/>
              <w:rPr>
                <w:b/>
              </w:rPr>
            </w:pPr>
          </w:p>
        </w:tc>
        <w:tc>
          <w:tcPr>
            <w:tcW w:w="4820" w:type="dxa"/>
            <w:gridSpan w:val="2"/>
          </w:tcPr>
          <w:p w:rsidR="00CB3D7F" w:rsidRPr="00103E70" w:rsidRDefault="00CB3D7F" w:rsidP="00CB3D7F">
            <w:pPr>
              <w:pStyle w:val="EntRefer"/>
            </w:pPr>
            <w:bookmarkStart w:id="0" w:name="Lieu"/>
            <w:bookmarkEnd w:id="0"/>
            <w:r w:rsidRPr="00103E70">
              <w:t xml:space="preserve">Bryssel den </w:t>
            </w:r>
            <w:bookmarkStart w:id="1" w:name="Date"/>
            <w:bookmarkEnd w:id="1"/>
            <w:r w:rsidRPr="00103E70">
              <w:t xml:space="preserve">7 oktober 2005 </w:t>
            </w:r>
            <w:bookmarkStart w:id="2" w:name="DateEntree"/>
            <w:bookmarkEnd w:id="2"/>
            <w:r w:rsidRPr="00103E70">
              <w:t>(8.11)</w:t>
            </w:r>
          </w:p>
          <w:p w:rsidR="00CB3D7F" w:rsidRPr="00103E70" w:rsidRDefault="00CB3D7F" w:rsidP="00CB3D7F">
            <w:pPr>
              <w:pStyle w:val="EntRefer"/>
            </w:pPr>
            <w:bookmarkStart w:id="3" w:name="LangueOrig"/>
            <w:bookmarkEnd w:id="3"/>
            <w:r w:rsidRPr="00103E70">
              <w:t>(OR. en)</w:t>
            </w:r>
          </w:p>
        </w:tc>
      </w:tr>
      <w:tr w:rsidR="00CB3D7F" w:rsidRPr="00103E70">
        <w:tblPrEx>
          <w:tblCellMar>
            <w:top w:w="0" w:type="dxa"/>
            <w:left w:w="0" w:type="dxa"/>
            <w:bottom w:w="0" w:type="dxa"/>
            <w:right w:w="0" w:type="dxa"/>
          </w:tblCellMar>
        </w:tblPrEx>
        <w:trPr>
          <w:gridBefore w:val="1"/>
          <w:gridAfter w:val="1"/>
          <w:wBefore w:w="851" w:type="dxa"/>
          <w:wAfter w:w="851" w:type="dxa"/>
          <w:cantSplit/>
          <w:trHeight w:val="1480"/>
        </w:trPr>
        <w:tc>
          <w:tcPr>
            <w:tcW w:w="3970" w:type="dxa"/>
            <w:vAlign w:val="center"/>
          </w:tcPr>
          <w:p w:rsidR="00CB3D7F" w:rsidRPr="00103E70" w:rsidRDefault="00CB3D7F" w:rsidP="00CB3D7F">
            <w:pPr>
              <w:pStyle w:val="EntRefer"/>
              <w:pBdr>
                <w:top w:val="double" w:sz="4" w:space="4" w:color="auto"/>
                <w:left w:val="double" w:sz="4" w:space="0" w:color="auto"/>
                <w:bottom w:val="double" w:sz="4" w:space="4" w:color="auto"/>
                <w:right w:val="double" w:sz="4" w:space="0" w:color="auto"/>
              </w:pBdr>
              <w:jc w:val="center"/>
            </w:pPr>
            <w:bookmarkStart w:id="4" w:name="DossierInterInst"/>
            <w:bookmarkEnd w:id="4"/>
            <w:r w:rsidRPr="00103E70">
              <w:t>Interinstitutionellt ärende:</w:t>
            </w:r>
          </w:p>
          <w:p w:rsidR="00CB3D7F" w:rsidRPr="00103E70" w:rsidRDefault="00CB3D7F" w:rsidP="00CB3D7F">
            <w:pPr>
              <w:pStyle w:val="EntRefer"/>
              <w:pBdr>
                <w:top w:val="double" w:sz="4" w:space="4" w:color="auto"/>
                <w:left w:val="double" w:sz="4" w:space="0" w:color="auto"/>
                <w:bottom w:val="double" w:sz="4" w:space="4" w:color="auto"/>
                <w:right w:val="double" w:sz="4" w:space="0" w:color="auto"/>
              </w:pBdr>
              <w:jc w:val="center"/>
            </w:pPr>
            <w:r w:rsidRPr="00103E70">
              <w:t>2005/0203 (COD)</w:t>
            </w:r>
          </w:p>
        </w:tc>
        <w:tc>
          <w:tcPr>
            <w:tcW w:w="1701" w:type="dxa"/>
            <w:vAlign w:val="center"/>
          </w:tcPr>
          <w:p w:rsidR="00CB3D7F" w:rsidRPr="00103E70" w:rsidRDefault="00CB3D7F" w:rsidP="00CB3D7F">
            <w:pPr>
              <w:rPr>
                <w:b/>
              </w:rPr>
            </w:pPr>
          </w:p>
        </w:tc>
        <w:tc>
          <w:tcPr>
            <w:tcW w:w="3969" w:type="dxa"/>
          </w:tcPr>
          <w:p w:rsidR="00CB3D7F" w:rsidRPr="00103E70" w:rsidRDefault="00CB3D7F" w:rsidP="00CB3D7F">
            <w:pPr>
              <w:pStyle w:val="EntRefer"/>
            </w:pPr>
            <w:bookmarkStart w:id="5" w:name="Cote"/>
            <w:bookmarkEnd w:id="5"/>
            <w:r w:rsidRPr="00103E70">
              <w:t>13094/05</w:t>
            </w:r>
          </w:p>
          <w:p w:rsidR="00CB3D7F" w:rsidRPr="00103E70" w:rsidRDefault="00CB3D7F" w:rsidP="00CB3D7F">
            <w:pPr>
              <w:pStyle w:val="EntRefer"/>
            </w:pPr>
            <w:bookmarkStart w:id="6" w:name="CoteRev"/>
            <w:bookmarkEnd w:id="6"/>
          </w:p>
          <w:p w:rsidR="00CB3D7F" w:rsidRPr="00103E70" w:rsidRDefault="00CB3D7F" w:rsidP="00CB3D7F">
            <w:pPr>
              <w:pStyle w:val="EntRefer"/>
            </w:pPr>
          </w:p>
          <w:p w:rsidR="00CB3D7F" w:rsidRPr="00103E70" w:rsidRDefault="00CB3D7F" w:rsidP="00CB3D7F">
            <w:pPr>
              <w:pStyle w:val="EntRefer"/>
            </w:pPr>
            <w:bookmarkStart w:id="7" w:name="CoteSec"/>
            <w:bookmarkEnd w:id="7"/>
          </w:p>
          <w:p w:rsidR="00CB3D7F" w:rsidRPr="00103E70" w:rsidRDefault="00CB3D7F" w:rsidP="00CB3D7F">
            <w:pPr>
              <w:pStyle w:val="EntRefer"/>
            </w:pPr>
          </w:p>
        </w:tc>
      </w:tr>
      <w:tr w:rsidR="00CB3D7F" w:rsidRPr="00103E70">
        <w:tblPrEx>
          <w:tblCellMar>
            <w:top w:w="0" w:type="dxa"/>
            <w:left w:w="0" w:type="dxa"/>
            <w:bottom w:w="0" w:type="dxa"/>
            <w:right w:w="0" w:type="dxa"/>
          </w:tblCellMar>
        </w:tblPrEx>
        <w:trPr>
          <w:gridBefore w:val="3"/>
          <w:gridAfter w:val="1"/>
          <w:wBefore w:w="6522" w:type="dxa"/>
          <w:wAfter w:w="851" w:type="dxa"/>
          <w:cantSplit/>
          <w:trHeight w:val="800"/>
        </w:trPr>
        <w:tc>
          <w:tcPr>
            <w:tcW w:w="3969" w:type="dxa"/>
          </w:tcPr>
          <w:p w:rsidR="00CB3D7F" w:rsidRPr="00103E70" w:rsidRDefault="00900BB8" w:rsidP="00CB3D7F">
            <w:pPr>
              <w:pStyle w:val="EntRefer"/>
              <w:tabs>
                <w:tab w:val="right" w:pos="1701"/>
              </w:tabs>
            </w:pPr>
            <w:r w:rsidRPr="00103E70">
              <w:t>CULT 48</w:t>
            </w:r>
          </w:p>
          <w:p w:rsidR="00900BB8" w:rsidRPr="00103E70" w:rsidRDefault="00900BB8" w:rsidP="00CB3D7F">
            <w:pPr>
              <w:pStyle w:val="EntRefer"/>
              <w:tabs>
                <w:tab w:val="right" w:pos="1701"/>
              </w:tabs>
            </w:pPr>
            <w:r w:rsidRPr="00103E70">
              <w:t>CODEC 853</w:t>
            </w:r>
          </w:p>
        </w:tc>
      </w:tr>
    </w:tbl>
    <w:p w:rsidR="00CB3D7F" w:rsidRPr="00103E70" w:rsidRDefault="00CB3D7F" w:rsidP="00CB3D7F">
      <w:pPr>
        <w:pStyle w:val="EntRefer"/>
      </w:pPr>
    </w:p>
    <w:p w:rsidR="00CB3D7F" w:rsidRPr="00103E70" w:rsidRDefault="00CB3D7F" w:rsidP="00CB3D7F">
      <w:pPr>
        <w:pStyle w:val="EntRefer"/>
        <w:outlineLvl w:val="0"/>
      </w:pPr>
      <w:bookmarkStart w:id="8" w:name="txt_Prop"/>
      <w:r w:rsidRPr="00103E70">
        <w:t>FÖRSLAG</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CB3D7F" w:rsidRPr="00103E70">
        <w:tblPrEx>
          <w:tblCellMar>
            <w:top w:w="0" w:type="dxa"/>
            <w:left w:w="0" w:type="dxa"/>
            <w:bottom w:w="0" w:type="dxa"/>
            <w:right w:w="0" w:type="dxa"/>
          </w:tblCellMar>
        </w:tblPrEx>
        <w:tc>
          <w:tcPr>
            <w:tcW w:w="1985" w:type="dxa"/>
            <w:tcBorders>
              <w:top w:val="single" w:sz="4" w:space="0" w:color="auto"/>
            </w:tcBorders>
          </w:tcPr>
          <w:p w:rsidR="00CB3D7F" w:rsidRPr="00103E70" w:rsidRDefault="00CB3D7F" w:rsidP="00CB3D7F">
            <w:pPr>
              <w:pStyle w:val="EntEmet"/>
            </w:pPr>
            <w:r w:rsidRPr="00103E70">
              <w:t>från:</w:t>
            </w:r>
          </w:p>
        </w:tc>
        <w:tc>
          <w:tcPr>
            <w:tcW w:w="7654" w:type="dxa"/>
            <w:tcBorders>
              <w:top w:val="single" w:sz="4" w:space="0" w:color="auto"/>
            </w:tcBorders>
          </w:tcPr>
          <w:p w:rsidR="00CB3D7F" w:rsidRPr="00103E70" w:rsidRDefault="00CB3D7F" w:rsidP="00CB3D7F">
            <w:pPr>
              <w:pStyle w:val="EntEmet"/>
            </w:pPr>
            <w:r w:rsidRPr="00103E70">
              <w:t>Europeiska kommissionen</w:t>
            </w:r>
          </w:p>
        </w:tc>
      </w:tr>
      <w:tr w:rsidR="00CB3D7F" w:rsidRPr="00103E70">
        <w:tblPrEx>
          <w:tblCellMar>
            <w:top w:w="0" w:type="dxa"/>
            <w:left w:w="0" w:type="dxa"/>
            <w:bottom w:w="0" w:type="dxa"/>
            <w:right w:w="0" w:type="dxa"/>
          </w:tblCellMar>
        </w:tblPrEx>
        <w:tc>
          <w:tcPr>
            <w:tcW w:w="1985" w:type="dxa"/>
          </w:tcPr>
          <w:p w:rsidR="00CB3D7F" w:rsidRPr="00103E70" w:rsidRDefault="00CB3D7F" w:rsidP="00CB3D7F">
            <w:pPr>
              <w:pStyle w:val="EntEmet"/>
            </w:pPr>
            <w:r w:rsidRPr="00103E70">
              <w:t>av den:</w:t>
            </w:r>
          </w:p>
        </w:tc>
        <w:tc>
          <w:tcPr>
            <w:tcW w:w="7654" w:type="dxa"/>
          </w:tcPr>
          <w:p w:rsidR="00CB3D7F" w:rsidRPr="00103E70" w:rsidRDefault="00900BB8" w:rsidP="00CB3D7F">
            <w:pPr>
              <w:pStyle w:val="EntEmet"/>
            </w:pPr>
            <w:r w:rsidRPr="00103E70">
              <w:t>7 oktober 2005</w:t>
            </w:r>
          </w:p>
        </w:tc>
      </w:tr>
      <w:tr w:rsidR="00CB3D7F" w:rsidRPr="00103E70">
        <w:tblPrEx>
          <w:tblCellMar>
            <w:top w:w="0" w:type="dxa"/>
            <w:left w:w="0" w:type="dxa"/>
            <w:bottom w:w="0" w:type="dxa"/>
            <w:right w:w="0" w:type="dxa"/>
          </w:tblCellMar>
        </w:tblPrEx>
        <w:tc>
          <w:tcPr>
            <w:tcW w:w="1985" w:type="dxa"/>
            <w:tcBorders>
              <w:top w:val="single" w:sz="4" w:space="0" w:color="auto"/>
              <w:bottom w:val="single" w:sz="4" w:space="0" w:color="auto"/>
            </w:tcBorders>
          </w:tcPr>
          <w:p w:rsidR="00CB3D7F" w:rsidRPr="00103E70" w:rsidRDefault="00CB3D7F" w:rsidP="00CB3D7F">
            <w:pPr>
              <w:pStyle w:val="EntEmet"/>
            </w:pPr>
            <w:r w:rsidRPr="00103E70">
              <w:t>Ärende:</w:t>
            </w:r>
          </w:p>
        </w:tc>
        <w:tc>
          <w:tcPr>
            <w:tcW w:w="7654" w:type="dxa"/>
            <w:tcBorders>
              <w:top w:val="single" w:sz="4" w:space="0" w:color="auto"/>
              <w:bottom w:val="single" w:sz="4" w:space="0" w:color="auto"/>
            </w:tcBorders>
          </w:tcPr>
          <w:p w:rsidR="00CB3D7F" w:rsidRPr="00103E70" w:rsidRDefault="00900BB8" w:rsidP="00900BB8">
            <w:pPr>
              <w:pStyle w:val="EntEmet"/>
            </w:pPr>
            <w:bookmarkStart w:id="9" w:name="Subject_Prop"/>
            <w:bookmarkEnd w:id="9"/>
            <w:r w:rsidRPr="00103E70">
              <w:t>Förslag till Europaparlamentets och rådets beslut om Europeiska året för interkulturell dialog (2008)</w:t>
            </w:r>
          </w:p>
        </w:tc>
      </w:tr>
    </w:tbl>
    <w:p w:rsidR="00CB3D7F" w:rsidRPr="00103E70" w:rsidRDefault="00CB3D7F" w:rsidP="00CB3D7F">
      <w:pPr>
        <w:pStyle w:val="NormalConseil"/>
      </w:pPr>
    </w:p>
    <w:p w:rsidR="00CB3D7F" w:rsidRPr="00103E70" w:rsidRDefault="00CB3D7F" w:rsidP="00CB3D7F">
      <w:pPr>
        <w:pStyle w:val="NormalConseil"/>
      </w:pPr>
    </w:p>
    <w:p w:rsidR="00CB3D7F" w:rsidRPr="00103E70" w:rsidRDefault="00CB3D7F" w:rsidP="00CB3D7F">
      <w:pPr>
        <w:pStyle w:val="NormalConseil"/>
      </w:pPr>
      <w:r w:rsidRPr="00103E70">
        <w:t xml:space="preserve">För delegationerna bifogas kommissionens förslag, som översänts per brev från </w:t>
      </w:r>
      <w:r w:rsidR="00900BB8" w:rsidRPr="00103E70">
        <w:t>direktör </w:t>
      </w:r>
      <w:r w:rsidRPr="00103E70">
        <w:t>Patricia</w:t>
      </w:r>
      <w:r w:rsidR="00900BB8" w:rsidRPr="00103E70">
        <w:t> </w:t>
      </w:r>
      <w:r w:rsidRPr="00103E70">
        <w:t>Bugnot till Javier Solana, generalsekreterare/hög representant.</w:t>
      </w:r>
    </w:p>
    <w:p w:rsidR="00CB3D7F" w:rsidRPr="00103E70" w:rsidRDefault="00CB3D7F" w:rsidP="00CB3D7F">
      <w:pPr>
        <w:pStyle w:val="NormalConseil"/>
      </w:pPr>
    </w:p>
    <w:p w:rsidR="00CB3D7F" w:rsidRPr="00103E70" w:rsidRDefault="00CB3D7F" w:rsidP="00CB3D7F">
      <w:pPr>
        <w:pStyle w:val="NormalConseil"/>
      </w:pPr>
    </w:p>
    <w:p w:rsidR="00CB3D7F" w:rsidRPr="00103E70" w:rsidRDefault="00CB3D7F" w:rsidP="00CB3D7F">
      <w:pPr>
        <w:pStyle w:val="NormalConseil"/>
        <w:jc w:val="center"/>
      </w:pPr>
      <w:r w:rsidRPr="00103E70">
        <w:t>________________________</w:t>
      </w:r>
    </w:p>
    <w:p w:rsidR="00CB3D7F" w:rsidRPr="00103E70" w:rsidRDefault="00CB3D7F" w:rsidP="00CB3D7F">
      <w:pPr>
        <w:pStyle w:val="NormalConseil"/>
      </w:pPr>
    </w:p>
    <w:p w:rsidR="00CB3D7F" w:rsidRPr="00103E70" w:rsidRDefault="00CB3D7F" w:rsidP="00CB3D7F">
      <w:pPr>
        <w:pStyle w:val="NormalConseil"/>
      </w:pPr>
    </w:p>
    <w:p w:rsidR="00CB3D7F" w:rsidRPr="00103E70" w:rsidRDefault="00CB3D7F" w:rsidP="00CB3D7F">
      <w:pPr>
        <w:pStyle w:val="NormalConseil"/>
        <w:outlineLvl w:val="0"/>
      </w:pPr>
      <w:r w:rsidRPr="00103E70">
        <w:rPr>
          <w:u w:val="single"/>
        </w:rPr>
        <w:t>Bilaga</w:t>
      </w:r>
      <w:r w:rsidRPr="00103E70">
        <w:t xml:space="preserve">: </w:t>
      </w:r>
      <w:bookmarkStart w:id="10" w:name="pj_Prop"/>
      <w:bookmarkEnd w:id="10"/>
      <w:r w:rsidRPr="00103E70">
        <w:t>KOM(2005) 467 slutlig</w:t>
      </w:r>
    </w:p>
    <w:p w:rsidR="00CB3D7F" w:rsidRPr="00103E70" w:rsidRDefault="00CB3D7F" w:rsidP="00CB3D7F">
      <w:pPr>
        <w:pStyle w:val="NormalConseil"/>
        <w:outlineLvl w:val="0"/>
      </w:pPr>
    </w:p>
    <w:p w:rsidR="00CB3D7F" w:rsidRPr="00103E70" w:rsidRDefault="00CB3D7F" w:rsidP="00CB3D7F">
      <w:pPr>
        <w:pStyle w:val="NormalConseil"/>
      </w:pPr>
    </w:p>
    <w:bookmarkEnd w:id="8"/>
    <w:p w:rsidR="00CB3D7F" w:rsidRPr="00103E70" w:rsidRDefault="00CB3D7F" w:rsidP="00CB3D7F">
      <w:pPr>
        <w:pStyle w:val="NormalConseil"/>
        <w:sectPr w:rsidR="00CB3D7F" w:rsidRPr="00103E70">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226B8C" w:rsidRPr="00103E70">
        <w:tblPrEx>
          <w:tblCellMar>
            <w:top w:w="0" w:type="dxa"/>
            <w:left w:w="0" w:type="dxa"/>
            <w:bottom w:w="0" w:type="dxa"/>
            <w:right w:w="0" w:type="dxa"/>
          </w:tblCellMar>
        </w:tblPrEx>
        <w:trPr>
          <w:trHeight w:hRule="exact" w:val="1440"/>
        </w:trPr>
        <w:tc>
          <w:tcPr>
            <w:tcW w:w="1814" w:type="dxa"/>
          </w:tcPr>
          <w:p w:rsidR="00226B8C" w:rsidRPr="00103E70" w:rsidRDefault="00103E70" w:rsidP="00226B8C">
            <w:pPr>
              <w:pStyle w:val="Nomdelinstitution"/>
            </w:pPr>
            <w:r w:rsidRPr="00103E70">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226B8C" w:rsidRPr="00103E70" w:rsidRDefault="00226B8C" w:rsidP="00226B8C">
            <w:pPr>
              <w:pStyle w:val="Nomdelinstitution"/>
            </w:pPr>
            <w:r w:rsidRPr="00103E70">
              <w:t>EUROPEISKA GEMENSKAPERNAS KOMMISSION</w:t>
            </w:r>
          </w:p>
        </w:tc>
      </w:tr>
    </w:tbl>
    <w:p w:rsidR="00226B8C" w:rsidRPr="00103E70" w:rsidRDefault="00226B8C" w:rsidP="00226B8C">
      <w:pPr>
        <w:pStyle w:val="Emission"/>
      </w:pPr>
      <w:r w:rsidRPr="00103E70">
        <w:t>Bryssel den 5.10.2005</w:t>
      </w:r>
    </w:p>
    <w:p w:rsidR="00226B8C" w:rsidRPr="00103E70" w:rsidRDefault="00226B8C" w:rsidP="00226B8C">
      <w:pPr>
        <w:pStyle w:val="Rfrenceinstitutionelle"/>
      </w:pPr>
      <w:r w:rsidRPr="00103E70">
        <w:t>KOM(2005) 467 slutlig</w:t>
      </w:r>
    </w:p>
    <w:p w:rsidR="00226B8C" w:rsidRPr="00103E70" w:rsidRDefault="00226B8C" w:rsidP="00226B8C">
      <w:pPr>
        <w:pStyle w:val="Rfrenceinterinstitutionelle"/>
      </w:pPr>
      <w:r w:rsidRPr="00103E70">
        <w:t>2005/0203 (COD)</w:t>
      </w:r>
    </w:p>
    <w:p w:rsidR="00226B8C" w:rsidRPr="00103E70" w:rsidRDefault="00226B8C" w:rsidP="00226B8C">
      <w:pPr>
        <w:pStyle w:val="Confidentialit"/>
      </w:pPr>
      <w:r w:rsidRPr="00103E70">
        <w:fldChar w:fldCharType="begin" w:fldLock="1"/>
      </w:r>
      <w:r w:rsidRPr="00103E70">
        <w:instrText xml:space="preserve"> DOCPROPERTY "Classification" </w:instrText>
      </w:r>
      <w:r w:rsidRPr="00103E70">
        <w:fldChar w:fldCharType="separate"/>
      </w:r>
      <w:r w:rsidR="00565D16" w:rsidRPr="00103E70">
        <w:t xml:space="preserve"> </w:t>
      </w:r>
      <w:r w:rsidRPr="00103E70">
        <w:fldChar w:fldCharType="end"/>
      </w:r>
    </w:p>
    <w:p w:rsidR="00226B8C" w:rsidRPr="00103E70" w:rsidRDefault="00226B8C" w:rsidP="00CB3D7F">
      <w:pPr>
        <w:pStyle w:val="Statut"/>
        <w:outlineLvl w:val="0"/>
      </w:pPr>
      <w:r w:rsidRPr="00103E70">
        <w:t>Förslag till</w:t>
      </w:r>
    </w:p>
    <w:p w:rsidR="00226B8C" w:rsidRPr="00103E70" w:rsidRDefault="00226B8C" w:rsidP="00226B8C">
      <w:pPr>
        <w:pStyle w:val="Typedudocument"/>
      </w:pPr>
      <w:r w:rsidRPr="00103E70">
        <w:t>EUROPAPARLAMENTETS OCH RÅDETS BESLUT</w:t>
      </w:r>
    </w:p>
    <w:p w:rsidR="00226B8C" w:rsidRPr="00103E70" w:rsidRDefault="00226B8C" w:rsidP="00226B8C">
      <w:pPr>
        <w:pStyle w:val="Titreobjet"/>
      </w:pPr>
      <w:r w:rsidRPr="00103E70">
        <w:t>om Europeiska året för interkulturell dialog (2008)</w:t>
      </w:r>
    </w:p>
    <w:p w:rsidR="00226B8C" w:rsidRPr="00103E70" w:rsidRDefault="00226B8C" w:rsidP="00226B8C">
      <w:pPr>
        <w:pStyle w:val="Phrasefinale"/>
      </w:pPr>
      <w:r w:rsidRPr="00103E70">
        <w:t>(framlagt av kommissionen)</w:t>
      </w:r>
      <w:r w:rsidRPr="00103E70">
        <w:br/>
      </w:r>
      <w:r w:rsidRPr="00103E70">
        <w:br/>
      </w:r>
      <w:r w:rsidRPr="00103E70">
        <w:br/>
        <w:t>{SEK(2005) 1202}</w:t>
      </w:r>
    </w:p>
    <w:p w:rsidR="00272AA5" w:rsidRPr="00103E70" w:rsidRDefault="00272AA5">
      <w:pPr>
        <w:sectPr w:rsidR="00272AA5" w:rsidRPr="00103E70" w:rsidSect="00CB3D7F">
          <w:headerReference w:type="default" r:id="rId15"/>
          <w:footerReference w:type="default" r:id="rId16"/>
          <w:footerReference w:type="first" r:id="rId17"/>
          <w:pgSz w:w="11907" w:h="16839"/>
          <w:pgMar w:top="1134" w:right="1417" w:bottom="1134" w:left="1417" w:header="709" w:footer="709" w:gutter="0"/>
          <w:pgNumType w:start="1"/>
          <w:cols w:space="720"/>
          <w:titlePg/>
          <w:docGrid w:linePitch="326"/>
        </w:sectPr>
      </w:pPr>
    </w:p>
    <w:p w:rsidR="00272AA5" w:rsidRPr="00103E70" w:rsidRDefault="00272AA5" w:rsidP="00CB3D7F">
      <w:pPr>
        <w:pStyle w:val="Exposdesmotifstitre"/>
        <w:outlineLvl w:val="0"/>
      </w:pPr>
      <w:r w:rsidRPr="00103E70">
        <w:t>MOTIVERING</w:t>
      </w:r>
    </w:p>
    <w:tbl>
      <w:tblPr>
        <w:tblStyle w:val="Fichefinancireattributiontitreacte"/>
        <w:tblW w:w="93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708"/>
        <w:gridCol w:w="11"/>
        <w:gridCol w:w="8635"/>
      </w:tblGrid>
      <w:tr w:rsidR="00272AA5" w:rsidRPr="00103E70">
        <w:tc>
          <w:tcPr>
            <w:tcW w:w="9354" w:type="dxa"/>
            <w:gridSpan w:val="3"/>
            <w:tcBorders>
              <w:top w:val="single" w:sz="4" w:space="0" w:color="FFFFFF"/>
              <w:left w:val="single" w:sz="4" w:space="0" w:color="FFFFFF"/>
              <w:bottom w:val="single" w:sz="4" w:space="0" w:color="FFFFFF"/>
              <w:right w:val="single" w:sz="4" w:space="0" w:color="FFFFFF"/>
            </w:tcBorders>
          </w:tcPr>
          <w:p w:rsidR="00272AA5" w:rsidRPr="00103E70" w:rsidRDefault="00272AA5">
            <w:pPr>
              <w:numPr>
                <w:ilvl w:val="0"/>
                <w:numId w:val="43"/>
              </w:numPr>
              <w:rPr>
                <w:u w:val="none"/>
              </w:rPr>
            </w:pPr>
            <w:r w:rsidRPr="00103E70">
              <w:rPr>
                <w:bCs w:val="0"/>
                <w:smallCaps/>
                <w:color w:val="000000"/>
                <w:u w:val="none"/>
              </w:rPr>
              <w:t>Bakgrund</w:t>
            </w:r>
          </w:p>
        </w:tc>
      </w:tr>
      <w:tr w:rsidR="00272AA5" w:rsidRPr="00103E70">
        <w:tc>
          <w:tcPr>
            <w:tcW w:w="719"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110</w:t>
            </w:r>
          </w:p>
        </w:tc>
        <w:tc>
          <w:tcPr>
            <w:tcW w:w="8635" w:type="dxa"/>
            <w:tcBorders>
              <w:top w:val="single" w:sz="4" w:space="0" w:color="FFFFFF"/>
              <w:left w:val="single" w:sz="4" w:space="0" w:color="FFFFFF"/>
              <w:bottom w:val="single" w:sz="4" w:space="0" w:color="FFFFFF"/>
              <w:right w:val="single" w:sz="4" w:space="0" w:color="FFFFFF"/>
            </w:tcBorders>
          </w:tcPr>
          <w:p w:rsidR="00272AA5" w:rsidRPr="00103E70" w:rsidRDefault="00272AA5">
            <w:pPr>
              <w:numPr>
                <w:ilvl w:val="1"/>
                <w:numId w:val="43"/>
              </w:numPr>
              <w:tabs>
                <w:tab w:val="clear" w:pos="1443"/>
              </w:tabs>
              <w:ind w:left="363"/>
              <w:rPr>
                <w:u w:val="none"/>
              </w:rPr>
            </w:pPr>
            <w:r w:rsidRPr="00103E70">
              <w:rPr>
                <w:bCs w:val="0"/>
                <w:color w:val="000000"/>
                <w:u w:val="none"/>
              </w:rPr>
              <w:t>Motiv och syfte</w:t>
            </w:r>
          </w:p>
          <w:p w:rsidR="00272AA5" w:rsidRPr="00103E70" w:rsidRDefault="00272AA5">
            <w:pPr>
              <w:rPr>
                <w:b w:val="0"/>
                <w:u w:val="none"/>
              </w:rPr>
            </w:pPr>
            <w:r w:rsidRPr="00103E70">
              <w:rPr>
                <w:b w:val="0"/>
                <w:color w:val="000000"/>
                <w:u w:val="none"/>
              </w:rPr>
              <w:t>Den interkulturella dialogen är nära knuten till EU:s grundläggande ambition att föra Europas folk närmare varandra.</w:t>
            </w:r>
            <w:r w:rsidRPr="00103E70">
              <w:rPr>
                <w:b w:val="0"/>
                <w:u w:val="none"/>
              </w:rPr>
              <w:t xml:space="preserve"> </w:t>
            </w:r>
            <w:r w:rsidRPr="00103E70">
              <w:rPr>
                <w:b w:val="0"/>
                <w:color w:val="000000"/>
                <w:u w:val="none"/>
              </w:rPr>
              <w:t>Denna satsning från EU:s sida måste bli en uttalad prioritet så att EU-medborgarna och alla andra som bor i Europeiska unionen känner sig manade att verkligen ta vara på den kulturella mångfald som finns i Europa och som blir allt rikare tack vare ett allt mer mångfasetterat samhälle och de förändringar och influenser som globaliseringen för med sig.</w:t>
            </w:r>
            <w:r w:rsidRPr="00103E70">
              <w:rPr>
                <w:b w:val="0"/>
                <w:u w:val="none"/>
              </w:rPr>
              <w:t xml:space="preserve"> </w:t>
            </w:r>
          </w:p>
          <w:p w:rsidR="00272AA5" w:rsidRPr="00103E70" w:rsidRDefault="00272AA5">
            <w:pPr>
              <w:rPr>
                <w:b w:val="0"/>
                <w:u w:val="none"/>
              </w:rPr>
            </w:pPr>
            <w:r w:rsidRPr="00103E70">
              <w:rPr>
                <w:b w:val="0"/>
                <w:color w:val="000000"/>
                <w:u w:val="none"/>
              </w:rPr>
              <w:t>Interkulturell dialog kan också bidra till att underlätta genomförandet av ett antal strategiska prioriteringar för EU.</w:t>
            </w:r>
          </w:p>
          <w:p w:rsidR="00272AA5" w:rsidRPr="00103E70" w:rsidRDefault="00272AA5">
            <w:pPr>
              <w:rPr>
                <w:b w:val="0"/>
                <w:u w:val="none"/>
              </w:rPr>
            </w:pPr>
            <w:r w:rsidRPr="00103E70">
              <w:rPr>
                <w:b w:val="0"/>
                <w:color w:val="000000"/>
                <w:u w:val="none"/>
              </w:rPr>
              <w:t>Ett europeiskt år för interkulturell dialog är ett utmärkt sätt att göra medborgarna medvetna om denna prioritering och få dem att bli delaktiga.</w:t>
            </w:r>
            <w:r w:rsidRPr="00103E70">
              <w:rPr>
                <w:b w:val="0"/>
                <w:u w:val="none"/>
              </w:rPr>
              <w:t xml:space="preserve"> </w:t>
            </w:r>
          </w:p>
        </w:tc>
      </w:tr>
      <w:tr w:rsidR="00272AA5" w:rsidRPr="00103E70">
        <w:tc>
          <w:tcPr>
            <w:tcW w:w="719"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120</w:t>
            </w:r>
          </w:p>
        </w:tc>
        <w:tc>
          <w:tcPr>
            <w:tcW w:w="8635" w:type="dxa"/>
            <w:tcBorders>
              <w:top w:val="single" w:sz="4" w:space="0" w:color="FFFFFF"/>
              <w:left w:val="single" w:sz="4" w:space="0" w:color="FFFFFF"/>
              <w:bottom w:val="single" w:sz="4" w:space="0" w:color="FFFFFF"/>
              <w:right w:val="single" w:sz="4" w:space="0" w:color="FFFFFF"/>
            </w:tcBorders>
          </w:tcPr>
          <w:p w:rsidR="00272AA5" w:rsidRPr="00103E70" w:rsidRDefault="00272AA5">
            <w:pPr>
              <w:numPr>
                <w:ilvl w:val="1"/>
                <w:numId w:val="43"/>
              </w:numPr>
              <w:tabs>
                <w:tab w:val="clear" w:pos="1443"/>
              </w:tabs>
              <w:ind w:left="363"/>
              <w:rPr>
                <w:u w:val="none"/>
              </w:rPr>
            </w:pPr>
            <w:r w:rsidRPr="00103E70">
              <w:rPr>
                <w:bCs w:val="0"/>
                <w:color w:val="000000"/>
                <w:u w:val="none"/>
              </w:rPr>
              <w:t>Allmän bakgrund</w:t>
            </w:r>
          </w:p>
          <w:p w:rsidR="00D90160" w:rsidRPr="00103E70" w:rsidRDefault="00272AA5" w:rsidP="00D90160">
            <w:pPr>
              <w:rPr>
                <w:b w:val="0"/>
                <w:u w:val="none"/>
              </w:rPr>
            </w:pPr>
            <w:r w:rsidRPr="00103E70">
              <w:rPr>
                <w:b w:val="0"/>
                <w:color w:val="000000"/>
                <w:u w:val="none"/>
              </w:rPr>
              <w:t>Enligt fördraget om upprättandet av Europeiska gemenskapen skall gemenskapen verka för en allt fastare sammanslutning mellan de europeiska folken, bidra till kulturens utveckling i medlemsstaterna med respekt för dessas nationella och regionala mångfald samt framhäva det gemensamma kulturarvet.</w:t>
            </w:r>
            <w:r w:rsidRPr="00103E70">
              <w:rPr>
                <w:b w:val="0"/>
                <w:u w:val="none"/>
              </w:rPr>
              <w:t xml:space="preserve"> </w:t>
            </w:r>
            <w:r w:rsidRPr="00103E70">
              <w:rPr>
                <w:b w:val="0"/>
                <w:color w:val="000000"/>
                <w:u w:val="none"/>
              </w:rPr>
              <w:t>För att detta skall lyckas krävs i hög grad interkulturell dialog.</w:t>
            </w:r>
            <w:r w:rsidRPr="00103E70">
              <w:rPr>
                <w:b w:val="0"/>
                <w:u w:val="none"/>
              </w:rPr>
              <w:t xml:space="preserve"> </w:t>
            </w:r>
          </w:p>
          <w:p w:rsidR="00272AA5" w:rsidRPr="00103E70" w:rsidRDefault="00272AA5">
            <w:pPr>
              <w:rPr>
                <w:b w:val="0"/>
                <w:u w:val="none"/>
              </w:rPr>
            </w:pPr>
            <w:r w:rsidRPr="00103E70">
              <w:rPr>
                <w:b w:val="0"/>
                <w:color w:val="000000"/>
                <w:u w:val="none"/>
              </w:rPr>
              <w:t>Den samlade effekten av EU:s olika utvidgningar, den ökade rörligheten till följd av den inre marknaden, gamla och nya migrationsströmmar, ökade kontakter med resten av världen genom handel, utbildning, fritid och globaliseringen i stort, bidrar till ett ökat utbyte mellan EU-medborgarna och alla andra som bor i Europeiska unionen och olika kulturer, språk, befolkningsgrupper och religioner i Europa och resten av världen.</w:t>
            </w:r>
            <w:r w:rsidRPr="00103E70">
              <w:rPr>
                <w:b w:val="0"/>
                <w:u w:val="none"/>
              </w:rPr>
              <w:t xml:space="preserve"> </w:t>
            </w:r>
          </w:p>
          <w:p w:rsidR="00272AA5" w:rsidRPr="00103E70" w:rsidRDefault="00272AA5">
            <w:pPr>
              <w:rPr>
                <w:rFonts w:ascii="Arial" w:hAnsi="Arial" w:cs="Arial"/>
                <w:b w:val="0"/>
                <w:sz w:val="20"/>
                <w:szCs w:val="20"/>
                <w:u w:val="none"/>
              </w:rPr>
            </w:pPr>
            <w:r w:rsidRPr="00103E70">
              <w:rPr>
                <w:b w:val="0"/>
                <w:color w:val="000000"/>
                <w:u w:val="none"/>
              </w:rPr>
              <w:t>Det är därför viktigt att EU:s medborgare och alla andra som är tillfälligt eller fast bosatta i EU kan inhämta de kunskaper, de kvalifikationer och det kunnande som krävs för att klara sig i en öppnare men också mer komplex miljö, med de svårigheter och spänningar det kan innebära, och dra nytta av de möjligheter som ett sådant samhälle erbjuder, såväl inom Europa som i resten av världen.</w:t>
            </w:r>
          </w:p>
          <w:p w:rsidR="00272AA5" w:rsidRPr="00103E70" w:rsidRDefault="00272AA5">
            <w:pPr>
              <w:rPr>
                <w:rFonts w:ascii="Arial" w:hAnsi="Arial" w:cs="Arial"/>
                <w:b w:val="0"/>
                <w:sz w:val="20"/>
                <w:szCs w:val="20"/>
                <w:u w:val="none"/>
              </w:rPr>
            </w:pPr>
            <w:r w:rsidRPr="00103E70">
              <w:rPr>
                <w:b w:val="0"/>
                <w:color w:val="000000"/>
                <w:u w:val="none"/>
              </w:rPr>
              <w:t>Det är avgörande för EU:s uppbyggnad att man prioriterar en intensifierad och mer strukturerad interkulturell dialog som involverar alla EU-medborgare och alla andra som bor i Europeiska unionen, särskilt ungdomar, i enlighet med kommissionens nya kommunikationssatsning.</w:t>
            </w:r>
            <w:r w:rsidRPr="00103E70">
              <w:rPr>
                <w:b w:val="0"/>
                <w:u w:val="none"/>
              </w:rPr>
              <w:t xml:space="preserve"> </w:t>
            </w:r>
            <w:r w:rsidRPr="00103E70">
              <w:rPr>
                <w:b w:val="0"/>
                <w:color w:val="000000"/>
                <w:u w:val="none"/>
              </w:rPr>
              <w:t>Interkulturell dialog framstår som det bästa sättet för medborgarna att hantera den komplexa verkligheten i dagens samhälle och skapa större dynamik.</w:t>
            </w:r>
            <w:r w:rsidRPr="00103E70">
              <w:rPr>
                <w:b w:val="0"/>
                <w:u w:val="none"/>
              </w:rPr>
              <w:t xml:space="preserve"> </w:t>
            </w:r>
            <w:r w:rsidRPr="00103E70">
              <w:rPr>
                <w:b w:val="0"/>
                <w:color w:val="000000"/>
                <w:u w:val="none"/>
              </w:rPr>
              <w:t>Därför är det viktigt att alla som bor i EU inspireras att aktivt söka kontakt med andra kulturer, såväl i hemlandet som utomlands, för att på så sätt medverka till ökad tolerans och ömsesidig respekt, som är de grundläggande förutsättningarna för interkulturell dialog.</w:t>
            </w:r>
            <w:r w:rsidRPr="00103E70">
              <w:rPr>
                <w:b w:val="0"/>
                <w:u w:val="none"/>
              </w:rPr>
              <w:t xml:space="preserve"> </w:t>
            </w:r>
            <w:r w:rsidRPr="00103E70">
              <w:rPr>
                <w:b w:val="0"/>
                <w:color w:val="000000"/>
                <w:u w:val="none"/>
              </w:rPr>
              <w:t>Den interkulturella dialogen bidrar således till att genomföra flera av EU:s strategiska prioriteringar, bland annat genom att</w:t>
            </w:r>
          </w:p>
          <w:p w:rsidR="00272AA5" w:rsidRPr="00103E70" w:rsidRDefault="00272AA5" w:rsidP="0039736B">
            <w:pPr>
              <w:pStyle w:val="ListDash"/>
              <w:rPr>
                <w:b w:val="0"/>
                <w:u w:val="none"/>
              </w:rPr>
            </w:pPr>
            <w:r w:rsidRPr="00103E70">
              <w:rPr>
                <w:b w:val="0"/>
                <w:u w:val="none"/>
              </w:rPr>
              <w:t>värna om den kulturella mångfalden i Europa och genom att verka för att EU-medborgarna med utgångspunkt i EU:s gemensamma värderingar blir engagerade samhällsmedborgare och visar öppenhet inför resten av världen,</w:t>
            </w:r>
          </w:p>
          <w:p w:rsidR="00272AA5" w:rsidRPr="00103E70" w:rsidRDefault="00272AA5" w:rsidP="0039736B">
            <w:pPr>
              <w:pStyle w:val="ListDash"/>
              <w:rPr>
                <w:rFonts w:ascii="Arial" w:hAnsi="Arial" w:cs="Arial"/>
                <w:b w:val="0"/>
                <w:sz w:val="20"/>
                <w:szCs w:val="20"/>
                <w:u w:val="none"/>
              </w:rPr>
            </w:pPr>
            <w:r w:rsidRPr="00103E70">
              <w:rPr>
                <w:b w:val="0"/>
                <w:u w:val="none"/>
              </w:rPr>
              <w:t>ta hänsyn till den nya Lissabonstrategin, enligt vilken kunskapsekonomin behöver människor som kan anpassa sig efter förändringar och dra nytta av alla former av innovation för att öka välståndet,</w:t>
            </w:r>
          </w:p>
          <w:p w:rsidR="00272AA5" w:rsidRPr="00103E70" w:rsidRDefault="00272AA5" w:rsidP="0039736B">
            <w:pPr>
              <w:pStyle w:val="ListDash"/>
              <w:rPr>
                <w:b w:val="0"/>
                <w:u w:val="none"/>
              </w:rPr>
            </w:pPr>
            <w:r w:rsidRPr="00103E70">
              <w:rPr>
                <w:b w:val="0"/>
                <w:u w:val="none"/>
              </w:rPr>
              <w:t>stödja EU:s engagemang för solidaritet, social rättvisa och förbättrad sammanhållning med respekt för EU:s gemensamma värdegrund,</w:t>
            </w:r>
          </w:p>
          <w:p w:rsidR="00272AA5" w:rsidRPr="00103E70" w:rsidRDefault="00272AA5" w:rsidP="0039736B">
            <w:pPr>
              <w:pStyle w:val="ListDash"/>
              <w:rPr>
                <w:b w:val="0"/>
              </w:rPr>
            </w:pPr>
            <w:r w:rsidRPr="00103E70">
              <w:rPr>
                <w:b w:val="0"/>
                <w:u w:val="none"/>
              </w:rPr>
              <w:t>ge EU bättre möjligheter att göra sin röst hörd i världen och skapa ett effektivt samarbete med grannländerna, för att på så sätt utvidga området med stabilitet och demokrati utanför EU:s gränser och därmed bana väg för välfärd och trygghet för EU-medborgarna och alla andra som bor i unionen.</w:t>
            </w:r>
          </w:p>
          <w:p w:rsidR="00272AA5" w:rsidRPr="00103E70" w:rsidRDefault="00272AA5">
            <w:pPr>
              <w:rPr>
                <w:b w:val="0"/>
                <w:u w:val="none"/>
              </w:rPr>
            </w:pPr>
            <w:r w:rsidRPr="00103E70">
              <w:rPr>
                <w:b w:val="0"/>
                <w:color w:val="000000"/>
                <w:u w:val="none"/>
              </w:rPr>
              <w:t>Därför föreslår kommissionen att 2008 utropas till året för interkulturell dialog.</w:t>
            </w:r>
            <w:r w:rsidRPr="00103E70">
              <w:rPr>
                <w:b w:val="0"/>
                <w:u w:val="none"/>
              </w:rPr>
              <w:t xml:space="preserve"> </w:t>
            </w:r>
          </w:p>
        </w:tc>
      </w:tr>
      <w:tr w:rsidR="00272AA5" w:rsidRPr="00103E70">
        <w:tc>
          <w:tcPr>
            <w:tcW w:w="719"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139</w:t>
            </w:r>
          </w:p>
        </w:tc>
        <w:tc>
          <w:tcPr>
            <w:tcW w:w="8635" w:type="dxa"/>
            <w:tcBorders>
              <w:top w:val="single" w:sz="4" w:space="0" w:color="FFFFFF"/>
              <w:left w:val="single" w:sz="4" w:space="0" w:color="FFFFFF"/>
              <w:bottom w:val="single" w:sz="4" w:space="0" w:color="FFFFFF"/>
              <w:right w:val="single" w:sz="4" w:space="0" w:color="FFFFFF"/>
            </w:tcBorders>
          </w:tcPr>
          <w:p w:rsidR="00272AA5" w:rsidRPr="00103E70" w:rsidRDefault="00272AA5">
            <w:pPr>
              <w:numPr>
                <w:ilvl w:val="1"/>
                <w:numId w:val="43"/>
              </w:numPr>
              <w:tabs>
                <w:tab w:val="clear" w:pos="1443"/>
              </w:tabs>
              <w:ind w:left="363"/>
              <w:rPr>
                <w:u w:val="none"/>
              </w:rPr>
            </w:pPr>
            <w:r w:rsidRPr="00103E70">
              <w:rPr>
                <w:bCs w:val="0"/>
                <w:color w:val="000000"/>
                <w:u w:val="none"/>
              </w:rPr>
              <w:t>Gällande bestämmelser</w:t>
            </w:r>
          </w:p>
          <w:p w:rsidR="00272AA5" w:rsidRPr="00103E70" w:rsidRDefault="00272AA5">
            <w:pPr>
              <w:rPr>
                <w:b w:val="0"/>
                <w:u w:val="none"/>
              </w:rPr>
            </w:pPr>
            <w:r w:rsidRPr="00103E70">
              <w:rPr>
                <w:b w:val="0"/>
                <w:color w:val="000000"/>
                <w:u w:val="none"/>
              </w:rPr>
              <w:t>Det finns inga gällande bestämmelser om interkulturell dialog som sådan. Däremot finns det en rad olika projekt som finansieras genom olika EU-program som direkt eller indirekt bidrar till att utveckla denna form av dialog.</w:t>
            </w:r>
          </w:p>
        </w:tc>
      </w:tr>
      <w:tr w:rsidR="00272AA5" w:rsidRPr="00103E70">
        <w:tc>
          <w:tcPr>
            <w:tcW w:w="719"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140</w:t>
            </w:r>
          </w:p>
        </w:tc>
        <w:tc>
          <w:tcPr>
            <w:tcW w:w="8635" w:type="dxa"/>
            <w:tcBorders>
              <w:top w:val="single" w:sz="4" w:space="0" w:color="FFFFFF"/>
              <w:left w:val="single" w:sz="4" w:space="0" w:color="FFFFFF"/>
              <w:bottom w:val="single" w:sz="4" w:space="0" w:color="FFFFFF"/>
              <w:right w:val="single" w:sz="4" w:space="0" w:color="FFFFFF"/>
            </w:tcBorders>
          </w:tcPr>
          <w:p w:rsidR="00272AA5" w:rsidRPr="00103E70" w:rsidRDefault="00272AA5">
            <w:pPr>
              <w:numPr>
                <w:ilvl w:val="1"/>
                <w:numId w:val="43"/>
              </w:numPr>
              <w:tabs>
                <w:tab w:val="clear" w:pos="1443"/>
              </w:tabs>
              <w:ind w:left="363"/>
              <w:rPr>
                <w:u w:val="none"/>
              </w:rPr>
            </w:pPr>
            <w:r w:rsidRPr="00103E70">
              <w:rPr>
                <w:bCs w:val="0"/>
                <w:color w:val="000000"/>
                <w:u w:val="none"/>
              </w:rPr>
              <w:t>Förenlighet med Europeiska unionens politik och mål på andra områden</w:t>
            </w:r>
          </w:p>
          <w:p w:rsidR="00272AA5" w:rsidRPr="00103E70" w:rsidRDefault="00272AA5">
            <w:pPr>
              <w:rPr>
                <w:b w:val="0"/>
                <w:u w:val="none"/>
              </w:rPr>
            </w:pPr>
            <w:r w:rsidRPr="00103E70">
              <w:rPr>
                <w:b w:val="0"/>
                <w:color w:val="000000"/>
                <w:u w:val="none"/>
              </w:rPr>
              <w:t>Under det europeiska år för interkulturell dialog som 2008 föreslås att bli, kommer flera av EU:s grundläggande principer att klarläggas och konkretiseras. Det rör sig bl.a. om följande principer:</w:t>
            </w:r>
          </w:p>
          <w:p w:rsidR="00272AA5" w:rsidRPr="00103E70" w:rsidRDefault="00272AA5" w:rsidP="0039736B">
            <w:pPr>
              <w:pStyle w:val="ListDash"/>
              <w:rPr>
                <w:b w:val="0"/>
                <w:u w:val="none"/>
              </w:rPr>
            </w:pPr>
            <w:r w:rsidRPr="00103E70">
              <w:rPr>
                <w:b w:val="0"/>
                <w:u w:val="none"/>
              </w:rPr>
              <w:t>Enligt fördraget om upprättandet av Europeiska gemenskapen skall gemenskapen verka för en allt fastare sammanslutning mellan de europeiska folken, bidra till kulturens utveckling i medlemsstaterna med respekt för dessas nationella och regionala mångfald samt framhäva det gemensamma kulturarvet. Dessutom sägs i fördraget att gemenskapen skall ”beakta de kulturella aspekterna då den handlar enligt andra bestämmelser i detta fördrag, särskilt för att respektera och främja sin kulturella mångfald”.</w:t>
            </w:r>
          </w:p>
          <w:p w:rsidR="00272AA5" w:rsidRPr="00103E70" w:rsidRDefault="00272AA5" w:rsidP="0039736B">
            <w:pPr>
              <w:pStyle w:val="ListDash"/>
              <w:rPr>
                <w:b w:val="0"/>
              </w:rPr>
            </w:pPr>
            <w:r w:rsidRPr="00103E70">
              <w:rPr>
                <w:b w:val="0"/>
                <w:u w:val="none"/>
              </w:rPr>
              <w:t>Enligt ingressen till Europeiska unionens stadga om de grundläggande rättigheterna ”bygger unionen på de odelbara och universella värdena människans värdighet, frihet, jämlikhet och solidaritet samt på den demokratiska principen och rättsstatsprincipen. Den sätter människan i centrum för sin verksamhet genom att inrätta ett unionsmedborgarskap [...]. Unionen skall bidra till bevarandet och utvecklingen av dessa gemensamma värden med respekt för mångfalden i Europas folks kultur och traditioner samt för medlemsstaternas nationella identitet”.</w:t>
            </w:r>
            <w:r w:rsidRPr="00103E70">
              <w:rPr>
                <w:b w:val="0"/>
              </w:rPr>
              <w:t xml:space="preserve"> </w:t>
            </w:r>
          </w:p>
          <w:p w:rsidR="00272AA5" w:rsidRPr="00103E70" w:rsidRDefault="00272AA5">
            <w:pPr>
              <w:rPr>
                <w:rFonts w:ascii="Arial" w:hAnsi="Arial" w:cs="Arial"/>
                <w:b w:val="0"/>
                <w:sz w:val="20"/>
                <w:szCs w:val="20"/>
                <w:u w:val="none"/>
              </w:rPr>
            </w:pPr>
            <w:r w:rsidRPr="00103E70">
              <w:rPr>
                <w:b w:val="0"/>
                <w:color w:val="000000"/>
                <w:u w:val="none"/>
              </w:rPr>
              <w:t>Europeiska året för interkulturell dialog kommer att bidra till att genomföra flera av EU:s strategiska prioriteringar, bl.a. den nya Lissabonstrategin för tillväxt och sysselsättning samt EU:s engagemang för solidaritet, social rättvisa och förbättrad sammanhållning.</w:t>
            </w:r>
            <w:r w:rsidRPr="00103E70">
              <w:rPr>
                <w:b w:val="0"/>
                <w:u w:val="none"/>
              </w:rPr>
              <w:t xml:space="preserve"> </w:t>
            </w:r>
            <w:r w:rsidRPr="00103E70">
              <w:rPr>
                <w:b w:val="0"/>
                <w:color w:val="000000"/>
                <w:u w:val="none"/>
              </w:rPr>
              <w:t>Det kan också ge EU större möjligheter att göra sin röst hörd i världen och därmed utvidga området med stabilitet och demokrati utanför unionens gränser.</w:t>
            </w:r>
          </w:p>
          <w:p w:rsidR="00272AA5" w:rsidRPr="00103E70" w:rsidRDefault="00272AA5">
            <w:pPr>
              <w:rPr>
                <w:b w:val="0"/>
                <w:u w:val="none"/>
              </w:rPr>
            </w:pPr>
            <w:r w:rsidRPr="00103E70">
              <w:rPr>
                <w:b w:val="0"/>
                <w:color w:val="000000"/>
                <w:u w:val="none"/>
              </w:rPr>
              <w:t>Den interkulturella dialogen är dessutom ett led i kommissionens nya satsning på dialog och kommunikation genom att EU-medborgarna och alla andra som bor i Europeiska unionen får möjlighet att komma till tals.</w:t>
            </w:r>
            <w:r w:rsidR="0039736B" w:rsidRPr="00103E70">
              <w:rPr>
                <w:b w:val="0"/>
                <w:color w:val="000000"/>
                <w:u w:val="none"/>
              </w:rPr>
              <w:t xml:space="preserve"> </w:t>
            </w:r>
            <w:r w:rsidRPr="00103E70">
              <w:rPr>
                <w:b w:val="0"/>
                <w:color w:val="000000"/>
                <w:u w:val="none"/>
              </w:rPr>
              <w:t>Dialogen har en generell inriktning och berör därför ett stort antal EU-åtgärder med olika syften och mål.</w:t>
            </w:r>
            <w:r w:rsidRPr="00103E70">
              <w:rPr>
                <w:b w:val="0"/>
                <w:u w:val="none"/>
              </w:rPr>
              <w:t xml:space="preserve"> </w:t>
            </w:r>
            <w:r w:rsidRPr="00103E70">
              <w:rPr>
                <w:b w:val="0"/>
                <w:color w:val="000000"/>
                <w:u w:val="none"/>
              </w:rPr>
              <w:t>Flera viktiga initiativ med fokus på interkulturell dialog har satts igång eller planeras, t.ex. på områdena kultur, livslångt lärande, ungdomsfrågor, medborgarskap, kampen mot diskriminering och social utslagning, kampen mot rasism och främlingsfientlighet, asylpolitik och integration av invandrare, audiovisuell politik och forskning.</w:t>
            </w:r>
            <w:r w:rsidRPr="00103E70">
              <w:rPr>
                <w:b w:val="0"/>
                <w:u w:val="none"/>
              </w:rPr>
              <w:t xml:space="preserve"> </w:t>
            </w:r>
          </w:p>
          <w:p w:rsidR="00272AA5" w:rsidRPr="00103E70" w:rsidRDefault="00272AA5">
            <w:pPr>
              <w:rPr>
                <w:b w:val="0"/>
                <w:u w:val="none"/>
              </w:rPr>
            </w:pPr>
            <w:r w:rsidRPr="00103E70">
              <w:rPr>
                <w:b w:val="0"/>
                <w:u w:val="none"/>
              </w:rPr>
              <w:t xml:space="preserve">I sina förbindelser med omvärlden är EU engagerat i en rad olika satsningar där man i stor utsträckning arbetar för interkulturell dialog. Ett bra exempel är partnerskapet mellan EU och Medelhavsområdet som omfattar länder där många av EU:s invandrare har sitt ursprung. Partnerskapet omfattar bland annat ett utbytesprogram för ungdomar och två program för interkulturell dialog om kulturarv och audiovisuella media. Den viktigaste insatsen är Anna Lindh-stiftelsen för dialog mellan kulturer som 2005 inrättades i Alexandria i Egypten. </w:t>
            </w:r>
            <w:r w:rsidRPr="00103E70">
              <w:rPr>
                <w:b w:val="0"/>
                <w:color w:val="000000"/>
                <w:u w:val="none"/>
              </w:rPr>
              <w:t>Europaåret är ett ypperligt tillfälle att förstärka de interkulturella aspekterna i samtliga relevanta EU-program och EU-åtgärder och därmed göra så att dessa program och åtgärder blir mer synliga och får mer genomslagskraft under 2008.</w:t>
            </w:r>
            <w:r w:rsidRPr="00103E70">
              <w:rPr>
                <w:b w:val="0"/>
                <w:u w:val="none"/>
              </w:rPr>
              <w:t xml:space="preserve"> </w:t>
            </w:r>
            <w:r w:rsidRPr="00103E70">
              <w:rPr>
                <w:b w:val="0"/>
                <w:color w:val="000000"/>
                <w:u w:val="none"/>
              </w:rPr>
              <w:t>Det kommer att göra de många olika EU-åtgärder som bidrar till den interkulturella dialogen mer sammanhängande och få till stånd större samverkan mellan programmen.</w:t>
            </w:r>
            <w:r w:rsidRPr="00103E70">
              <w:rPr>
                <w:b w:val="0"/>
                <w:u w:val="none"/>
              </w:rPr>
              <w:t xml:space="preserve"> </w:t>
            </w:r>
            <w:r w:rsidRPr="00103E70">
              <w:rPr>
                <w:b w:val="0"/>
                <w:color w:val="000000"/>
                <w:u w:val="none"/>
              </w:rPr>
              <w:t>Man kan dessutom anpassa åtgärderna genom att ta hänsyn till EU-medborgarnas och övriga människors vardag och ge dem möjlighet att medverka i utformningen av en lämplig form för dialog.</w:t>
            </w:r>
          </w:p>
          <w:p w:rsidR="00272AA5" w:rsidRPr="00103E70" w:rsidRDefault="00272AA5">
            <w:pPr>
              <w:rPr>
                <w:b w:val="0"/>
                <w:u w:val="none"/>
              </w:rPr>
            </w:pPr>
            <w:r w:rsidRPr="00103E70">
              <w:rPr>
                <w:b w:val="0"/>
                <w:color w:val="000000"/>
                <w:u w:val="none"/>
              </w:rPr>
              <w:t>Åtgärderna under året kan alltså bygga på en kritisk massa av konkreta projekt för interkulturell dialog inom en rad olika områden.</w:t>
            </w:r>
            <w:r w:rsidRPr="00103E70">
              <w:rPr>
                <w:b w:val="0"/>
                <w:u w:val="none"/>
              </w:rPr>
              <w:t xml:space="preserve"> </w:t>
            </w:r>
            <w:r w:rsidRPr="00103E70">
              <w:rPr>
                <w:b w:val="0"/>
                <w:color w:val="000000"/>
                <w:u w:val="none"/>
              </w:rPr>
              <w:t>Alla dessa projekt (och de program som ger stöd till projekten) kommer att kunna dra nytta av den extra uppmärksamhet som Europeiska året för interkulturell dialog ger dem.</w:t>
            </w:r>
            <w:r w:rsidRPr="00103E70">
              <w:rPr>
                <w:b w:val="0"/>
                <w:u w:val="none"/>
              </w:rPr>
              <w:t xml:space="preserve"> </w:t>
            </w:r>
          </w:p>
          <w:p w:rsidR="00272AA5" w:rsidRPr="00103E70" w:rsidRDefault="00272AA5">
            <w:pPr>
              <w:rPr>
                <w:b w:val="0"/>
                <w:u w:val="none"/>
              </w:rPr>
            </w:pPr>
            <w:r w:rsidRPr="00103E70">
              <w:rPr>
                <w:b w:val="0"/>
                <w:color w:val="000000"/>
                <w:u w:val="none"/>
              </w:rPr>
              <w:t>Förberedelserna inför året bör samordnas med förberedelserna och genomförandet av Europeiska året för lika möjligheter för alla 2007</w:t>
            </w:r>
            <w:r w:rsidRPr="00103E70">
              <w:rPr>
                <w:rStyle w:val="Fotnotsreferens"/>
                <w:b w:val="0"/>
                <w:color w:val="000000"/>
                <w:u w:val="none"/>
              </w:rPr>
              <w:footnoteReference w:id="1"/>
            </w:r>
            <w:r w:rsidRPr="00103E70">
              <w:rPr>
                <w:b w:val="0"/>
                <w:color w:val="000000"/>
                <w:u w:val="none"/>
              </w:rPr>
              <w:t xml:space="preserve"> så att dessa båda initiativ samverkar och kompletterar varandra i största möjliga utsträckning.</w:t>
            </w:r>
          </w:p>
          <w:p w:rsidR="00272AA5" w:rsidRPr="00103E70" w:rsidRDefault="00272AA5">
            <w:pPr>
              <w:rPr>
                <w:b w:val="0"/>
                <w:u w:val="none"/>
              </w:rPr>
            </w:pPr>
            <w:r w:rsidRPr="00103E70">
              <w:rPr>
                <w:b w:val="0"/>
                <w:color w:val="000000"/>
                <w:u w:val="none"/>
              </w:rPr>
              <w:t>Europaåret riktar sig i första hand till EU:s medlemsstater.</w:t>
            </w:r>
            <w:r w:rsidRPr="00103E70">
              <w:rPr>
                <w:b w:val="0"/>
                <w:u w:val="none"/>
              </w:rPr>
              <w:t xml:space="preserve"> </w:t>
            </w:r>
            <w:r w:rsidRPr="00103E70">
              <w:rPr>
                <w:b w:val="0"/>
                <w:color w:val="000000"/>
                <w:u w:val="none"/>
              </w:rPr>
              <w:t>Kandidatländerna kommer dock att kunna delta i andra initiativ för att främja interkulturell dialog. Dessa initiativ kommer att utformas inom lämpliga ramar för samarbete och dialog, i synnerhet mellan de civila samhällena i EU och kandidatländerna.</w:t>
            </w:r>
          </w:p>
          <w:p w:rsidR="00272AA5" w:rsidRPr="00103E70" w:rsidRDefault="00272AA5">
            <w:pPr>
              <w:rPr>
                <w:b w:val="0"/>
                <w:u w:val="none"/>
              </w:rPr>
            </w:pPr>
            <w:r w:rsidRPr="00103E70">
              <w:rPr>
                <w:b w:val="0"/>
                <w:color w:val="000000"/>
                <w:u w:val="none"/>
              </w:rPr>
              <w:t>Den interkulturella dialogen i EU är nära förknippad med EU:s arbete för att främja en internationell dialog mellan olika kulturer och civilisationer. Därför är det också viktigt att Europeiska året för interkulturell dialog ligger i linje med de internationella aspekterna i de initiativ för interkulturell dialog som utformats exempelvis med de EFTA-länder som undertecknat EES-avtalet, länderna på västra Balkan och de länder som berörs av den europeiska grannskapspolitiken.</w:t>
            </w:r>
            <w:r w:rsidRPr="00103E70">
              <w:rPr>
                <w:b w:val="0"/>
                <w:u w:val="none"/>
              </w:rPr>
              <w:t xml:space="preserve"> </w:t>
            </w:r>
          </w:p>
          <w:p w:rsidR="00272AA5" w:rsidRPr="00103E70" w:rsidRDefault="00272AA5">
            <w:pPr>
              <w:rPr>
                <w:b w:val="0"/>
                <w:u w:val="none"/>
              </w:rPr>
            </w:pPr>
            <w:r w:rsidRPr="00103E70">
              <w:rPr>
                <w:b w:val="0"/>
                <w:color w:val="000000"/>
                <w:u w:val="none"/>
              </w:rPr>
              <w:t>Europaåret bör också samordnas med eventuella andra initiativ som syftar till samarbete med länder utanför EU, t.ex. utvecklingsländerna, och som kan dra nytta av målen för den interkulturella dialogen under 2008.</w:t>
            </w:r>
          </w:p>
        </w:tc>
      </w:tr>
      <w:tr w:rsidR="00272AA5" w:rsidRPr="00103E70">
        <w:tc>
          <w:tcPr>
            <w:tcW w:w="9354" w:type="dxa"/>
            <w:gridSpan w:val="3"/>
            <w:tcBorders>
              <w:top w:val="single" w:sz="4" w:space="0" w:color="FFFFFF"/>
              <w:left w:val="single" w:sz="4" w:space="0" w:color="FFFFFF"/>
              <w:bottom w:val="single" w:sz="4" w:space="0" w:color="FFFFFF"/>
              <w:right w:val="single" w:sz="4" w:space="0" w:color="FFFFFF"/>
            </w:tcBorders>
          </w:tcPr>
          <w:p w:rsidR="00272AA5" w:rsidRPr="00103E70" w:rsidRDefault="00272AA5">
            <w:pPr>
              <w:numPr>
                <w:ilvl w:val="0"/>
                <w:numId w:val="43"/>
              </w:numPr>
              <w:rPr>
                <w:u w:val="none"/>
              </w:rPr>
            </w:pPr>
            <w:r w:rsidRPr="00103E70">
              <w:rPr>
                <w:bCs w:val="0"/>
                <w:smallCaps/>
                <w:color w:val="000000"/>
                <w:u w:val="none"/>
              </w:rPr>
              <w:t>Samråd med berörda parter och konsekvensanalys</w:t>
            </w:r>
          </w:p>
        </w:tc>
      </w:tr>
      <w:tr w:rsidR="00272AA5" w:rsidRPr="00103E70">
        <w:tc>
          <w:tcPr>
            <w:tcW w:w="719"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tc>
        <w:tc>
          <w:tcPr>
            <w:tcW w:w="8635" w:type="dxa"/>
            <w:tcBorders>
              <w:top w:val="single" w:sz="4" w:space="0" w:color="FFFFFF"/>
              <w:left w:val="single" w:sz="4" w:space="0" w:color="FFFFFF"/>
              <w:bottom w:val="single" w:sz="4" w:space="0" w:color="FFFFFF"/>
              <w:right w:val="single" w:sz="4" w:space="0" w:color="FFFFFF"/>
            </w:tcBorders>
          </w:tcPr>
          <w:p w:rsidR="00272AA5" w:rsidRPr="00103E70" w:rsidRDefault="00272AA5">
            <w:pPr>
              <w:numPr>
                <w:ilvl w:val="1"/>
                <w:numId w:val="43"/>
              </w:numPr>
              <w:tabs>
                <w:tab w:val="clear" w:pos="1443"/>
              </w:tabs>
              <w:ind w:left="363"/>
              <w:rPr>
                <w:u w:val="none"/>
              </w:rPr>
            </w:pPr>
            <w:r w:rsidRPr="00103E70">
              <w:rPr>
                <w:bCs w:val="0"/>
                <w:color w:val="000000"/>
                <w:u w:val="none"/>
              </w:rPr>
              <w:t>Samråd med berörda parter</w:t>
            </w:r>
          </w:p>
        </w:tc>
      </w:tr>
      <w:tr w:rsidR="00272AA5" w:rsidRPr="00103E70">
        <w:tc>
          <w:tcPr>
            <w:tcW w:w="719"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219</w:t>
            </w:r>
          </w:p>
        </w:tc>
        <w:tc>
          <w:tcPr>
            <w:tcW w:w="8635" w:type="dxa"/>
            <w:tcBorders>
              <w:top w:val="single" w:sz="4" w:space="0" w:color="FFFFFF"/>
              <w:left w:val="single" w:sz="4" w:space="0" w:color="FFFFFF"/>
              <w:bottom w:val="single" w:sz="4" w:space="0" w:color="FFFFFF"/>
              <w:right w:val="single" w:sz="4" w:space="0" w:color="FFFFFF"/>
            </w:tcBorders>
          </w:tcPr>
          <w:p w:rsidR="00272AA5" w:rsidRPr="00103E70" w:rsidRDefault="00272AA5">
            <w:pPr>
              <w:rPr>
                <w:b w:val="0"/>
                <w:u w:val="none"/>
              </w:rPr>
            </w:pPr>
            <w:r w:rsidRPr="00103E70">
              <w:rPr>
                <w:b w:val="0"/>
                <w:color w:val="000000"/>
                <w:u w:val="none"/>
              </w:rPr>
              <w:t>Interkulturell dialog är en övergripande fråga som berör alla delar av samhället.</w:t>
            </w:r>
            <w:r w:rsidRPr="00103E70">
              <w:rPr>
                <w:b w:val="0"/>
                <w:u w:val="none"/>
              </w:rPr>
              <w:t xml:space="preserve"> </w:t>
            </w:r>
            <w:r w:rsidRPr="00103E70">
              <w:rPr>
                <w:b w:val="0"/>
                <w:color w:val="000000"/>
                <w:u w:val="none"/>
              </w:rPr>
              <w:t>Dialogen kan alltså inte begränsas till ett visst område eller särskilda aktörer.</w:t>
            </w:r>
            <w:r w:rsidRPr="00103E70">
              <w:rPr>
                <w:b w:val="0"/>
                <w:u w:val="none"/>
              </w:rPr>
              <w:t xml:space="preserve"> </w:t>
            </w:r>
            <w:r w:rsidRPr="00103E70">
              <w:rPr>
                <w:b w:val="0"/>
                <w:color w:val="000000"/>
                <w:u w:val="none"/>
              </w:rPr>
              <w:t>Inte heller finns det något självklart tillvägagångssätt eller något givet forum för den interkulturella dialogen.</w:t>
            </w:r>
            <w:r w:rsidRPr="00103E70">
              <w:rPr>
                <w:b w:val="0"/>
                <w:u w:val="none"/>
              </w:rPr>
              <w:t xml:space="preserve"> </w:t>
            </w:r>
            <w:r w:rsidRPr="00103E70">
              <w:rPr>
                <w:b w:val="0"/>
                <w:color w:val="000000"/>
                <w:u w:val="none"/>
              </w:rPr>
              <w:t>Alla EU:s medborgare och alla andra som bor i EU berörs och bör uppmanas att medverka.</w:t>
            </w:r>
            <w:r w:rsidRPr="00103E70">
              <w:rPr>
                <w:b w:val="0"/>
                <w:u w:val="none"/>
              </w:rPr>
              <w:t xml:space="preserve"> </w:t>
            </w:r>
            <w:r w:rsidRPr="00103E70">
              <w:rPr>
                <w:b w:val="0"/>
                <w:color w:val="000000"/>
                <w:u w:val="none"/>
              </w:rPr>
              <w:t>Eftersom det nyligen hållits ett antal samråd i olika relevanta frågor, bl.a. i samband med utformningen av den nya omgången program för utbildning, kultur, ungdom och medborgarskap, har man gjort bedömningen att det inte behövs något särskilt samråd för Europeiska året för interkulturell dialog.</w:t>
            </w:r>
          </w:p>
        </w:tc>
      </w:tr>
      <w:tr w:rsidR="00272AA5" w:rsidRPr="00103E70">
        <w:tc>
          <w:tcPr>
            <w:tcW w:w="719"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tc>
        <w:tc>
          <w:tcPr>
            <w:tcW w:w="8635" w:type="dxa"/>
            <w:tcBorders>
              <w:top w:val="single" w:sz="4" w:space="0" w:color="FFFFFF"/>
              <w:left w:val="single" w:sz="4" w:space="0" w:color="FFFFFF"/>
              <w:bottom w:val="single" w:sz="4" w:space="0" w:color="FFFFFF"/>
              <w:right w:val="single" w:sz="4" w:space="0" w:color="FFFFFF"/>
            </w:tcBorders>
          </w:tcPr>
          <w:p w:rsidR="00272AA5" w:rsidRPr="00103E70" w:rsidRDefault="00272AA5">
            <w:pPr>
              <w:numPr>
                <w:ilvl w:val="1"/>
                <w:numId w:val="43"/>
              </w:numPr>
              <w:tabs>
                <w:tab w:val="clear" w:pos="1443"/>
              </w:tabs>
              <w:ind w:left="363"/>
              <w:rPr>
                <w:u w:val="none"/>
              </w:rPr>
            </w:pPr>
            <w:r w:rsidRPr="00103E70">
              <w:rPr>
                <w:bCs w:val="0"/>
                <w:color w:val="000000"/>
                <w:u w:val="none"/>
              </w:rPr>
              <w:t>Extern experthjälp</w:t>
            </w:r>
          </w:p>
        </w:tc>
      </w:tr>
      <w:tr w:rsidR="00272AA5" w:rsidRPr="00103E70">
        <w:tc>
          <w:tcPr>
            <w:tcW w:w="719"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229</w:t>
            </w:r>
          </w:p>
        </w:tc>
        <w:tc>
          <w:tcPr>
            <w:tcW w:w="8635" w:type="dxa"/>
            <w:tcBorders>
              <w:top w:val="single" w:sz="4" w:space="0" w:color="FFFFFF"/>
              <w:left w:val="single" w:sz="4" w:space="0" w:color="FFFFFF"/>
              <w:bottom w:val="single" w:sz="4" w:space="0" w:color="FFFFFF"/>
              <w:right w:val="single" w:sz="4" w:space="0" w:color="FFFFFF"/>
            </w:tcBorders>
          </w:tcPr>
          <w:p w:rsidR="00272AA5" w:rsidRPr="00103E70" w:rsidRDefault="00272AA5">
            <w:pPr>
              <w:rPr>
                <w:b w:val="0"/>
                <w:u w:val="none"/>
              </w:rPr>
            </w:pPr>
            <w:r w:rsidRPr="00103E70">
              <w:rPr>
                <w:b w:val="0"/>
                <w:color w:val="000000"/>
                <w:u w:val="none"/>
              </w:rPr>
              <w:t>Någon extern experthjälp har inte behövts.</w:t>
            </w:r>
          </w:p>
        </w:tc>
      </w:tr>
      <w:tr w:rsidR="00272AA5" w:rsidRPr="00103E70">
        <w:tc>
          <w:tcPr>
            <w:tcW w:w="719"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230</w:t>
            </w:r>
          </w:p>
        </w:tc>
        <w:tc>
          <w:tcPr>
            <w:tcW w:w="8635" w:type="dxa"/>
            <w:tcBorders>
              <w:top w:val="single" w:sz="4" w:space="0" w:color="FFFFFF"/>
              <w:left w:val="single" w:sz="4" w:space="0" w:color="FFFFFF"/>
              <w:bottom w:val="single" w:sz="4" w:space="0" w:color="FFFFFF"/>
              <w:right w:val="single" w:sz="4" w:space="0" w:color="FFFFFF"/>
            </w:tcBorders>
          </w:tcPr>
          <w:p w:rsidR="00272AA5" w:rsidRPr="00103E70" w:rsidRDefault="00272AA5">
            <w:pPr>
              <w:numPr>
                <w:ilvl w:val="1"/>
                <w:numId w:val="43"/>
              </w:numPr>
              <w:tabs>
                <w:tab w:val="clear" w:pos="1443"/>
              </w:tabs>
              <w:ind w:left="363"/>
              <w:rPr>
                <w:u w:val="none"/>
              </w:rPr>
            </w:pPr>
            <w:r w:rsidRPr="00103E70">
              <w:rPr>
                <w:bCs w:val="0"/>
                <w:color w:val="000000"/>
                <w:u w:val="none"/>
              </w:rPr>
              <w:t>Konsekvensanalys</w:t>
            </w:r>
          </w:p>
          <w:p w:rsidR="00272AA5" w:rsidRPr="00103E70" w:rsidRDefault="00272AA5">
            <w:pPr>
              <w:keepLines/>
              <w:spacing w:after="100" w:afterAutospacing="1"/>
              <w:rPr>
                <w:b w:val="0"/>
                <w:u w:val="none"/>
              </w:rPr>
            </w:pPr>
            <w:r w:rsidRPr="00103E70">
              <w:rPr>
                <w:b w:val="0"/>
                <w:color w:val="000000"/>
              </w:rPr>
              <w:t>Inga ytterligare åtgärder:</w:t>
            </w:r>
            <w:r w:rsidRPr="00103E70">
              <w:rPr>
                <w:b w:val="0"/>
                <w:color w:val="000000"/>
                <w:u w:val="none"/>
              </w:rPr>
              <w:t xml:space="preserve"> Att inte vidta några ytterligare åtgärder utöver de enskilda punktinsatser som redan gjorts på vissa områden skulle medföra att en av EU:s politiska prioriteringar inte får den uppmärksamhet den förtjänar och skulle föranleda alternativkostnader av olika slag.</w:t>
            </w:r>
          </w:p>
          <w:p w:rsidR="00272AA5" w:rsidRPr="00103E70" w:rsidRDefault="00272AA5">
            <w:pPr>
              <w:keepLines/>
              <w:spacing w:after="100" w:afterAutospacing="1"/>
              <w:rPr>
                <w:b w:val="0"/>
                <w:u w:val="none"/>
              </w:rPr>
            </w:pPr>
            <w:r w:rsidRPr="00103E70">
              <w:rPr>
                <w:b w:val="0"/>
                <w:color w:val="000000"/>
                <w:u w:val="none"/>
              </w:rPr>
              <w:t>Det skulle göra att de betydande satsningar på att integrera den interkulturella dialogen i ett flertal områden inte skulle nå en kritisk massa eller framstå som en helhet.</w:t>
            </w:r>
            <w:r w:rsidRPr="00103E70">
              <w:rPr>
                <w:b w:val="0"/>
                <w:u w:val="none"/>
              </w:rPr>
              <w:t xml:space="preserve"> </w:t>
            </w:r>
            <w:r w:rsidRPr="00103E70">
              <w:rPr>
                <w:b w:val="0"/>
                <w:color w:val="000000"/>
                <w:u w:val="none"/>
              </w:rPr>
              <w:t>Det skulle begränsa den interkulturella dialogens räckvidd till de områden där det redan finns program för detta ändamål, och göra det omöjligt att utforska nya områden för dialog eller att ge den en sektorsövergripande karaktär.</w:t>
            </w:r>
            <w:r w:rsidRPr="00103E70">
              <w:rPr>
                <w:b w:val="0"/>
                <w:u w:val="none"/>
              </w:rPr>
              <w:t xml:space="preserve"> </w:t>
            </w:r>
            <w:r w:rsidRPr="00103E70">
              <w:rPr>
                <w:b w:val="0"/>
                <w:color w:val="000000"/>
                <w:u w:val="none"/>
              </w:rPr>
              <w:t>Vidare skulle det medföra att de åtgärder som hittills vidtagits inte når längre än till den specifika målgrupp som åtgärden riktat sig till (t.ex. utbildningsväsendet, akademiker eller kulturaktörer).</w:t>
            </w:r>
            <w:r w:rsidRPr="00103E70">
              <w:rPr>
                <w:b w:val="0"/>
                <w:u w:val="none"/>
              </w:rPr>
              <w:t xml:space="preserve"> </w:t>
            </w:r>
            <w:r w:rsidRPr="00103E70">
              <w:rPr>
                <w:b w:val="0"/>
                <w:color w:val="000000"/>
                <w:u w:val="none"/>
              </w:rPr>
              <w:t>Man skulle gå miste om ett förstärkt samarbete samt bätte samordning och samverkan mellan dessa grupper.</w:t>
            </w:r>
            <w:r w:rsidRPr="00103E70">
              <w:rPr>
                <w:b w:val="0"/>
                <w:u w:val="none"/>
              </w:rPr>
              <w:t xml:space="preserve"> </w:t>
            </w:r>
            <w:r w:rsidRPr="00103E70">
              <w:rPr>
                <w:b w:val="0"/>
                <w:color w:val="000000"/>
                <w:u w:val="none"/>
              </w:rPr>
              <w:t>Det skulle dessutom göra det svårare att få allmänheten och samhället i stort att delta.</w:t>
            </w:r>
          </w:p>
          <w:p w:rsidR="00272AA5" w:rsidRPr="00103E70" w:rsidRDefault="00272AA5">
            <w:pPr>
              <w:rPr>
                <w:b w:val="0"/>
                <w:u w:val="none"/>
              </w:rPr>
            </w:pPr>
            <w:r w:rsidRPr="00103E70">
              <w:rPr>
                <w:b w:val="0"/>
                <w:color w:val="000000"/>
              </w:rPr>
              <w:t>Lagstiftningsåtgärder:</w:t>
            </w:r>
            <w:r w:rsidRPr="00103E70">
              <w:rPr>
                <w:b w:val="0"/>
                <w:color w:val="000000"/>
                <w:u w:val="none"/>
              </w:rPr>
              <w:t xml:space="preserve"> Enligt artikel 151 i fördraget får åtgärderna inte omfatta ”någon harmonisering av medlemsstaternas lagar eller andra författningar”.</w:t>
            </w:r>
            <w:r w:rsidRPr="00103E70">
              <w:rPr>
                <w:b w:val="0"/>
                <w:u w:val="none"/>
              </w:rPr>
              <w:t xml:space="preserve"> </w:t>
            </w:r>
            <w:r w:rsidRPr="00103E70">
              <w:rPr>
                <w:b w:val="0"/>
                <w:color w:val="000000"/>
                <w:u w:val="none"/>
              </w:rPr>
              <w:t>Att lagstifta är således inte möjligt.</w:t>
            </w:r>
            <w:r w:rsidRPr="00103E70">
              <w:rPr>
                <w:b w:val="0"/>
                <w:u w:val="none"/>
              </w:rPr>
              <w:t xml:space="preserve"> </w:t>
            </w:r>
          </w:p>
          <w:p w:rsidR="00272AA5" w:rsidRPr="00103E70" w:rsidRDefault="00272AA5">
            <w:pPr>
              <w:rPr>
                <w:rFonts w:ascii="Arial" w:hAnsi="Arial" w:cs="Arial"/>
                <w:b w:val="0"/>
                <w:sz w:val="20"/>
                <w:szCs w:val="20"/>
                <w:u w:val="none"/>
              </w:rPr>
            </w:pPr>
            <w:r w:rsidRPr="00103E70">
              <w:rPr>
                <w:b w:val="0"/>
                <w:color w:val="000000"/>
              </w:rPr>
              <w:t xml:space="preserve">Helhetsperspektiv eller integrering av dialogen i alla politikområden (s.k. </w:t>
            </w:r>
            <w:r w:rsidRPr="00103E70">
              <w:rPr>
                <w:b w:val="0"/>
                <w:i/>
                <w:iCs/>
                <w:color w:val="000000"/>
              </w:rPr>
              <w:t>mainstreaming</w:t>
            </w:r>
            <w:r w:rsidRPr="00103E70">
              <w:rPr>
                <w:b w:val="0"/>
                <w:color w:val="000000"/>
              </w:rPr>
              <w:t>):</w:t>
            </w:r>
            <w:r w:rsidRPr="00103E70">
              <w:rPr>
                <w:b w:val="0"/>
                <w:color w:val="000000"/>
                <w:u w:val="none"/>
              </w:rPr>
              <w:t xml:space="preserve"> Ett helhetsperspektiv används redan i stor utsträckning på många områden och bör fortsätta att tillämpas.</w:t>
            </w:r>
            <w:r w:rsidRPr="00103E70">
              <w:rPr>
                <w:b w:val="0"/>
                <w:u w:val="none"/>
              </w:rPr>
              <w:t xml:space="preserve"> </w:t>
            </w:r>
            <w:r w:rsidRPr="00103E70">
              <w:rPr>
                <w:b w:val="0"/>
                <w:color w:val="000000"/>
                <w:u w:val="none"/>
              </w:rPr>
              <w:t>Enbart denna lösning räcker emellertid inte för att nå en kritisk massa och ge frågan tillräcklig uppmärksamhet.</w:t>
            </w:r>
            <w:r w:rsidRPr="00103E70">
              <w:rPr>
                <w:b w:val="0"/>
                <w:u w:val="none"/>
              </w:rPr>
              <w:t xml:space="preserve"> </w:t>
            </w:r>
            <w:r w:rsidRPr="00103E70">
              <w:rPr>
                <w:b w:val="0"/>
                <w:color w:val="000000"/>
                <w:u w:val="none"/>
              </w:rPr>
              <w:t>Den interkulturella dialogens genomslag skulle begränsas till de områden där det redan finns relevanta program och det skulle inte vara möjligt att utforska nya områden eller sektorsövergripande strategier.</w:t>
            </w:r>
          </w:p>
          <w:p w:rsidR="00272AA5" w:rsidRPr="00103E70" w:rsidRDefault="00272AA5">
            <w:pPr>
              <w:rPr>
                <w:b w:val="0"/>
                <w:u w:val="none"/>
              </w:rPr>
            </w:pPr>
            <w:r w:rsidRPr="00103E70">
              <w:rPr>
                <w:b w:val="0"/>
                <w:color w:val="000000"/>
                <w:u w:val="none"/>
              </w:rPr>
              <w:t>Flerårigt program eller handlingsprogram: De erfarenheter som hittills gjorts har visat att det vore för tidigt att välja en sådan metod.</w:t>
            </w:r>
            <w:r w:rsidRPr="00103E70">
              <w:rPr>
                <w:b w:val="0"/>
                <w:u w:val="none"/>
              </w:rPr>
              <w:t xml:space="preserve"> </w:t>
            </w:r>
            <w:r w:rsidRPr="00103E70">
              <w:rPr>
                <w:b w:val="0"/>
                <w:color w:val="000000"/>
                <w:u w:val="none"/>
              </w:rPr>
              <w:t>I ett första skede måste man prova sig fram.</w:t>
            </w:r>
            <w:r w:rsidRPr="00103E70">
              <w:rPr>
                <w:b w:val="0"/>
                <w:u w:val="none"/>
              </w:rPr>
              <w:t xml:space="preserve"> </w:t>
            </w:r>
            <w:r w:rsidRPr="00103E70">
              <w:rPr>
                <w:b w:val="0"/>
                <w:color w:val="000000"/>
                <w:u w:val="none"/>
              </w:rPr>
              <w:t>Erfarenheterna av Europaåret kan komma att visa huruvida ett flerårigt program eller ett handlingsprogram vore ändamålsenligt, men det är ännu för tidigt att säga.</w:t>
            </w:r>
            <w:r w:rsidRPr="00103E70">
              <w:rPr>
                <w:b w:val="0"/>
                <w:u w:val="none"/>
              </w:rPr>
              <w:t xml:space="preserve"> </w:t>
            </w:r>
          </w:p>
          <w:p w:rsidR="00272AA5" w:rsidRPr="00103E70" w:rsidRDefault="00272AA5">
            <w:pPr>
              <w:rPr>
                <w:b w:val="0"/>
                <w:u w:val="none"/>
              </w:rPr>
            </w:pPr>
            <w:r w:rsidRPr="00103E70">
              <w:rPr>
                <w:b w:val="0"/>
                <w:color w:val="000000"/>
                <w:u w:val="none"/>
              </w:rPr>
              <w:t>Därför har man valt att genomföra ett Europaår med tre insatsområden som bygger på synliggörande och kommunikation. Insatsområdena tar sin utgångspunkt i en mångfasetterad kritisk massa av konkreta projekt som genomförs under 2008 inom ramen för andra EU-program och EU-åtgärder.</w:t>
            </w:r>
          </w:p>
        </w:tc>
      </w:tr>
      <w:tr w:rsidR="00272AA5" w:rsidRPr="00103E70">
        <w:tc>
          <w:tcPr>
            <w:tcW w:w="719"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231</w:t>
            </w:r>
          </w:p>
        </w:tc>
        <w:tc>
          <w:tcPr>
            <w:tcW w:w="8635" w:type="dxa"/>
            <w:tcBorders>
              <w:top w:val="single" w:sz="4" w:space="0" w:color="FFFFFF"/>
              <w:left w:val="single" w:sz="4" w:space="0" w:color="FFFFFF"/>
              <w:bottom w:val="single" w:sz="4" w:space="0" w:color="FFFFFF"/>
              <w:right w:val="single" w:sz="4" w:space="0" w:color="FFFFFF"/>
            </w:tcBorders>
          </w:tcPr>
          <w:p w:rsidR="00272AA5" w:rsidRPr="00103E70" w:rsidRDefault="00272AA5">
            <w:pPr>
              <w:rPr>
                <w:b w:val="0"/>
                <w:u w:val="none"/>
              </w:rPr>
            </w:pPr>
            <w:r w:rsidRPr="00103E70">
              <w:rPr>
                <w:b w:val="0"/>
                <w:color w:val="000000"/>
                <w:u w:val="none"/>
              </w:rPr>
              <w:t>Kommissionen har gjort en konsekvensanalys i enlighet med kommissionens lagstiftnings- och arbetsprogram. Rapporten finns på engelska på följande webbplats: http://europa.eu.int/comm/dgs/education_culture/evalreports/index_en.htm.</w:t>
            </w:r>
          </w:p>
        </w:tc>
      </w:tr>
      <w:tr w:rsidR="00272AA5" w:rsidRPr="00103E70">
        <w:tc>
          <w:tcPr>
            <w:tcW w:w="9354" w:type="dxa"/>
            <w:gridSpan w:val="3"/>
            <w:tcBorders>
              <w:top w:val="single" w:sz="4" w:space="0" w:color="FFFFFF"/>
              <w:left w:val="single" w:sz="4" w:space="0" w:color="FFFFFF"/>
              <w:bottom w:val="single" w:sz="4" w:space="0" w:color="FFFFFF"/>
              <w:right w:val="single" w:sz="4" w:space="0" w:color="FFFFFF"/>
            </w:tcBorders>
          </w:tcPr>
          <w:p w:rsidR="00272AA5" w:rsidRPr="00103E70" w:rsidRDefault="00272AA5">
            <w:pPr>
              <w:numPr>
                <w:ilvl w:val="0"/>
                <w:numId w:val="43"/>
              </w:numPr>
              <w:rPr>
                <w:u w:val="none"/>
              </w:rPr>
            </w:pPr>
            <w:r w:rsidRPr="00103E70">
              <w:rPr>
                <w:bCs w:val="0"/>
                <w:smallCaps/>
                <w:color w:val="000000"/>
                <w:u w:val="none"/>
              </w:rPr>
              <w:t>Rättsliga aspekter</w:t>
            </w:r>
          </w:p>
        </w:tc>
      </w:tr>
      <w:tr w:rsidR="00272AA5" w:rsidRPr="00103E70">
        <w:tc>
          <w:tcPr>
            <w:tcW w:w="708" w:type="dxa"/>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305</w:t>
            </w:r>
          </w:p>
        </w:tc>
        <w:tc>
          <w:tcPr>
            <w:tcW w:w="8646"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numPr>
                <w:ilvl w:val="1"/>
                <w:numId w:val="43"/>
              </w:numPr>
              <w:tabs>
                <w:tab w:val="clear" w:pos="1443"/>
              </w:tabs>
              <w:ind w:left="363"/>
              <w:rPr>
                <w:u w:val="none"/>
              </w:rPr>
            </w:pPr>
            <w:r w:rsidRPr="00103E70">
              <w:rPr>
                <w:bCs w:val="0"/>
                <w:color w:val="000000"/>
                <w:u w:val="none"/>
              </w:rPr>
              <w:t>Sammanfattning av den föreslagna åtgärdens mål</w:t>
            </w:r>
          </w:p>
          <w:p w:rsidR="00272AA5" w:rsidRPr="00103E70" w:rsidRDefault="00272AA5">
            <w:pPr>
              <w:rPr>
                <w:b w:val="0"/>
                <w:u w:val="none"/>
              </w:rPr>
            </w:pPr>
            <w:r w:rsidRPr="00103E70">
              <w:rPr>
                <w:b w:val="0"/>
                <w:color w:val="000000"/>
                <w:u w:val="none"/>
              </w:rPr>
              <w:t xml:space="preserve">Följande allmänna mål har ställts upp för Europeiska året för interkulturell dialog: </w:t>
            </w:r>
          </w:p>
          <w:p w:rsidR="00272AA5" w:rsidRPr="00103E70" w:rsidRDefault="00272AA5" w:rsidP="0039736B">
            <w:pPr>
              <w:pStyle w:val="ListDash"/>
              <w:rPr>
                <w:b w:val="0"/>
                <w:u w:val="none"/>
              </w:rPr>
            </w:pPr>
            <w:r w:rsidRPr="00103E70">
              <w:rPr>
                <w:b w:val="0"/>
                <w:u w:val="none"/>
              </w:rPr>
              <w:t>Att främja den interkulturella dialogen som ett instrument som kan göra det möjligt för EU:s medborgare och alla andra som är tillfälligt eller fast bosatta i EU att inhämta de kunskaper, de kvalifikationer och det kunnande som krävs för att klara sig i en öppnare men också mer komplex miljö, med de svårigheter det kan innebära, och dra nytta av möjligheterna i ett mångsidigt och dynamiskt samhälle, såväl inom Europa som i resten av världen.</w:t>
            </w:r>
          </w:p>
          <w:p w:rsidR="00272AA5" w:rsidRPr="00103E70" w:rsidRDefault="00272AA5" w:rsidP="0039736B">
            <w:pPr>
              <w:pStyle w:val="ListDash"/>
              <w:rPr>
                <w:b w:val="0"/>
                <w:u w:val="none"/>
              </w:rPr>
            </w:pPr>
            <w:r w:rsidRPr="00103E70">
              <w:rPr>
                <w:b w:val="0"/>
                <w:u w:val="none"/>
              </w:rPr>
              <w:t>Att ge EU:s medborgare, och alla andra som är bosatta i EU, insikt i hur viktigt det är att vara engagerade medborgare</w:t>
            </w:r>
            <w:r w:rsidRPr="00103E70">
              <w:rPr>
                <w:rStyle w:val="Fotnotsreferens"/>
                <w:b w:val="0"/>
                <w:u w:val="none"/>
              </w:rPr>
              <w:footnoteReference w:id="2"/>
            </w:r>
            <w:r w:rsidRPr="00103E70">
              <w:rPr>
                <w:b w:val="0"/>
                <w:u w:val="none"/>
              </w:rPr>
              <w:t xml:space="preserve"> och visa öppenhet inför resten av världen och respekt för kulturella skillnader, med utgångspunkt i EU:s gemensamma värderingar, dvs. respekt för människans värdighet, frihet, jämlikhet, icke-diskriminering, solidaritet, demokrati, rättsstatsprincipen samt respekt för de mänskliga rättigheterna, inklusive rättigheter för personer som tillhör minoriteter.</w:t>
            </w:r>
          </w:p>
          <w:p w:rsidR="00272AA5" w:rsidRPr="00103E70" w:rsidRDefault="00272AA5">
            <w:pPr>
              <w:rPr>
                <w:b w:val="0"/>
                <w:u w:val="none"/>
              </w:rPr>
            </w:pPr>
            <w:r w:rsidRPr="00103E70">
              <w:rPr>
                <w:b w:val="0"/>
                <w:color w:val="000000"/>
                <w:u w:val="none"/>
              </w:rPr>
              <w:t>Åtgärdens särskilda mål är följande:</w:t>
            </w:r>
          </w:p>
          <w:p w:rsidR="00272AA5" w:rsidRPr="00103E70" w:rsidRDefault="00272AA5" w:rsidP="0039736B">
            <w:pPr>
              <w:pStyle w:val="ListDash"/>
              <w:rPr>
                <w:b w:val="0"/>
                <w:u w:val="none"/>
              </w:rPr>
            </w:pPr>
            <w:r w:rsidRPr="00103E70">
              <w:rPr>
                <w:b w:val="0"/>
                <w:u w:val="none"/>
              </w:rPr>
              <w:t xml:space="preserve">Att göra samtliga EU-program och EU-åtgärder som bidrar till den interkulturella dialogen synligare och mer sammanhängande. </w:t>
            </w:r>
          </w:p>
          <w:p w:rsidR="00272AA5" w:rsidRPr="00103E70" w:rsidRDefault="00272AA5">
            <w:pPr>
              <w:rPr>
                <w:b w:val="0"/>
                <w:u w:val="none"/>
              </w:rPr>
            </w:pPr>
            <w:r w:rsidRPr="00103E70">
              <w:rPr>
                <w:b w:val="0"/>
                <w:color w:val="000000"/>
                <w:u w:val="none"/>
              </w:rPr>
              <w:t>Interkulturell dialog är en viktig beståndsdel i EU:s politik och instrument på olika områden.</w:t>
            </w:r>
            <w:r w:rsidRPr="00103E70">
              <w:rPr>
                <w:b w:val="0"/>
                <w:u w:val="none"/>
              </w:rPr>
              <w:t xml:space="preserve"> </w:t>
            </w:r>
            <w:r w:rsidRPr="00103E70">
              <w:rPr>
                <w:b w:val="0"/>
                <w:color w:val="000000"/>
                <w:u w:val="none"/>
              </w:rPr>
              <w:t>EU:s initiativ på det här området har gett upphov till en rad olika konkreta projekt som ger en försmak av olika aspekter av den interkulturella dialogen med olika delar av samhället.</w:t>
            </w:r>
            <w:r w:rsidRPr="00103E70">
              <w:rPr>
                <w:b w:val="0"/>
                <w:u w:val="none"/>
              </w:rPr>
              <w:t xml:space="preserve"> </w:t>
            </w:r>
            <w:r w:rsidRPr="00103E70">
              <w:rPr>
                <w:b w:val="0"/>
                <w:color w:val="000000"/>
                <w:u w:val="none"/>
              </w:rPr>
              <w:t>Initiativen har också gjort det möjligt att engagera det civila samhället i arbetet med att finna olika former av dialog som är anpassade efter medborgarnas liv och vardag.</w:t>
            </w:r>
            <w:r w:rsidRPr="00103E70">
              <w:rPr>
                <w:b w:val="0"/>
                <w:u w:val="none"/>
              </w:rPr>
              <w:t xml:space="preserve"> </w:t>
            </w:r>
            <w:r w:rsidRPr="00103E70">
              <w:rPr>
                <w:b w:val="0"/>
                <w:color w:val="000000"/>
                <w:u w:val="none"/>
              </w:rPr>
              <w:t>EU:s insatser på det här området måste dock få större genomslagskraft och bli synligare.</w:t>
            </w:r>
            <w:r w:rsidRPr="00103E70">
              <w:rPr>
                <w:b w:val="0"/>
                <w:u w:val="none"/>
              </w:rPr>
              <w:t xml:space="preserve"> </w:t>
            </w:r>
          </w:p>
          <w:p w:rsidR="00272AA5" w:rsidRPr="00103E70" w:rsidRDefault="00272AA5">
            <w:pPr>
              <w:rPr>
                <w:b w:val="0"/>
                <w:u w:val="none"/>
              </w:rPr>
            </w:pPr>
            <w:r w:rsidRPr="00103E70">
              <w:rPr>
                <w:b w:val="0"/>
                <w:color w:val="000000"/>
                <w:u w:val="none"/>
              </w:rPr>
              <w:t>Den interkulturella dialogen kan bli en del av varje relevant EU-program eller EU-åtgärd när utformningen och handläggningen medger det.</w:t>
            </w:r>
            <w:r w:rsidRPr="00103E70">
              <w:rPr>
                <w:b w:val="0"/>
                <w:u w:val="none"/>
              </w:rPr>
              <w:t xml:space="preserve"> </w:t>
            </w:r>
          </w:p>
          <w:p w:rsidR="00272AA5" w:rsidRPr="00103E70" w:rsidRDefault="00272AA5">
            <w:pPr>
              <w:rPr>
                <w:b w:val="0"/>
                <w:u w:val="none"/>
              </w:rPr>
            </w:pPr>
            <w:r w:rsidRPr="00103E70">
              <w:rPr>
                <w:b w:val="0"/>
                <w:color w:val="000000"/>
                <w:u w:val="none"/>
              </w:rPr>
              <w:t>Europaåret bör också göra det lättare att kartlägga relevanta EU-åtgärder för projektägare inom interkulturell dialog och att få till stånd större samverkan mellan dessa åtgärder.</w:t>
            </w:r>
            <w:r w:rsidRPr="00103E70">
              <w:rPr>
                <w:b w:val="0"/>
                <w:u w:val="none"/>
              </w:rPr>
              <w:t xml:space="preserve"> </w:t>
            </w:r>
            <w:r w:rsidRPr="00103E70">
              <w:rPr>
                <w:b w:val="0"/>
                <w:color w:val="000000"/>
                <w:u w:val="none"/>
              </w:rPr>
              <w:t>Europaåret kommer att bidra till att ge EU:s insatser på området större genomslagskraft, och göra dem mer sammanhängande och effektiva.</w:t>
            </w:r>
          </w:p>
          <w:p w:rsidR="00272AA5" w:rsidRPr="00103E70" w:rsidRDefault="00272AA5" w:rsidP="0039736B">
            <w:pPr>
              <w:pStyle w:val="ListDash"/>
              <w:rPr>
                <w:b w:val="0"/>
                <w:u w:val="none"/>
              </w:rPr>
            </w:pPr>
            <w:r w:rsidRPr="00103E70">
              <w:rPr>
                <w:b w:val="0"/>
                <w:u w:val="none"/>
              </w:rPr>
              <w:t>Att lyfta fram olika kulturers bidrag till vårt kulturarv och till vårt levnadssätt. Att ge EU-medborgare och alla andra som bor i EU, särskilt ungdomar, insikt i hur man genom interkulturell dialog kan visa engagemang och öppenhet inför resten av världen och respekt inför den kulturella mångfalden med utgångspunkt i EU:s gemensamma värderingar.</w:t>
            </w:r>
          </w:p>
          <w:p w:rsidR="00272AA5" w:rsidRPr="00103E70" w:rsidRDefault="00272AA5" w:rsidP="0039736B">
            <w:pPr>
              <w:pStyle w:val="ListDash"/>
              <w:rPr>
                <w:b w:val="0"/>
              </w:rPr>
            </w:pPr>
            <w:r w:rsidRPr="00103E70">
              <w:rPr>
                <w:b w:val="0"/>
                <w:u w:val="none"/>
              </w:rPr>
              <w:t>Att bidra till innovation och en övergripande strategi som syftar till att lyfta fram den interkulturella dialogen på alla områden, och särskilt bland ungdomar</w:t>
            </w:r>
            <w:r w:rsidRPr="00103E70">
              <w:rPr>
                <w:b w:val="0"/>
              </w:rPr>
              <w:t>.</w:t>
            </w:r>
          </w:p>
          <w:p w:rsidR="00272AA5" w:rsidRPr="00103E70" w:rsidRDefault="00272AA5">
            <w:pPr>
              <w:rPr>
                <w:b w:val="0"/>
                <w:u w:val="none"/>
              </w:rPr>
            </w:pPr>
            <w:r w:rsidRPr="00103E70">
              <w:rPr>
                <w:b w:val="0"/>
                <w:color w:val="000000"/>
                <w:u w:val="none"/>
              </w:rPr>
              <w:t>Under året bör man framför allt främja och utarbeta initiativ som för samman olika befolkningsgrupper och samhällsskikt och som ger den interkulturella dialogen ett mångfasetterat perspektiv.</w:t>
            </w:r>
            <w:r w:rsidRPr="00103E70">
              <w:rPr>
                <w:b w:val="0"/>
                <w:u w:val="none"/>
              </w:rPr>
              <w:t xml:space="preserve"> </w:t>
            </w:r>
            <w:r w:rsidRPr="00103E70">
              <w:rPr>
                <w:b w:val="0"/>
                <w:color w:val="000000"/>
                <w:u w:val="none"/>
              </w:rPr>
              <w:t>Genom att gynna sådant övergripande samarbete bidrar Europaåret indirekt till ett utbyte av erfarenheter och god praxis mellan de olika samhällsgrupperna när det gäller att främja interkulturell dialog.</w:t>
            </w:r>
            <w:r w:rsidRPr="00103E70">
              <w:rPr>
                <w:b w:val="0"/>
                <w:u w:val="none"/>
              </w:rPr>
              <w:t xml:space="preserve"> </w:t>
            </w:r>
          </w:p>
          <w:p w:rsidR="00272AA5" w:rsidRPr="00103E70" w:rsidRDefault="00272AA5">
            <w:pPr>
              <w:rPr>
                <w:b w:val="0"/>
                <w:u w:val="none"/>
              </w:rPr>
            </w:pPr>
            <w:r w:rsidRPr="00103E70">
              <w:rPr>
                <w:b w:val="0"/>
                <w:color w:val="000000"/>
                <w:u w:val="none"/>
              </w:rPr>
              <w:t>Europaåret kommer att kretsa kring tre typer av åtgärder, som utgör de operativa målen:</w:t>
            </w:r>
          </w:p>
          <w:p w:rsidR="00272AA5" w:rsidRPr="00103E70" w:rsidRDefault="00272AA5">
            <w:pPr>
              <w:pStyle w:val="Punktlista"/>
              <w:rPr>
                <w:b w:val="0"/>
                <w:u w:val="none"/>
              </w:rPr>
            </w:pPr>
            <w:r w:rsidRPr="00103E70">
              <w:rPr>
                <w:b w:val="0"/>
                <w:u w:val="none"/>
              </w:rPr>
              <w:t>Åtgärder på EU-nivå: informations- och PR-kampanj om målet för Europeiska året för interkulturell dialog (även på nationell nivå), enkäter och undersökningar på EU-nivå för att utvärdera och kartlägga förberedelser, effektivitet, genomslag och uppföljning på sikt av Europeiska året för interkulturell dialog.</w:t>
            </w:r>
          </w:p>
          <w:p w:rsidR="00272AA5" w:rsidRPr="00103E70" w:rsidRDefault="00272AA5">
            <w:pPr>
              <w:pStyle w:val="Punktlista"/>
              <w:rPr>
                <w:b w:val="0"/>
                <w:u w:val="none"/>
              </w:rPr>
            </w:pPr>
            <w:r w:rsidRPr="00103E70">
              <w:rPr>
                <w:b w:val="0"/>
                <w:color w:val="000000"/>
                <w:u w:val="none"/>
              </w:rPr>
              <w:t>Stöd till åtgärder på EU-nivå: ett begränsat antal åtgärder med stort symbolvärde för hela EU som syftar till att ge framför allt ungdomar förståelse för Europaårets mål, kan få EU-stöd med upp till 80 % av totalkostnaden för åtgärden.</w:t>
            </w:r>
            <w:r w:rsidRPr="00103E70">
              <w:rPr>
                <w:b w:val="0"/>
                <w:u w:val="none"/>
              </w:rPr>
              <w:t xml:space="preserve"> </w:t>
            </w:r>
          </w:p>
          <w:p w:rsidR="00272AA5" w:rsidRPr="00103E70" w:rsidRDefault="00272AA5">
            <w:pPr>
              <w:pStyle w:val="Punktlista"/>
              <w:rPr>
                <w:b w:val="0"/>
                <w:u w:val="none"/>
              </w:rPr>
            </w:pPr>
            <w:r w:rsidRPr="00103E70">
              <w:rPr>
                <w:b w:val="0"/>
                <w:color w:val="000000"/>
                <w:u w:val="none"/>
              </w:rPr>
              <w:t>Samfinansiering av nationella åtgärder med en kraftig EU-dimension: nationella åtgärder som uppfyller kraven kan få EU-stöd med upp till 50 % av totalkostnaden.</w:t>
            </w:r>
          </w:p>
          <w:p w:rsidR="00272AA5" w:rsidRPr="00103E70" w:rsidRDefault="00272AA5">
            <w:pPr>
              <w:rPr>
                <w:b w:val="0"/>
                <w:u w:val="none"/>
              </w:rPr>
            </w:pPr>
            <w:r w:rsidRPr="00103E70">
              <w:rPr>
                <w:b w:val="0"/>
                <w:color w:val="000000"/>
                <w:u w:val="none"/>
              </w:rPr>
              <w:t>EU kan också ge icke-finansiellt stöd till initiativ som tas av offentliga eller privata organisationer, t.ex. skriftligt tillstånd att använda logotypen eller annat material som är förknippat med Europeiska året för interkulturell dialog. En förutsättning för sådant stöd är dock att organisationerna kan intyga att initiativen redan inletts eller kommer att inledas under 2008 och i väsentlig utsträckning förväntas kunna bidra till att målen för Europeiska året för interkulturell dialog uppnås.</w:t>
            </w:r>
            <w:r w:rsidRPr="00103E70">
              <w:rPr>
                <w:b w:val="0"/>
                <w:u w:val="none"/>
              </w:rPr>
              <w:t xml:space="preserve"> </w:t>
            </w:r>
            <w:r w:rsidRPr="00103E70">
              <w:rPr>
                <w:b w:val="0"/>
                <w:color w:val="000000"/>
                <w:u w:val="none"/>
              </w:rPr>
              <w:t>Initiativ i länder utanför EU som anordnas i samband eller i samarbete med Europaåret men som inte får ekonomiskt stöd av det, kan få icke-finansiellt stöd från EU samt tillstånd att använda logotypen och annat material som är förknippat med Europeiska året för interkulturell dialog.</w:t>
            </w:r>
          </w:p>
        </w:tc>
      </w:tr>
      <w:tr w:rsidR="00272AA5" w:rsidRPr="00103E70">
        <w:tc>
          <w:tcPr>
            <w:tcW w:w="708" w:type="dxa"/>
            <w:tcBorders>
              <w:top w:val="single" w:sz="4" w:space="0" w:color="FFFFFF"/>
              <w:left w:val="single" w:sz="4" w:space="0" w:color="FFFFFF"/>
              <w:bottom w:val="nil"/>
              <w:right w:val="single" w:sz="4" w:space="0" w:color="FFFFFF"/>
            </w:tcBorders>
          </w:tcPr>
          <w:p w:rsidR="00272AA5" w:rsidRPr="00103E70" w:rsidRDefault="00272AA5">
            <w:pPr>
              <w:rPr>
                <w:color w:val="FFFFFF"/>
                <w:sz w:val="12"/>
                <w:szCs w:val="12"/>
              </w:rPr>
            </w:pPr>
            <w:r w:rsidRPr="00103E70">
              <w:rPr>
                <w:color w:val="FFFFFF"/>
                <w:sz w:val="12"/>
                <w:szCs w:val="12"/>
              </w:rPr>
              <w:t>310</w:t>
            </w:r>
          </w:p>
        </w:tc>
        <w:tc>
          <w:tcPr>
            <w:tcW w:w="8646" w:type="dxa"/>
            <w:gridSpan w:val="2"/>
            <w:tcBorders>
              <w:top w:val="single" w:sz="4" w:space="0" w:color="FFFFFF"/>
              <w:left w:val="single" w:sz="4" w:space="0" w:color="FFFFFF"/>
              <w:bottom w:val="nil"/>
              <w:right w:val="single" w:sz="4" w:space="0" w:color="FFFFFF"/>
            </w:tcBorders>
          </w:tcPr>
          <w:p w:rsidR="00272AA5" w:rsidRPr="00103E70" w:rsidRDefault="00272AA5">
            <w:pPr>
              <w:numPr>
                <w:ilvl w:val="1"/>
                <w:numId w:val="43"/>
              </w:numPr>
              <w:tabs>
                <w:tab w:val="clear" w:pos="1443"/>
              </w:tabs>
              <w:ind w:left="363"/>
              <w:rPr>
                <w:u w:val="none"/>
              </w:rPr>
            </w:pPr>
            <w:r w:rsidRPr="00103E70">
              <w:rPr>
                <w:bCs w:val="0"/>
                <w:color w:val="000000"/>
                <w:u w:val="none"/>
              </w:rPr>
              <w:t>Rättslig grund</w:t>
            </w:r>
          </w:p>
          <w:p w:rsidR="00272AA5" w:rsidRPr="00103E70" w:rsidRDefault="00272AA5">
            <w:pPr>
              <w:rPr>
                <w:b w:val="0"/>
                <w:u w:val="none"/>
              </w:rPr>
            </w:pPr>
            <w:r w:rsidRPr="00103E70">
              <w:rPr>
                <w:b w:val="0"/>
                <w:color w:val="000000"/>
                <w:u w:val="none"/>
              </w:rPr>
              <w:t>Artikel 151 i EG-fördraget.</w:t>
            </w:r>
          </w:p>
        </w:tc>
      </w:tr>
      <w:tr w:rsidR="0039736B" w:rsidRPr="00103E70">
        <w:tc>
          <w:tcPr>
            <w:tcW w:w="708" w:type="dxa"/>
            <w:tcBorders>
              <w:top w:val="nil"/>
              <w:left w:val="nil"/>
              <w:bottom w:val="nil"/>
              <w:right w:val="nil"/>
            </w:tcBorders>
          </w:tcPr>
          <w:p w:rsidR="0039736B" w:rsidRPr="00103E70" w:rsidRDefault="0039736B">
            <w:pPr>
              <w:rPr>
                <w:color w:val="FFFFFF"/>
                <w:sz w:val="12"/>
                <w:szCs w:val="12"/>
              </w:rPr>
            </w:pPr>
          </w:p>
        </w:tc>
        <w:tc>
          <w:tcPr>
            <w:tcW w:w="8646" w:type="dxa"/>
            <w:gridSpan w:val="2"/>
            <w:tcBorders>
              <w:top w:val="nil"/>
              <w:left w:val="nil"/>
              <w:bottom w:val="nil"/>
              <w:right w:val="nil"/>
            </w:tcBorders>
          </w:tcPr>
          <w:p w:rsidR="0039736B" w:rsidRPr="00103E70" w:rsidRDefault="0039736B" w:rsidP="0039736B">
            <w:pPr>
              <w:rPr>
                <w:bCs w:val="0"/>
              </w:rPr>
            </w:pPr>
          </w:p>
        </w:tc>
      </w:tr>
      <w:tr w:rsidR="00272AA5" w:rsidRPr="00103E70">
        <w:tc>
          <w:tcPr>
            <w:tcW w:w="708" w:type="dxa"/>
            <w:tcBorders>
              <w:top w:val="nil"/>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320</w:t>
            </w:r>
          </w:p>
        </w:tc>
        <w:tc>
          <w:tcPr>
            <w:tcW w:w="8646" w:type="dxa"/>
            <w:gridSpan w:val="2"/>
            <w:tcBorders>
              <w:top w:val="nil"/>
              <w:left w:val="single" w:sz="4" w:space="0" w:color="FFFFFF"/>
              <w:bottom w:val="single" w:sz="4" w:space="0" w:color="FFFFFF"/>
              <w:right w:val="single" w:sz="4" w:space="0" w:color="FFFFFF"/>
            </w:tcBorders>
          </w:tcPr>
          <w:p w:rsidR="00272AA5" w:rsidRPr="00103E70" w:rsidRDefault="00272AA5" w:rsidP="0039736B">
            <w:pPr>
              <w:numPr>
                <w:ilvl w:val="1"/>
                <w:numId w:val="43"/>
              </w:numPr>
              <w:tabs>
                <w:tab w:val="clear" w:pos="1443"/>
              </w:tabs>
              <w:ind w:left="363"/>
              <w:rPr>
                <w:u w:val="none"/>
              </w:rPr>
            </w:pPr>
            <w:r w:rsidRPr="00103E70">
              <w:rPr>
                <w:bCs w:val="0"/>
                <w:color w:val="000000"/>
                <w:u w:val="none"/>
              </w:rPr>
              <w:t>Subsidiaritetsprincipen</w:t>
            </w:r>
          </w:p>
          <w:p w:rsidR="00272AA5" w:rsidRPr="00103E70" w:rsidRDefault="00272AA5">
            <w:pPr>
              <w:rPr>
                <w:b w:val="0"/>
                <w:u w:val="none"/>
              </w:rPr>
            </w:pPr>
            <w:r w:rsidRPr="00103E70">
              <w:rPr>
                <w:b w:val="0"/>
                <w:color w:val="000000"/>
                <w:u w:val="none"/>
              </w:rPr>
              <w:t>Subsidiaritetsprincipen är tillämplig, eftersom förslaget inte avser ett område där gemenskapen är ensam behörig.</w:t>
            </w:r>
          </w:p>
        </w:tc>
      </w:tr>
      <w:tr w:rsidR="00272AA5" w:rsidRPr="00103E70">
        <w:tc>
          <w:tcPr>
            <w:tcW w:w="708" w:type="dxa"/>
            <w:tcBorders>
              <w:top w:val="single" w:sz="4" w:space="0" w:color="FFFFFF"/>
              <w:left w:val="single" w:sz="4" w:space="0" w:color="FFFFFF"/>
              <w:bottom w:val="single" w:sz="4" w:space="0" w:color="FFFFFF"/>
              <w:right w:val="single" w:sz="4" w:space="0" w:color="FFFFFF"/>
            </w:tcBorders>
          </w:tcPr>
          <w:p w:rsidR="00272AA5" w:rsidRPr="00103E70" w:rsidRDefault="00272AA5"/>
        </w:tc>
        <w:tc>
          <w:tcPr>
            <w:tcW w:w="8646"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rPr>
                <w:b w:val="0"/>
                <w:u w:val="none"/>
              </w:rPr>
            </w:pPr>
            <w:r w:rsidRPr="00103E70">
              <w:rPr>
                <w:b w:val="0"/>
                <w:color w:val="000000"/>
                <w:u w:val="none"/>
              </w:rPr>
              <w:t>Medlemsstaterna kan av nedanstående skäl inte själva uppnå målen i förslaget i tillräcklig utsträckning:</w:t>
            </w:r>
          </w:p>
        </w:tc>
      </w:tr>
      <w:tr w:rsidR="00272AA5" w:rsidRPr="00103E70">
        <w:tc>
          <w:tcPr>
            <w:tcW w:w="708" w:type="dxa"/>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321</w:t>
            </w:r>
          </w:p>
        </w:tc>
        <w:tc>
          <w:tcPr>
            <w:tcW w:w="8646"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rsidP="0039736B">
            <w:pPr>
              <w:pStyle w:val="ListDash"/>
              <w:rPr>
                <w:b w:val="0"/>
                <w:u w:val="none"/>
              </w:rPr>
            </w:pPr>
            <w:r w:rsidRPr="00103E70">
              <w:rPr>
                <w:b w:val="0"/>
                <w:u w:val="none"/>
              </w:rPr>
              <w:t>För att lyfta fram den interkulturella dialogen krävs insatser från flera olika håll och på flera nivåer, på områden där nationella och lokala myndigheter har stora befogenheter (t.ex. inom kultur- och utbildningspolitik). EU har en kompletterande funktion eftersom dess insatser får större effekter på EU i sin helhet än i enskilda medlemsstater, samtidigt som insatserna är fokuserade på den enskilde medborgaren. Om insatserna enbart görs på nationell nivå skulle det kunna medföra att den interkulturella dialogens omfattning begränsas och att inslaget av EU-medborgarskap i dialogen inte får den plats det förtjänar.</w:t>
            </w:r>
          </w:p>
        </w:tc>
      </w:tr>
      <w:tr w:rsidR="00272AA5" w:rsidRPr="00103E70">
        <w:tc>
          <w:tcPr>
            <w:tcW w:w="708" w:type="dxa"/>
            <w:tcBorders>
              <w:top w:val="single" w:sz="4" w:space="0" w:color="FFFFFF"/>
              <w:left w:val="single" w:sz="4" w:space="0" w:color="FFFFFF"/>
              <w:bottom w:val="single" w:sz="4" w:space="0" w:color="FFFFFF"/>
              <w:right w:val="single" w:sz="4" w:space="0" w:color="FFFFFF"/>
            </w:tcBorders>
          </w:tcPr>
          <w:p w:rsidR="00272AA5" w:rsidRPr="00103E70" w:rsidRDefault="00272AA5"/>
        </w:tc>
        <w:tc>
          <w:tcPr>
            <w:tcW w:w="8646"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rPr>
                <w:b w:val="0"/>
                <w:u w:val="none"/>
              </w:rPr>
            </w:pPr>
            <w:r w:rsidRPr="00103E70">
              <w:rPr>
                <w:b w:val="0"/>
                <w:color w:val="000000"/>
                <w:u w:val="none"/>
              </w:rPr>
              <w:t>Av följande skäl kan förslagets mål lättare uppnås med en gemenskapsåtgärd:</w:t>
            </w:r>
          </w:p>
        </w:tc>
      </w:tr>
      <w:tr w:rsidR="00272AA5" w:rsidRPr="00103E70">
        <w:tc>
          <w:tcPr>
            <w:tcW w:w="708" w:type="dxa"/>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324</w:t>
            </w:r>
          </w:p>
        </w:tc>
        <w:tc>
          <w:tcPr>
            <w:tcW w:w="8646"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rsidP="0039736B">
            <w:pPr>
              <w:pStyle w:val="ListDash"/>
              <w:rPr>
                <w:b w:val="0"/>
                <w:u w:val="none"/>
              </w:rPr>
            </w:pPr>
            <w:r w:rsidRPr="00103E70">
              <w:rPr>
                <w:b w:val="0"/>
                <w:u w:val="none"/>
              </w:rPr>
              <w:t xml:space="preserve">Den interkulturella dialogen kommer att integreras så ofta som möjligt vid genomförandet av relevanta EU-program. Att integrera den interkulturella dialogen i EU-programmen ger inte bara en kritisk massa av projekt och initiativ med interkulturell dialog runtom i Europa, utan skapar även förutsättningar för allmänhetens medverkan. </w:t>
            </w:r>
          </w:p>
        </w:tc>
      </w:tr>
      <w:tr w:rsidR="00272AA5" w:rsidRPr="00103E70">
        <w:tc>
          <w:tcPr>
            <w:tcW w:w="708" w:type="dxa"/>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325</w:t>
            </w:r>
          </w:p>
        </w:tc>
        <w:tc>
          <w:tcPr>
            <w:tcW w:w="8646"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rsidP="0039736B">
            <w:pPr>
              <w:pStyle w:val="ListDash"/>
              <w:rPr>
                <w:b w:val="0"/>
                <w:u w:val="none"/>
              </w:rPr>
            </w:pPr>
            <w:r w:rsidRPr="00103E70">
              <w:rPr>
                <w:b w:val="0"/>
                <w:u w:val="none"/>
              </w:rPr>
              <w:t xml:space="preserve">Tanken med Europaåren är att de skall engagera så många olika slags människor som möjligt för att väcka uppmärksamhet kring en viss fråga. Det omfattande deltagandet under en begränsad tidsperiod kan bidra till att lyfta fram EU:s politiska prioriteringar. </w:t>
            </w:r>
          </w:p>
        </w:tc>
      </w:tr>
      <w:tr w:rsidR="00272AA5" w:rsidRPr="00103E70">
        <w:tc>
          <w:tcPr>
            <w:tcW w:w="708" w:type="dxa"/>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327</w:t>
            </w:r>
          </w:p>
        </w:tc>
        <w:tc>
          <w:tcPr>
            <w:tcW w:w="8646"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rsidP="0039736B">
            <w:pPr>
              <w:pStyle w:val="ListDash"/>
              <w:rPr>
                <w:b w:val="0"/>
                <w:u w:val="none"/>
              </w:rPr>
            </w:pPr>
            <w:r w:rsidRPr="00103E70">
              <w:rPr>
                <w:b w:val="0"/>
                <w:u w:val="none"/>
              </w:rPr>
              <w:t>Utöver de effekter som följer av att den interkulturella dialogen integreras i EU-programmen kommer Europeiska året för interkulturell dialog att inriktas på satsningar med betydande mervärde för EU. Medlemsstaterna får själva göra satsningar som är anpassade efter de omständigheter som råder på regional och lokal nivå.</w:t>
            </w:r>
          </w:p>
        </w:tc>
      </w:tr>
      <w:tr w:rsidR="00272AA5" w:rsidRPr="00103E70">
        <w:tc>
          <w:tcPr>
            <w:tcW w:w="708" w:type="dxa"/>
            <w:tcBorders>
              <w:top w:val="single" w:sz="4" w:space="0" w:color="FFFFFF"/>
              <w:left w:val="single" w:sz="4" w:space="0" w:color="FFFFFF"/>
              <w:bottom w:val="single" w:sz="4" w:space="0" w:color="FFFFFF"/>
              <w:right w:val="single" w:sz="4" w:space="0" w:color="FFFFFF"/>
            </w:tcBorders>
          </w:tcPr>
          <w:p w:rsidR="00272AA5" w:rsidRPr="00103E70" w:rsidRDefault="00272AA5"/>
        </w:tc>
        <w:tc>
          <w:tcPr>
            <w:tcW w:w="8646"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rsidP="00CE7796">
            <w:pPr>
              <w:pStyle w:val="Punktlista"/>
              <w:rPr>
                <w:u w:val="none"/>
              </w:rPr>
            </w:pPr>
            <w:r w:rsidRPr="00103E70">
              <w:rPr>
                <w:u w:val="none"/>
              </w:rPr>
              <w:t>Proportionalitetsprincipen</w:t>
            </w:r>
          </w:p>
        </w:tc>
      </w:tr>
      <w:tr w:rsidR="00272AA5" w:rsidRPr="00103E70">
        <w:tc>
          <w:tcPr>
            <w:tcW w:w="708" w:type="dxa"/>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331</w:t>
            </w:r>
          </w:p>
        </w:tc>
        <w:tc>
          <w:tcPr>
            <w:tcW w:w="8646"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rPr>
                <w:b w:val="0"/>
                <w:u w:val="none"/>
              </w:rPr>
            </w:pPr>
            <w:r w:rsidRPr="00103E70">
              <w:rPr>
                <w:b w:val="0"/>
                <w:color w:val="000000"/>
                <w:u w:val="none"/>
              </w:rPr>
              <w:t>Om Europaåret grundar sig på den kritiska massan av EU-finansierade projekt kan en satsning som ger Europaåret stort genomslag genomföras med en budget på uppskattningsvis 10 miljoner euro.</w:t>
            </w:r>
            <w:r w:rsidRPr="00103E70">
              <w:rPr>
                <w:b w:val="0"/>
                <w:u w:val="none"/>
              </w:rPr>
              <w:t xml:space="preserve"> </w:t>
            </w:r>
            <w:r w:rsidRPr="00103E70">
              <w:rPr>
                <w:b w:val="0"/>
                <w:color w:val="000000"/>
                <w:u w:val="none"/>
              </w:rPr>
              <w:t>Den dynamik som Europaåret skapar kommer att frigöra ytterligare medel.</w:t>
            </w:r>
            <w:r w:rsidRPr="00103E70">
              <w:rPr>
                <w:b w:val="0"/>
                <w:u w:val="none"/>
              </w:rPr>
              <w:t xml:space="preserve"> </w:t>
            </w:r>
            <w:r w:rsidRPr="00103E70">
              <w:rPr>
                <w:b w:val="0"/>
                <w:color w:val="000000"/>
                <w:u w:val="none"/>
              </w:rPr>
              <w:t>Icke-finansiellt stöd kan användas för att öka antalet åtgärder som drar nytta av Europaårets kommunikationsverktyg och därmed göra den interkulturella dialogen mer synlig.</w:t>
            </w:r>
            <w:r w:rsidRPr="00103E70">
              <w:rPr>
                <w:b w:val="0"/>
                <w:u w:val="none"/>
              </w:rPr>
              <w:t xml:space="preserve"> </w:t>
            </w:r>
          </w:p>
          <w:p w:rsidR="00272AA5" w:rsidRPr="00103E70" w:rsidRDefault="00272AA5">
            <w:pPr>
              <w:rPr>
                <w:b w:val="0"/>
                <w:u w:val="none"/>
              </w:rPr>
            </w:pPr>
            <w:r w:rsidRPr="00103E70">
              <w:rPr>
                <w:b w:val="0"/>
                <w:color w:val="000000"/>
                <w:u w:val="none"/>
              </w:rPr>
              <w:t>Europeiska året för interkulturell dialog medför inga som helst begränsningar av åtgärder på nationell nivå, utan ger endast dessa åtgärder en EU-dimension.</w:t>
            </w:r>
            <w:r w:rsidRPr="00103E70">
              <w:rPr>
                <w:b w:val="0"/>
                <w:u w:val="none"/>
              </w:rPr>
              <w:t xml:space="preserve"> </w:t>
            </w:r>
            <w:r w:rsidRPr="00103E70">
              <w:rPr>
                <w:b w:val="0"/>
                <w:color w:val="000000"/>
                <w:u w:val="none"/>
              </w:rPr>
              <w:t>Dessutom rör det sig om enkla insatser som inte är orimligt betungande för de förvaltningar som arbetar med att genomföra Europeiska året för interkulturell dialog.</w:t>
            </w:r>
          </w:p>
          <w:p w:rsidR="00272AA5" w:rsidRPr="00103E70" w:rsidRDefault="00272AA5">
            <w:pPr>
              <w:rPr>
                <w:b w:val="0"/>
                <w:u w:val="none"/>
              </w:rPr>
            </w:pPr>
            <w:r w:rsidRPr="00103E70">
              <w:rPr>
                <w:b w:val="0"/>
                <w:color w:val="000000"/>
                <w:u w:val="none"/>
              </w:rPr>
              <w:t>De åtgärder som avses här och finansieringen av dem går inte utöver vad som är nödvändigt för att uppnå målen, i enlighet med proportionalitetsprincipen.</w:t>
            </w:r>
          </w:p>
        </w:tc>
      </w:tr>
      <w:tr w:rsidR="00272AA5" w:rsidRPr="00103E70">
        <w:tc>
          <w:tcPr>
            <w:tcW w:w="708" w:type="dxa"/>
            <w:tcBorders>
              <w:top w:val="single" w:sz="4" w:space="0" w:color="FFFFFF"/>
              <w:left w:val="single" w:sz="4" w:space="0" w:color="FFFFFF"/>
              <w:bottom w:val="single" w:sz="4" w:space="0" w:color="FFFFFF"/>
              <w:right w:val="single" w:sz="4" w:space="0" w:color="FFFFFF"/>
            </w:tcBorders>
          </w:tcPr>
          <w:p w:rsidR="00272AA5" w:rsidRPr="00103E70" w:rsidRDefault="00272AA5"/>
        </w:tc>
        <w:tc>
          <w:tcPr>
            <w:tcW w:w="8646"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numPr>
                <w:ilvl w:val="1"/>
                <w:numId w:val="43"/>
              </w:numPr>
              <w:tabs>
                <w:tab w:val="clear" w:pos="1443"/>
              </w:tabs>
              <w:ind w:left="363"/>
              <w:rPr>
                <w:u w:val="none"/>
              </w:rPr>
            </w:pPr>
            <w:r w:rsidRPr="00103E70">
              <w:rPr>
                <w:bCs w:val="0"/>
                <w:color w:val="000000"/>
                <w:u w:val="none"/>
              </w:rPr>
              <w:t>Val av regleringsform</w:t>
            </w:r>
          </w:p>
        </w:tc>
      </w:tr>
      <w:tr w:rsidR="00272AA5" w:rsidRPr="00103E70">
        <w:tc>
          <w:tcPr>
            <w:tcW w:w="708" w:type="dxa"/>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342</w:t>
            </w:r>
          </w:p>
        </w:tc>
        <w:tc>
          <w:tcPr>
            <w:tcW w:w="8646"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spacing w:before="0" w:after="0"/>
              <w:rPr>
                <w:b w:val="0"/>
                <w:u w:val="none"/>
              </w:rPr>
            </w:pPr>
            <w:r w:rsidRPr="00103E70">
              <w:rPr>
                <w:b w:val="0"/>
                <w:color w:val="000000"/>
                <w:u w:val="none"/>
              </w:rPr>
              <w:t>Den interkulturella dialogen är inte föremål för några regleringsåtgärder.</w:t>
            </w:r>
            <w:r w:rsidRPr="00103E70">
              <w:rPr>
                <w:b w:val="0"/>
                <w:u w:val="none"/>
              </w:rPr>
              <w:t xml:space="preserve"> </w:t>
            </w:r>
            <w:r w:rsidRPr="00103E70">
              <w:rPr>
                <w:b w:val="0"/>
                <w:color w:val="000000"/>
                <w:u w:val="none"/>
              </w:rPr>
              <w:t>Europaparlamentets och rådets beslut är den bäst lämpade regleringsformen för att genomföra dialogen.</w:t>
            </w:r>
          </w:p>
          <w:p w:rsidR="00272AA5" w:rsidRPr="00103E70" w:rsidRDefault="00272AA5">
            <w:pPr>
              <w:spacing w:before="0" w:after="0"/>
              <w:rPr>
                <w:b w:val="0"/>
                <w:u w:val="none"/>
              </w:rPr>
            </w:pPr>
          </w:p>
        </w:tc>
      </w:tr>
      <w:tr w:rsidR="00272AA5" w:rsidRPr="00103E70">
        <w:tc>
          <w:tcPr>
            <w:tcW w:w="9354" w:type="dxa"/>
            <w:gridSpan w:val="3"/>
            <w:tcBorders>
              <w:top w:val="single" w:sz="4" w:space="0" w:color="FFFFFF"/>
              <w:left w:val="single" w:sz="4" w:space="0" w:color="FFFFFF"/>
              <w:bottom w:val="single" w:sz="4" w:space="0" w:color="FFFFFF"/>
              <w:right w:val="single" w:sz="4" w:space="0" w:color="FFFFFF"/>
            </w:tcBorders>
          </w:tcPr>
          <w:p w:rsidR="00272AA5" w:rsidRPr="00103E70" w:rsidRDefault="00272AA5">
            <w:pPr>
              <w:numPr>
                <w:ilvl w:val="0"/>
                <w:numId w:val="43"/>
              </w:numPr>
              <w:rPr>
                <w:u w:val="none"/>
              </w:rPr>
            </w:pPr>
            <w:r w:rsidRPr="00103E70">
              <w:rPr>
                <w:bCs w:val="0"/>
                <w:smallCaps/>
                <w:color w:val="000000"/>
                <w:u w:val="none"/>
              </w:rPr>
              <w:t>Budgetkonsekvenser</w:t>
            </w:r>
          </w:p>
        </w:tc>
      </w:tr>
      <w:tr w:rsidR="00272AA5" w:rsidRPr="00103E70">
        <w:tc>
          <w:tcPr>
            <w:tcW w:w="719"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pPr>
              <w:rPr>
                <w:color w:val="FFFFFF"/>
                <w:sz w:val="12"/>
                <w:szCs w:val="12"/>
              </w:rPr>
            </w:pPr>
            <w:r w:rsidRPr="00103E70">
              <w:rPr>
                <w:color w:val="FFFFFF"/>
                <w:sz w:val="12"/>
                <w:szCs w:val="12"/>
              </w:rPr>
              <w:t>401</w:t>
            </w:r>
          </w:p>
        </w:tc>
        <w:tc>
          <w:tcPr>
            <w:tcW w:w="8635" w:type="dxa"/>
            <w:tcBorders>
              <w:top w:val="single" w:sz="4" w:space="0" w:color="FFFFFF"/>
              <w:left w:val="single" w:sz="4" w:space="0" w:color="FFFFFF"/>
              <w:bottom w:val="single" w:sz="4" w:space="0" w:color="FFFFFF"/>
              <w:right w:val="single" w:sz="4" w:space="0" w:color="FFFFFF"/>
            </w:tcBorders>
          </w:tcPr>
          <w:p w:rsidR="00272AA5" w:rsidRPr="00103E70" w:rsidRDefault="00272AA5">
            <w:pPr>
              <w:rPr>
                <w:b w:val="0"/>
                <w:u w:val="none"/>
              </w:rPr>
            </w:pPr>
            <w:r w:rsidRPr="00103E70">
              <w:rPr>
                <w:b w:val="0"/>
                <w:color w:val="000000"/>
                <w:u w:val="none"/>
              </w:rPr>
              <w:t>Den preliminära budgeten för Europeiska året för interkulturell dialog är 10 miljoner euro</w:t>
            </w:r>
            <w:r w:rsidR="0039736B" w:rsidRPr="00103E70">
              <w:rPr>
                <w:b w:val="0"/>
                <w:u w:val="none"/>
              </w:rPr>
              <w:t>.</w:t>
            </w:r>
          </w:p>
        </w:tc>
      </w:tr>
      <w:tr w:rsidR="00272AA5" w:rsidRPr="00103E70">
        <w:tc>
          <w:tcPr>
            <w:tcW w:w="719"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tc>
        <w:tc>
          <w:tcPr>
            <w:tcW w:w="8635" w:type="dxa"/>
            <w:tcBorders>
              <w:top w:val="single" w:sz="4" w:space="0" w:color="FFFFFF"/>
              <w:left w:val="single" w:sz="4" w:space="0" w:color="FFFFFF"/>
              <w:bottom w:val="single" w:sz="4" w:space="0" w:color="FFFFFF"/>
              <w:right w:val="single" w:sz="4" w:space="0" w:color="FFFFFF"/>
            </w:tcBorders>
          </w:tcPr>
          <w:p w:rsidR="00272AA5" w:rsidRPr="00103E70" w:rsidRDefault="00272AA5">
            <w:pPr>
              <w:rPr>
                <w:sz w:val="20"/>
                <w:szCs w:val="20"/>
              </w:rPr>
            </w:pPr>
          </w:p>
        </w:tc>
      </w:tr>
      <w:tr w:rsidR="00272AA5" w:rsidRPr="00103E70">
        <w:tc>
          <w:tcPr>
            <w:tcW w:w="719" w:type="dxa"/>
            <w:gridSpan w:val="2"/>
            <w:tcBorders>
              <w:top w:val="single" w:sz="4" w:space="0" w:color="FFFFFF"/>
              <w:left w:val="single" w:sz="4" w:space="0" w:color="FFFFFF"/>
              <w:bottom w:val="single" w:sz="4" w:space="0" w:color="FFFFFF"/>
              <w:right w:val="single" w:sz="4" w:space="0" w:color="FFFFFF"/>
            </w:tcBorders>
          </w:tcPr>
          <w:p w:rsidR="00272AA5" w:rsidRPr="00103E70" w:rsidRDefault="00272AA5"/>
        </w:tc>
        <w:tc>
          <w:tcPr>
            <w:tcW w:w="8635" w:type="dxa"/>
            <w:tcBorders>
              <w:top w:val="single" w:sz="4" w:space="0" w:color="FFFFFF"/>
              <w:left w:val="single" w:sz="4" w:space="0" w:color="FFFFFF"/>
              <w:bottom w:val="single" w:sz="4" w:space="0" w:color="FFFFFF"/>
              <w:right w:val="single" w:sz="4" w:space="0" w:color="FFFFFF"/>
            </w:tcBorders>
          </w:tcPr>
          <w:p w:rsidR="00272AA5" w:rsidRPr="00103E70" w:rsidRDefault="00272AA5"/>
        </w:tc>
      </w:tr>
    </w:tbl>
    <w:p w:rsidR="00272AA5" w:rsidRPr="00103E70" w:rsidRDefault="00272AA5"/>
    <w:p w:rsidR="00272AA5" w:rsidRPr="00103E70" w:rsidRDefault="00272AA5">
      <w:pPr>
        <w:sectPr w:rsidR="00272AA5" w:rsidRPr="00103E70" w:rsidSect="00565D16">
          <w:footerReference w:type="default" r:id="rId18"/>
          <w:footerReference w:type="first" r:id="rId19"/>
          <w:pgSz w:w="11907" w:h="16839"/>
          <w:pgMar w:top="1134" w:right="1417" w:bottom="1134" w:left="1417" w:header="720" w:footer="720" w:gutter="0"/>
          <w:cols w:space="720"/>
          <w:docGrid w:linePitch="326"/>
        </w:sectPr>
      </w:pPr>
    </w:p>
    <w:p w:rsidR="00272AA5" w:rsidRPr="00103E70" w:rsidRDefault="00226B8C">
      <w:pPr>
        <w:pStyle w:val="Rfrenceinterinstitutionelle"/>
      </w:pPr>
      <w:r w:rsidRPr="00103E70">
        <w:t>2005/0203 (COD)</w:t>
      </w:r>
    </w:p>
    <w:p w:rsidR="00272AA5" w:rsidRPr="00103E70" w:rsidRDefault="00272AA5">
      <w:pPr>
        <w:pStyle w:val="Statut"/>
      </w:pPr>
      <w:r w:rsidRPr="00103E70">
        <w:rPr>
          <w:color w:val="000000"/>
        </w:rPr>
        <w:t>Förslag till</w:t>
      </w:r>
    </w:p>
    <w:p w:rsidR="00272AA5" w:rsidRPr="00103E70" w:rsidRDefault="00272AA5">
      <w:pPr>
        <w:pStyle w:val="Typedudocument"/>
      </w:pPr>
      <w:r w:rsidRPr="00103E70">
        <w:rPr>
          <w:color w:val="000000"/>
        </w:rPr>
        <w:t>EUROPAPARLAMENTETS OCH RÅDETS BESLUT</w:t>
      </w:r>
    </w:p>
    <w:p w:rsidR="00272AA5" w:rsidRPr="00103E70" w:rsidRDefault="00272AA5">
      <w:pPr>
        <w:pStyle w:val="Titreobjet"/>
      </w:pPr>
      <w:r w:rsidRPr="00103E70">
        <w:rPr>
          <w:color w:val="000000"/>
        </w:rPr>
        <w:t>om Europeiska året för interkulturell dialog (2008)</w:t>
      </w:r>
    </w:p>
    <w:p w:rsidR="00272AA5" w:rsidRPr="00103E70" w:rsidRDefault="00272AA5">
      <w:pPr>
        <w:pStyle w:val="Institutionquiagit"/>
      </w:pPr>
      <w:r w:rsidRPr="00103E70">
        <w:rPr>
          <w:color w:val="000000"/>
        </w:rPr>
        <w:t>EUROPAPARLAMENTET OCH EUROPEISKA UNIONENS RÅD HAR BESLUTAT FÖLJANDE</w:t>
      </w:r>
    </w:p>
    <w:p w:rsidR="00272AA5" w:rsidRPr="00103E70" w:rsidRDefault="00272AA5">
      <w:r w:rsidRPr="00103E70">
        <w:rPr>
          <w:color w:val="000000"/>
        </w:rPr>
        <w:t>med beaktande av fördraget om upprättandet av Europeiska gemenskapen, särskilt artikel 151.5 första strecksatsen,</w:t>
      </w:r>
    </w:p>
    <w:p w:rsidR="00272AA5" w:rsidRPr="00103E70" w:rsidRDefault="00272AA5">
      <w:r w:rsidRPr="00103E70">
        <w:rPr>
          <w:color w:val="000000"/>
        </w:rPr>
        <w:t>med beaktande av kommissionens förslag</w:t>
      </w:r>
      <w:r w:rsidRPr="00103E70">
        <w:rPr>
          <w:rStyle w:val="Fotnotsreferens"/>
          <w:color w:val="000000"/>
        </w:rPr>
        <w:footnoteReference w:id="3"/>
      </w:r>
      <w:r w:rsidRPr="00103E70">
        <w:rPr>
          <w:color w:val="000000"/>
        </w:rPr>
        <w:t>,</w:t>
      </w:r>
    </w:p>
    <w:p w:rsidR="00272AA5" w:rsidRPr="00103E70" w:rsidRDefault="00272AA5">
      <w:r w:rsidRPr="00103E70">
        <w:rPr>
          <w:color w:val="000000"/>
        </w:rPr>
        <w:t>med beaktande av Europeiska ekonomiska och sociala kommitténs yttrande</w:t>
      </w:r>
      <w:r w:rsidRPr="00103E70">
        <w:rPr>
          <w:rStyle w:val="Fotnotsreferens"/>
          <w:color w:val="000000"/>
        </w:rPr>
        <w:footnoteReference w:id="4"/>
      </w:r>
      <w:r w:rsidRPr="00103E70">
        <w:rPr>
          <w:color w:val="000000"/>
        </w:rPr>
        <w:t>,</w:t>
      </w:r>
    </w:p>
    <w:p w:rsidR="00272AA5" w:rsidRPr="00103E70" w:rsidRDefault="00272AA5">
      <w:r w:rsidRPr="00103E70">
        <w:rPr>
          <w:color w:val="000000"/>
        </w:rPr>
        <w:t>med beaktande av Regionkommitténs yttrande</w:t>
      </w:r>
      <w:r w:rsidRPr="00103E70">
        <w:rPr>
          <w:rStyle w:val="Fotnotsreferens"/>
          <w:color w:val="000000"/>
        </w:rPr>
        <w:footnoteReference w:id="5"/>
      </w:r>
      <w:r w:rsidRPr="00103E70">
        <w:rPr>
          <w:color w:val="000000"/>
        </w:rPr>
        <w:t>,</w:t>
      </w:r>
    </w:p>
    <w:p w:rsidR="00272AA5" w:rsidRPr="00103E70" w:rsidRDefault="00272AA5">
      <w:r w:rsidRPr="00103E70">
        <w:rPr>
          <w:color w:val="000000"/>
        </w:rPr>
        <w:t>i enlighet med förfarandet i artikel 251 i fördraget</w:t>
      </w:r>
      <w:r w:rsidRPr="00103E70">
        <w:rPr>
          <w:rStyle w:val="Fotnotsreferens"/>
          <w:color w:val="000000"/>
        </w:rPr>
        <w:footnoteReference w:id="6"/>
      </w:r>
      <w:r w:rsidRPr="00103E70">
        <w:rPr>
          <w:color w:val="000000"/>
        </w:rPr>
        <w:t>, och</w:t>
      </w:r>
    </w:p>
    <w:p w:rsidR="00272AA5" w:rsidRPr="00103E70" w:rsidRDefault="00272AA5">
      <w:r w:rsidRPr="00103E70">
        <w:rPr>
          <w:color w:val="000000"/>
        </w:rPr>
        <w:t>av följande skäl:</w:t>
      </w:r>
    </w:p>
    <w:p w:rsidR="00272AA5" w:rsidRPr="00103E70" w:rsidRDefault="00226B8C" w:rsidP="00226B8C">
      <w:pPr>
        <w:pStyle w:val="ManualConsidrant"/>
      </w:pPr>
      <w:r w:rsidRPr="00103E70">
        <w:t>(1)</w:t>
      </w:r>
      <w:r w:rsidRPr="00103E70">
        <w:tab/>
      </w:r>
      <w:r w:rsidR="00272AA5" w:rsidRPr="00103E70">
        <w:t xml:space="preserve">Enligt fördraget om upprättandet av Europeiska gemenskapen skall gemenskapen verka för en allt fastare sammanslutning mellan de europeiska folken, bidra till kulturens utveckling i medlemsstaterna med respekt för dessas nationella och regionala mångfald samt framhäva det gemensamma kulturarvet. </w:t>
      </w:r>
    </w:p>
    <w:p w:rsidR="00272AA5" w:rsidRPr="00103E70" w:rsidRDefault="00226B8C" w:rsidP="00226B8C">
      <w:pPr>
        <w:pStyle w:val="ManualConsidrant"/>
      </w:pPr>
      <w:r w:rsidRPr="00103E70">
        <w:t>(2)</w:t>
      </w:r>
      <w:r w:rsidRPr="00103E70">
        <w:tab/>
      </w:r>
      <w:r w:rsidR="00272AA5" w:rsidRPr="00103E70">
        <w:t xml:space="preserve">Den samlade effekten av EU:s olika utvidgningar, den ökade rörligheten till följd av den inre marknaden, gamla och nya migrationsströmmar, ökade kontakter med resten av världen genom handel, utbildning, fritid och globaliseringen i stort bidrar till ett ökat utbyte mellan EU-medborgarna och alla andra som bor i Europeiska unionen och olika kulturer, språk, befolkningsgrupper och religioner i Europa och resten av världen. </w:t>
      </w:r>
    </w:p>
    <w:p w:rsidR="00272AA5" w:rsidRPr="00103E70" w:rsidRDefault="00226B8C" w:rsidP="00226B8C">
      <w:pPr>
        <w:pStyle w:val="ManualConsidrant"/>
      </w:pPr>
      <w:r w:rsidRPr="00103E70">
        <w:t>(3)</w:t>
      </w:r>
      <w:r w:rsidRPr="00103E70">
        <w:tab/>
      </w:r>
      <w:r w:rsidR="00272AA5" w:rsidRPr="00103E70">
        <w:t>Det är viktigt att EU:s medborgare och alla andra som är tillfälligt eller fast bosatta i EU kan inhämta de kunskaper, de kvalifikationer och det kunnande som krävs för att klara sig i en öppnare men också mer komplex miljö, med de svårigheter det kan innebära, och dra nytta av möjligheterna i ett mångsidigt och dynamiskt samhälle, såväl inom Europa som i resten av världen.</w:t>
      </w:r>
    </w:p>
    <w:p w:rsidR="00272AA5" w:rsidRPr="00103E70" w:rsidRDefault="00226B8C" w:rsidP="00226B8C">
      <w:pPr>
        <w:pStyle w:val="ManualConsidrant"/>
      </w:pPr>
      <w:r w:rsidRPr="00103E70">
        <w:t>(4)</w:t>
      </w:r>
      <w:r w:rsidRPr="00103E70">
        <w:tab/>
      </w:r>
      <w:r w:rsidR="00272AA5" w:rsidRPr="00103E70">
        <w:t xml:space="preserve">Interkulturell dialog intar en central plats i EU:s uppbyggnad och framstår som det bästa sättet för medborgarna att hantera den komplexa verkligheten i dagens samhälle och skapa större dynamik. </w:t>
      </w:r>
    </w:p>
    <w:p w:rsidR="00272AA5" w:rsidRPr="00103E70" w:rsidRDefault="00226B8C" w:rsidP="00226B8C">
      <w:pPr>
        <w:pStyle w:val="ManualConsidrant"/>
      </w:pPr>
      <w:r w:rsidRPr="00103E70">
        <w:t>(5)</w:t>
      </w:r>
      <w:r w:rsidRPr="00103E70">
        <w:tab/>
      </w:r>
      <w:r w:rsidR="00272AA5" w:rsidRPr="00103E70">
        <w:t>Den interkulturella dialogen bidrar således till att flera av EU:s strategiska prioriteringar kan genomföras, bland annat genom att</w:t>
      </w:r>
      <w:r w:rsidR="00272AA5" w:rsidRPr="00103E70">
        <w:tab/>
      </w:r>
    </w:p>
    <w:p w:rsidR="00272AA5" w:rsidRPr="00103E70" w:rsidRDefault="00272AA5" w:rsidP="0039736B">
      <w:pPr>
        <w:pStyle w:val="Tiret1"/>
      </w:pPr>
      <w:r w:rsidRPr="00103E70">
        <w:t>värna om den kulturella mångfalden i Europa och genom att verka för att EU-medborgarna med utgångspunkt i EU:s gemensamma värderingar visar engagemang,</w:t>
      </w:r>
    </w:p>
    <w:p w:rsidR="00272AA5" w:rsidRPr="00103E70" w:rsidRDefault="00272AA5" w:rsidP="0039736B">
      <w:pPr>
        <w:pStyle w:val="Tiret1"/>
        <w:rPr>
          <w:highlight w:val="yellow"/>
        </w:rPr>
      </w:pPr>
      <w:r w:rsidRPr="00103E70">
        <w:t>ta hänsyn till den nya Lissabonstrategin, enligt vilken kunskapsekonomin behöver människor som kan anpassa sig efter förändringar och dra nytta av alla former av innovation för att öka välståndet,</w:t>
      </w:r>
    </w:p>
    <w:p w:rsidR="00272AA5" w:rsidRPr="00103E70" w:rsidRDefault="00272AA5" w:rsidP="0039736B">
      <w:pPr>
        <w:pStyle w:val="Tiret1"/>
      </w:pPr>
      <w:r w:rsidRPr="00103E70">
        <w:t>stödja EU:s engagemang för solidaritet, social rättvisa och förbättrad sammanhållning med respekt för EU:s gemensamma värdegrund,</w:t>
      </w:r>
      <w:r w:rsidRPr="00103E70">
        <w:rPr>
          <w:highlight w:val="yellow"/>
        </w:rPr>
        <w:t xml:space="preserve"> </w:t>
      </w:r>
    </w:p>
    <w:p w:rsidR="00272AA5" w:rsidRPr="00103E70" w:rsidRDefault="00272AA5" w:rsidP="0039736B">
      <w:pPr>
        <w:pStyle w:val="Tiret1"/>
      </w:pPr>
      <w:r w:rsidRPr="00103E70">
        <w:t>ge EU bättre möjligheter att göra sin röst hörd i världen och skapa ett effektivt samarbete med grannländerna, för att på så sätt utvidga området med stabilitet och demokrati utanför EU:s gränser och därmed bana väg för välfärd och trygghet för EU-medborgarna och alla andra som bor i Europeiska unionen.</w:t>
      </w:r>
    </w:p>
    <w:p w:rsidR="00272AA5" w:rsidRPr="00103E70" w:rsidRDefault="00226B8C" w:rsidP="00226B8C">
      <w:pPr>
        <w:pStyle w:val="ManualConsidrant"/>
      </w:pPr>
      <w:r w:rsidRPr="00103E70">
        <w:t>(6)</w:t>
      </w:r>
      <w:r w:rsidRPr="00103E70">
        <w:tab/>
      </w:r>
      <w:r w:rsidR="00272AA5" w:rsidRPr="00103E70">
        <w:t>Den interkulturella dialogen är ett viktigt inslag i EU:s politik och instrument på olika områden, t.ex. inom utbildning, ungdomsfrågor, kultur, medborgarskap och idrott, kampen mot olika former av diskriminering och social utslagning, livslångt lärande, kampen mot rasism och främlingsfientlighet, asylpolitik och integration av invandrare, audiovisuell politik och forskning. Dialogen spelar också en allt större roll i Europeiska unionens yttre förbindelser, särskilt förbindelserna med kandidatländerna, länderna på västra Balkan och de länder som berörs av den europeiska grannskapspolitiken</w:t>
      </w:r>
      <w:r w:rsidR="00272AA5" w:rsidRPr="00103E70">
        <w:rPr>
          <w:rStyle w:val="Fotnotsreferens"/>
        </w:rPr>
        <w:footnoteReference w:id="7"/>
      </w:r>
      <w:r w:rsidR="00272AA5" w:rsidRPr="00103E70">
        <w:t>.</w:t>
      </w:r>
    </w:p>
    <w:p w:rsidR="00272AA5" w:rsidRPr="00103E70" w:rsidRDefault="00226B8C" w:rsidP="00226B8C">
      <w:pPr>
        <w:pStyle w:val="ManualConsidrant"/>
      </w:pPr>
      <w:r w:rsidRPr="00103E70">
        <w:t>(7)</w:t>
      </w:r>
      <w:r w:rsidRPr="00103E70">
        <w:tab/>
      </w:r>
      <w:r w:rsidR="00272AA5" w:rsidRPr="00103E70">
        <w:t>Det är av största vikt att alla medborgare och hela det europeiska samhället involveras i en satsning på interkulturell dialog, med utgångspunkt i de många olika erfarenheter och initiativ som står till buds inom unionen.</w:t>
      </w:r>
    </w:p>
    <w:p w:rsidR="00272AA5" w:rsidRPr="00103E70" w:rsidRDefault="00226B8C" w:rsidP="00226B8C">
      <w:pPr>
        <w:pStyle w:val="ManualConsidrant"/>
      </w:pPr>
      <w:r w:rsidRPr="00103E70">
        <w:t>(8)</w:t>
      </w:r>
      <w:r w:rsidRPr="00103E70">
        <w:tab/>
      </w:r>
      <w:r w:rsidR="00272AA5" w:rsidRPr="00103E70">
        <w:t>Med ”engagerade (EU-)medborgare” avses i detta beslut inte enbart unionsmedborgare enligt definitionen i artikel</w:t>
      </w:r>
      <w:r w:rsidR="0039736B" w:rsidRPr="00103E70">
        <w:t xml:space="preserve"> </w:t>
      </w:r>
      <w:r w:rsidR="00272AA5" w:rsidRPr="00103E70">
        <w:t xml:space="preserve">17 i fördraget om Europeiska </w:t>
      </w:r>
      <w:r w:rsidR="0039736B" w:rsidRPr="00103E70">
        <w:t>Unionen</w:t>
      </w:r>
      <w:r w:rsidR="00272AA5" w:rsidRPr="00103E70">
        <w:t xml:space="preserve">, utan alla som är fast eller tillfälligt bosatta i Europeiska unionen. </w:t>
      </w:r>
    </w:p>
    <w:p w:rsidR="00272AA5" w:rsidRPr="00103E70" w:rsidRDefault="00226B8C" w:rsidP="00226B8C">
      <w:pPr>
        <w:pStyle w:val="ManualConsidrant"/>
      </w:pPr>
      <w:r w:rsidRPr="00103E70">
        <w:t>(9)</w:t>
      </w:r>
      <w:r w:rsidRPr="00103E70">
        <w:tab/>
      </w:r>
      <w:r w:rsidR="00272AA5" w:rsidRPr="00103E70">
        <w:t xml:space="preserve">Europeiska unionens gemensamma värderingar är de som anges i artikel 6.1 i fördraget om Europeiska unionen. </w:t>
      </w:r>
    </w:p>
    <w:p w:rsidR="00272AA5" w:rsidRPr="00103E70" w:rsidRDefault="00226B8C" w:rsidP="00226B8C">
      <w:pPr>
        <w:pStyle w:val="ManualConsidrant"/>
      </w:pPr>
      <w:r w:rsidRPr="00103E70">
        <w:t>(10)</w:t>
      </w:r>
      <w:r w:rsidRPr="00103E70">
        <w:tab/>
      </w:r>
      <w:r w:rsidR="00272AA5" w:rsidRPr="00103E70">
        <w:t>Denna satsning bör komplettera alla EU-program och nationella, regionala och lokala initiativ med ett framträdande inslag av interkulturell dialog. Genom Europeiska året för interkulturell dialog förväntas dessa program och initiativ få mer uppmärksamhet och bli mer samstämda, samtidigt som det bidrar till att göra satsningarna på den interkulturella dialogen mer nydanande och ge dem en mer heltäckande och sektorsövergripande dimension.</w:t>
      </w:r>
    </w:p>
    <w:p w:rsidR="00272AA5" w:rsidRPr="00103E70" w:rsidRDefault="00226B8C" w:rsidP="00226B8C">
      <w:pPr>
        <w:pStyle w:val="ManualConsidrant"/>
      </w:pPr>
      <w:r w:rsidRPr="00103E70">
        <w:t>(11)</w:t>
      </w:r>
      <w:r w:rsidRPr="00103E70">
        <w:tab/>
      </w:r>
      <w:r w:rsidR="00272AA5" w:rsidRPr="00103E70">
        <w:t>Det är också viktigt att man i samband med det europeiska året för interkulturell dialog tar hänsyn till de internationella aspekterna i de initiativ för interkulturell dialog som utformats exempelvis med de EFTA-länder som undertecknat EES-avtalet, länderna på västra Balkan och de länder som berörs av den europeiska grannskapspolitiken. Kommissionen bör se till att samstämdhet också råder med eventuella andra initiativ som syftar till samarbete med länder utanför EU, t.ex. utvecklingsländerna, och som har anknytning till målen för den interkulturella dialogen under Europaåret.</w:t>
      </w:r>
    </w:p>
    <w:p w:rsidR="00272AA5" w:rsidRPr="00103E70" w:rsidRDefault="00226B8C" w:rsidP="00226B8C">
      <w:pPr>
        <w:pStyle w:val="ManualConsidrant"/>
      </w:pPr>
      <w:r w:rsidRPr="00103E70">
        <w:t>(12)</w:t>
      </w:r>
      <w:r w:rsidRPr="00103E70">
        <w:tab/>
      </w:r>
      <w:r w:rsidR="00272AA5" w:rsidRPr="00103E70">
        <w:t>Detta beslut riktar sig till medlemsstaterna. Kandidatländerna bör dock göras delaktiga i åtgärderna under Europeiska året för interkulturell dialog genom olika initiativ för att främja den interkulturella dialogen. Dessa initiativ bör utformas inom lämpliga ramar för samarbete och dialog, i synnerhet dialogen mellan de civila samhällena i EU och kandidatländerna</w:t>
      </w:r>
      <w:r w:rsidR="00272AA5" w:rsidRPr="00103E70">
        <w:rPr>
          <w:rStyle w:val="Fotnotsreferens"/>
          <w:color w:val="000000"/>
        </w:rPr>
        <w:footnoteReference w:id="8"/>
      </w:r>
      <w:r w:rsidR="00272AA5" w:rsidRPr="00103E70">
        <w:t xml:space="preserve">. </w:t>
      </w:r>
    </w:p>
    <w:p w:rsidR="00272AA5" w:rsidRPr="00103E70" w:rsidRDefault="00226B8C" w:rsidP="00226B8C">
      <w:pPr>
        <w:pStyle w:val="ManualConsidrant"/>
      </w:pPr>
      <w:r w:rsidRPr="00103E70">
        <w:t>(13)</w:t>
      </w:r>
      <w:r w:rsidRPr="00103E70">
        <w:tab/>
      </w:r>
      <w:r w:rsidR="00272AA5" w:rsidRPr="00103E70">
        <w:t>I detta beslut fastställs för hela programmets löptid en finansieringsram som utgör den särskilda referensen för budgetmyndigheten enligt punkt 33 i det interinstitutionella avtalet av den 6 maj 1999 mellan Europaparlamentet, rådet och kommissionen om budgetdisciplin och förbättring av budgetförfarandet</w:t>
      </w:r>
      <w:r w:rsidR="00272AA5" w:rsidRPr="00103E70">
        <w:rPr>
          <w:rStyle w:val="Fotnotsreferens"/>
          <w:color w:val="000000"/>
        </w:rPr>
        <w:footnoteReference w:id="9"/>
      </w:r>
      <w:r w:rsidR="00272AA5" w:rsidRPr="00103E70">
        <w:t>.</w:t>
      </w:r>
    </w:p>
    <w:p w:rsidR="00272AA5" w:rsidRPr="00103E70" w:rsidRDefault="00226B8C" w:rsidP="00226B8C">
      <w:pPr>
        <w:pStyle w:val="ManualConsidrant"/>
      </w:pPr>
      <w:r w:rsidRPr="00103E70">
        <w:t>(14)</w:t>
      </w:r>
      <w:r w:rsidRPr="00103E70">
        <w:tab/>
      </w:r>
      <w:r w:rsidR="00272AA5" w:rsidRPr="00103E70">
        <w:t>De åtgärder som är nödvändiga för att genomföra detta beslut bör antas i enlighet med rådets beslut 1999/468/EG av den 28 juni 1999 om de förfaranden som skall tillämpas vid utövandet av kommissionens genomförandebefogenheter. En rådgivande kommitté anses därför lämplig för den planerade åtgärden.</w:t>
      </w:r>
    </w:p>
    <w:p w:rsidR="00272AA5" w:rsidRPr="00103E70" w:rsidRDefault="00226B8C" w:rsidP="00226B8C">
      <w:pPr>
        <w:pStyle w:val="ManualConsidrant"/>
      </w:pPr>
      <w:r w:rsidRPr="00103E70">
        <w:t>(15)</w:t>
      </w:r>
      <w:r w:rsidRPr="00103E70">
        <w:tab/>
      </w:r>
      <w:r w:rsidR="00272AA5" w:rsidRPr="00103E70">
        <w:t xml:space="preserve">Eftersom målen för den föreslagna åtgärden inte i tillräcklig utsträckning kan uppnås av medlemsstaterna eftersom det bl.a. krävs multilaterala partnerskap och gränsöverskridande utbyte inom EU och de därför, på grund av åtgärdens omfattning, bättre kan uppnås på gemenskapsnivå, kan gemenskapen vidta åtgärder i enlighet med subsidiaritetsprincipen i artikel 5 i fördraget. I enlighet med proportionalitetsprincipen i samma artikel går detta beslut inte utöver vad som är nödvändigt för att uppnå dessa mål. </w:t>
      </w:r>
    </w:p>
    <w:p w:rsidR="00272AA5" w:rsidRPr="00103E70" w:rsidRDefault="00272AA5" w:rsidP="00CB3D7F">
      <w:pPr>
        <w:pStyle w:val="Formuledadoption"/>
        <w:outlineLvl w:val="0"/>
      </w:pPr>
      <w:r w:rsidRPr="00103E70">
        <w:t>HÄRIGENOM FÖRESKRIVS FÖLJANDE.</w:t>
      </w:r>
    </w:p>
    <w:p w:rsidR="00272AA5" w:rsidRPr="00103E70" w:rsidRDefault="00272AA5">
      <w:pPr>
        <w:pStyle w:val="Titrearticle"/>
        <w:rPr>
          <w:b/>
          <w:i w:val="0"/>
        </w:rPr>
      </w:pPr>
      <w:r w:rsidRPr="00103E70">
        <w:t>Artikel 1</w:t>
      </w:r>
      <w:r w:rsidR="0039736B" w:rsidRPr="00103E70">
        <w:br/>
      </w:r>
      <w:r w:rsidRPr="00103E70">
        <w:rPr>
          <w:b/>
          <w:i w:val="0"/>
        </w:rPr>
        <w:t>Syfte</w:t>
      </w:r>
    </w:p>
    <w:p w:rsidR="00272AA5" w:rsidRPr="00103E70" w:rsidRDefault="00272AA5">
      <w:r w:rsidRPr="00103E70">
        <w:t>År 2008 skall utses till ”Europeiska året för interkulturell dialog”.</w:t>
      </w:r>
    </w:p>
    <w:p w:rsidR="00272AA5" w:rsidRPr="00103E70" w:rsidRDefault="00272AA5">
      <w:pPr>
        <w:pStyle w:val="Titrearticle"/>
        <w:rPr>
          <w:b/>
          <w:i w:val="0"/>
        </w:rPr>
      </w:pPr>
      <w:r w:rsidRPr="00103E70">
        <w:t>Artikel 2</w:t>
      </w:r>
      <w:r w:rsidR="0039736B" w:rsidRPr="00103E70">
        <w:br/>
      </w:r>
      <w:r w:rsidRPr="00103E70">
        <w:rPr>
          <w:b/>
          <w:i w:val="0"/>
          <w:color w:val="000000"/>
        </w:rPr>
        <w:t>Mål</w:t>
      </w:r>
    </w:p>
    <w:p w:rsidR="00272AA5" w:rsidRPr="00103E70" w:rsidRDefault="00272AA5" w:rsidP="00CB3D7F">
      <w:pPr>
        <w:pStyle w:val="ManualNumPar1"/>
        <w:outlineLvl w:val="0"/>
      </w:pPr>
      <w:r w:rsidRPr="00103E70">
        <w:t>1.</w:t>
      </w:r>
      <w:r w:rsidR="0039736B" w:rsidRPr="00103E70">
        <w:tab/>
      </w:r>
      <w:r w:rsidRPr="00103E70">
        <w:t xml:space="preserve">Följande allmänna mål har ställts upp för Europeiska året för interkulturell dialog: </w:t>
      </w:r>
    </w:p>
    <w:p w:rsidR="00272AA5" w:rsidRPr="00103E70" w:rsidRDefault="00272AA5" w:rsidP="0039736B">
      <w:pPr>
        <w:pStyle w:val="Tiret1"/>
      </w:pPr>
      <w:r w:rsidRPr="00103E70">
        <w:t>Att främja den interkulturella dialogen som ett instrument som kan hjälpa EU:s medborgare och alla andra som är tillfälligt eller fast bosatta i EU att inhämta de kunskaper, de kvalifikationer och det kunnande som krävs för att klara sig i en öppnare men också mer komplex miljö, med de eventuella svårigheter det kan innebära, för att kunna dra nytta av möjligheterna i ett mångsidigt och dynamiskt samhälle, såväl inom Europa som i resten av världen.</w:t>
      </w:r>
    </w:p>
    <w:p w:rsidR="00272AA5" w:rsidRPr="00103E70" w:rsidRDefault="00272AA5" w:rsidP="0039736B">
      <w:pPr>
        <w:pStyle w:val="Tiret1"/>
      </w:pPr>
      <w:r w:rsidRPr="00103E70">
        <w:t>Att ge EU:s medborgare, och alla andra som är bosatta i EU, insikt i hur viktigt det är att vara engagerade medborgare och visa öppenhet inför resten av världen och respekt för kulturella skillnader, med utgångspunkt i EU:s gemensamma värderingar, dvs. respekt för människans värdighet, frihet, jämlikhet, icke-diskriminering, solidaritet, demokrati, rättsstatsprincipen samt respekt för de mänskliga rättigheterna, inklusive rättigheter för personer som tillhör minoriteter.</w:t>
      </w:r>
    </w:p>
    <w:p w:rsidR="00272AA5" w:rsidRPr="00103E70" w:rsidRDefault="00272AA5" w:rsidP="00CB3D7F">
      <w:pPr>
        <w:pStyle w:val="ManualNumPar1"/>
        <w:outlineLvl w:val="0"/>
      </w:pPr>
      <w:r w:rsidRPr="00103E70">
        <w:t>2.</w:t>
      </w:r>
      <w:r w:rsidR="0039736B" w:rsidRPr="00103E70">
        <w:tab/>
      </w:r>
      <w:r w:rsidRPr="00103E70">
        <w:t xml:space="preserve">Följande särskilda mål har ställts upp för Europeiska året för interkulturell dialog: </w:t>
      </w:r>
    </w:p>
    <w:p w:rsidR="00272AA5" w:rsidRPr="00103E70" w:rsidRDefault="00272AA5" w:rsidP="0039736B">
      <w:pPr>
        <w:pStyle w:val="Tiret1"/>
      </w:pPr>
      <w:r w:rsidRPr="00103E70">
        <w:t xml:space="preserve">Att göra samtliga EU-program och EU-åtgärder som medverkar till den interkulturella dialogen synligare och mer samstämda. </w:t>
      </w:r>
    </w:p>
    <w:p w:rsidR="00272AA5" w:rsidRPr="00103E70" w:rsidRDefault="00272AA5" w:rsidP="0039736B">
      <w:pPr>
        <w:pStyle w:val="Tiret1"/>
      </w:pPr>
      <w:r w:rsidRPr="00103E70">
        <w:t>Att lyfta fram olika kulturers bidrag till vårt kulturarv och till vårt levnadssätt; att ge EU-medborgare och alla andra som bor i EU, särskilt ungdomar, insikt i hur man genom interkulturell dialog kan visa engagemang och öppenhet inför resten av världen och respekt inför den kulturella mångfalden med utgångspunkt i EU:s gemensamma värderingar.</w:t>
      </w:r>
    </w:p>
    <w:p w:rsidR="00272AA5" w:rsidRPr="00103E70" w:rsidRDefault="00272AA5" w:rsidP="0039736B">
      <w:pPr>
        <w:pStyle w:val="Tiret1"/>
      </w:pPr>
      <w:r w:rsidRPr="00103E70">
        <w:t>Att bidra till innovation och en övergripande strategi som syftar till att lyfta fram den interkulturella dialogen på alla områden, och särskilt bland ungdomar.</w:t>
      </w:r>
    </w:p>
    <w:p w:rsidR="00272AA5" w:rsidRPr="00103E70" w:rsidRDefault="00272AA5">
      <w:pPr>
        <w:pStyle w:val="Titrearticle"/>
        <w:rPr>
          <w:b/>
          <w:i w:val="0"/>
        </w:rPr>
      </w:pPr>
      <w:r w:rsidRPr="00103E70">
        <w:t>Artikel 3</w:t>
      </w:r>
      <w:r w:rsidR="0039736B" w:rsidRPr="00103E70">
        <w:br/>
      </w:r>
      <w:r w:rsidRPr="00103E70">
        <w:rPr>
          <w:b/>
          <w:i w:val="0"/>
          <w:color w:val="000000"/>
        </w:rPr>
        <w:t>Åtgärdernas innehåll</w:t>
      </w:r>
    </w:p>
    <w:p w:rsidR="00272AA5" w:rsidRPr="00103E70" w:rsidRDefault="00272AA5">
      <w:pPr>
        <w:rPr>
          <w:b/>
          <w:bCs/>
        </w:rPr>
      </w:pPr>
      <w:r w:rsidRPr="00103E70">
        <w:rPr>
          <w:color w:val="000000"/>
        </w:rPr>
        <w:t>I bilagan anges vilka åtgärder som skall vidtas för att uppnå målen i artikel 2.</w:t>
      </w:r>
      <w:r w:rsidRPr="00103E70">
        <w:t xml:space="preserve"> </w:t>
      </w:r>
    </w:p>
    <w:p w:rsidR="00272AA5" w:rsidRPr="00103E70" w:rsidRDefault="00272AA5">
      <w:r w:rsidRPr="00103E70">
        <w:rPr>
          <w:color w:val="000000"/>
        </w:rPr>
        <w:t xml:space="preserve">Åtgärderna omfattar genomförandet av, eller stöd till, följande typer av verksamhet: </w:t>
      </w:r>
    </w:p>
    <w:p w:rsidR="00272AA5" w:rsidRPr="00103E70" w:rsidRDefault="00272AA5" w:rsidP="0039736B">
      <w:pPr>
        <w:pStyle w:val="ListNumberLevel2"/>
      </w:pPr>
      <w:r w:rsidRPr="00103E70">
        <w:t>Informations- och PR-kampanjer på EU-nivå och i medlemsstaterna i samarbete med media för att sprida de budskap som står i centrum för Europeiska året för interkulturell dialog.</w:t>
      </w:r>
    </w:p>
    <w:p w:rsidR="00272AA5" w:rsidRPr="00103E70" w:rsidRDefault="00272AA5" w:rsidP="0039736B">
      <w:pPr>
        <w:pStyle w:val="ListNumberLevel2"/>
      </w:pPr>
      <w:r w:rsidRPr="00103E70">
        <w:t>Europatäckande evenemang och initiativ för att främja den interkulturella dialogen och för att lyfta fram resultat och erfarenheter som gjorts på området för interkulturell dialog.</w:t>
      </w:r>
    </w:p>
    <w:p w:rsidR="00272AA5" w:rsidRPr="00103E70" w:rsidRDefault="00272AA5" w:rsidP="0039736B">
      <w:pPr>
        <w:pStyle w:val="ListNumberLevel2"/>
        <w:rPr>
          <w:b/>
          <w:bCs/>
        </w:rPr>
      </w:pPr>
      <w:r w:rsidRPr="00103E70">
        <w:t>Nationella evenemang och initiativ med en stark EU-dimension som synliggör målen för Europeiska året för interkulturell dialog.</w:t>
      </w:r>
    </w:p>
    <w:p w:rsidR="00272AA5" w:rsidRPr="00103E70" w:rsidRDefault="00272AA5" w:rsidP="0039736B">
      <w:pPr>
        <w:pStyle w:val="ListNumberLevel2"/>
      </w:pPr>
      <w:r w:rsidRPr="00103E70">
        <w:t>Enkäter och undersökningar på EU-nivå och på nationell nivå för att utvärdera och kartlägga förberedelser, effektivitet, genomslag och uppföljning på sikt av Europeiska året för interkulturell dialog.</w:t>
      </w:r>
    </w:p>
    <w:p w:rsidR="00272AA5" w:rsidRPr="00103E70" w:rsidRDefault="00272AA5">
      <w:pPr>
        <w:pStyle w:val="Titrearticle"/>
        <w:rPr>
          <w:b/>
          <w:i w:val="0"/>
        </w:rPr>
      </w:pPr>
      <w:r w:rsidRPr="00103E70">
        <w:t>Artikel 4</w:t>
      </w:r>
      <w:r w:rsidR="0039736B" w:rsidRPr="00103E70">
        <w:br/>
      </w:r>
      <w:r w:rsidRPr="00103E70">
        <w:rPr>
          <w:b/>
          <w:i w:val="0"/>
          <w:color w:val="000000"/>
        </w:rPr>
        <w:t>Genomförande</w:t>
      </w:r>
    </w:p>
    <w:p w:rsidR="00272AA5" w:rsidRPr="00103E70" w:rsidRDefault="00272AA5">
      <w:pPr>
        <w:rPr>
          <w:b/>
          <w:bCs/>
        </w:rPr>
      </w:pPr>
      <w:r w:rsidRPr="00103E70">
        <w:rPr>
          <w:color w:val="000000"/>
        </w:rPr>
        <w:t>De åtgärder som är nödvändiga för att genomföra detta beslut skall antas i enlighet med det förfarande som avses i artikel 6.2.</w:t>
      </w:r>
      <w:r w:rsidRPr="00103E70">
        <w:t xml:space="preserve"> </w:t>
      </w:r>
    </w:p>
    <w:p w:rsidR="00272AA5" w:rsidRPr="00103E70" w:rsidRDefault="00272AA5">
      <w:pPr>
        <w:pStyle w:val="Titrearticle"/>
        <w:rPr>
          <w:b/>
          <w:i w:val="0"/>
        </w:rPr>
      </w:pPr>
      <w:r w:rsidRPr="00103E70">
        <w:t>Artikel 5</w:t>
      </w:r>
      <w:r w:rsidR="0039736B" w:rsidRPr="00103E70">
        <w:br/>
      </w:r>
      <w:r w:rsidRPr="00103E70">
        <w:rPr>
          <w:b/>
          <w:i w:val="0"/>
          <w:color w:val="000000"/>
        </w:rPr>
        <w:t>Samarbete mellan medlemsstaterna</w:t>
      </w:r>
    </w:p>
    <w:p w:rsidR="00272AA5" w:rsidRPr="00103E70" w:rsidRDefault="00272AA5">
      <w:pPr>
        <w:rPr>
          <w:b/>
          <w:bCs/>
        </w:rPr>
      </w:pPr>
      <w:r w:rsidRPr="00103E70">
        <w:rPr>
          <w:color w:val="000000"/>
        </w:rPr>
        <w:t>Varje medlemsstat skall utse ett nationellt samordningsorgan eller motsvarande administrativt organ som skall organisera landets deltagande i Europeiska året för interkulturell dialog.</w:t>
      </w:r>
      <w:r w:rsidRPr="00103E70">
        <w:t xml:space="preserve"> </w:t>
      </w:r>
      <w:r w:rsidRPr="00103E70">
        <w:rPr>
          <w:color w:val="000000"/>
        </w:rPr>
        <w:t>Varje medlemsstat skall se till att detta organ på lämpligt sätt för samman de olika aktörer som medverkar i den interkulturella dialogen på nationell nivå.</w:t>
      </w:r>
      <w:r w:rsidRPr="00103E70">
        <w:t xml:space="preserve"> </w:t>
      </w:r>
      <w:r w:rsidRPr="00103E70">
        <w:rPr>
          <w:color w:val="000000"/>
        </w:rPr>
        <w:t>Organet skall ansvara för den nationella samordningen av de insatser som görs i samband med Europeiska året för interkulturell dialog.</w:t>
      </w:r>
      <w:r w:rsidRPr="00103E70">
        <w:t xml:space="preserve"> </w:t>
      </w:r>
    </w:p>
    <w:p w:rsidR="00272AA5" w:rsidRPr="00103E70" w:rsidRDefault="00272AA5">
      <w:pPr>
        <w:pStyle w:val="Titrearticle"/>
        <w:rPr>
          <w:b/>
          <w:i w:val="0"/>
        </w:rPr>
      </w:pPr>
      <w:r w:rsidRPr="00103E70">
        <w:t>Artikel 6</w:t>
      </w:r>
      <w:r w:rsidR="0039736B" w:rsidRPr="00103E70">
        <w:br/>
      </w:r>
      <w:r w:rsidRPr="00103E70">
        <w:rPr>
          <w:b/>
          <w:i w:val="0"/>
          <w:color w:val="000000"/>
        </w:rPr>
        <w:t>Kommittéförfarande</w:t>
      </w:r>
    </w:p>
    <w:p w:rsidR="00272AA5" w:rsidRPr="00103E70" w:rsidRDefault="00272AA5" w:rsidP="0039736B">
      <w:pPr>
        <w:pStyle w:val="ManualNumPar1"/>
        <w:rPr>
          <w:b/>
          <w:bCs/>
        </w:rPr>
      </w:pPr>
      <w:r w:rsidRPr="00103E70">
        <w:t>1.</w:t>
      </w:r>
      <w:r w:rsidR="0039736B" w:rsidRPr="00103E70">
        <w:tab/>
      </w:r>
      <w:r w:rsidRPr="00103E70">
        <w:t xml:space="preserve">Kommissionen skall biträdas av en kommitté. </w:t>
      </w:r>
    </w:p>
    <w:p w:rsidR="00272AA5" w:rsidRPr="00103E70" w:rsidRDefault="00272AA5" w:rsidP="0039736B">
      <w:pPr>
        <w:pStyle w:val="ManualNumPar1"/>
      </w:pPr>
      <w:r w:rsidRPr="00103E70">
        <w:t>2.</w:t>
      </w:r>
      <w:r w:rsidR="0039736B" w:rsidRPr="00103E70">
        <w:tab/>
      </w:r>
      <w:r w:rsidRPr="00103E70">
        <w:t>När det hänvisas till denna punkt skall artiklarna 3 och 7 i beslut 1999/468/EG tillämpas, med beaktande av bestämmelserna i artikel 8 i det beslutet.</w:t>
      </w:r>
    </w:p>
    <w:p w:rsidR="00272AA5" w:rsidRPr="00103E70" w:rsidRDefault="00272AA5" w:rsidP="0039736B">
      <w:pPr>
        <w:pStyle w:val="ManualNumPar1"/>
      </w:pPr>
      <w:r w:rsidRPr="00103E70">
        <w:t>3.</w:t>
      </w:r>
      <w:r w:rsidR="0039736B" w:rsidRPr="00103E70">
        <w:tab/>
      </w:r>
      <w:r w:rsidRPr="00103E70">
        <w:t xml:space="preserve">Kommittén skall själv anta sin arbetsordning. </w:t>
      </w:r>
    </w:p>
    <w:p w:rsidR="00272AA5" w:rsidRPr="00103E70" w:rsidRDefault="00272AA5">
      <w:pPr>
        <w:pStyle w:val="Titrearticle"/>
        <w:rPr>
          <w:b/>
          <w:i w:val="0"/>
        </w:rPr>
      </w:pPr>
      <w:r w:rsidRPr="00103E70">
        <w:t>Artikel 7</w:t>
      </w:r>
      <w:r w:rsidR="0039736B" w:rsidRPr="00103E70">
        <w:br/>
      </w:r>
      <w:r w:rsidRPr="00103E70">
        <w:rPr>
          <w:b/>
          <w:i w:val="0"/>
          <w:color w:val="000000"/>
        </w:rPr>
        <w:t>Finansiella bestämmelser</w:t>
      </w:r>
    </w:p>
    <w:p w:rsidR="00272AA5" w:rsidRPr="00103E70" w:rsidRDefault="00272AA5" w:rsidP="0039736B">
      <w:pPr>
        <w:pStyle w:val="ManualNumPar1"/>
        <w:rPr>
          <w:b/>
          <w:bCs/>
        </w:rPr>
      </w:pPr>
      <w:r w:rsidRPr="00103E70">
        <w:t>1.</w:t>
      </w:r>
      <w:r w:rsidR="0039736B" w:rsidRPr="00103E70">
        <w:tab/>
      </w:r>
      <w:r w:rsidRPr="00103E70">
        <w:t xml:space="preserve">De gemenskapsomfattande åtgärder som beskrivs i del A i bilagan skall bli föremål för ett upphandlingsförfarande eller beviljas stöd genom Europeiska gemenskapernas allmänna budget. </w:t>
      </w:r>
    </w:p>
    <w:p w:rsidR="00272AA5" w:rsidRPr="00103E70" w:rsidRDefault="00272AA5" w:rsidP="0039736B">
      <w:pPr>
        <w:pStyle w:val="ManualNumPar1"/>
        <w:rPr>
          <w:b/>
          <w:bCs/>
        </w:rPr>
      </w:pPr>
      <w:r w:rsidRPr="00103E70">
        <w:t>2.</w:t>
      </w:r>
      <w:r w:rsidR="0039736B" w:rsidRPr="00103E70">
        <w:tab/>
      </w:r>
      <w:r w:rsidRPr="00103E70">
        <w:t xml:space="preserve">De gemenskapsomfattande åtgärder som beskrivs i del B i bilagan kan beviljas stöd från Europeiska gemenskapernas allmänna budget med upp till 80 % av de totala kostnaderna. </w:t>
      </w:r>
    </w:p>
    <w:p w:rsidR="00272AA5" w:rsidRPr="00103E70" w:rsidRDefault="00272AA5" w:rsidP="0039736B">
      <w:pPr>
        <w:pStyle w:val="ManualNumPar1"/>
        <w:rPr>
          <w:b/>
          <w:bCs/>
        </w:rPr>
      </w:pPr>
      <w:r w:rsidRPr="00103E70">
        <w:t>3.</w:t>
      </w:r>
      <w:r w:rsidR="0039736B" w:rsidRPr="00103E70">
        <w:tab/>
      </w:r>
      <w:r w:rsidRPr="00103E70">
        <w:t>De åtgärder som avses i del C i bilagan kan i enlighet med förfarandet i artikel 8 beviljas stöd från Europeiska gemenskapernas allmänna budget med upp till 50 % av de totala kostnaderna.</w:t>
      </w:r>
    </w:p>
    <w:p w:rsidR="00272AA5" w:rsidRPr="00103E70" w:rsidRDefault="00272AA5">
      <w:pPr>
        <w:pStyle w:val="Titrearticle"/>
        <w:rPr>
          <w:b/>
          <w:i w:val="0"/>
        </w:rPr>
      </w:pPr>
      <w:r w:rsidRPr="00103E70">
        <w:t>Artikel 8</w:t>
      </w:r>
      <w:r w:rsidR="0039736B" w:rsidRPr="00103E70">
        <w:br/>
      </w:r>
      <w:r w:rsidRPr="00103E70">
        <w:rPr>
          <w:b/>
          <w:i w:val="0"/>
          <w:color w:val="000000"/>
        </w:rPr>
        <w:t>Ansöknings- och urvalsförfarande</w:t>
      </w:r>
    </w:p>
    <w:p w:rsidR="00272AA5" w:rsidRPr="00103E70" w:rsidRDefault="00272AA5" w:rsidP="0039736B">
      <w:pPr>
        <w:pStyle w:val="ManualNumPar1"/>
      </w:pPr>
      <w:r w:rsidRPr="00103E70">
        <w:t>1.</w:t>
      </w:r>
      <w:r w:rsidR="0039736B" w:rsidRPr="00103E70">
        <w:tab/>
      </w:r>
      <w:r w:rsidRPr="00103E70">
        <w:t xml:space="preserve">Beslut om att bevilja stöd fattas av kommissionen enligt förfarandet i artikel 6.2. Kommissionen skall se till att anslagen fördelas jämnt mellan medlemsstaterna och mellan de olika verksamhetsområden som berörs. </w:t>
      </w:r>
    </w:p>
    <w:p w:rsidR="00272AA5" w:rsidRPr="00103E70" w:rsidRDefault="00272AA5" w:rsidP="0039736B">
      <w:pPr>
        <w:pStyle w:val="ManualNumPar1"/>
        <w:rPr>
          <w:b/>
          <w:bCs/>
        </w:rPr>
      </w:pPr>
      <w:r w:rsidRPr="00103E70">
        <w:t>2.</w:t>
      </w:r>
      <w:r w:rsidR="0039736B" w:rsidRPr="00103E70">
        <w:tab/>
      </w:r>
      <w:r w:rsidRPr="00103E70">
        <w:t>Ansökningar om stöd enligt artikel 7.3 överlämnas till kommissionen av det organ som avses i artikel 5.</w:t>
      </w:r>
    </w:p>
    <w:p w:rsidR="00272AA5" w:rsidRPr="00103E70" w:rsidRDefault="00272AA5">
      <w:pPr>
        <w:pStyle w:val="Titrearticle"/>
        <w:rPr>
          <w:b/>
          <w:i w:val="0"/>
        </w:rPr>
      </w:pPr>
      <w:r w:rsidRPr="00103E70">
        <w:t>Artikel 9</w:t>
      </w:r>
      <w:r w:rsidR="0039736B" w:rsidRPr="00103E70">
        <w:br/>
      </w:r>
      <w:r w:rsidRPr="00103E70">
        <w:rPr>
          <w:b/>
          <w:i w:val="0"/>
          <w:color w:val="000000"/>
        </w:rPr>
        <w:t>Internationella organisationer</w:t>
      </w:r>
    </w:p>
    <w:p w:rsidR="00272AA5" w:rsidRPr="00103E70" w:rsidRDefault="00272AA5">
      <w:pPr>
        <w:rPr>
          <w:b/>
          <w:bCs/>
        </w:rPr>
      </w:pPr>
      <w:r w:rsidRPr="00103E70">
        <w:rPr>
          <w:color w:val="000000"/>
        </w:rPr>
        <w:t>För att genomföra Europeiska året för interkulturell dialog får kommissionen samarbeta med lämpliga internationella organisationer.</w:t>
      </w:r>
    </w:p>
    <w:p w:rsidR="00272AA5" w:rsidRPr="00103E70" w:rsidRDefault="00272AA5">
      <w:pPr>
        <w:pStyle w:val="Titrearticle"/>
        <w:rPr>
          <w:b/>
          <w:i w:val="0"/>
        </w:rPr>
      </w:pPr>
      <w:r w:rsidRPr="00103E70">
        <w:t>Artikel 10</w:t>
      </w:r>
      <w:r w:rsidR="0039736B" w:rsidRPr="00103E70">
        <w:br/>
      </w:r>
      <w:r w:rsidRPr="00103E70">
        <w:rPr>
          <w:b/>
          <w:i w:val="0"/>
          <w:color w:val="000000"/>
        </w:rPr>
        <w:t>Kommissionens roll</w:t>
      </w:r>
    </w:p>
    <w:p w:rsidR="00272AA5" w:rsidRPr="00103E70" w:rsidRDefault="00272AA5" w:rsidP="0039736B">
      <w:pPr>
        <w:pStyle w:val="ManualNumPar1"/>
      </w:pPr>
      <w:r w:rsidRPr="00103E70">
        <w:t>1.</w:t>
      </w:r>
      <w:r w:rsidR="0039736B" w:rsidRPr="00103E70">
        <w:tab/>
      </w:r>
      <w:r w:rsidRPr="00103E70">
        <w:t xml:space="preserve">Kommissionen skall se till att de åtgärder som avses i detta beslut och övriga EU-åtgärder och EU-initiativ är samstämda. </w:t>
      </w:r>
    </w:p>
    <w:p w:rsidR="00272AA5" w:rsidRPr="00103E70" w:rsidRDefault="00272AA5" w:rsidP="0039736B">
      <w:pPr>
        <w:pStyle w:val="ManualNumPar1"/>
      </w:pPr>
      <w:r w:rsidRPr="00103E70">
        <w:t>2.</w:t>
      </w:r>
      <w:r w:rsidR="0039736B" w:rsidRPr="00103E70">
        <w:tab/>
      </w:r>
      <w:r w:rsidRPr="00103E70">
        <w:t xml:space="preserve">Kommissionen skall se till att kandidatländerna görs delaktiga i Europeiska året för interkulturell dialog genom de många EU-program som har inslag av interkulturell dialog och genom att göra särskilda satsningar inom lämpliga ramar, t.ex. dialogen mellan Europeiska unionens och kandidatländernas civila samhällen. </w:t>
      </w:r>
    </w:p>
    <w:p w:rsidR="00272AA5" w:rsidRPr="00103E70" w:rsidRDefault="00272AA5" w:rsidP="0039736B">
      <w:pPr>
        <w:pStyle w:val="ManualNumPar1"/>
      </w:pPr>
      <w:r w:rsidRPr="00103E70">
        <w:t>3.</w:t>
      </w:r>
      <w:r w:rsidR="0039736B" w:rsidRPr="00103E70">
        <w:tab/>
      </w:r>
      <w:r w:rsidRPr="00103E70">
        <w:t>Kommissionen skall se till att de åtgärder som vidtas som ett led i Europeiska året för interkulturell dialog kompletterar eventuella initiativ inom ramen för relevant samarbete och dialog med de EFTA-länder som undertecknat EES-avtalet, länderna på västra Balkan och de länder som berörs av den europeiska grannskapspolitiken.</w:t>
      </w:r>
    </w:p>
    <w:p w:rsidR="00272AA5" w:rsidRPr="00103E70" w:rsidRDefault="00272AA5" w:rsidP="0039736B">
      <w:pPr>
        <w:pStyle w:val="ManualNumPar1"/>
        <w:rPr>
          <w:b/>
          <w:bCs/>
        </w:rPr>
      </w:pPr>
      <w:r w:rsidRPr="00103E70">
        <w:t>4.</w:t>
      </w:r>
      <w:r w:rsidR="0039736B" w:rsidRPr="00103E70">
        <w:tab/>
      </w:r>
      <w:r w:rsidRPr="00103E70">
        <w:t xml:space="preserve">Kommissionen bör se till att samstämdhet också råder med eventuella andra initiativ som syftar till samarbete med länder utanför EU, t.ex. utvecklingsländerna, och som har anknytning till målen för den interkulturella dialogen under Europaåret. </w:t>
      </w:r>
    </w:p>
    <w:p w:rsidR="00272AA5" w:rsidRPr="00103E70" w:rsidRDefault="00272AA5">
      <w:pPr>
        <w:pStyle w:val="Titrearticle"/>
        <w:rPr>
          <w:b/>
          <w:i w:val="0"/>
        </w:rPr>
      </w:pPr>
      <w:r w:rsidRPr="00103E70">
        <w:t>Artikel 11</w:t>
      </w:r>
      <w:r w:rsidR="0039736B" w:rsidRPr="00103E70">
        <w:br/>
      </w:r>
      <w:r w:rsidRPr="00103E70">
        <w:rPr>
          <w:b/>
          <w:i w:val="0"/>
          <w:color w:val="000000"/>
        </w:rPr>
        <w:t>Budget</w:t>
      </w:r>
    </w:p>
    <w:p w:rsidR="00272AA5" w:rsidRPr="00103E70" w:rsidRDefault="00272AA5" w:rsidP="0039736B">
      <w:pPr>
        <w:pStyle w:val="ManualNumPar1"/>
      </w:pPr>
      <w:r w:rsidRPr="00103E70">
        <w:t>1.</w:t>
      </w:r>
      <w:r w:rsidR="0039736B" w:rsidRPr="00103E70">
        <w:tab/>
      </w:r>
      <w:r w:rsidRPr="00103E70">
        <w:t xml:space="preserve">Finansieringsramen för att genomföra detta beslut under perioden 1 januari 2007–31 december 2008 fastställs härmed till 10 miljoner euro. </w:t>
      </w:r>
    </w:p>
    <w:p w:rsidR="00272AA5" w:rsidRPr="00103E70" w:rsidRDefault="00272AA5" w:rsidP="0039736B">
      <w:pPr>
        <w:pStyle w:val="ManualNumPar1"/>
      </w:pPr>
      <w:r w:rsidRPr="00103E70">
        <w:t>2.</w:t>
      </w:r>
      <w:r w:rsidR="0039736B" w:rsidRPr="00103E70">
        <w:tab/>
      </w:r>
      <w:r w:rsidRPr="00103E70">
        <w:t xml:space="preserve">De årliga anslagen kommer att anslås av budgetmyndigheten inom ramen för budgetplanen. </w:t>
      </w:r>
    </w:p>
    <w:p w:rsidR="00272AA5" w:rsidRPr="00103E70" w:rsidRDefault="00272AA5" w:rsidP="0039736B">
      <w:pPr>
        <w:pStyle w:val="Titrearticle"/>
        <w:rPr>
          <w:b/>
          <w:i w:val="0"/>
        </w:rPr>
      </w:pPr>
      <w:r w:rsidRPr="00103E70">
        <w:t>Artikel 12</w:t>
      </w:r>
      <w:r w:rsidR="0039736B" w:rsidRPr="00103E70">
        <w:br/>
      </w:r>
      <w:r w:rsidRPr="00103E70">
        <w:rPr>
          <w:b/>
          <w:i w:val="0"/>
        </w:rPr>
        <w:t>Skydd av gemenskapens ekonomiska intressen</w:t>
      </w:r>
    </w:p>
    <w:p w:rsidR="00272AA5" w:rsidRPr="00103E70" w:rsidRDefault="00272AA5" w:rsidP="0039736B">
      <w:pPr>
        <w:pStyle w:val="ManualNumPar1"/>
      </w:pPr>
      <w:r w:rsidRPr="00103E70">
        <w:t>1.</w:t>
      </w:r>
      <w:r w:rsidR="0039736B" w:rsidRPr="00103E70">
        <w:tab/>
      </w:r>
      <w:r w:rsidRPr="00103E70">
        <w:t>När åtgärder som finansieras enligt detta beslut genomförs, skall kommissionen se till att gemenskapens ekonomiska intressen skyddas genom förebyggande åtgärder mot bedrägeri, korruption och annan olaglig verksamhet, genom verkningsfulla kontroller och återkrävande av orättmätigt utbetalda belopp, och – om oegentligheter påvisas – genom verkningsfulla, proportionella och avskräckande påföljder i enlighet med rådets förordningar (EG, Euratom) nr 2988/95 och (Euratom, EG) nr 2185/96 samt Europaparlamentets och rådets förordning (EG) nr 1073/1999.</w:t>
      </w:r>
    </w:p>
    <w:p w:rsidR="00272AA5" w:rsidRPr="00103E70" w:rsidRDefault="00272AA5" w:rsidP="0039736B">
      <w:pPr>
        <w:pStyle w:val="ManualNumPar1"/>
      </w:pPr>
      <w:r w:rsidRPr="00103E70">
        <w:t>2.</w:t>
      </w:r>
      <w:r w:rsidR="0039736B" w:rsidRPr="00103E70">
        <w:tab/>
      </w:r>
      <w:r w:rsidRPr="00103E70">
        <w:t>För de EU-åtgärder som finansieras enligt detta beslut skall med sådana oegentligheter som avses i artikel 1.2 i förordning (EG, Euratom) nr 2988/95 menas varje överträdelse av en bestämmelse i gemenskapsrätten eller brott mot en bestämmelse i ett avtal som är följden av en handling eller en underlåtenhet av en ekonomisk aktör och som genom en otillbörlig utgift har lett eller skulle ha kunnat leda till en negativ ekonomisk effekt för gemenskapernas allmänna budget eller budgetar som de förvaltar.</w:t>
      </w:r>
    </w:p>
    <w:p w:rsidR="00272AA5" w:rsidRPr="00103E70" w:rsidRDefault="00272AA5" w:rsidP="0039736B">
      <w:pPr>
        <w:pStyle w:val="ManualNumPar1"/>
      </w:pPr>
      <w:r w:rsidRPr="00103E70">
        <w:t>3.</w:t>
      </w:r>
      <w:r w:rsidR="0039736B" w:rsidRPr="00103E70">
        <w:tab/>
      </w:r>
      <w:r w:rsidRPr="00103E70">
        <w:t>Kommissionen skall minska, hålla inne eller kräva återbetalning av det ekonomiska stöd som beviljats för en åtgärd om oegentligheter konstateras, t.ex. underlåtenhet att följa bestämmelserna i detta beslut eller i det enskilda beslutet eller kontraktet om det finansiella stödet i fråga, eller om det visar sig att åtgärden undergått en väsentlig förändring som är oförenlig med åtgärdens karaktär eller som strider mot villkoren för genomförandet, utan att kommissionens godkännande har inhämtats.</w:t>
      </w:r>
    </w:p>
    <w:p w:rsidR="00272AA5" w:rsidRPr="00103E70" w:rsidRDefault="00272AA5" w:rsidP="0039736B">
      <w:pPr>
        <w:pStyle w:val="ManualNumPar1"/>
      </w:pPr>
      <w:r w:rsidRPr="00103E70">
        <w:t>4.</w:t>
      </w:r>
      <w:r w:rsidR="0039736B" w:rsidRPr="00103E70">
        <w:tab/>
      </w:r>
      <w:r w:rsidRPr="00103E70">
        <w:t>Om tidsfristerna inte har hållits eller om endast en del av det tilldelade ekonomiska stödet är berättigat med hänsyn till genomförandet av en åtgärd, skall kommissionen anmoda stödmottagaren att yttra sig inom en viss tid. Om stödmottagaren inte ger en tillfredsställande förklaring kan kommissionen vägra att utbetala det resterande ekonomiska stödet och kräva återbetalning av tidigare utbetalda belopp.</w:t>
      </w:r>
    </w:p>
    <w:p w:rsidR="00272AA5" w:rsidRPr="00103E70" w:rsidRDefault="00272AA5" w:rsidP="0039736B">
      <w:pPr>
        <w:pStyle w:val="ManualNumPar1"/>
      </w:pPr>
      <w:r w:rsidRPr="00103E70">
        <w:t>5.</w:t>
      </w:r>
      <w:r w:rsidR="0039736B" w:rsidRPr="00103E70">
        <w:tab/>
      </w:r>
      <w:r w:rsidRPr="00103E70">
        <w:t>Alla felaktigt utbetalda belopp måste återbetalas till kommissionen. Ränta skall läggas till belopp som inte återbetalas i tid enligt villkoren i budgetförordningen.</w:t>
      </w:r>
    </w:p>
    <w:p w:rsidR="00272AA5" w:rsidRPr="00103E70" w:rsidRDefault="00272AA5" w:rsidP="0039736B">
      <w:pPr>
        <w:pStyle w:val="Titrearticle"/>
        <w:rPr>
          <w:b/>
          <w:i w:val="0"/>
        </w:rPr>
      </w:pPr>
      <w:r w:rsidRPr="00103E70">
        <w:t>Artikel 13</w:t>
      </w:r>
      <w:r w:rsidR="0039736B" w:rsidRPr="00103E70">
        <w:br/>
      </w:r>
      <w:r w:rsidRPr="00103E70">
        <w:rPr>
          <w:b/>
          <w:i w:val="0"/>
          <w:color w:val="000000"/>
        </w:rPr>
        <w:t>Kontroll</w:t>
      </w:r>
    </w:p>
    <w:p w:rsidR="00272AA5" w:rsidRPr="00103E70" w:rsidRDefault="00272AA5" w:rsidP="0039736B">
      <w:pPr>
        <w:pStyle w:val="ManualNumPar1"/>
      </w:pPr>
      <w:r w:rsidRPr="00103E70">
        <w:t>1.</w:t>
      </w:r>
      <w:r w:rsidR="0039736B" w:rsidRPr="00103E70">
        <w:tab/>
      </w:r>
      <w:r w:rsidRPr="00103E70">
        <w:t>För varje åtgärd som fått stöd enligt detta beslut skall stödmottagaren lägga fram tekniska och ekonomiska rapporter om hur arbetet fortskrider. En slutrapport skall också läggas fram senast tre månader efter att åtgärden slutförts. Kommissionen skall fastställa vilken form och vilket innehåll dessa rapporter skall ha.</w:t>
      </w:r>
    </w:p>
    <w:p w:rsidR="00272AA5" w:rsidRPr="00103E70" w:rsidRDefault="00272AA5" w:rsidP="0039736B">
      <w:pPr>
        <w:pStyle w:val="ManualNumPar1"/>
      </w:pPr>
      <w:r w:rsidRPr="00103E70">
        <w:t>2.</w:t>
      </w:r>
      <w:r w:rsidR="0039736B" w:rsidRPr="00103E70">
        <w:tab/>
      </w:r>
      <w:r w:rsidRPr="00103E70">
        <w:t>Efter att slutbetalningen till en åtgärd gjorts skall stödmottagaren under fem år se till att alla verifikationer för utgifterna i samband med åtgärden finns tillgängliga för kommissionen.</w:t>
      </w:r>
    </w:p>
    <w:p w:rsidR="00272AA5" w:rsidRPr="00103E70" w:rsidRDefault="00272AA5" w:rsidP="0039736B">
      <w:pPr>
        <w:pStyle w:val="ManualNumPar1"/>
      </w:pPr>
      <w:r w:rsidRPr="00103E70">
        <w:t>3.</w:t>
      </w:r>
      <w:r w:rsidR="0039736B" w:rsidRPr="00103E70">
        <w:tab/>
      </w:r>
      <w:r w:rsidRPr="00103E70">
        <w:t>Kommissionen får vidta de åtgärder som krävs för att kontrollera att de projekt som fått stöd har genomförts korrekt och i enlighet med bestämmelserna i detta beslut och i budgetförordningen (rådets förordning (EG, Euratom) nr 1605/2002 av den 25 juni 2002).</w:t>
      </w:r>
    </w:p>
    <w:p w:rsidR="00272AA5" w:rsidRPr="00103E70" w:rsidRDefault="00272AA5">
      <w:pPr>
        <w:pStyle w:val="Titrearticle"/>
        <w:rPr>
          <w:b/>
          <w:bCs/>
          <w:i w:val="0"/>
        </w:rPr>
      </w:pPr>
      <w:r w:rsidRPr="00103E70">
        <w:t>Artikel 14</w:t>
      </w:r>
      <w:r w:rsidR="0039736B" w:rsidRPr="00103E70">
        <w:br/>
      </w:r>
      <w:r w:rsidRPr="00103E70">
        <w:rPr>
          <w:b/>
          <w:i w:val="0"/>
          <w:color w:val="000000"/>
        </w:rPr>
        <w:t>Uppföljning och utvärdering</w:t>
      </w:r>
    </w:p>
    <w:p w:rsidR="00272AA5" w:rsidRPr="00103E70" w:rsidRDefault="00272AA5">
      <w:r w:rsidRPr="00103E70">
        <w:rPr>
          <w:color w:val="000000"/>
        </w:rPr>
        <w:t>Kommissionen skall senast den 31 december 2009 till Europaparlamentet, rådet, Europeiska ekonomiska och sociala kommittén samt Regionkommittén överlämna en rapport om genomförandet, resultaten och den övergripande utvärderingen av de åtgärder som föreskrivs i artikel 3 i detta beslut.</w:t>
      </w:r>
      <w:r w:rsidRPr="00103E70">
        <w:rPr>
          <w:b/>
          <w:bCs/>
        </w:rPr>
        <w:t xml:space="preserve"> </w:t>
      </w:r>
    </w:p>
    <w:p w:rsidR="00272AA5" w:rsidRPr="00103E70" w:rsidRDefault="00272AA5">
      <w:pPr>
        <w:pStyle w:val="Titrearticle"/>
        <w:rPr>
          <w:b/>
          <w:i w:val="0"/>
        </w:rPr>
      </w:pPr>
      <w:r w:rsidRPr="00103E70">
        <w:t>Artikel 15</w:t>
      </w:r>
      <w:r w:rsidR="0039736B" w:rsidRPr="00103E70">
        <w:br/>
      </w:r>
      <w:r w:rsidRPr="00103E70">
        <w:rPr>
          <w:b/>
          <w:i w:val="0"/>
          <w:color w:val="000000"/>
        </w:rPr>
        <w:t>Ikraftträdande</w:t>
      </w:r>
    </w:p>
    <w:p w:rsidR="00272AA5" w:rsidRPr="00103E70" w:rsidRDefault="00272AA5">
      <w:pPr>
        <w:rPr>
          <w:b/>
          <w:bCs/>
        </w:rPr>
      </w:pPr>
      <w:r w:rsidRPr="00103E70">
        <w:rPr>
          <w:color w:val="000000"/>
        </w:rPr>
        <w:t xml:space="preserve">Detta beslut träder i kraft den tjugonde dagen efter det att det har offentliggjorts i </w:t>
      </w:r>
      <w:r w:rsidRPr="00103E70">
        <w:rPr>
          <w:i/>
          <w:iCs/>
          <w:color w:val="000000"/>
        </w:rPr>
        <w:t>Europeiska unionens officiella tidning</w:t>
      </w:r>
      <w:r w:rsidRPr="00103E70">
        <w:rPr>
          <w:color w:val="000000"/>
        </w:rPr>
        <w:t>.</w:t>
      </w:r>
    </w:p>
    <w:p w:rsidR="00272AA5" w:rsidRPr="00103E70" w:rsidRDefault="00272AA5" w:rsidP="00CB3D7F">
      <w:pPr>
        <w:pStyle w:val="Titrearticle"/>
        <w:outlineLvl w:val="0"/>
      </w:pPr>
      <w:r w:rsidRPr="00103E70">
        <w:t>Artikel 16</w:t>
      </w:r>
    </w:p>
    <w:p w:rsidR="00272AA5" w:rsidRPr="00103E70" w:rsidRDefault="00272AA5">
      <w:r w:rsidRPr="00103E70">
        <w:rPr>
          <w:color w:val="000000"/>
        </w:rPr>
        <w:t>Detta beslut riktar sig till medlemsstaterna.</w:t>
      </w:r>
    </w:p>
    <w:p w:rsidR="00272AA5" w:rsidRPr="00103E70" w:rsidRDefault="00272AA5">
      <w:pPr>
        <w:pStyle w:val="Fait"/>
      </w:pPr>
      <w:r w:rsidRPr="00103E70">
        <w:rPr>
          <w:color w:val="000000"/>
        </w:rPr>
        <w:t>Utfärdat i Bryssel den</w:t>
      </w:r>
    </w:p>
    <w:p w:rsidR="00272AA5" w:rsidRPr="00103E70" w:rsidRDefault="00272AA5">
      <w:pPr>
        <w:pStyle w:val="Institutionquisigne"/>
      </w:pPr>
      <w:r w:rsidRPr="00103E70">
        <w:t>På Europaparlamentets vägnar</w:t>
      </w:r>
      <w:r w:rsidRPr="00103E70">
        <w:tab/>
        <w:t>På rådets vägnar</w:t>
      </w:r>
    </w:p>
    <w:p w:rsidR="00272AA5" w:rsidRPr="00103E70" w:rsidRDefault="00272AA5">
      <w:pPr>
        <w:pStyle w:val="Personnequisigne"/>
      </w:pPr>
      <w:r w:rsidRPr="00103E70">
        <w:t>Ordförande</w:t>
      </w:r>
      <w:r w:rsidRPr="00103E70">
        <w:tab/>
        <w:t>Ordförande</w:t>
      </w:r>
    </w:p>
    <w:p w:rsidR="00272AA5" w:rsidRPr="00103E70" w:rsidRDefault="00272AA5">
      <w:pPr>
        <w:sectPr w:rsidR="00272AA5" w:rsidRPr="00103E70" w:rsidSect="00565D16">
          <w:pgSz w:w="11907" w:h="16839"/>
          <w:pgMar w:top="1134" w:right="1417" w:bottom="1134" w:left="1417" w:header="720" w:footer="720" w:gutter="0"/>
          <w:cols w:space="720"/>
          <w:docGrid w:linePitch="326"/>
        </w:sectPr>
      </w:pPr>
    </w:p>
    <w:p w:rsidR="00272AA5" w:rsidRPr="00103E70" w:rsidRDefault="00272AA5" w:rsidP="00CB3D7F">
      <w:pPr>
        <w:pStyle w:val="Annexetitreacte"/>
        <w:outlineLvl w:val="0"/>
      </w:pPr>
      <w:r w:rsidRPr="00103E70">
        <w:rPr>
          <w:color w:val="000000"/>
        </w:rPr>
        <w:t>BILAGA</w:t>
      </w:r>
    </w:p>
    <w:p w:rsidR="00272AA5" w:rsidRPr="00103E70" w:rsidRDefault="00272AA5">
      <w:pPr>
        <w:jc w:val="center"/>
      </w:pPr>
      <w:r w:rsidRPr="00103E70">
        <w:rPr>
          <w:color w:val="000000"/>
        </w:rPr>
        <w:t>ÅTGÄRDER SOM AVSES I ARTIKEL 3</w:t>
      </w:r>
    </w:p>
    <w:p w:rsidR="00272AA5" w:rsidRPr="00103E70" w:rsidRDefault="00272AA5" w:rsidP="00CB3D7F">
      <w:pPr>
        <w:outlineLvl w:val="0"/>
        <w:rPr>
          <w:b/>
          <w:bCs/>
        </w:rPr>
      </w:pPr>
      <w:r w:rsidRPr="00103E70">
        <w:rPr>
          <w:b/>
          <w:bCs/>
          <w:color w:val="000000"/>
        </w:rPr>
        <w:t>A) ÅTGÄRDER PÅ EU-NIVÅ</w:t>
      </w:r>
    </w:p>
    <w:p w:rsidR="00272AA5" w:rsidRPr="00103E70" w:rsidRDefault="00272AA5" w:rsidP="00CB3D7F">
      <w:pPr>
        <w:keepLines/>
        <w:spacing w:after="60"/>
        <w:outlineLvl w:val="0"/>
        <w:rPr>
          <w:i/>
          <w:iCs/>
        </w:rPr>
      </w:pPr>
      <w:r w:rsidRPr="00103E70">
        <w:rPr>
          <w:color w:val="000000"/>
        </w:rPr>
        <w:t xml:space="preserve">1) </w:t>
      </w:r>
      <w:r w:rsidRPr="00103E70">
        <w:rPr>
          <w:i/>
          <w:iCs/>
          <w:color w:val="000000"/>
        </w:rPr>
        <w:t>Informations- och PR-kampanjer, t.ex.</w:t>
      </w:r>
    </w:p>
    <w:p w:rsidR="00272AA5" w:rsidRPr="00103E70" w:rsidRDefault="00272AA5">
      <w:pPr>
        <w:keepLines/>
        <w:spacing w:after="60"/>
      </w:pPr>
      <w:r w:rsidRPr="00103E70">
        <w:rPr>
          <w:color w:val="000000"/>
        </w:rPr>
        <w:t>a) utformning av en logotyp och sloganer för Europeiska året för interkulturell dialog, som kan användas vid alla insatser i samband med Europaåret,</w:t>
      </w:r>
    </w:p>
    <w:p w:rsidR="00272AA5" w:rsidRPr="00103E70" w:rsidRDefault="00272AA5">
      <w:r w:rsidRPr="00103E70">
        <w:rPr>
          <w:color w:val="000000"/>
        </w:rPr>
        <w:t>b) en informationskampanj som omfattar hela EU och förläggs till de enskilda medlemsstaterna,</w:t>
      </w:r>
      <w:r w:rsidRPr="00103E70">
        <w:t xml:space="preserve"> </w:t>
      </w:r>
    </w:p>
    <w:p w:rsidR="00272AA5" w:rsidRPr="00103E70" w:rsidRDefault="00272AA5">
      <w:r w:rsidRPr="00103E70">
        <w:rPr>
          <w:color w:val="000000"/>
        </w:rPr>
        <w:t>c) samarbete med den privata sektorn, radiobolag och andra medier som kan sprida informationen om Europeiska året för interkulturell dialog,</w:t>
      </w:r>
    </w:p>
    <w:p w:rsidR="00272AA5" w:rsidRPr="00103E70" w:rsidRDefault="00272AA5">
      <w:pPr>
        <w:keepLines/>
        <w:spacing w:after="60"/>
      </w:pPr>
      <w:r w:rsidRPr="00103E70">
        <w:rPr>
          <w:color w:val="000000"/>
        </w:rPr>
        <w:t>d) utformning av verktyg och stödmaterial som skall väcka allmänhetens intresse och som kommer att vara tillgängliga över hela EU,</w:t>
      </w:r>
    </w:p>
    <w:p w:rsidR="00272AA5" w:rsidRPr="00103E70" w:rsidRDefault="00272AA5">
      <w:pPr>
        <w:keepLines/>
        <w:spacing w:after="60"/>
      </w:pPr>
      <w:r w:rsidRPr="00103E70">
        <w:rPr>
          <w:color w:val="000000"/>
        </w:rPr>
        <w:t>e) åtgärder för att uppmärksamma EU:s program, åtgärder och initiativ för Europeiska året för interkulturell dialog och sprida resultaten,</w:t>
      </w:r>
    </w:p>
    <w:p w:rsidR="00272AA5" w:rsidRPr="00103E70" w:rsidRDefault="00272AA5">
      <w:pPr>
        <w:keepLines/>
        <w:spacing w:after="60"/>
      </w:pPr>
      <w:r w:rsidRPr="00103E70">
        <w:rPr>
          <w:color w:val="000000"/>
        </w:rPr>
        <w:t>f) utbildningsväsendets och allmänhetens initiativ för att sprida information om Europeiska året för interkulturell dialog,</w:t>
      </w:r>
    </w:p>
    <w:p w:rsidR="00272AA5" w:rsidRPr="00103E70" w:rsidRDefault="00272AA5">
      <w:pPr>
        <w:keepLines/>
        <w:spacing w:after="60"/>
      </w:pPr>
      <w:r w:rsidRPr="00103E70">
        <w:rPr>
          <w:color w:val="000000"/>
        </w:rPr>
        <w:t>g) en webbplats med information på Europaservern, med bl.a. en portal för projekt som rör den interkulturella dialogen, för att ge projektägare vägledning om olika relevanta EU-program och EU-åtgärder.</w:t>
      </w:r>
    </w:p>
    <w:p w:rsidR="00272AA5" w:rsidRPr="00103E70" w:rsidRDefault="00272AA5" w:rsidP="00CB3D7F">
      <w:pPr>
        <w:outlineLvl w:val="0"/>
      </w:pPr>
      <w:r w:rsidRPr="00103E70">
        <w:rPr>
          <w:color w:val="000000"/>
        </w:rPr>
        <w:t xml:space="preserve">2) </w:t>
      </w:r>
      <w:r w:rsidRPr="00103E70">
        <w:rPr>
          <w:i/>
          <w:iCs/>
          <w:color w:val="000000"/>
        </w:rPr>
        <w:t>Andra åtgärder, t.ex.</w:t>
      </w:r>
    </w:p>
    <w:p w:rsidR="00272AA5" w:rsidRPr="00103E70" w:rsidRDefault="006D0106">
      <w:r w:rsidRPr="00103E70">
        <w:rPr>
          <w:color w:val="000000"/>
        </w:rPr>
        <w:t>E</w:t>
      </w:r>
      <w:r w:rsidR="00272AA5" w:rsidRPr="00103E70">
        <w:rPr>
          <w:color w:val="000000"/>
        </w:rPr>
        <w:t>nkäter och undersökningar på EU-nivå för att utvärdera och kartlägga förberedelser, effektivitet, genomslag och uppföljning på sikt av Europeiska året för interkulturell dialog.</w:t>
      </w:r>
    </w:p>
    <w:p w:rsidR="00272AA5" w:rsidRPr="00103E70" w:rsidRDefault="00272AA5" w:rsidP="00CB3D7F">
      <w:pPr>
        <w:outlineLvl w:val="0"/>
      </w:pPr>
      <w:r w:rsidRPr="00103E70">
        <w:rPr>
          <w:color w:val="000000"/>
        </w:rPr>
        <w:t>3) Finansieringen görs i regel i form av direktköp av varor och tjänster genom öppen eller selektiv upphandling.</w:t>
      </w:r>
      <w:r w:rsidRPr="00103E70">
        <w:t xml:space="preserve"> </w:t>
      </w:r>
      <w:r w:rsidRPr="00103E70">
        <w:rPr>
          <w:color w:val="000000"/>
        </w:rPr>
        <w:t>Den kan även vara i form av bidrag.</w:t>
      </w:r>
    </w:p>
    <w:p w:rsidR="00272AA5" w:rsidRPr="00103E70" w:rsidRDefault="00272AA5" w:rsidP="00CB3D7F">
      <w:pPr>
        <w:outlineLvl w:val="0"/>
        <w:rPr>
          <w:b/>
          <w:bCs/>
        </w:rPr>
      </w:pPr>
      <w:r w:rsidRPr="00103E70">
        <w:rPr>
          <w:b/>
          <w:bCs/>
          <w:color w:val="000000"/>
        </w:rPr>
        <w:t>B) SAMFINANSIERING AV ÅTGÄRDER PÅ EU-NIVÅ</w:t>
      </w:r>
    </w:p>
    <w:p w:rsidR="00272AA5" w:rsidRPr="00103E70" w:rsidRDefault="00272AA5">
      <w:r w:rsidRPr="00103E70">
        <w:rPr>
          <w:color w:val="000000"/>
        </w:rPr>
        <w:t>Ett begränsat antal åtgärder med stort symbolvärde för hela EU som syftar till att ge framför allt ungdomar förståelse för Europaårets mål, kan få EU-stöd med upp till 80 % av totalkostnaden för åtgärden.</w:t>
      </w:r>
      <w:r w:rsidRPr="00103E70">
        <w:t xml:space="preserve"> </w:t>
      </w:r>
    </w:p>
    <w:p w:rsidR="00272AA5" w:rsidRPr="00103E70" w:rsidRDefault="00272AA5">
      <w:pPr>
        <w:rPr>
          <w:b/>
          <w:bCs/>
        </w:rPr>
      </w:pPr>
      <w:r w:rsidRPr="00103E70">
        <w:rPr>
          <w:color w:val="000000"/>
        </w:rPr>
        <w:t>Åtgärderna kan bland annat omfatta evenemang, t.ex. en öppnings- respektive avslutningsceremoni för Europeiska året för interkulturell dialog, arrangerad av EU i samarbete med ordförandeländerna under 2008.</w:t>
      </w:r>
    </w:p>
    <w:p w:rsidR="00272AA5" w:rsidRPr="00103E70" w:rsidRDefault="00272AA5" w:rsidP="00CB3D7F">
      <w:pPr>
        <w:outlineLvl w:val="0"/>
        <w:rPr>
          <w:b/>
          <w:bCs/>
        </w:rPr>
      </w:pPr>
      <w:r w:rsidRPr="00103E70">
        <w:rPr>
          <w:b/>
          <w:bCs/>
          <w:color w:val="000000"/>
        </w:rPr>
        <w:t>C) SAMFINANSIERING AV NATIONELLA ÅTGÄRDER</w:t>
      </w:r>
    </w:p>
    <w:p w:rsidR="00272AA5" w:rsidRPr="00103E70" w:rsidRDefault="00272AA5">
      <w:r w:rsidRPr="00103E70">
        <w:rPr>
          <w:color w:val="000000"/>
        </w:rPr>
        <w:t>Nationella åtgärder med en stark EU-dimension som uppfyller villkoren kan få EU-stöd med upp till 50 % av totalkostnaden.</w:t>
      </w:r>
    </w:p>
    <w:p w:rsidR="00272AA5" w:rsidRPr="00103E70" w:rsidRDefault="00272AA5">
      <w:r w:rsidRPr="00103E70">
        <w:rPr>
          <w:color w:val="000000"/>
        </w:rPr>
        <w:t>Sådana åtgärder gäller i första hand samfinansiering av ett nationellt initiativ per medlemsstat.</w:t>
      </w:r>
    </w:p>
    <w:p w:rsidR="00272AA5" w:rsidRPr="00103E70" w:rsidRDefault="00272AA5" w:rsidP="00CB3D7F">
      <w:pPr>
        <w:outlineLvl w:val="0"/>
        <w:rPr>
          <w:b/>
          <w:bCs/>
        </w:rPr>
      </w:pPr>
      <w:r w:rsidRPr="00103E70">
        <w:rPr>
          <w:b/>
          <w:bCs/>
          <w:color w:val="000000"/>
        </w:rPr>
        <w:t>D) ÅTGÄRDER SOM INTE BERÄTTIGAR TILL EU-STÖD</w:t>
      </w:r>
    </w:p>
    <w:p w:rsidR="00272AA5" w:rsidRPr="00103E70" w:rsidRDefault="00272AA5">
      <w:pPr>
        <w:keepLines/>
        <w:spacing w:after="360"/>
      </w:pPr>
      <w:r w:rsidRPr="00103E70">
        <w:rPr>
          <w:color w:val="000000"/>
        </w:rPr>
        <w:t>EU kan också ge icke-finansiellt stöd till initiativ som tas av offentliga eller privata organisationer. Det kan t.ex. röra sig om skriftligt tillstånd att använda den logotyp som skall utformas och annat material som är förknippat med Europeiska året för interkulturell dialog. En förutsättning för stödet är att dessa organisationer kan intyga att initiativen redan inletts eller kommer att inledas under 2008 och i väsentlig utsträckning förväntas kunna bidra till att målen för Europeiska året för interkulturell dialog uppnås.</w:t>
      </w:r>
      <w:r w:rsidRPr="00103E70">
        <w:t xml:space="preserve"> </w:t>
      </w:r>
      <w:r w:rsidRPr="00103E70">
        <w:rPr>
          <w:color w:val="000000"/>
        </w:rPr>
        <w:t>Initiativ i länder utanför EU som anordnas i samband eller i samarbete med Europeiska året för interkulturell dialog men utan att få ekonomiskt stöd av det, kan få icke-finansiellt stöd från EU samt tillstånd att använda logotypen och annat material som är förknippat med Europeiska året för interkulturell dialog.</w:t>
      </w:r>
    </w:p>
    <w:p w:rsidR="006D0106" w:rsidRPr="00103E70" w:rsidRDefault="006D0106">
      <w:pPr>
        <w:jc w:val="center"/>
        <w:rPr>
          <w:b/>
          <w:bCs/>
          <w:color w:val="000000"/>
          <w:u w:val="single"/>
        </w:rPr>
        <w:sectPr w:rsidR="006D0106" w:rsidRPr="00103E70" w:rsidSect="00565D16">
          <w:pgSz w:w="11906" w:h="16838"/>
          <w:pgMar w:top="1417" w:right="1417" w:bottom="1417" w:left="1417" w:header="708" w:footer="708" w:gutter="0"/>
          <w:cols w:space="708"/>
          <w:rtlGutter/>
          <w:docGrid w:linePitch="360"/>
        </w:sectPr>
      </w:pPr>
    </w:p>
    <w:p w:rsidR="00272AA5" w:rsidRPr="00103E70" w:rsidRDefault="00272AA5" w:rsidP="00CB3D7F">
      <w:pPr>
        <w:jc w:val="center"/>
        <w:outlineLvl w:val="0"/>
        <w:rPr>
          <w:b/>
          <w:bCs/>
          <w:u w:val="single"/>
        </w:rPr>
      </w:pPr>
      <w:r w:rsidRPr="00103E70">
        <w:rPr>
          <w:b/>
          <w:bCs/>
          <w:color w:val="000000"/>
          <w:u w:val="single"/>
        </w:rPr>
        <w:t>FINANSIERINGSÖVERSIKT FÖR RÄTTSAKT</w:t>
      </w:r>
    </w:p>
    <w:p w:rsidR="00272AA5" w:rsidRPr="00103E70" w:rsidRDefault="00272AA5" w:rsidP="00CB3D7F">
      <w:pPr>
        <w:outlineLvl w:val="0"/>
        <w:rPr>
          <w:b/>
          <w:bCs/>
        </w:rPr>
      </w:pPr>
      <w:r w:rsidRPr="00103E70">
        <w:rPr>
          <w:b/>
          <w:bCs/>
        </w:rPr>
        <w:t>1.</w:t>
      </w:r>
      <w:r w:rsidRPr="00103E70">
        <w:tab/>
      </w:r>
      <w:r w:rsidRPr="00103E70">
        <w:rPr>
          <w:b/>
          <w:bCs/>
          <w:color w:val="000000"/>
        </w:rPr>
        <w:t>FÖRSLAGETS NAMN: Europeiska året för interkulturell dialog</w:t>
      </w:r>
    </w:p>
    <w:p w:rsidR="00272AA5" w:rsidRPr="00103E70" w:rsidRDefault="00272AA5" w:rsidP="00CB3D7F">
      <w:pPr>
        <w:outlineLvl w:val="0"/>
        <w:rPr>
          <w:b/>
          <w:bCs/>
        </w:rPr>
      </w:pPr>
      <w:r w:rsidRPr="00103E70">
        <w:rPr>
          <w:b/>
          <w:bCs/>
        </w:rPr>
        <w:t>2.</w:t>
      </w:r>
      <w:r w:rsidRPr="00103E70">
        <w:rPr>
          <w:b/>
          <w:bCs/>
        </w:rPr>
        <w:tab/>
      </w:r>
      <w:r w:rsidRPr="00103E70">
        <w:rPr>
          <w:b/>
          <w:bCs/>
          <w:color w:val="000000"/>
        </w:rPr>
        <w:t>BERÖRDA DELAR I DEN VERKSAMHETSBASERADE FÖRVALTNINGEN/BUDGETERINGEN</w:t>
      </w:r>
    </w:p>
    <w:p w:rsidR="00272AA5" w:rsidRPr="00103E70" w:rsidRDefault="00272AA5">
      <w:pPr>
        <w:pStyle w:val="Text1"/>
      </w:pPr>
      <w:r w:rsidRPr="00103E70">
        <w:rPr>
          <w:color w:val="000000"/>
        </w:rPr>
        <w:t>Berört politikområde/berörda politikområden och därmed förknippad verksamhet:</w:t>
      </w:r>
    </w:p>
    <w:p w:rsidR="00272AA5" w:rsidRPr="00103E70" w:rsidRDefault="00272AA5">
      <w:pPr>
        <w:pStyle w:val="Text1"/>
      </w:pPr>
      <w:r w:rsidRPr="00103E70">
        <w:rPr>
          <w:color w:val="000000"/>
        </w:rPr>
        <w:t>Politikområde:</w:t>
      </w:r>
      <w:r w:rsidRPr="00103E70">
        <w:tab/>
      </w:r>
      <w:r w:rsidRPr="00103E70">
        <w:rPr>
          <w:color w:val="000000"/>
        </w:rPr>
        <w:t>Utbildning och kultur</w:t>
      </w:r>
    </w:p>
    <w:p w:rsidR="00272AA5" w:rsidRPr="00103E70" w:rsidRDefault="00272AA5">
      <w:pPr>
        <w:pStyle w:val="Text1"/>
      </w:pPr>
      <w:r w:rsidRPr="00103E70">
        <w:rPr>
          <w:color w:val="000000"/>
        </w:rPr>
        <w:t>Verksamhet: Kultur och språk</w:t>
      </w:r>
    </w:p>
    <w:p w:rsidR="00272AA5" w:rsidRPr="00103E70" w:rsidRDefault="00272AA5" w:rsidP="00CB3D7F">
      <w:pPr>
        <w:outlineLvl w:val="0"/>
        <w:rPr>
          <w:b/>
          <w:bCs/>
        </w:rPr>
      </w:pPr>
      <w:r w:rsidRPr="00103E70">
        <w:rPr>
          <w:b/>
          <w:bCs/>
        </w:rPr>
        <w:t>3.</w:t>
      </w:r>
      <w:r w:rsidRPr="00103E70">
        <w:rPr>
          <w:b/>
          <w:bCs/>
        </w:rPr>
        <w:tab/>
      </w:r>
      <w:r w:rsidRPr="00103E70">
        <w:rPr>
          <w:b/>
          <w:bCs/>
          <w:color w:val="000000"/>
        </w:rPr>
        <w:t>BERÖRDA BUDGETRUBRIKER</w:t>
      </w:r>
    </w:p>
    <w:p w:rsidR="00272AA5" w:rsidRPr="00103E70" w:rsidRDefault="00272AA5" w:rsidP="00CB3D7F">
      <w:pPr>
        <w:outlineLvl w:val="0"/>
      </w:pPr>
      <w:r w:rsidRPr="00103E70">
        <w:t>3.1.</w:t>
      </w:r>
      <w:r w:rsidRPr="00103E70">
        <w:tab/>
      </w:r>
      <w:r w:rsidRPr="00103E70">
        <w:rPr>
          <w:color w:val="000000"/>
        </w:rPr>
        <w:t>Budgetrubriker (driftsposter och tillhörande tekniska och administrativa stödposter (före detta B..A-poster)) inklusive rubriker:</w:t>
      </w:r>
    </w:p>
    <w:p w:rsidR="00272AA5" w:rsidRPr="00103E70" w:rsidRDefault="00272AA5">
      <w:r w:rsidRPr="00103E70">
        <w:tab/>
      </w:r>
      <w:r w:rsidRPr="00103E70">
        <w:rPr>
          <w:color w:val="000000"/>
        </w:rPr>
        <w:t>15.04.02.04 Europeiska året för interkulturell dialog</w:t>
      </w:r>
    </w:p>
    <w:p w:rsidR="00272AA5" w:rsidRPr="00103E70" w:rsidRDefault="00272AA5" w:rsidP="00CB3D7F">
      <w:pPr>
        <w:outlineLvl w:val="0"/>
      </w:pPr>
      <w:r w:rsidRPr="00103E70">
        <w:t>3.2.</w:t>
      </w:r>
      <w:r w:rsidRPr="00103E70">
        <w:tab/>
      </w:r>
      <w:r w:rsidRPr="00103E70">
        <w:rPr>
          <w:color w:val="000000"/>
        </w:rPr>
        <w:t>Åtgärdens och budgetkonsekvensernas löptid:</w:t>
      </w:r>
    </w:p>
    <w:p w:rsidR="00272AA5" w:rsidRPr="00103E70" w:rsidRDefault="00272AA5">
      <w:r w:rsidRPr="00103E70">
        <w:tab/>
        <w:t>1.1.2007 – 31.12.2008</w:t>
      </w:r>
    </w:p>
    <w:p w:rsidR="00272AA5" w:rsidRPr="00103E70" w:rsidRDefault="00272AA5" w:rsidP="00CB3D7F">
      <w:pPr>
        <w:outlineLvl w:val="0"/>
      </w:pPr>
      <w:r w:rsidRPr="00103E70">
        <w:t>3.3.</w:t>
      </w:r>
      <w:r w:rsidRPr="00103E70">
        <w:tab/>
      </w:r>
      <w:r w:rsidRPr="00103E70">
        <w:rPr>
          <w:color w:val="000000"/>
        </w:rPr>
        <w:t xml:space="preserve">Budgettekniska uppgifter </w:t>
      </w:r>
      <w:r w:rsidRPr="00103E70">
        <w:rPr>
          <w:i/>
          <w:iCs/>
          <w:color w:val="000000"/>
        </w:rPr>
        <w:t>(lägg till rader vid behov)</w:t>
      </w:r>
      <w:r w:rsidRPr="00103E70">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6"/>
        <w:gridCol w:w="1103"/>
        <w:gridCol w:w="1038"/>
        <w:gridCol w:w="1049"/>
        <w:gridCol w:w="1497"/>
        <w:gridCol w:w="1657"/>
        <w:gridCol w:w="1384"/>
      </w:tblGrid>
      <w:tr w:rsidR="00272AA5" w:rsidRPr="00103E70">
        <w:tc>
          <w:tcPr>
            <w:tcW w:w="1356"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b/>
                <w:bCs/>
                <w:color w:val="000000"/>
                <w:sz w:val="20"/>
                <w:szCs w:val="20"/>
              </w:rPr>
              <w:t>Budget-rubrik</w:t>
            </w: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b/>
                <w:bCs/>
                <w:color w:val="000000"/>
                <w:sz w:val="20"/>
                <w:szCs w:val="20"/>
              </w:rPr>
              <w:t>Typ av utgifter</w:t>
            </w:r>
          </w:p>
        </w:tc>
        <w:tc>
          <w:tcPr>
            <w:tcW w:w="1049"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b/>
                <w:bCs/>
                <w:color w:val="000000"/>
                <w:sz w:val="20"/>
                <w:szCs w:val="20"/>
              </w:rPr>
              <w:t>Nya</w:t>
            </w:r>
          </w:p>
        </w:tc>
        <w:tc>
          <w:tcPr>
            <w:tcW w:w="1497"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b/>
                <w:bCs/>
                <w:color w:val="000000"/>
                <w:sz w:val="20"/>
                <w:szCs w:val="20"/>
              </w:rPr>
              <w:t>Deltagande EFTA</w:t>
            </w:r>
          </w:p>
        </w:tc>
        <w:tc>
          <w:tcPr>
            <w:tcW w:w="1657"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b/>
                <w:bCs/>
                <w:color w:val="000000"/>
                <w:sz w:val="20"/>
                <w:szCs w:val="20"/>
              </w:rPr>
              <w:t>Deltagande av kandidatländer</w:t>
            </w:r>
          </w:p>
        </w:tc>
        <w:tc>
          <w:tcPr>
            <w:tcW w:w="1384"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b/>
                <w:bCs/>
                <w:color w:val="000000"/>
                <w:sz w:val="20"/>
                <w:szCs w:val="20"/>
              </w:rPr>
              <w:t>Rubrik i budgetplanen</w:t>
            </w:r>
          </w:p>
        </w:tc>
      </w:tr>
      <w:tr w:rsidR="00272AA5" w:rsidRPr="00103E70">
        <w:tc>
          <w:tcPr>
            <w:tcW w:w="1356" w:type="dxa"/>
            <w:tcBorders>
              <w:top w:val="single" w:sz="4" w:space="0" w:color="auto"/>
              <w:left w:val="single" w:sz="4" w:space="0" w:color="auto"/>
              <w:bottom w:val="single" w:sz="4" w:space="0" w:color="auto"/>
              <w:right w:val="single" w:sz="4" w:space="0" w:color="auto"/>
            </w:tcBorders>
          </w:tcPr>
          <w:p w:rsidR="00272AA5" w:rsidRPr="00103E70" w:rsidRDefault="00272AA5">
            <w:r w:rsidRPr="00103E70">
              <w:t>15.04.02.04</w:t>
            </w:r>
          </w:p>
        </w:tc>
        <w:tc>
          <w:tcPr>
            <w:tcW w:w="1103"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color w:val="000000"/>
              </w:rPr>
              <w:t>Icke-oblig. utg.</w:t>
            </w:r>
          </w:p>
        </w:tc>
        <w:tc>
          <w:tcPr>
            <w:tcW w:w="103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color w:val="000000"/>
              </w:rPr>
              <w:t>Diff. anslag</w:t>
            </w:r>
          </w:p>
        </w:tc>
        <w:tc>
          <w:tcPr>
            <w:tcW w:w="1049"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color w:val="000000"/>
              </w:rPr>
              <w:t>JA</w:t>
            </w:r>
          </w:p>
        </w:tc>
        <w:tc>
          <w:tcPr>
            <w:tcW w:w="1497"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color w:val="000000"/>
              </w:rPr>
              <w:t>NEJ</w:t>
            </w:r>
          </w:p>
        </w:tc>
        <w:tc>
          <w:tcPr>
            <w:tcW w:w="1657"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color w:val="000000"/>
              </w:rPr>
              <w:t>NEJ</w:t>
            </w:r>
          </w:p>
        </w:tc>
        <w:tc>
          <w:tcPr>
            <w:tcW w:w="1384"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b/>
                <w:bCs/>
              </w:rPr>
              <w:t>nr 3</w:t>
            </w:r>
          </w:p>
        </w:tc>
      </w:tr>
    </w:tbl>
    <w:p w:rsidR="00272AA5" w:rsidRPr="00103E70" w:rsidRDefault="00272AA5">
      <w:pPr>
        <w:rPr>
          <w:b/>
          <w:bCs/>
        </w:rPr>
      </w:pPr>
      <w:r w:rsidRPr="00103E70">
        <w:rPr>
          <w:b/>
          <w:bCs/>
        </w:rPr>
        <w:t>4.</w:t>
      </w:r>
      <w:r w:rsidRPr="00103E70">
        <w:rPr>
          <w:b/>
          <w:bCs/>
        </w:rPr>
        <w:tab/>
      </w:r>
      <w:r w:rsidRPr="00103E70">
        <w:rPr>
          <w:b/>
          <w:bCs/>
          <w:color w:val="000000"/>
        </w:rPr>
        <w:t>FÖRTECKNING ÖVER MEDEL</w:t>
      </w:r>
    </w:p>
    <w:p w:rsidR="00272AA5" w:rsidRPr="00103E70" w:rsidRDefault="00272AA5" w:rsidP="00CB3D7F">
      <w:pPr>
        <w:outlineLvl w:val="0"/>
      </w:pPr>
      <w:r w:rsidRPr="00103E70">
        <w:t>4.1.</w:t>
      </w:r>
      <w:r w:rsidRPr="00103E70">
        <w:tab/>
      </w:r>
      <w:r w:rsidRPr="00103E70">
        <w:rPr>
          <w:color w:val="000000"/>
        </w:rPr>
        <w:t>Finansiella medel</w:t>
      </w:r>
    </w:p>
    <w:p w:rsidR="00272AA5" w:rsidRPr="00103E70" w:rsidRDefault="00272AA5" w:rsidP="00CB3D7F">
      <w:pPr>
        <w:outlineLvl w:val="0"/>
      </w:pPr>
      <w:r w:rsidRPr="00103E70">
        <w:t>4.1.1.</w:t>
      </w:r>
      <w:r w:rsidRPr="00103E70">
        <w:tab/>
      </w:r>
      <w:r w:rsidRPr="00103E70">
        <w:rPr>
          <w:color w:val="000000"/>
        </w:rPr>
        <w:t>Förteckning över åtagandebemyndiganden och betalningsbemyndiganden i löpande priser</w:t>
      </w:r>
    </w:p>
    <w:p w:rsidR="00272AA5" w:rsidRPr="00103E70" w:rsidRDefault="00272AA5">
      <w:pPr>
        <w:jc w:val="right"/>
        <w:rPr>
          <w:i/>
          <w:iCs/>
          <w:sz w:val="20"/>
          <w:szCs w:val="20"/>
        </w:rPr>
      </w:pPr>
      <w:r w:rsidRPr="00103E70">
        <w:rPr>
          <w:i/>
          <w:iCs/>
          <w:color w:val="000000"/>
          <w:sz w:val="20"/>
          <w:szCs w:val="20"/>
        </w:rPr>
        <w:t>Miljoner euro (avrundat till tre decimaler)</w:t>
      </w:r>
    </w:p>
    <w:tbl>
      <w:tblPr>
        <w:tblW w:w="8952" w:type="dxa"/>
        <w:tblInd w:w="312" w:type="dxa"/>
        <w:tblLayout w:type="fixed"/>
        <w:tblLook w:val="0000" w:firstRow="0" w:lastRow="0" w:firstColumn="0" w:lastColumn="0" w:noHBand="0" w:noVBand="0"/>
      </w:tblPr>
      <w:tblGrid>
        <w:gridCol w:w="2335"/>
        <w:gridCol w:w="821"/>
        <w:gridCol w:w="600"/>
        <w:gridCol w:w="720"/>
        <w:gridCol w:w="720"/>
        <w:gridCol w:w="720"/>
        <w:gridCol w:w="720"/>
        <w:gridCol w:w="720"/>
        <w:gridCol w:w="720"/>
        <w:gridCol w:w="876"/>
      </w:tblGrid>
      <w:tr w:rsidR="00272AA5" w:rsidRPr="00103E70">
        <w:tblPrEx>
          <w:tblCellMar>
            <w:top w:w="0" w:type="dxa"/>
            <w:bottom w:w="0" w:type="dxa"/>
          </w:tblCellMar>
        </w:tblPrEx>
        <w:trPr>
          <w:cantSplit/>
        </w:trPr>
        <w:tc>
          <w:tcPr>
            <w:tcW w:w="2335" w:type="dxa"/>
            <w:tcBorders>
              <w:top w:val="single" w:sz="8" w:space="0" w:color="auto"/>
              <w:left w:val="single" w:sz="8" w:space="0" w:color="auto"/>
              <w:bottom w:val="single" w:sz="8" w:space="0" w:color="auto"/>
              <w:right w:val="single" w:sz="6" w:space="0" w:color="auto"/>
            </w:tcBorders>
            <w:vAlign w:val="center"/>
          </w:tcPr>
          <w:p w:rsidR="00272AA5" w:rsidRPr="00103E70" w:rsidRDefault="00272AA5">
            <w:pPr>
              <w:jc w:val="center"/>
              <w:rPr>
                <w:sz w:val="22"/>
                <w:szCs w:val="22"/>
              </w:rPr>
            </w:pPr>
          </w:p>
          <w:p w:rsidR="00272AA5" w:rsidRPr="00103E70" w:rsidRDefault="00272AA5">
            <w:pPr>
              <w:jc w:val="center"/>
            </w:pPr>
            <w:r w:rsidRPr="00103E70">
              <w:rPr>
                <w:b/>
                <w:bCs/>
                <w:color w:val="000000"/>
                <w:sz w:val="20"/>
                <w:szCs w:val="20"/>
              </w:rPr>
              <w:t>Typ av utgifter</w:t>
            </w:r>
          </w:p>
        </w:tc>
        <w:tc>
          <w:tcPr>
            <w:tcW w:w="821" w:type="dxa"/>
            <w:tcBorders>
              <w:top w:val="single" w:sz="8" w:space="0" w:color="auto"/>
              <w:left w:val="single" w:sz="6" w:space="0" w:color="auto"/>
              <w:bottom w:val="single" w:sz="8" w:space="0" w:color="auto"/>
              <w:right w:val="single" w:sz="6" w:space="0" w:color="auto"/>
            </w:tcBorders>
          </w:tcPr>
          <w:p w:rsidR="00272AA5" w:rsidRPr="00103E70" w:rsidRDefault="00272AA5">
            <w:pPr>
              <w:jc w:val="center"/>
            </w:pPr>
            <w:r w:rsidRPr="00103E70">
              <w:rPr>
                <w:color w:val="000000"/>
                <w:sz w:val="20"/>
                <w:szCs w:val="20"/>
              </w:rPr>
              <w:t>Avsnitt nr</w:t>
            </w:r>
          </w:p>
        </w:tc>
        <w:tc>
          <w:tcPr>
            <w:tcW w:w="600" w:type="dxa"/>
            <w:tcBorders>
              <w:top w:val="single" w:sz="8" w:space="0" w:color="auto"/>
              <w:left w:val="single" w:sz="6" w:space="0" w:color="auto"/>
              <w:bottom w:val="single" w:sz="8" w:space="0" w:color="auto"/>
              <w:right w:val="single" w:sz="6" w:space="0" w:color="auto"/>
            </w:tcBorders>
          </w:tcPr>
          <w:p w:rsidR="00272AA5" w:rsidRPr="00103E70" w:rsidRDefault="00272AA5">
            <w:pPr>
              <w:jc w:val="center"/>
              <w:rPr>
                <w:sz w:val="22"/>
                <w:szCs w:val="22"/>
              </w:rPr>
            </w:pPr>
          </w:p>
        </w:tc>
        <w:tc>
          <w:tcPr>
            <w:tcW w:w="720" w:type="dxa"/>
            <w:tcBorders>
              <w:top w:val="single" w:sz="8" w:space="0" w:color="auto"/>
              <w:left w:val="single" w:sz="6" w:space="0" w:color="auto"/>
              <w:bottom w:val="single" w:sz="8" w:space="0" w:color="auto"/>
              <w:right w:val="single" w:sz="6" w:space="0" w:color="auto"/>
            </w:tcBorders>
          </w:tcPr>
          <w:p w:rsidR="00272AA5" w:rsidRPr="00103E70" w:rsidRDefault="00272AA5">
            <w:pPr>
              <w:jc w:val="center"/>
              <w:rPr>
                <w:sz w:val="20"/>
                <w:szCs w:val="20"/>
              </w:rPr>
            </w:pPr>
          </w:p>
          <w:p w:rsidR="00272AA5" w:rsidRPr="00103E70" w:rsidRDefault="00272AA5">
            <w:pPr>
              <w:jc w:val="center"/>
              <w:rPr>
                <w:sz w:val="20"/>
                <w:szCs w:val="20"/>
              </w:rPr>
            </w:pPr>
            <w:r w:rsidRPr="00103E70">
              <w:rPr>
                <w:sz w:val="20"/>
                <w:szCs w:val="20"/>
              </w:rPr>
              <w:t>2007</w:t>
            </w:r>
          </w:p>
        </w:tc>
        <w:tc>
          <w:tcPr>
            <w:tcW w:w="720" w:type="dxa"/>
            <w:tcBorders>
              <w:top w:val="single" w:sz="8" w:space="0" w:color="auto"/>
              <w:left w:val="single" w:sz="6" w:space="0" w:color="auto"/>
              <w:bottom w:val="single" w:sz="8" w:space="0" w:color="auto"/>
              <w:right w:val="single" w:sz="6" w:space="0" w:color="auto"/>
            </w:tcBorders>
          </w:tcPr>
          <w:p w:rsidR="00272AA5" w:rsidRPr="00103E70" w:rsidRDefault="00272AA5">
            <w:pPr>
              <w:jc w:val="center"/>
              <w:rPr>
                <w:sz w:val="20"/>
                <w:szCs w:val="20"/>
              </w:rPr>
            </w:pPr>
          </w:p>
          <w:p w:rsidR="00272AA5" w:rsidRPr="00103E70" w:rsidRDefault="00272AA5">
            <w:pPr>
              <w:jc w:val="center"/>
              <w:rPr>
                <w:sz w:val="20"/>
                <w:szCs w:val="20"/>
              </w:rPr>
            </w:pPr>
            <w:r w:rsidRPr="00103E70">
              <w:rPr>
                <w:sz w:val="20"/>
                <w:szCs w:val="20"/>
              </w:rPr>
              <w:t xml:space="preserve">2008 </w:t>
            </w:r>
          </w:p>
        </w:tc>
        <w:tc>
          <w:tcPr>
            <w:tcW w:w="720" w:type="dxa"/>
            <w:tcBorders>
              <w:top w:val="single" w:sz="8" w:space="0" w:color="auto"/>
              <w:left w:val="single" w:sz="6" w:space="0" w:color="auto"/>
              <w:bottom w:val="single" w:sz="8" w:space="0" w:color="auto"/>
              <w:right w:val="single" w:sz="6" w:space="0" w:color="auto"/>
            </w:tcBorders>
          </w:tcPr>
          <w:p w:rsidR="00272AA5" w:rsidRPr="00103E70" w:rsidRDefault="00272AA5">
            <w:pPr>
              <w:jc w:val="center"/>
              <w:rPr>
                <w:sz w:val="20"/>
                <w:szCs w:val="20"/>
              </w:rPr>
            </w:pPr>
          </w:p>
          <w:p w:rsidR="00272AA5" w:rsidRPr="00103E70" w:rsidRDefault="00272AA5">
            <w:pPr>
              <w:jc w:val="center"/>
              <w:rPr>
                <w:sz w:val="20"/>
                <w:szCs w:val="20"/>
              </w:rPr>
            </w:pPr>
            <w:r w:rsidRPr="00103E70">
              <w:rPr>
                <w:sz w:val="20"/>
                <w:szCs w:val="20"/>
              </w:rPr>
              <w:t>2009</w:t>
            </w:r>
          </w:p>
        </w:tc>
        <w:tc>
          <w:tcPr>
            <w:tcW w:w="720" w:type="dxa"/>
            <w:tcBorders>
              <w:top w:val="single" w:sz="8" w:space="0" w:color="auto"/>
              <w:left w:val="single" w:sz="6" w:space="0" w:color="auto"/>
              <w:bottom w:val="single" w:sz="8" w:space="0" w:color="auto"/>
              <w:right w:val="single" w:sz="6" w:space="0" w:color="auto"/>
            </w:tcBorders>
          </w:tcPr>
          <w:p w:rsidR="00272AA5" w:rsidRPr="00103E70" w:rsidRDefault="00272AA5">
            <w:pPr>
              <w:jc w:val="center"/>
              <w:rPr>
                <w:sz w:val="20"/>
                <w:szCs w:val="20"/>
              </w:rPr>
            </w:pPr>
          </w:p>
          <w:p w:rsidR="00272AA5" w:rsidRPr="00103E70" w:rsidRDefault="00272AA5">
            <w:pPr>
              <w:jc w:val="center"/>
              <w:rPr>
                <w:sz w:val="20"/>
                <w:szCs w:val="20"/>
              </w:rPr>
            </w:pPr>
            <w:r w:rsidRPr="00103E70">
              <w:rPr>
                <w:sz w:val="20"/>
                <w:szCs w:val="20"/>
              </w:rPr>
              <w:t>2010</w:t>
            </w:r>
          </w:p>
        </w:tc>
        <w:tc>
          <w:tcPr>
            <w:tcW w:w="720" w:type="dxa"/>
            <w:tcBorders>
              <w:top w:val="single" w:sz="8" w:space="0" w:color="auto"/>
              <w:left w:val="single" w:sz="6" w:space="0" w:color="auto"/>
              <w:bottom w:val="single" w:sz="8" w:space="0" w:color="auto"/>
              <w:right w:val="single" w:sz="6" w:space="0" w:color="auto"/>
            </w:tcBorders>
          </w:tcPr>
          <w:p w:rsidR="00272AA5" w:rsidRPr="00103E70" w:rsidRDefault="00272AA5">
            <w:pPr>
              <w:jc w:val="center"/>
              <w:rPr>
                <w:sz w:val="20"/>
                <w:szCs w:val="20"/>
              </w:rPr>
            </w:pPr>
          </w:p>
          <w:p w:rsidR="00272AA5" w:rsidRPr="00103E70" w:rsidRDefault="00272AA5">
            <w:pPr>
              <w:jc w:val="center"/>
              <w:rPr>
                <w:sz w:val="20"/>
                <w:szCs w:val="20"/>
              </w:rPr>
            </w:pPr>
            <w:r w:rsidRPr="00103E70">
              <w:rPr>
                <w:sz w:val="20"/>
                <w:szCs w:val="20"/>
              </w:rPr>
              <w:t>2011</w:t>
            </w:r>
          </w:p>
        </w:tc>
        <w:tc>
          <w:tcPr>
            <w:tcW w:w="720" w:type="dxa"/>
            <w:tcBorders>
              <w:top w:val="single" w:sz="8" w:space="0" w:color="auto"/>
              <w:left w:val="single" w:sz="6" w:space="0" w:color="auto"/>
              <w:bottom w:val="single" w:sz="8" w:space="0" w:color="auto"/>
              <w:right w:val="single" w:sz="8" w:space="0" w:color="auto"/>
            </w:tcBorders>
            <w:vAlign w:val="center"/>
          </w:tcPr>
          <w:p w:rsidR="00272AA5" w:rsidRPr="00103E70" w:rsidRDefault="00272AA5">
            <w:pPr>
              <w:jc w:val="center"/>
            </w:pPr>
            <w:r w:rsidRPr="00103E70">
              <w:rPr>
                <w:color w:val="000000"/>
                <w:sz w:val="20"/>
                <w:szCs w:val="20"/>
              </w:rPr>
              <w:t>n+4</w:t>
            </w:r>
            <w:r w:rsidRPr="00103E70">
              <w:rPr>
                <w:color w:val="000000"/>
                <w:sz w:val="20"/>
                <w:szCs w:val="20"/>
              </w:rPr>
              <w:br/>
              <w:t>och följande budgetår</w:t>
            </w:r>
          </w:p>
        </w:tc>
        <w:tc>
          <w:tcPr>
            <w:tcW w:w="876" w:type="dxa"/>
            <w:tcBorders>
              <w:top w:val="single" w:sz="8" w:space="0" w:color="auto"/>
              <w:left w:val="single" w:sz="8" w:space="0" w:color="auto"/>
              <w:bottom w:val="single" w:sz="8" w:space="0" w:color="auto"/>
              <w:right w:val="single" w:sz="8" w:space="0" w:color="auto"/>
            </w:tcBorders>
          </w:tcPr>
          <w:p w:rsidR="00272AA5" w:rsidRPr="00103E70" w:rsidRDefault="00272AA5">
            <w:pPr>
              <w:jc w:val="center"/>
              <w:rPr>
                <w:sz w:val="20"/>
                <w:szCs w:val="20"/>
              </w:rPr>
            </w:pPr>
          </w:p>
          <w:p w:rsidR="00272AA5" w:rsidRPr="00103E70" w:rsidRDefault="00272AA5">
            <w:pPr>
              <w:jc w:val="center"/>
            </w:pPr>
            <w:r w:rsidRPr="00103E70">
              <w:rPr>
                <w:color w:val="000000"/>
                <w:sz w:val="20"/>
                <w:szCs w:val="20"/>
              </w:rPr>
              <w:t>Totalt</w:t>
            </w:r>
          </w:p>
        </w:tc>
      </w:tr>
      <w:tr w:rsidR="00272AA5" w:rsidRPr="00103E70">
        <w:tblPrEx>
          <w:tblCellMar>
            <w:top w:w="0" w:type="dxa"/>
            <w:bottom w:w="0" w:type="dxa"/>
          </w:tblCellMar>
        </w:tblPrEx>
        <w:trPr>
          <w:cantSplit/>
        </w:trPr>
        <w:tc>
          <w:tcPr>
            <w:tcW w:w="3156" w:type="dxa"/>
            <w:gridSpan w:val="2"/>
            <w:tcBorders>
              <w:top w:val="single" w:sz="8" w:space="0" w:color="auto"/>
              <w:bottom w:val="single" w:sz="8" w:space="0" w:color="auto"/>
            </w:tcBorders>
          </w:tcPr>
          <w:p w:rsidR="00272AA5" w:rsidRPr="00103E70" w:rsidRDefault="00272AA5">
            <w:pPr>
              <w:spacing w:before="60" w:after="60"/>
            </w:pPr>
            <w:r w:rsidRPr="00103E70">
              <w:rPr>
                <w:b/>
                <w:bCs/>
                <w:color w:val="000000"/>
                <w:sz w:val="22"/>
                <w:szCs w:val="22"/>
              </w:rPr>
              <w:t>Driftsutgifter</w:t>
            </w:r>
            <w:r w:rsidRPr="00103E70">
              <w:rPr>
                <w:rStyle w:val="Fotnotsreferens"/>
                <w:b/>
                <w:bCs/>
                <w:color w:val="000000"/>
                <w:sz w:val="22"/>
                <w:szCs w:val="22"/>
              </w:rPr>
              <w:footnoteReference w:id="10"/>
            </w:r>
          </w:p>
          <w:p w:rsidR="00272AA5" w:rsidRPr="00103E70" w:rsidRDefault="00272AA5">
            <w:pPr>
              <w:spacing w:before="0" w:after="0"/>
            </w:pPr>
          </w:p>
        </w:tc>
        <w:tc>
          <w:tcPr>
            <w:tcW w:w="600" w:type="dxa"/>
            <w:tcBorders>
              <w:top w:val="single" w:sz="8" w:space="0" w:color="auto"/>
              <w:bottom w:val="single" w:sz="8" w:space="0" w:color="auto"/>
            </w:tcBorders>
            <w:vAlign w:val="center"/>
          </w:tcPr>
          <w:p w:rsidR="00272AA5" w:rsidRPr="00103E70" w:rsidRDefault="00272AA5">
            <w:pPr>
              <w:spacing w:before="60" w:after="60"/>
              <w:jc w:val="center"/>
              <w:rPr>
                <w:sz w:val="20"/>
                <w:szCs w:val="20"/>
              </w:rPr>
            </w:pPr>
          </w:p>
        </w:tc>
        <w:tc>
          <w:tcPr>
            <w:tcW w:w="720" w:type="dxa"/>
            <w:tcBorders>
              <w:top w:val="single" w:sz="8" w:space="0" w:color="auto"/>
              <w:bottom w:val="single" w:sz="8" w:space="0" w:color="auto"/>
            </w:tcBorders>
          </w:tcPr>
          <w:p w:rsidR="00272AA5" w:rsidRPr="00103E70" w:rsidRDefault="00272AA5">
            <w:pPr>
              <w:spacing w:before="60" w:after="60"/>
            </w:pPr>
          </w:p>
        </w:tc>
        <w:tc>
          <w:tcPr>
            <w:tcW w:w="720" w:type="dxa"/>
            <w:tcBorders>
              <w:top w:val="single" w:sz="8" w:space="0" w:color="auto"/>
              <w:bottom w:val="single" w:sz="8" w:space="0" w:color="auto"/>
            </w:tcBorders>
          </w:tcPr>
          <w:p w:rsidR="00272AA5" w:rsidRPr="00103E70" w:rsidRDefault="00272AA5">
            <w:pPr>
              <w:spacing w:before="60" w:after="60"/>
            </w:pPr>
          </w:p>
        </w:tc>
        <w:tc>
          <w:tcPr>
            <w:tcW w:w="720" w:type="dxa"/>
            <w:tcBorders>
              <w:top w:val="single" w:sz="8" w:space="0" w:color="auto"/>
              <w:bottom w:val="single" w:sz="8" w:space="0" w:color="auto"/>
            </w:tcBorders>
          </w:tcPr>
          <w:p w:rsidR="00272AA5" w:rsidRPr="00103E70" w:rsidRDefault="00272AA5">
            <w:pPr>
              <w:spacing w:before="60" w:after="60"/>
            </w:pPr>
          </w:p>
        </w:tc>
        <w:tc>
          <w:tcPr>
            <w:tcW w:w="720" w:type="dxa"/>
            <w:tcBorders>
              <w:top w:val="single" w:sz="8" w:space="0" w:color="auto"/>
              <w:bottom w:val="single" w:sz="8" w:space="0" w:color="auto"/>
            </w:tcBorders>
          </w:tcPr>
          <w:p w:rsidR="00272AA5" w:rsidRPr="00103E70" w:rsidRDefault="00272AA5">
            <w:pPr>
              <w:spacing w:before="60" w:after="60"/>
            </w:pPr>
          </w:p>
        </w:tc>
        <w:tc>
          <w:tcPr>
            <w:tcW w:w="720" w:type="dxa"/>
            <w:tcBorders>
              <w:top w:val="single" w:sz="8" w:space="0" w:color="auto"/>
              <w:bottom w:val="single" w:sz="8" w:space="0" w:color="auto"/>
            </w:tcBorders>
          </w:tcPr>
          <w:p w:rsidR="00272AA5" w:rsidRPr="00103E70" w:rsidRDefault="00272AA5">
            <w:pPr>
              <w:spacing w:before="60" w:after="60"/>
            </w:pPr>
          </w:p>
        </w:tc>
        <w:tc>
          <w:tcPr>
            <w:tcW w:w="720" w:type="dxa"/>
            <w:tcBorders>
              <w:top w:val="single" w:sz="8" w:space="0" w:color="auto"/>
              <w:bottom w:val="single" w:sz="8" w:space="0" w:color="auto"/>
            </w:tcBorders>
          </w:tcPr>
          <w:p w:rsidR="00272AA5" w:rsidRPr="00103E70" w:rsidRDefault="00272AA5">
            <w:pPr>
              <w:spacing w:before="60" w:after="60"/>
            </w:pPr>
          </w:p>
        </w:tc>
        <w:tc>
          <w:tcPr>
            <w:tcW w:w="876" w:type="dxa"/>
            <w:tcBorders>
              <w:top w:val="single" w:sz="8" w:space="0" w:color="auto"/>
              <w:bottom w:val="single" w:sz="8" w:space="0" w:color="auto"/>
            </w:tcBorders>
          </w:tcPr>
          <w:p w:rsidR="00272AA5" w:rsidRPr="00103E70" w:rsidRDefault="00272AA5">
            <w:pPr>
              <w:spacing w:before="60" w:after="60"/>
            </w:pPr>
          </w:p>
        </w:tc>
      </w:tr>
      <w:tr w:rsidR="00272AA5" w:rsidRPr="00103E70">
        <w:tblPrEx>
          <w:tblCellMar>
            <w:top w:w="0" w:type="dxa"/>
            <w:bottom w:w="0" w:type="dxa"/>
          </w:tblCellMar>
        </w:tblPrEx>
        <w:trPr>
          <w:cantSplit/>
        </w:trPr>
        <w:tc>
          <w:tcPr>
            <w:tcW w:w="2335" w:type="dxa"/>
            <w:tcBorders>
              <w:top w:val="single" w:sz="8" w:space="0" w:color="auto"/>
              <w:left w:val="single" w:sz="8" w:space="0" w:color="auto"/>
              <w:bottom w:val="single" w:sz="4" w:space="0" w:color="auto"/>
              <w:right w:val="single" w:sz="4" w:space="0" w:color="auto"/>
            </w:tcBorders>
          </w:tcPr>
          <w:p w:rsidR="00272AA5" w:rsidRPr="00103E70" w:rsidRDefault="00272AA5">
            <w:pPr>
              <w:spacing w:before="60" w:after="60"/>
            </w:pPr>
            <w:r w:rsidRPr="00103E70">
              <w:rPr>
                <w:color w:val="000000"/>
                <w:sz w:val="20"/>
                <w:szCs w:val="20"/>
              </w:rPr>
              <w:t>Åtagandebemyndiganden</w:t>
            </w:r>
          </w:p>
        </w:tc>
        <w:tc>
          <w:tcPr>
            <w:tcW w:w="821" w:type="dxa"/>
            <w:tcBorders>
              <w:top w:val="single" w:sz="8"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0"/>
                <w:szCs w:val="20"/>
              </w:rPr>
            </w:pPr>
            <w:r w:rsidRPr="00103E70">
              <w:rPr>
                <w:sz w:val="20"/>
                <w:szCs w:val="20"/>
              </w:rPr>
              <w:t>8.1</w:t>
            </w:r>
          </w:p>
        </w:tc>
        <w:tc>
          <w:tcPr>
            <w:tcW w:w="600" w:type="dxa"/>
            <w:tcBorders>
              <w:top w:val="single" w:sz="8"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pPr>
            <w:r w:rsidRPr="00103E70">
              <w:rPr>
                <w:color w:val="000000"/>
                <w:sz w:val="20"/>
                <w:szCs w:val="20"/>
              </w:rPr>
              <w:t>a</w:t>
            </w:r>
          </w:p>
        </w:tc>
        <w:tc>
          <w:tcPr>
            <w:tcW w:w="720" w:type="dxa"/>
            <w:tcBorders>
              <w:top w:val="single" w:sz="8"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3,000</w:t>
            </w:r>
          </w:p>
        </w:tc>
        <w:tc>
          <w:tcPr>
            <w:tcW w:w="720" w:type="dxa"/>
            <w:tcBorders>
              <w:top w:val="single" w:sz="8"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7,000</w:t>
            </w:r>
          </w:p>
        </w:tc>
        <w:tc>
          <w:tcPr>
            <w:tcW w:w="720" w:type="dxa"/>
            <w:tcBorders>
              <w:top w:val="single" w:sz="8"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2"/>
                <w:szCs w:val="22"/>
              </w:rPr>
            </w:pPr>
          </w:p>
        </w:tc>
        <w:tc>
          <w:tcPr>
            <w:tcW w:w="720" w:type="dxa"/>
            <w:tcBorders>
              <w:top w:val="single" w:sz="8"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2"/>
                <w:szCs w:val="22"/>
              </w:rPr>
            </w:pPr>
          </w:p>
        </w:tc>
        <w:tc>
          <w:tcPr>
            <w:tcW w:w="720" w:type="dxa"/>
            <w:tcBorders>
              <w:top w:val="single" w:sz="8"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2"/>
                <w:szCs w:val="22"/>
              </w:rPr>
            </w:pPr>
          </w:p>
        </w:tc>
        <w:tc>
          <w:tcPr>
            <w:tcW w:w="720" w:type="dxa"/>
            <w:tcBorders>
              <w:top w:val="single" w:sz="8" w:space="0" w:color="auto"/>
              <w:left w:val="single" w:sz="4" w:space="0" w:color="auto"/>
              <w:bottom w:val="single" w:sz="4" w:space="0" w:color="auto"/>
              <w:right w:val="single" w:sz="8" w:space="0" w:color="auto"/>
            </w:tcBorders>
            <w:vAlign w:val="center"/>
          </w:tcPr>
          <w:p w:rsidR="00272AA5" w:rsidRPr="00103E70" w:rsidRDefault="00272AA5">
            <w:pPr>
              <w:spacing w:before="60" w:after="60"/>
              <w:jc w:val="center"/>
              <w:rPr>
                <w:sz w:val="22"/>
                <w:szCs w:val="22"/>
              </w:rPr>
            </w:pPr>
          </w:p>
        </w:tc>
        <w:tc>
          <w:tcPr>
            <w:tcW w:w="876" w:type="dxa"/>
            <w:tcBorders>
              <w:top w:val="single" w:sz="8" w:space="0" w:color="auto"/>
              <w:left w:val="single" w:sz="8" w:space="0" w:color="auto"/>
              <w:bottom w:val="single" w:sz="8" w:space="0" w:color="auto"/>
              <w:right w:val="single" w:sz="8" w:space="0" w:color="auto"/>
            </w:tcBorders>
            <w:vAlign w:val="center"/>
          </w:tcPr>
          <w:p w:rsidR="00272AA5" w:rsidRPr="00103E70" w:rsidRDefault="00272AA5">
            <w:pPr>
              <w:spacing w:before="60" w:after="60"/>
              <w:jc w:val="center"/>
              <w:rPr>
                <w:sz w:val="22"/>
                <w:szCs w:val="22"/>
              </w:rPr>
            </w:pPr>
            <w:r w:rsidRPr="00103E70">
              <w:rPr>
                <w:sz w:val="22"/>
                <w:szCs w:val="22"/>
              </w:rPr>
              <w:t>10,000</w:t>
            </w:r>
          </w:p>
        </w:tc>
      </w:tr>
      <w:tr w:rsidR="00272AA5" w:rsidRPr="00103E70">
        <w:tblPrEx>
          <w:tblCellMar>
            <w:top w:w="0" w:type="dxa"/>
            <w:bottom w:w="0" w:type="dxa"/>
          </w:tblCellMar>
        </w:tblPrEx>
        <w:trPr>
          <w:cantSplit/>
        </w:trPr>
        <w:tc>
          <w:tcPr>
            <w:tcW w:w="2335" w:type="dxa"/>
            <w:tcBorders>
              <w:top w:val="single" w:sz="4" w:space="0" w:color="auto"/>
              <w:left w:val="single" w:sz="8" w:space="0" w:color="auto"/>
              <w:bottom w:val="single" w:sz="8" w:space="0" w:color="auto"/>
              <w:right w:val="single" w:sz="4" w:space="0" w:color="auto"/>
            </w:tcBorders>
          </w:tcPr>
          <w:p w:rsidR="00272AA5" w:rsidRPr="00103E70" w:rsidRDefault="00272AA5">
            <w:pPr>
              <w:spacing w:before="60" w:after="60"/>
            </w:pPr>
            <w:r w:rsidRPr="00103E70">
              <w:rPr>
                <w:color w:val="000000"/>
                <w:sz w:val="20"/>
                <w:szCs w:val="20"/>
              </w:rPr>
              <w:t>Betalnings-bemyndiganden</w:t>
            </w:r>
          </w:p>
        </w:tc>
        <w:tc>
          <w:tcPr>
            <w:tcW w:w="821" w:type="dxa"/>
            <w:tcBorders>
              <w:top w:val="single" w:sz="4" w:space="0" w:color="auto"/>
              <w:left w:val="single" w:sz="4" w:space="0" w:color="auto"/>
              <w:bottom w:val="single" w:sz="8" w:space="0" w:color="auto"/>
              <w:right w:val="single" w:sz="4" w:space="0" w:color="auto"/>
            </w:tcBorders>
          </w:tcPr>
          <w:p w:rsidR="00272AA5" w:rsidRPr="00103E70" w:rsidRDefault="00272AA5">
            <w:pPr>
              <w:spacing w:before="60" w:after="60"/>
              <w:jc w:val="center"/>
            </w:pPr>
          </w:p>
        </w:tc>
        <w:tc>
          <w:tcPr>
            <w:tcW w:w="600" w:type="dxa"/>
            <w:tcBorders>
              <w:top w:val="single" w:sz="4" w:space="0" w:color="auto"/>
              <w:left w:val="single" w:sz="4" w:space="0" w:color="auto"/>
              <w:bottom w:val="single" w:sz="8" w:space="0" w:color="auto"/>
              <w:right w:val="single" w:sz="4" w:space="0" w:color="auto"/>
            </w:tcBorders>
            <w:vAlign w:val="center"/>
          </w:tcPr>
          <w:p w:rsidR="00272AA5" w:rsidRPr="00103E70" w:rsidRDefault="00272AA5">
            <w:pPr>
              <w:spacing w:before="60" w:after="60"/>
              <w:jc w:val="center"/>
            </w:pPr>
            <w:r w:rsidRPr="00103E70">
              <w:rPr>
                <w:color w:val="000000"/>
                <w:sz w:val="20"/>
                <w:szCs w:val="20"/>
              </w:rPr>
              <w:t>b</w:t>
            </w:r>
          </w:p>
        </w:tc>
        <w:tc>
          <w:tcPr>
            <w:tcW w:w="720" w:type="dxa"/>
            <w:tcBorders>
              <w:top w:val="single" w:sz="4" w:space="0" w:color="auto"/>
              <w:left w:val="single" w:sz="4" w:space="0" w:color="auto"/>
              <w:bottom w:val="single" w:sz="8"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1,200</w:t>
            </w:r>
          </w:p>
        </w:tc>
        <w:tc>
          <w:tcPr>
            <w:tcW w:w="720" w:type="dxa"/>
            <w:tcBorders>
              <w:top w:val="single" w:sz="4" w:space="0" w:color="auto"/>
              <w:left w:val="single" w:sz="4" w:space="0" w:color="auto"/>
              <w:bottom w:val="single" w:sz="8"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4,600</w:t>
            </w:r>
          </w:p>
        </w:tc>
        <w:tc>
          <w:tcPr>
            <w:tcW w:w="720" w:type="dxa"/>
            <w:tcBorders>
              <w:top w:val="single" w:sz="4" w:space="0" w:color="auto"/>
              <w:left w:val="single" w:sz="4" w:space="0" w:color="auto"/>
              <w:bottom w:val="single" w:sz="8"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4,200</w:t>
            </w:r>
          </w:p>
        </w:tc>
        <w:tc>
          <w:tcPr>
            <w:tcW w:w="720" w:type="dxa"/>
            <w:tcBorders>
              <w:top w:val="single" w:sz="4" w:space="0" w:color="auto"/>
              <w:left w:val="single" w:sz="4" w:space="0" w:color="auto"/>
              <w:bottom w:val="single" w:sz="8" w:space="0" w:color="auto"/>
              <w:right w:val="single" w:sz="4" w:space="0" w:color="auto"/>
            </w:tcBorders>
            <w:vAlign w:val="center"/>
          </w:tcPr>
          <w:p w:rsidR="00272AA5" w:rsidRPr="00103E70" w:rsidRDefault="00272AA5">
            <w:pPr>
              <w:spacing w:before="60" w:after="60"/>
              <w:jc w:val="center"/>
              <w:rPr>
                <w:sz w:val="22"/>
                <w:szCs w:val="22"/>
              </w:rPr>
            </w:pPr>
          </w:p>
        </w:tc>
        <w:tc>
          <w:tcPr>
            <w:tcW w:w="720" w:type="dxa"/>
            <w:tcBorders>
              <w:top w:val="single" w:sz="4" w:space="0" w:color="auto"/>
              <w:left w:val="single" w:sz="4" w:space="0" w:color="auto"/>
              <w:bottom w:val="single" w:sz="8" w:space="0" w:color="auto"/>
              <w:right w:val="single" w:sz="4" w:space="0" w:color="auto"/>
            </w:tcBorders>
            <w:vAlign w:val="center"/>
          </w:tcPr>
          <w:p w:rsidR="00272AA5" w:rsidRPr="00103E70" w:rsidRDefault="00272AA5">
            <w:pPr>
              <w:spacing w:before="60" w:after="60"/>
              <w:jc w:val="center"/>
              <w:rPr>
                <w:sz w:val="22"/>
                <w:szCs w:val="22"/>
              </w:rPr>
            </w:pPr>
          </w:p>
        </w:tc>
        <w:tc>
          <w:tcPr>
            <w:tcW w:w="720" w:type="dxa"/>
            <w:tcBorders>
              <w:top w:val="single" w:sz="4" w:space="0" w:color="auto"/>
              <w:left w:val="single" w:sz="4" w:space="0" w:color="auto"/>
              <w:bottom w:val="single" w:sz="8" w:space="0" w:color="auto"/>
              <w:right w:val="single" w:sz="8" w:space="0" w:color="auto"/>
            </w:tcBorders>
            <w:vAlign w:val="center"/>
          </w:tcPr>
          <w:p w:rsidR="00272AA5" w:rsidRPr="00103E70" w:rsidRDefault="00272AA5">
            <w:pPr>
              <w:spacing w:before="60" w:after="60"/>
              <w:jc w:val="center"/>
              <w:rPr>
                <w:sz w:val="22"/>
                <w:szCs w:val="22"/>
              </w:rPr>
            </w:pPr>
          </w:p>
        </w:tc>
        <w:tc>
          <w:tcPr>
            <w:tcW w:w="876" w:type="dxa"/>
            <w:tcBorders>
              <w:top w:val="single" w:sz="8" w:space="0" w:color="auto"/>
              <w:left w:val="single" w:sz="8" w:space="0" w:color="auto"/>
              <w:bottom w:val="single" w:sz="8" w:space="0" w:color="auto"/>
              <w:right w:val="single" w:sz="8" w:space="0" w:color="auto"/>
            </w:tcBorders>
            <w:vAlign w:val="center"/>
          </w:tcPr>
          <w:p w:rsidR="00272AA5" w:rsidRPr="00103E70" w:rsidRDefault="00272AA5">
            <w:pPr>
              <w:spacing w:before="60" w:after="60"/>
              <w:jc w:val="center"/>
              <w:rPr>
                <w:sz w:val="22"/>
                <w:szCs w:val="22"/>
              </w:rPr>
            </w:pPr>
            <w:r w:rsidRPr="00103E70">
              <w:rPr>
                <w:sz w:val="22"/>
                <w:szCs w:val="22"/>
              </w:rPr>
              <w:t>10,000</w:t>
            </w:r>
          </w:p>
        </w:tc>
      </w:tr>
      <w:tr w:rsidR="00272AA5" w:rsidRPr="00103E70">
        <w:tblPrEx>
          <w:tblCellMar>
            <w:top w:w="0" w:type="dxa"/>
            <w:bottom w:w="0" w:type="dxa"/>
          </w:tblCellMar>
        </w:tblPrEx>
        <w:trPr>
          <w:cantSplit/>
        </w:trPr>
        <w:tc>
          <w:tcPr>
            <w:tcW w:w="3756" w:type="dxa"/>
            <w:gridSpan w:val="3"/>
            <w:tcBorders>
              <w:top w:val="single" w:sz="8" w:space="0" w:color="auto"/>
              <w:bottom w:val="single" w:sz="18" w:space="0" w:color="auto"/>
            </w:tcBorders>
          </w:tcPr>
          <w:p w:rsidR="00272AA5" w:rsidRPr="00103E70" w:rsidRDefault="00272AA5">
            <w:pPr>
              <w:spacing w:before="60" w:after="60"/>
            </w:pPr>
            <w:r w:rsidRPr="00103E70">
              <w:rPr>
                <w:b/>
                <w:bCs/>
                <w:color w:val="000000"/>
                <w:sz w:val="20"/>
                <w:szCs w:val="20"/>
                <w14:shadow w14:blurRad="50800" w14:dist="38100" w14:dir="2700000" w14:sx="100000" w14:sy="100000" w14:kx="0" w14:ky="0" w14:algn="tl">
                  <w14:srgbClr w14:val="000000">
                    <w14:alpha w14:val="60000"/>
                  </w14:srgbClr>
                </w14:shadow>
              </w:rPr>
              <w:t>TOTALT REFERENSBELOPP</w:t>
            </w:r>
          </w:p>
        </w:tc>
        <w:tc>
          <w:tcPr>
            <w:tcW w:w="720" w:type="dxa"/>
            <w:tcBorders>
              <w:top w:val="single" w:sz="8" w:space="0" w:color="auto"/>
              <w:bottom w:val="single" w:sz="18" w:space="0" w:color="auto"/>
            </w:tcBorders>
          </w:tcPr>
          <w:p w:rsidR="00272AA5" w:rsidRPr="00103E70" w:rsidRDefault="00272AA5">
            <w:pPr>
              <w:spacing w:before="60" w:after="60"/>
              <w:rPr>
                <w:b/>
                <w:bCs/>
                <w14:shadow w14:blurRad="50800" w14:dist="38100" w14:dir="2700000" w14:sx="100000" w14:sy="100000" w14:kx="0" w14:ky="0" w14:algn="tl">
                  <w14:srgbClr w14:val="000000">
                    <w14:alpha w14:val="60000"/>
                  </w14:srgbClr>
                </w14:shadow>
              </w:rPr>
            </w:pPr>
          </w:p>
        </w:tc>
        <w:tc>
          <w:tcPr>
            <w:tcW w:w="720" w:type="dxa"/>
            <w:tcBorders>
              <w:top w:val="single" w:sz="8" w:space="0" w:color="auto"/>
              <w:bottom w:val="single" w:sz="18" w:space="0" w:color="auto"/>
            </w:tcBorders>
          </w:tcPr>
          <w:p w:rsidR="00272AA5" w:rsidRPr="00103E70" w:rsidRDefault="00272AA5">
            <w:pPr>
              <w:spacing w:before="60" w:after="60"/>
              <w:rPr>
                <w:b/>
                <w:bCs/>
                <w14:shadow w14:blurRad="50800" w14:dist="38100" w14:dir="2700000" w14:sx="100000" w14:sy="100000" w14:kx="0" w14:ky="0" w14:algn="tl">
                  <w14:srgbClr w14:val="000000">
                    <w14:alpha w14:val="60000"/>
                  </w14:srgbClr>
                </w14:shadow>
              </w:rPr>
            </w:pPr>
          </w:p>
        </w:tc>
        <w:tc>
          <w:tcPr>
            <w:tcW w:w="720" w:type="dxa"/>
            <w:tcBorders>
              <w:top w:val="single" w:sz="8" w:space="0" w:color="auto"/>
              <w:bottom w:val="single" w:sz="18" w:space="0" w:color="auto"/>
            </w:tcBorders>
          </w:tcPr>
          <w:p w:rsidR="00272AA5" w:rsidRPr="00103E70" w:rsidRDefault="00272AA5">
            <w:pPr>
              <w:spacing w:before="60" w:after="60"/>
              <w:rPr>
                <w:b/>
                <w:bCs/>
                <w14:shadow w14:blurRad="50800" w14:dist="38100" w14:dir="2700000" w14:sx="100000" w14:sy="100000" w14:kx="0" w14:ky="0" w14:algn="tl">
                  <w14:srgbClr w14:val="000000">
                    <w14:alpha w14:val="60000"/>
                  </w14:srgbClr>
                </w14:shadow>
              </w:rPr>
            </w:pPr>
          </w:p>
        </w:tc>
        <w:tc>
          <w:tcPr>
            <w:tcW w:w="720" w:type="dxa"/>
            <w:tcBorders>
              <w:top w:val="single" w:sz="8" w:space="0" w:color="auto"/>
              <w:bottom w:val="single" w:sz="18" w:space="0" w:color="auto"/>
            </w:tcBorders>
          </w:tcPr>
          <w:p w:rsidR="00272AA5" w:rsidRPr="00103E70" w:rsidRDefault="00272AA5">
            <w:pPr>
              <w:spacing w:before="60" w:after="60"/>
              <w:rPr>
                <w:b/>
                <w:bCs/>
                <w14:shadow w14:blurRad="50800" w14:dist="38100" w14:dir="2700000" w14:sx="100000" w14:sy="100000" w14:kx="0" w14:ky="0" w14:algn="tl">
                  <w14:srgbClr w14:val="000000">
                    <w14:alpha w14:val="60000"/>
                  </w14:srgbClr>
                </w14:shadow>
              </w:rPr>
            </w:pPr>
          </w:p>
        </w:tc>
        <w:tc>
          <w:tcPr>
            <w:tcW w:w="720" w:type="dxa"/>
            <w:tcBorders>
              <w:top w:val="single" w:sz="8" w:space="0" w:color="auto"/>
              <w:bottom w:val="single" w:sz="18" w:space="0" w:color="auto"/>
            </w:tcBorders>
          </w:tcPr>
          <w:p w:rsidR="00272AA5" w:rsidRPr="00103E70" w:rsidRDefault="00272AA5">
            <w:pPr>
              <w:spacing w:before="60" w:after="60"/>
              <w:rPr>
                <w:b/>
                <w:bCs/>
                <w14:shadow w14:blurRad="50800" w14:dist="38100" w14:dir="2700000" w14:sx="100000" w14:sy="100000" w14:kx="0" w14:ky="0" w14:algn="tl">
                  <w14:srgbClr w14:val="000000">
                    <w14:alpha w14:val="60000"/>
                  </w14:srgbClr>
                </w14:shadow>
              </w:rPr>
            </w:pPr>
          </w:p>
        </w:tc>
        <w:tc>
          <w:tcPr>
            <w:tcW w:w="720" w:type="dxa"/>
            <w:tcBorders>
              <w:top w:val="single" w:sz="8" w:space="0" w:color="auto"/>
              <w:bottom w:val="single" w:sz="18" w:space="0" w:color="auto"/>
            </w:tcBorders>
          </w:tcPr>
          <w:p w:rsidR="00272AA5" w:rsidRPr="00103E70" w:rsidRDefault="00272AA5">
            <w:pPr>
              <w:spacing w:before="60" w:after="60"/>
              <w:rPr>
                <w:b/>
                <w:bCs/>
                <w14:shadow w14:blurRad="50800" w14:dist="38100" w14:dir="2700000" w14:sx="100000" w14:sy="100000" w14:kx="0" w14:ky="0" w14:algn="tl">
                  <w14:srgbClr w14:val="000000">
                    <w14:alpha w14:val="60000"/>
                  </w14:srgbClr>
                </w14:shadow>
              </w:rPr>
            </w:pPr>
          </w:p>
        </w:tc>
        <w:tc>
          <w:tcPr>
            <w:tcW w:w="876" w:type="dxa"/>
            <w:tcBorders>
              <w:top w:val="single" w:sz="8" w:space="0" w:color="auto"/>
              <w:bottom w:val="single" w:sz="18" w:space="0" w:color="auto"/>
            </w:tcBorders>
          </w:tcPr>
          <w:p w:rsidR="00272AA5" w:rsidRPr="00103E70" w:rsidRDefault="00272AA5">
            <w:pPr>
              <w:spacing w:before="60" w:after="60"/>
              <w:rPr>
                <w:b/>
                <w:bCs/>
                <w14:shadow w14:blurRad="50800" w14:dist="38100" w14:dir="2700000" w14:sx="100000" w14:sy="100000" w14:kx="0" w14:ky="0" w14:algn="tl">
                  <w14:srgbClr w14:val="000000">
                    <w14:alpha w14:val="60000"/>
                  </w14:srgbClr>
                </w14:shadow>
              </w:rPr>
            </w:pPr>
          </w:p>
        </w:tc>
      </w:tr>
      <w:tr w:rsidR="00272AA5" w:rsidRPr="00103E70">
        <w:tblPrEx>
          <w:tblCellMar>
            <w:top w:w="0" w:type="dxa"/>
            <w:bottom w:w="0" w:type="dxa"/>
          </w:tblCellMar>
        </w:tblPrEx>
        <w:trPr>
          <w:cantSplit/>
        </w:trPr>
        <w:tc>
          <w:tcPr>
            <w:tcW w:w="2335" w:type="dxa"/>
            <w:tcBorders>
              <w:top w:val="single" w:sz="18" w:space="0" w:color="auto"/>
              <w:left w:val="single" w:sz="18" w:space="0" w:color="auto"/>
              <w:bottom w:val="single" w:sz="12" w:space="0" w:color="auto"/>
              <w:right w:val="single" w:sz="4" w:space="0" w:color="auto"/>
            </w:tcBorders>
          </w:tcPr>
          <w:p w:rsidR="00272AA5" w:rsidRPr="00103E70" w:rsidRDefault="00272AA5">
            <w:pPr>
              <w:spacing w:before="60" w:after="60"/>
            </w:pPr>
            <w:r w:rsidRPr="00103E70">
              <w:rPr>
                <w:b/>
                <w:bCs/>
                <w:color w:val="000000"/>
                <w:sz w:val="20"/>
                <w:szCs w:val="20"/>
              </w:rPr>
              <w:t>Åtagande-bemyndiganden</w:t>
            </w:r>
          </w:p>
        </w:tc>
        <w:tc>
          <w:tcPr>
            <w:tcW w:w="821" w:type="dxa"/>
            <w:tcBorders>
              <w:top w:val="single" w:sz="18" w:space="0" w:color="auto"/>
              <w:left w:val="single" w:sz="4" w:space="0" w:color="auto"/>
              <w:bottom w:val="single" w:sz="12" w:space="0" w:color="auto"/>
              <w:right w:val="single" w:sz="4" w:space="0" w:color="auto"/>
            </w:tcBorders>
          </w:tcPr>
          <w:p w:rsidR="00272AA5" w:rsidRPr="00103E70" w:rsidRDefault="00272AA5">
            <w:pPr>
              <w:spacing w:before="60" w:after="60"/>
              <w:jc w:val="center"/>
              <w:rPr>
                <w:b/>
                <w:bCs/>
              </w:rPr>
            </w:pPr>
          </w:p>
        </w:tc>
        <w:tc>
          <w:tcPr>
            <w:tcW w:w="600" w:type="dxa"/>
            <w:tcBorders>
              <w:top w:val="single" w:sz="18" w:space="0" w:color="auto"/>
              <w:left w:val="single" w:sz="4" w:space="0" w:color="auto"/>
              <w:bottom w:val="single" w:sz="12" w:space="0" w:color="auto"/>
              <w:right w:val="single" w:sz="4" w:space="0" w:color="auto"/>
            </w:tcBorders>
            <w:vAlign w:val="center"/>
          </w:tcPr>
          <w:p w:rsidR="00272AA5" w:rsidRPr="00103E70" w:rsidRDefault="00272AA5">
            <w:pPr>
              <w:spacing w:before="60" w:after="60"/>
              <w:jc w:val="center"/>
            </w:pPr>
            <w:r w:rsidRPr="00103E70">
              <w:rPr>
                <w:b/>
                <w:bCs/>
                <w:color w:val="000000"/>
                <w:sz w:val="20"/>
                <w:szCs w:val="20"/>
              </w:rPr>
              <w:t>a+c</w:t>
            </w:r>
          </w:p>
        </w:tc>
        <w:tc>
          <w:tcPr>
            <w:tcW w:w="720" w:type="dxa"/>
            <w:tcBorders>
              <w:top w:val="single" w:sz="18" w:space="0" w:color="auto"/>
              <w:left w:val="single" w:sz="4" w:space="0" w:color="auto"/>
              <w:bottom w:val="single" w:sz="12" w:space="0" w:color="auto"/>
              <w:right w:val="single" w:sz="4" w:space="0" w:color="auto"/>
            </w:tcBorders>
          </w:tcPr>
          <w:p w:rsidR="00272AA5" w:rsidRPr="00103E70" w:rsidRDefault="00272AA5">
            <w:pPr>
              <w:spacing w:before="60" w:after="60"/>
              <w:rPr>
                <w:b/>
                <w:bCs/>
                <w:sz w:val="22"/>
                <w:szCs w:val="22"/>
              </w:rPr>
            </w:pPr>
            <w:r w:rsidRPr="00103E70">
              <w:rPr>
                <w:sz w:val="22"/>
                <w:szCs w:val="22"/>
              </w:rPr>
              <w:t>3,000</w:t>
            </w:r>
          </w:p>
        </w:tc>
        <w:tc>
          <w:tcPr>
            <w:tcW w:w="720" w:type="dxa"/>
            <w:tcBorders>
              <w:top w:val="single" w:sz="18" w:space="0" w:color="auto"/>
              <w:left w:val="single" w:sz="4" w:space="0" w:color="auto"/>
              <w:bottom w:val="single" w:sz="12" w:space="0" w:color="auto"/>
              <w:right w:val="single" w:sz="4" w:space="0" w:color="auto"/>
            </w:tcBorders>
          </w:tcPr>
          <w:p w:rsidR="00272AA5" w:rsidRPr="00103E70" w:rsidRDefault="00272AA5">
            <w:pPr>
              <w:spacing w:before="60" w:after="60"/>
              <w:rPr>
                <w:b/>
                <w:bCs/>
                <w:sz w:val="22"/>
                <w:szCs w:val="22"/>
              </w:rPr>
            </w:pPr>
            <w:r w:rsidRPr="00103E70">
              <w:rPr>
                <w:sz w:val="22"/>
                <w:szCs w:val="22"/>
              </w:rPr>
              <w:t>7,000</w:t>
            </w:r>
          </w:p>
        </w:tc>
        <w:tc>
          <w:tcPr>
            <w:tcW w:w="720" w:type="dxa"/>
            <w:tcBorders>
              <w:top w:val="single" w:sz="18" w:space="0" w:color="auto"/>
              <w:left w:val="single" w:sz="4" w:space="0" w:color="auto"/>
              <w:bottom w:val="single" w:sz="12" w:space="0" w:color="auto"/>
              <w:right w:val="single" w:sz="4" w:space="0" w:color="auto"/>
            </w:tcBorders>
          </w:tcPr>
          <w:p w:rsidR="00272AA5" w:rsidRPr="00103E70" w:rsidRDefault="00272AA5">
            <w:pPr>
              <w:spacing w:before="60" w:after="60"/>
              <w:rPr>
                <w:b/>
                <w:bCs/>
                <w:sz w:val="22"/>
                <w:szCs w:val="22"/>
              </w:rPr>
            </w:pPr>
          </w:p>
        </w:tc>
        <w:tc>
          <w:tcPr>
            <w:tcW w:w="720" w:type="dxa"/>
            <w:tcBorders>
              <w:top w:val="single" w:sz="18" w:space="0" w:color="auto"/>
              <w:left w:val="single" w:sz="4" w:space="0" w:color="auto"/>
              <w:bottom w:val="single" w:sz="12" w:space="0" w:color="auto"/>
              <w:right w:val="single" w:sz="4" w:space="0" w:color="auto"/>
            </w:tcBorders>
          </w:tcPr>
          <w:p w:rsidR="00272AA5" w:rsidRPr="00103E70" w:rsidRDefault="00272AA5">
            <w:pPr>
              <w:spacing w:before="60" w:after="60"/>
              <w:rPr>
                <w:b/>
                <w:bCs/>
                <w:sz w:val="22"/>
                <w:szCs w:val="22"/>
              </w:rPr>
            </w:pPr>
          </w:p>
        </w:tc>
        <w:tc>
          <w:tcPr>
            <w:tcW w:w="720" w:type="dxa"/>
            <w:tcBorders>
              <w:top w:val="single" w:sz="18" w:space="0" w:color="auto"/>
              <w:left w:val="single" w:sz="4" w:space="0" w:color="auto"/>
              <w:bottom w:val="single" w:sz="12" w:space="0" w:color="auto"/>
              <w:right w:val="single" w:sz="4" w:space="0" w:color="auto"/>
            </w:tcBorders>
          </w:tcPr>
          <w:p w:rsidR="00272AA5" w:rsidRPr="00103E70" w:rsidRDefault="00272AA5">
            <w:pPr>
              <w:spacing w:before="60" w:after="60"/>
              <w:rPr>
                <w:b/>
                <w:bCs/>
              </w:rPr>
            </w:pPr>
          </w:p>
        </w:tc>
        <w:tc>
          <w:tcPr>
            <w:tcW w:w="720" w:type="dxa"/>
            <w:tcBorders>
              <w:top w:val="single" w:sz="18" w:space="0" w:color="auto"/>
              <w:left w:val="single" w:sz="4" w:space="0" w:color="auto"/>
              <w:bottom w:val="single" w:sz="12" w:space="0" w:color="auto"/>
              <w:right w:val="single" w:sz="12" w:space="0" w:color="auto"/>
            </w:tcBorders>
          </w:tcPr>
          <w:p w:rsidR="00272AA5" w:rsidRPr="00103E70" w:rsidRDefault="00272AA5">
            <w:pPr>
              <w:spacing w:before="60" w:after="60"/>
              <w:rPr>
                <w:b/>
                <w:bCs/>
              </w:rPr>
            </w:pPr>
          </w:p>
        </w:tc>
        <w:tc>
          <w:tcPr>
            <w:tcW w:w="876" w:type="dxa"/>
            <w:tcBorders>
              <w:top w:val="single" w:sz="18" w:space="0" w:color="auto"/>
              <w:left w:val="nil"/>
              <w:bottom w:val="single" w:sz="12" w:space="0" w:color="auto"/>
              <w:right w:val="single" w:sz="18" w:space="0" w:color="auto"/>
            </w:tcBorders>
          </w:tcPr>
          <w:p w:rsidR="00272AA5" w:rsidRPr="00103E70" w:rsidRDefault="00272AA5">
            <w:pPr>
              <w:spacing w:before="60" w:after="60"/>
              <w:rPr>
                <w:b/>
                <w:bCs/>
              </w:rPr>
            </w:pPr>
            <w:r w:rsidRPr="00103E70">
              <w:rPr>
                <w:sz w:val="22"/>
                <w:szCs w:val="22"/>
              </w:rPr>
              <w:t>10,000</w:t>
            </w:r>
          </w:p>
        </w:tc>
      </w:tr>
      <w:tr w:rsidR="00272AA5" w:rsidRPr="00103E70">
        <w:tblPrEx>
          <w:tblCellMar>
            <w:top w:w="0" w:type="dxa"/>
            <w:bottom w:w="0" w:type="dxa"/>
          </w:tblCellMar>
        </w:tblPrEx>
        <w:trPr>
          <w:cantSplit/>
        </w:trPr>
        <w:tc>
          <w:tcPr>
            <w:tcW w:w="2335" w:type="dxa"/>
            <w:tcBorders>
              <w:top w:val="single" w:sz="12" w:space="0" w:color="auto"/>
              <w:left w:val="single" w:sz="18" w:space="0" w:color="auto"/>
              <w:bottom w:val="single" w:sz="18" w:space="0" w:color="auto"/>
              <w:right w:val="single" w:sz="4" w:space="0" w:color="auto"/>
            </w:tcBorders>
          </w:tcPr>
          <w:p w:rsidR="00272AA5" w:rsidRPr="00103E70" w:rsidRDefault="00272AA5">
            <w:pPr>
              <w:spacing w:before="60" w:after="60"/>
            </w:pPr>
            <w:r w:rsidRPr="00103E70">
              <w:rPr>
                <w:b/>
                <w:bCs/>
                <w:color w:val="000000"/>
                <w:sz w:val="20"/>
                <w:szCs w:val="20"/>
              </w:rPr>
              <w:t>Betalnings</w:t>
            </w:r>
            <w:r w:rsidRPr="00103E70">
              <w:rPr>
                <w:b/>
                <w:bCs/>
                <w:color w:val="000000"/>
                <w:sz w:val="20"/>
                <w:szCs w:val="20"/>
              </w:rPr>
              <w:softHyphen/>
              <w:t>bemyndiganden</w:t>
            </w:r>
          </w:p>
        </w:tc>
        <w:tc>
          <w:tcPr>
            <w:tcW w:w="821" w:type="dxa"/>
            <w:tcBorders>
              <w:top w:val="single" w:sz="12" w:space="0" w:color="auto"/>
              <w:left w:val="single" w:sz="4" w:space="0" w:color="auto"/>
              <w:bottom w:val="single" w:sz="18" w:space="0" w:color="auto"/>
              <w:right w:val="single" w:sz="4" w:space="0" w:color="auto"/>
            </w:tcBorders>
          </w:tcPr>
          <w:p w:rsidR="00272AA5" w:rsidRPr="00103E70" w:rsidRDefault="00272AA5">
            <w:pPr>
              <w:spacing w:before="60" w:after="60"/>
              <w:jc w:val="center"/>
              <w:rPr>
                <w:b/>
                <w:bCs/>
              </w:rPr>
            </w:pPr>
          </w:p>
        </w:tc>
        <w:tc>
          <w:tcPr>
            <w:tcW w:w="600" w:type="dxa"/>
            <w:tcBorders>
              <w:top w:val="single" w:sz="12" w:space="0" w:color="auto"/>
              <w:left w:val="single" w:sz="4" w:space="0" w:color="auto"/>
              <w:bottom w:val="single" w:sz="18" w:space="0" w:color="auto"/>
              <w:right w:val="single" w:sz="4" w:space="0" w:color="auto"/>
            </w:tcBorders>
            <w:vAlign w:val="center"/>
          </w:tcPr>
          <w:p w:rsidR="00272AA5" w:rsidRPr="00103E70" w:rsidRDefault="00272AA5">
            <w:pPr>
              <w:spacing w:before="60" w:after="60"/>
              <w:jc w:val="center"/>
            </w:pPr>
            <w:r w:rsidRPr="00103E70">
              <w:rPr>
                <w:b/>
                <w:bCs/>
                <w:color w:val="000000"/>
                <w:sz w:val="20"/>
                <w:szCs w:val="20"/>
              </w:rPr>
              <w:t>b+c</w:t>
            </w:r>
          </w:p>
        </w:tc>
        <w:tc>
          <w:tcPr>
            <w:tcW w:w="720" w:type="dxa"/>
            <w:tcBorders>
              <w:top w:val="single" w:sz="12" w:space="0" w:color="auto"/>
              <w:left w:val="single" w:sz="4" w:space="0" w:color="auto"/>
              <w:bottom w:val="single" w:sz="18" w:space="0" w:color="auto"/>
              <w:right w:val="single" w:sz="4" w:space="0" w:color="auto"/>
            </w:tcBorders>
          </w:tcPr>
          <w:p w:rsidR="00272AA5" w:rsidRPr="00103E70" w:rsidRDefault="00272AA5">
            <w:pPr>
              <w:spacing w:before="60" w:after="60"/>
              <w:rPr>
                <w:b/>
                <w:bCs/>
                <w:sz w:val="22"/>
                <w:szCs w:val="22"/>
              </w:rPr>
            </w:pPr>
            <w:r w:rsidRPr="00103E70">
              <w:rPr>
                <w:sz w:val="22"/>
                <w:szCs w:val="22"/>
              </w:rPr>
              <w:t>1,200</w:t>
            </w:r>
          </w:p>
        </w:tc>
        <w:tc>
          <w:tcPr>
            <w:tcW w:w="720" w:type="dxa"/>
            <w:tcBorders>
              <w:top w:val="single" w:sz="12" w:space="0" w:color="auto"/>
              <w:left w:val="single" w:sz="4" w:space="0" w:color="auto"/>
              <w:bottom w:val="single" w:sz="18" w:space="0" w:color="auto"/>
              <w:right w:val="single" w:sz="4" w:space="0" w:color="auto"/>
            </w:tcBorders>
          </w:tcPr>
          <w:p w:rsidR="00272AA5" w:rsidRPr="00103E70" w:rsidRDefault="00272AA5">
            <w:pPr>
              <w:spacing w:before="60" w:after="60"/>
              <w:rPr>
                <w:b/>
                <w:bCs/>
                <w:sz w:val="22"/>
                <w:szCs w:val="22"/>
              </w:rPr>
            </w:pPr>
            <w:r w:rsidRPr="00103E70">
              <w:rPr>
                <w:sz w:val="22"/>
                <w:szCs w:val="22"/>
              </w:rPr>
              <w:t>4,600</w:t>
            </w:r>
          </w:p>
        </w:tc>
        <w:tc>
          <w:tcPr>
            <w:tcW w:w="720" w:type="dxa"/>
            <w:tcBorders>
              <w:top w:val="single" w:sz="12" w:space="0" w:color="auto"/>
              <w:left w:val="single" w:sz="4" w:space="0" w:color="auto"/>
              <w:bottom w:val="single" w:sz="18" w:space="0" w:color="auto"/>
              <w:right w:val="single" w:sz="4" w:space="0" w:color="auto"/>
            </w:tcBorders>
          </w:tcPr>
          <w:p w:rsidR="00272AA5" w:rsidRPr="00103E70" w:rsidRDefault="00272AA5">
            <w:pPr>
              <w:spacing w:before="60" w:after="60"/>
              <w:rPr>
                <w:b/>
                <w:bCs/>
                <w:sz w:val="22"/>
                <w:szCs w:val="22"/>
              </w:rPr>
            </w:pPr>
            <w:r w:rsidRPr="00103E70">
              <w:rPr>
                <w:sz w:val="22"/>
                <w:szCs w:val="22"/>
              </w:rPr>
              <w:t>4,200</w:t>
            </w:r>
          </w:p>
        </w:tc>
        <w:tc>
          <w:tcPr>
            <w:tcW w:w="720" w:type="dxa"/>
            <w:tcBorders>
              <w:top w:val="single" w:sz="12" w:space="0" w:color="auto"/>
              <w:left w:val="single" w:sz="4" w:space="0" w:color="auto"/>
              <w:bottom w:val="single" w:sz="18" w:space="0" w:color="auto"/>
              <w:right w:val="single" w:sz="4" w:space="0" w:color="auto"/>
            </w:tcBorders>
          </w:tcPr>
          <w:p w:rsidR="00272AA5" w:rsidRPr="00103E70" w:rsidRDefault="00272AA5">
            <w:pPr>
              <w:spacing w:before="60" w:after="60"/>
              <w:rPr>
                <w:b/>
                <w:bCs/>
                <w:sz w:val="22"/>
                <w:szCs w:val="22"/>
              </w:rPr>
            </w:pPr>
          </w:p>
        </w:tc>
        <w:tc>
          <w:tcPr>
            <w:tcW w:w="720" w:type="dxa"/>
            <w:tcBorders>
              <w:top w:val="single" w:sz="12" w:space="0" w:color="auto"/>
              <w:left w:val="single" w:sz="4" w:space="0" w:color="auto"/>
              <w:bottom w:val="single" w:sz="18" w:space="0" w:color="auto"/>
              <w:right w:val="single" w:sz="4" w:space="0" w:color="auto"/>
            </w:tcBorders>
          </w:tcPr>
          <w:p w:rsidR="00272AA5" w:rsidRPr="00103E70" w:rsidRDefault="00272AA5">
            <w:pPr>
              <w:spacing w:before="60" w:after="60"/>
              <w:rPr>
                <w:b/>
                <w:bCs/>
              </w:rPr>
            </w:pPr>
          </w:p>
        </w:tc>
        <w:tc>
          <w:tcPr>
            <w:tcW w:w="720" w:type="dxa"/>
            <w:tcBorders>
              <w:top w:val="single" w:sz="12" w:space="0" w:color="auto"/>
              <w:left w:val="single" w:sz="4" w:space="0" w:color="auto"/>
              <w:bottom w:val="single" w:sz="18" w:space="0" w:color="auto"/>
              <w:right w:val="single" w:sz="12" w:space="0" w:color="auto"/>
            </w:tcBorders>
          </w:tcPr>
          <w:p w:rsidR="00272AA5" w:rsidRPr="00103E70" w:rsidRDefault="00272AA5">
            <w:pPr>
              <w:spacing w:before="60" w:after="60"/>
              <w:rPr>
                <w:b/>
                <w:bCs/>
              </w:rPr>
            </w:pPr>
          </w:p>
        </w:tc>
        <w:tc>
          <w:tcPr>
            <w:tcW w:w="876" w:type="dxa"/>
            <w:tcBorders>
              <w:top w:val="single" w:sz="12" w:space="0" w:color="auto"/>
              <w:left w:val="nil"/>
              <w:bottom w:val="single" w:sz="18" w:space="0" w:color="auto"/>
              <w:right w:val="single" w:sz="18" w:space="0" w:color="auto"/>
            </w:tcBorders>
          </w:tcPr>
          <w:p w:rsidR="00272AA5" w:rsidRPr="00103E70" w:rsidRDefault="00272AA5">
            <w:pPr>
              <w:spacing w:before="60" w:after="60"/>
              <w:rPr>
                <w:b/>
                <w:bCs/>
              </w:rPr>
            </w:pPr>
            <w:r w:rsidRPr="00103E70">
              <w:rPr>
                <w:sz w:val="22"/>
                <w:szCs w:val="22"/>
              </w:rPr>
              <w:t>10,000</w:t>
            </w:r>
          </w:p>
        </w:tc>
      </w:tr>
      <w:tr w:rsidR="00272AA5" w:rsidRPr="00103E70">
        <w:tblPrEx>
          <w:tblCellMar>
            <w:top w:w="0" w:type="dxa"/>
            <w:bottom w:w="0" w:type="dxa"/>
          </w:tblCellMar>
        </w:tblPrEx>
        <w:trPr>
          <w:cantSplit/>
        </w:trPr>
        <w:tc>
          <w:tcPr>
            <w:tcW w:w="7356" w:type="dxa"/>
            <w:gridSpan w:val="8"/>
            <w:tcBorders>
              <w:top w:val="single" w:sz="18" w:space="0" w:color="auto"/>
              <w:bottom w:val="single" w:sz="8" w:space="0" w:color="auto"/>
            </w:tcBorders>
          </w:tcPr>
          <w:p w:rsidR="00272AA5" w:rsidRPr="00103E70" w:rsidRDefault="00272AA5">
            <w:pPr>
              <w:spacing w:before="60" w:after="60"/>
            </w:pPr>
            <w:r w:rsidRPr="00103E70">
              <w:rPr>
                <w:b/>
                <w:bCs/>
                <w:color w:val="000000"/>
                <w:sz w:val="22"/>
                <w:szCs w:val="22"/>
              </w:rPr>
              <w:t xml:space="preserve">Administrativa utgifter som </w:t>
            </w:r>
            <w:r w:rsidRPr="00103E70">
              <w:rPr>
                <w:b/>
                <w:bCs/>
                <w:color w:val="000000"/>
                <w:sz w:val="22"/>
                <w:szCs w:val="22"/>
                <w:u w:val="single"/>
              </w:rPr>
              <w:t>inte</w:t>
            </w:r>
            <w:r w:rsidRPr="00103E70">
              <w:rPr>
                <w:b/>
                <w:bCs/>
                <w:color w:val="000000"/>
                <w:sz w:val="22"/>
                <w:szCs w:val="22"/>
              </w:rPr>
              <w:t xml:space="preserve"> ingår i referensbeloppet</w:t>
            </w:r>
            <w:r w:rsidRPr="00103E70">
              <w:rPr>
                <w:rStyle w:val="Fotnotsreferens"/>
                <w:b/>
                <w:bCs/>
                <w:color w:val="000000"/>
                <w:sz w:val="22"/>
                <w:szCs w:val="22"/>
              </w:rPr>
              <w:footnoteReference w:id="11"/>
            </w:r>
          </w:p>
          <w:p w:rsidR="00272AA5" w:rsidRPr="00103E70" w:rsidRDefault="00272AA5">
            <w:pPr>
              <w:spacing w:before="0" w:after="0"/>
            </w:pPr>
          </w:p>
        </w:tc>
        <w:tc>
          <w:tcPr>
            <w:tcW w:w="720" w:type="dxa"/>
            <w:tcBorders>
              <w:top w:val="single" w:sz="18" w:space="0" w:color="auto"/>
              <w:bottom w:val="single" w:sz="8" w:space="0" w:color="auto"/>
            </w:tcBorders>
          </w:tcPr>
          <w:p w:rsidR="00272AA5" w:rsidRPr="00103E70" w:rsidRDefault="00272AA5">
            <w:pPr>
              <w:spacing w:before="60" w:after="60"/>
            </w:pPr>
          </w:p>
        </w:tc>
        <w:tc>
          <w:tcPr>
            <w:tcW w:w="876" w:type="dxa"/>
            <w:tcBorders>
              <w:top w:val="single" w:sz="18" w:space="0" w:color="auto"/>
              <w:bottom w:val="single" w:sz="8" w:space="0" w:color="auto"/>
            </w:tcBorders>
          </w:tcPr>
          <w:p w:rsidR="00272AA5" w:rsidRPr="00103E70" w:rsidRDefault="00272AA5">
            <w:pPr>
              <w:spacing w:before="60" w:after="60"/>
            </w:pPr>
          </w:p>
        </w:tc>
      </w:tr>
      <w:tr w:rsidR="00272AA5" w:rsidRPr="00103E70">
        <w:tblPrEx>
          <w:tblCellMar>
            <w:top w:w="0" w:type="dxa"/>
            <w:bottom w:w="0" w:type="dxa"/>
          </w:tblCellMar>
        </w:tblPrEx>
        <w:trPr>
          <w:cantSplit/>
        </w:trPr>
        <w:tc>
          <w:tcPr>
            <w:tcW w:w="2335" w:type="dxa"/>
            <w:tcBorders>
              <w:top w:val="single" w:sz="8" w:space="0" w:color="auto"/>
              <w:left w:val="single" w:sz="8" w:space="0" w:color="auto"/>
              <w:bottom w:val="single" w:sz="4" w:space="0" w:color="auto"/>
              <w:right w:val="single" w:sz="4" w:space="0" w:color="auto"/>
            </w:tcBorders>
          </w:tcPr>
          <w:p w:rsidR="00272AA5" w:rsidRPr="00103E70" w:rsidRDefault="00272AA5">
            <w:pPr>
              <w:spacing w:before="60" w:after="60"/>
            </w:pPr>
            <w:r w:rsidRPr="00103E70">
              <w:rPr>
                <w:color w:val="000000"/>
                <w:sz w:val="20"/>
                <w:szCs w:val="20"/>
              </w:rPr>
              <w:t>Personalutgifter och därtill hörande utgifter</w:t>
            </w:r>
          </w:p>
        </w:tc>
        <w:tc>
          <w:tcPr>
            <w:tcW w:w="821" w:type="dxa"/>
            <w:tcBorders>
              <w:top w:val="single" w:sz="8"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0"/>
                <w:szCs w:val="20"/>
              </w:rPr>
            </w:pPr>
            <w:r w:rsidRPr="00103E70">
              <w:rPr>
                <w:sz w:val="20"/>
                <w:szCs w:val="20"/>
              </w:rPr>
              <w:t>8.3.4</w:t>
            </w:r>
          </w:p>
        </w:tc>
        <w:tc>
          <w:tcPr>
            <w:tcW w:w="600" w:type="dxa"/>
            <w:tcBorders>
              <w:top w:val="single" w:sz="8"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pPr>
            <w:r w:rsidRPr="00103E70">
              <w:rPr>
                <w:color w:val="000000"/>
                <w:sz w:val="20"/>
                <w:szCs w:val="20"/>
              </w:rPr>
              <w:t>d</w:t>
            </w:r>
          </w:p>
        </w:tc>
        <w:tc>
          <w:tcPr>
            <w:tcW w:w="720" w:type="dxa"/>
            <w:tcBorders>
              <w:top w:val="single" w:sz="8"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0,378</w:t>
            </w:r>
          </w:p>
        </w:tc>
        <w:tc>
          <w:tcPr>
            <w:tcW w:w="720" w:type="dxa"/>
            <w:tcBorders>
              <w:top w:val="single" w:sz="8"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0,432</w:t>
            </w:r>
          </w:p>
        </w:tc>
        <w:tc>
          <w:tcPr>
            <w:tcW w:w="720" w:type="dxa"/>
            <w:tcBorders>
              <w:top w:val="single" w:sz="8"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0,108</w:t>
            </w:r>
          </w:p>
        </w:tc>
        <w:tc>
          <w:tcPr>
            <w:tcW w:w="720" w:type="dxa"/>
            <w:tcBorders>
              <w:top w:val="single" w:sz="8"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pPr>
          </w:p>
        </w:tc>
        <w:tc>
          <w:tcPr>
            <w:tcW w:w="720" w:type="dxa"/>
            <w:tcBorders>
              <w:top w:val="single" w:sz="8"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pPr>
          </w:p>
        </w:tc>
        <w:tc>
          <w:tcPr>
            <w:tcW w:w="720" w:type="dxa"/>
            <w:tcBorders>
              <w:top w:val="single" w:sz="8" w:space="0" w:color="auto"/>
              <w:left w:val="single" w:sz="4" w:space="0" w:color="auto"/>
              <w:bottom w:val="single" w:sz="4" w:space="0" w:color="auto"/>
              <w:right w:val="single" w:sz="8" w:space="0" w:color="auto"/>
            </w:tcBorders>
            <w:vAlign w:val="center"/>
          </w:tcPr>
          <w:p w:rsidR="00272AA5" w:rsidRPr="00103E70" w:rsidRDefault="00272AA5">
            <w:pPr>
              <w:spacing w:before="60" w:after="60"/>
              <w:jc w:val="center"/>
            </w:pPr>
          </w:p>
        </w:tc>
        <w:tc>
          <w:tcPr>
            <w:tcW w:w="876" w:type="dxa"/>
            <w:tcBorders>
              <w:top w:val="single" w:sz="8" w:space="0" w:color="auto"/>
              <w:left w:val="single" w:sz="8" w:space="0" w:color="auto"/>
              <w:bottom w:val="single" w:sz="8" w:space="0" w:color="auto"/>
              <w:right w:val="single" w:sz="8" w:space="0" w:color="auto"/>
            </w:tcBorders>
            <w:vAlign w:val="center"/>
          </w:tcPr>
          <w:p w:rsidR="00272AA5" w:rsidRPr="00103E70" w:rsidRDefault="00272AA5">
            <w:pPr>
              <w:spacing w:before="60" w:after="60"/>
              <w:jc w:val="center"/>
              <w:rPr>
                <w:sz w:val="22"/>
                <w:szCs w:val="22"/>
              </w:rPr>
            </w:pPr>
            <w:r w:rsidRPr="00103E70">
              <w:rPr>
                <w:sz w:val="22"/>
                <w:szCs w:val="22"/>
              </w:rPr>
              <w:t>0,918</w:t>
            </w:r>
          </w:p>
        </w:tc>
      </w:tr>
      <w:tr w:rsidR="00272AA5" w:rsidRPr="00103E70">
        <w:tblPrEx>
          <w:tblCellMar>
            <w:top w:w="0" w:type="dxa"/>
            <w:bottom w:w="0" w:type="dxa"/>
          </w:tblCellMar>
        </w:tblPrEx>
        <w:trPr>
          <w:cantSplit/>
        </w:trPr>
        <w:tc>
          <w:tcPr>
            <w:tcW w:w="2335" w:type="dxa"/>
            <w:tcBorders>
              <w:top w:val="single" w:sz="4" w:space="0" w:color="auto"/>
              <w:left w:val="single" w:sz="8" w:space="0" w:color="auto"/>
              <w:bottom w:val="single" w:sz="8" w:space="0" w:color="auto"/>
              <w:right w:val="single" w:sz="4" w:space="0" w:color="auto"/>
            </w:tcBorders>
          </w:tcPr>
          <w:p w:rsidR="00272AA5" w:rsidRPr="00103E70" w:rsidRDefault="00272AA5">
            <w:pPr>
              <w:spacing w:before="60" w:after="60"/>
            </w:pPr>
            <w:r w:rsidRPr="00103E70">
              <w:rPr>
                <w:color w:val="000000"/>
                <w:sz w:val="18"/>
                <w:szCs w:val="18"/>
              </w:rPr>
              <w:t>Andra administrativa utgifter än personalutgifter och därtill hörande utgifter som inte ingår i referensbeloppet</w:t>
            </w:r>
          </w:p>
        </w:tc>
        <w:tc>
          <w:tcPr>
            <w:tcW w:w="821" w:type="dxa"/>
            <w:tcBorders>
              <w:top w:val="single" w:sz="4" w:space="0" w:color="auto"/>
              <w:left w:val="single" w:sz="4" w:space="0" w:color="auto"/>
              <w:bottom w:val="single" w:sz="8" w:space="0" w:color="auto"/>
              <w:right w:val="single" w:sz="4" w:space="0" w:color="auto"/>
            </w:tcBorders>
            <w:vAlign w:val="center"/>
          </w:tcPr>
          <w:p w:rsidR="00272AA5" w:rsidRPr="00103E70" w:rsidRDefault="00272AA5">
            <w:pPr>
              <w:spacing w:before="60" w:after="60"/>
              <w:jc w:val="center"/>
              <w:rPr>
                <w:sz w:val="20"/>
                <w:szCs w:val="20"/>
              </w:rPr>
            </w:pPr>
            <w:r w:rsidRPr="00103E70">
              <w:rPr>
                <w:sz w:val="20"/>
                <w:szCs w:val="20"/>
              </w:rPr>
              <w:t>8.3.5</w:t>
            </w:r>
          </w:p>
        </w:tc>
        <w:tc>
          <w:tcPr>
            <w:tcW w:w="600" w:type="dxa"/>
            <w:tcBorders>
              <w:top w:val="single" w:sz="4" w:space="0" w:color="auto"/>
              <w:left w:val="single" w:sz="4" w:space="0" w:color="auto"/>
              <w:bottom w:val="single" w:sz="8" w:space="0" w:color="auto"/>
              <w:right w:val="single" w:sz="4" w:space="0" w:color="auto"/>
            </w:tcBorders>
            <w:vAlign w:val="center"/>
          </w:tcPr>
          <w:p w:rsidR="00272AA5" w:rsidRPr="00103E70" w:rsidRDefault="00272AA5">
            <w:pPr>
              <w:spacing w:before="60" w:after="60"/>
              <w:jc w:val="center"/>
            </w:pPr>
            <w:r w:rsidRPr="00103E70">
              <w:rPr>
                <w:color w:val="000000"/>
                <w:sz w:val="20"/>
                <w:szCs w:val="20"/>
              </w:rPr>
              <w:t>e</w:t>
            </w:r>
          </w:p>
        </w:tc>
        <w:tc>
          <w:tcPr>
            <w:tcW w:w="720" w:type="dxa"/>
            <w:tcBorders>
              <w:top w:val="single" w:sz="4" w:space="0" w:color="auto"/>
              <w:left w:val="single" w:sz="4" w:space="0" w:color="auto"/>
              <w:bottom w:val="single" w:sz="8"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0,026</w:t>
            </w:r>
          </w:p>
        </w:tc>
        <w:tc>
          <w:tcPr>
            <w:tcW w:w="720" w:type="dxa"/>
            <w:tcBorders>
              <w:top w:val="single" w:sz="4" w:space="0" w:color="auto"/>
              <w:left w:val="single" w:sz="4" w:space="0" w:color="auto"/>
              <w:bottom w:val="single" w:sz="8"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0,064</w:t>
            </w:r>
          </w:p>
        </w:tc>
        <w:tc>
          <w:tcPr>
            <w:tcW w:w="720" w:type="dxa"/>
            <w:tcBorders>
              <w:top w:val="single" w:sz="4" w:space="0" w:color="auto"/>
              <w:left w:val="single" w:sz="4" w:space="0" w:color="auto"/>
              <w:bottom w:val="single" w:sz="8"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0,016</w:t>
            </w:r>
          </w:p>
        </w:tc>
        <w:tc>
          <w:tcPr>
            <w:tcW w:w="720" w:type="dxa"/>
            <w:tcBorders>
              <w:top w:val="single" w:sz="4" w:space="0" w:color="auto"/>
              <w:left w:val="single" w:sz="4" w:space="0" w:color="auto"/>
              <w:bottom w:val="single" w:sz="8" w:space="0" w:color="auto"/>
              <w:right w:val="single" w:sz="4" w:space="0" w:color="auto"/>
            </w:tcBorders>
            <w:vAlign w:val="center"/>
          </w:tcPr>
          <w:p w:rsidR="00272AA5" w:rsidRPr="00103E70" w:rsidRDefault="00272AA5">
            <w:pPr>
              <w:spacing w:before="60" w:after="60"/>
              <w:jc w:val="center"/>
            </w:pPr>
          </w:p>
        </w:tc>
        <w:tc>
          <w:tcPr>
            <w:tcW w:w="720" w:type="dxa"/>
            <w:tcBorders>
              <w:top w:val="single" w:sz="4" w:space="0" w:color="auto"/>
              <w:left w:val="single" w:sz="4" w:space="0" w:color="auto"/>
              <w:bottom w:val="single" w:sz="8" w:space="0" w:color="auto"/>
              <w:right w:val="single" w:sz="4" w:space="0" w:color="auto"/>
            </w:tcBorders>
            <w:vAlign w:val="center"/>
          </w:tcPr>
          <w:p w:rsidR="00272AA5" w:rsidRPr="00103E70" w:rsidRDefault="00272AA5">
            <w:pPr>
              <w:spacing w:before="60" w:after="60"/>
              <w:jc w:val="center"/>
            </w:pPr>
          </w:p>
        </w:tc>
        <w:tc>
          <w:tcPr>
            <w:tcW w:w="720" w:type="dxa"/>
            <w:tcBorders>
              <w:top w:val="single" w:sz="4" w:space="0" w:color="auto"/>
              <w:left w:val="single" w:sz="4" w:space="0" w:color="auto"/>
              <w:bottom w:val="single" w:sz="8" w:space="0" w:color="auto"/>
              <w:right w:val="single" w:sz="8" w:space="0" w:color="auto"/>
            </w:tcBorders>
            <w:vAlign w:val="center"/>
          </w:tcPr>
          <w:p w:rsidR="00272AA5" w:rsidRPr="00103E70" w:rsidRDefault="00272AA5">
            <w:pPr>
              <w:spacing w:before="60" w:after="60"/>
              <w:jc w:val="center"/>
            </w:pPr>
          </w:p>
        </w:tc>
        <w:tc>
          <w:tcPr>
            <w:tcW w:w="876" w:type="dxa"/>
            <w:tcBorders>
              <w:top w:val="single" w:sz="8" w:space="0" w:color="auto"/>
              <w:left w:val="single" w:sz="8" w:space="0" w:color="auto"/>
              <w:bottom w:val="single" w:sz="8" w:space="0" w:color="auto"/>
              <w:right w:val="single" w:sz="8" w:space="0" w:color="auto"/>
            </w:tcBorders>
            <w:vAlign w:val="center"/>
          </w:tcPr>
          <w:p w:rsidR="00272AA5" w:rsidRPr="00103E70" w:rsidRDefault="00272AA5">
            <w:pPr>
              <w:spacing w:before="60" w:after="60"/>
              <w:jc w:val="center"/>
              <w:rPr>
                <w:sz w:val="22"/>
                <w:szCs w:val="22"/>
              </w:rPr>
            </w:pPr>
            <w:r w:rsidRPr="00103E70">
              <w:rPr>
                <w:sz w:val="22"/>
                <w:szCs w:val="22"/>
              </w:rPr>
              <w:t>0,106</w:t>
            </w:r>
          </w:p>
        </w:tc>
      </w:tr>
    </w:tbl>
    <w:p w:rsidR="00272AA5" w:rsidRPr="00103E70" w:rsidRDefault="00272AA5">
      <w:pPr>
        <w:keepNext/>
        <w:rPr>
          <w:b/>
          <w:bCs/>
        </w:rPr>
      </w:pPr>
      <w:r w:rsidRPr="00103E70">
        <w:rPr>
          <w:b/>
          <w:bCs/>
          <w:color w:val="000000"/>
        </w:rPr>
        <w:t>Totala beräknade utgifter för finansiering av åtgärden</w:t>
      </w:r>
    </w:p>
    <w:tbl>
      <w:tblPr>
        <w:tblW w:w="8952" w:type="dxa"/>
        <w:tblInd w:w="312" w:type="dxa"/>
        <w:tblLayout w:type="fixed"/>
        <w:tblLook w:val="0000" w:firstRow="0" w:lastRow="0" w:firstColumn="0" w:lastColumn="0" w:noHBand="0" w:noVBand="0"/>
      </w:tblPr>
      <w:tblGrid>
        <w:gridCol w:w="2335"/>
        <w:gridCol w:w="821"/>
        <w:gridCol w:w="600"/>
        <w:gridCol w:w="720"/>
        <w:gridCol w:w="720"/>
        <w:gridCol w:w="720"/>
        <w:gridCol w:w="720"/>
        <w:gridCol w:w="720"/>
        <w:gridCol w:w="720"/>
        <w:gridCol w:w="876"/>
      </w:tblGrid>
      <w:tr w:rsidR="00272AA5" w:rsidRPr="00103E70">
        <w:tblPrEx>
          <w:tblCellMar>
            <w:top w:w="0" w:type="dxa"/>
            <w:bottom w:w="0" w:type="dxa"/>
          </w:tblCellMar>
        </w:tblPrEx>
        <w:trPr>
          <w:cantSplit/>
        </w:trPr>
        <w:tc>
          <w:tcPr>
            <w:tcW w:w="2335" w:type="dxa"/>
            <w:tcBorders>
              <w:top w:val="double" w:sz="4" w:space="0" w:color="auto"/>
              <w:left w:val="double" w:sz="4" w:space="0" w:color="auto"/>
              <w:bottom w:val="single" w:sz="4" w:space="0" w:color="auto"/>
            </w:tcBorders>
          </w:tcPr>
          <w:p w:rsidR="00272AA5" w:rsidRPr="00103E70" w:rsidRDefault="00272AA5">
            <w:pPr>
              <w:spacing w:before="60" w:after="60"/>
            </w:pPr>
            <w:r w:rsidRPr="00103E70">
              <w:rPr>
                <w:b/>
                <w:bCs/>
                <w:color w:val="000000"/>
                <w:sz w:val="20"/>
                <w:szCs w:val="20"/>
              </w:rPr>
              <w:t>TOTALA ÅTAGANDE-BEMYNDIGANDEN inklusive personalutgifter</w:t>
            </w:r>
          </w:p>
        </w:tc>
        <w:tc>
          <w:tcPr>
            <w:tcW w:w="821" w:type="dxa"/>
            <w:tcBorders>
              <w:top w:val="double" w:sz="4" w:space="0" w:color="auto"/>
              <w:left w:val="single" w:sz="4" w:space="0" w:color="auto"/>
              <w:bottom w:val="single" w:sz="4" w:space="0" w:color="auto"/>
              <w:right w:val="single" w:sz="4" w:space="0" w:color="auto"/>
            </w:tcBorders>
          </w:tcPr>
          <w:p w:rsidR="00272AA5" w:rsidRPr="00103E70" w:rsidRDefault="00272AA5">
            <w:pPr>
              <w:spacing w:before="60" w:after="60"/>
              <w:jc w:val="center"/>
            </w:pPr>
          </w:p>
        </w:tc>
        <w:tc>
          <w:tcPr>
            <w:tcW w:w="600" w:type="dxa"/>
            <w:tcBorders>
              <w:top w:val="double" w:sz="4" w:space="0" w:color="auto"/>
              <w:left w:val="single" w:sz="4" w:space="0" w:color="auto"/>
              <w:bottom w:val="single" w:sz="4" w:space="0" w:color="auto"/>
            </w:tcBorders>
            <w:vAlign w:val="center"/>
          </w:tcPr>
          <w:p w:rsidR="00272AA5" w:rsidRPr="00103E70" w:rsidRDefault="00272AA5">
            <w:pPr>
              <w:spacing w:before="60" w:after="60"/>
              <w:jc w:val="center"/>
            </w:pPr>
            <w:r w:rsidRPr="00103E70">
              <w:rPr>
                <w:color w:val="000000"/>
                <w:sz w:val="20"/>
                <w:szCs w:val="20"/>
              </w:rPr>
              <w:t>a+c+d+e</w:t>
            </w:r>
          </w:p>
        </w:tc>
        <w:tc>
          <w:tcPr>
            <w:tcW w:w="720" w:type="dxa"/>
            <w:tcBorders>
              <w:top w:val="double" w:sz="4"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3,404</w:t>
            </w:r>
          </w:p>
        </w:tc>
        <w:tc>
          <w:tcPr>
            <w:tcW w:w="720" w:type="dxa"/>
            <w:tcBorders>
              <w:top w:val="double" w:sz="4"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7,496</w:t>
            </w:r>
          </w:p>
        </w:tc>
        <w:tc>
          <w:tcPr>
            <w:tcW w:w="720" w:type="dxa"/>
            <w:tcBorders>
              <w:top w:val="double" w:sz="4"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0,124</w:t>
            </w:r>
          </w:p>
        </w:tc>
        <w:tc>
          <w:tcPr>
            <w:tcW w:w="720" w:type="dxa"/>
            <w:tcBorders>
              <w:top w:val="double" w:sz="4"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2"/>
                <w:szCs w:val="22"/>
              </w:rPr>
            </w:pPr>
          </w:p>
        </w:tc>
        <w:tc>
          <w:tcPr>
            <w:tcW w:w="720" w:type="dxa"/>
            <w:tcBorders>
              <w:top w:val="double" w:sz="4" w:space="0" w:color="auto"/>
              <w:left w:val="single" w:sz="4" w:space="0" w:color="auto"/>
              <w:bottom w:val="single" w:sz="4" w:space="0" w:color="auto"/>
              <w:right w:val="single" w:sz="4" w:space="0" w:color="auto"/>
            </w:tcBorders>
            <w:vAlign w:val="center"/>
          </w:tcPr>
          <w:p w:rsidR="00272AA5" w:rsidRPr="00103E70" w:rsidRDefault="00272AA5">
            <w:pPr>
              <w:spacing w:before="60" w:after="60"/>
              <w:jc w:val="center"/>
              <w:rPr>
                <w:sz w:val="22"/>
                <w:szCs w:val="22"/>
              </w:rPr>
            </w:pPr>
          </w:p>
        </w:tc>
        <w:tc>
          <w:tcPr>
            <w:tcW w:w="720" w:type="dxa"/>
            <w:tcBorders>
              <w:top w:val="double" w:sz="4" w:space="0" w:color="auto"/>
              <w:left w:val="single" w:sz="4" w:space="0" w:color="auto"/>
              <w:bottom w:val="single" w:sz="4" w:space="0" w:color="auto"/>
              <w:right w:val="double" w:sz="4" w:space="0" w:color="auto"/>
            </w:tcBorders>
            <w:vAlign w:val="center"/>
          </w:tcPr>
          <w:p w:rsidR="00272AA5" w:rsidRPr="00103E70" w:rsidRDefault="00272AA5">
            <w:pPr>
              <w:spacing w:before="60" w:after="60"/>
              <w:jc w:val="center"/>
              <w:rPr>
                <w:sz w:val="22"/>
                <w:szCs w:val="22"/>
              </w:rPr>
            </w:pPr>
          </w:p>
        </w:tc>
        <w:tc>
          <w:tcPr>
            <w:tcW w:w="876" w:type="dxa"/>
            <w:tcBorders>
              <w:top w:val="double" w:sz="4" w:space="0" w:color="auto"/>
              <w:left w:val="double" w:sz="4" w:space="0" w:color="auto"/>
              <w:bottom w:val="single" w:sz="4" w:space="0" w:color="auto"/>
              <w:right w:val="double" w:sz="4" w:space="0" w:color="auto"/>
            </w:tcBorders>
            <w:vAlign w:val="center"/>
          </w:tcPr>
          <w:p w:rsidR="00272AA5" w:rsidRPr="00103E70" w:rsidRDefault="00272AA5">
            <w:pPr>
              <w:spacing w:before="60" w:after="60"/>
              <w:jc w:val="center"/>
              <w:rPr>
                <w:sz w:val="22"/>
                <w:szCs w:val="22"/>
              </w:rPr>
            </w:pPr>
            <w:r w:rsidRPr="00103E70">
              <w:rPr>
                <w:sz w:val="22"/>
                <w:szCs w:val="22"/>
              </w:rPr>
              <w:t>11,024</w:t>
            </w:r>
          </w:p>
        </w:tc>
      </w:tr>
      <w:tr w:rsidR="00272AA5" w:rsidRPr="00103E70">
        <w:tblPrEx>
          <w:tblCellMar>
            <w:top w:w="0" w:type="dxa"/>
            <w:bottom w:w="0" w:type="dxa"/>
          </w:tblCellMar>
        </w:tblPrEx>
        <w:trPr>
          <w:cantSplit/>
        </w:trPr>
        <w:tc>
          <w:tcPr>
            <w:tcW w:w="2335" w:type="dxa"/>
            <w:tcBorders>
              <w:top w:val="single" w:sz="4" w:space="0" w:color="auto"/>
              <w:left w:val="double" w:sz="4" w:space="0" w:color="auto"/>
              <w:bottom w:val="double" w:sz="4" w:space="0" w:color="auto"/>
            </w:tcBorders>
          </w:tcPr>
          <w:p w:rsidR="00272AA5" w:rsidRPr="00103E70" w:rsidRDefault="00272AA5">
            <w:pPr>
              <w:spacing w:before="60" w:after="60"/>
            </w:pPr>
            <w:r w:rsidRPr="00103E70">
              <w:rPr>
                <w:b/>
                <w:bCs/>
                <w:color w:val="000000"/>
                <w:sz w:val="20"/>
                <w:szCs w:val="20"/>
              </w:rPr>
              <w:t>TOTALA BETALNINGS-BEMYNDIGANDEN inklusive personalutgifter</w:t>
            </w:r>
          </w:p>
        </w:tc>
        <w:tc>
          <w:tcPr>
            <w:tcW w:w="821" w:type="dxa"/>
            <w:tcBorders>
              <w:top w:val="single" w:sz="4" w:space="0" w:color="auto"/>
              <w:left w:val="single" w:sz="4" w:space="0" w:color="auto"/>
              <w:bottom w:val="double" w:sz="4" w:space="0" w:color="auto"/>
              <w:right w:val="single" w:sz="4" w:space="0" w:color="auto"/>
            </w:tcBorders>
          </w:tcPr>
          <w:p w:rsidR="00272AA5" w:rsidRPr="00103E70" w:rsidRDefault="00272AA5">
            <w:pPr>
              <w:spacing w:before="60" w:after="60"/>
              <w:jc w:val="center"/>
            </w:pPr>
          </w:p>
        </w:tc>
        <w:tc>
          <w:tcPr>
            <w:tcW w:w="600" w:type="dxa"/>
            <w:tcBorders>
              <w:top w:val="single" w:sz="4" w:space="0" w:color="auto"/>
              <w:left w:val="single" w:sz="4" w:space="0" w:color="auto"/>
              <w:bottom w:val="double" w:sz="4" w:space="0" w:color="auto"/>
            </w:tcBorders>
            <w:vAlign w:val="center"/>
          </w:tcPr>
          <w:p w:rsidR="00272AA5" w:rsidRPr="00103E70" w:rsidRDefault="00272AA5">
            <w:pPr>
              <w:spacing w:before="60" w:after="60"/>
              <w:jc w:val="center"/>
            </w:pPr>
            <w:r w:rsidRPr="00103E70">
              <w:rPr>
                <w:color w:val="000000"/>
                <w:sz w:val="20"/>
                <w:szCs w:val="20"/>
              </w:rPr>
              <w:t>b+c+d+e</w:t>
            </w:r>
          </w:p>
        </w:tc>
        <w:tc>
          <w:tcPr>
            <w:tcW w:w="720" w:type="dxa"/>
            <w:tcBorders>
              <w:top w:val="single" w:sz="4" w:space="0" w:color="auto"/>
              <w:left w:val="single" w:sz="4" w:space="0" w:color="auto"/>
              <w:bottom w:val="double" w:sz="4"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1,604</w:t>
            </w:r>
          </w:p>
        </w:tc>
        <w:tc>
          <w:tcPr>
            <w:tcW w:w="720" w:type="dxa"/>
            <w:tcBorders>
              <w:top w:val="single" w:sz="4" w:space="0" w:color="auto"/>
              <w:left w:val="single" w:sz="4" w:space="0" w:color="auto"/>
              <w:bottom w:val="double" w:sz="4"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5,096</w:t>
            </w:r>
          </w:p>
        </w:tc>
        <w:tc>
          <w:tcPr>
            <w:tcW w:w="720" w:type="dxa"/>
            <w:tcBorders>
              <w:top w:val="single" w:sz="4" w:space="0" w:color="auto"/>
              <w:left w:val="single" w:sz="4" w:space="0" w:color="auto"/>
              <w:bottom w:val="double" w:sz="4" w:space="0" w:color="auto"/>
              <w:right w:val="single" w:sz="4" w:space="0" w:color="auto"/>
            </w:tcBorders>
            <w:vAlign w:val="center"/>
          </w:tcPr>
          <w:p w:rsidR="00272AA5" w:rsidRPr="00103E70" w:rsidRDefault="00272AA5">
            <w:pPr>
              <w:spacing w:before="60" w:after="60"/>
              <w:jc w:val="center"/>
              <w:rPr>
                <w:sz w:val="22"/>
                <w:szCs w:val="22"/>
              </w:rPr>
            </w:pPr>
            <w:r w:rsidRPr="00103E70">
              <w:rPr>
                <w:sz w:val="22"/>
                <w:szCs w:val="22"/>
              </w:rPr>
              <w:t>4,324</w:t>
            </w:r>
          </w:p>
        </w:tc>
        <w:tc>
          <w:tcPr>
            <w:tcW w:w="720" w:type="dxa"/>
            <w:tcBorders>
              <w:top w:val="single" w:sz="4" w:space="0" w:color="auto"/>
              <w:left w:val="single" w:sz="4" w:space="0" w:color="auto"/>
              <w:bottom w:val="double" w:sz="4" w:space="0" w:color="auto"/>
              <w:right w:val="single" w:sz="4" w:space="0" w:color="auto"/>
            </w:tcBorders>
            <w:vAlign w:val="center"/>
          </w:tcPr>
          <w:p w:rsidR="00272AA5" w:rsidRPr="00103E70" w:rsidRDefault="00272AA5">
            <w:pPr>
              <w:spacing w:before="60" w:after="60"/>
              <w:jc w:val="center"/>
              <w:rPr>
                <w:sz w:val="22"/>
                <w:szCs w:val="22"/>
              </w:rPr>
            </w:pPr>
          </w:p>
        </w:tc>
        <w:tc>
          <w:tcPr>
            <w:tcW w:w="720" w:type="dxa"/>
            <w:tcBorders>
              <w:top w:val="single" w:sz="4" w:space="0" w:color="auto"/>
              <w:left w:val="single" w:sz="4" w:space="0" w:color="auto"/>
              <w:bottom w:val="double" w:sz="4" w:space="0" w:color="auto"/>
              <w:right w:val="single" w:sz="4" w:space="0" w:color="auto"/>
            </w:tcBorders>
            <w:vAlign w:val="center"/>
          </w:tcPr>
          <w:p w:rsidR="00272AA5" w:rsidRPr="00103E70" w:rsidRDefault="00272AA5">
            <w:pPr>
              <w:spacing w:before="60" w:after="60"/>
              <w:jc w:val="center"/>
              <w:rPr>
                <w:sz w:val="22"/>
                <w:szCs w:val="22"/>
              </w:rPr>
            </w:pPr>
          </w:p>
        </w:tc>
        <w:tc>
          <w:tcPr>
            <w:tcW w:w="720" w:type="dxa"/>
            <w:tcBorders>
              <w:top w:val="single" w:sz="4" w:space="0" w:color="auto"/>
              <w:left w:val="single" w:sz="4" w:space="0" w:color="auto"/>
              <w:bottom w:val="double" w:sz="4" w:space="0" w:color="auto"/>
              <w:right w:val="double" w:sz="4" w:space="0" w:color="auto"/>
            </w:tcBorders>
            <w:vAlign w:val="center"/>
          </w:tcPr>
          <w:p w:rsidR="00272AA5" w:rsidRPr="00103E70" w:rsidRDefault="00272AA5">
            <w:pPr>
              <w:spacing w:before="60" w:after="60"/>
              <w:jc w:val="center"/>
              <w:rPr>
                <w:sz w:val="22"/>
                <w:szCs w:val="22"/>
              </w:rPr>
            </w:pPr>
          </w:p>
        </w:tc>
        <w:tc>
          <w:tcPr>
            <w:tcW w:w="876" w:type="dxa"/>
            <w:tcBorders>
              <w:top w:val="single" w:sz="4" w:space="0" w:color="auto"/>
              <w:left w:val="double" w:sz="4" w:space="0" w:color="auto"/>
              <w:bottom w:val="double" w:sz="4" w:space="0" w:color="auto"/>
              <w:right w:val="double" w:sz="4" w:space="0" w:color="auto"/>
            </w:tcBorders>
            <w:vAlign w:val="center"/>
          </w:tcPr>
          <w:p w:rsidR="00272AA5" w:rsidRPr="00103E70" w:rsidRDefault="00272AA5">
            <w:pPr>
              <w:spacing w:before="60" w:after="60"/>
              <w:jc w:val="center"/>
              <w:rPr>
                <w:sz w:val="22"/>
                <w:szCs w:val="22"/>
              </w:rPr>
            </w:pPr>
            <w:r w:rsidRPr="00103E70">
              <w:rPr>
                <w:sz w:val="22"/>
                <w:szCs w:val="22"/>
              </w:rPr>
              <w:t>11,024</w:t>
            </w:r>
          </w:p>
        </w:tc>
      </w:tr>
    </w:tbl>
    <w:p w:rsidR="00272AA5" w:rsidRPr="00103E70" w:rsidRDefault="00272AA5">
      <w:pPr>
        <w:jc w:val="right"/>
      </w:pPr>
      <w:r w:rsidRPr="00103E70">
        <w:rPr>
          <w:i/>
          <w:iCs/>
          <w:color w:val="000000"/>
          <w:sz w:val="20"/>
          <w:szCs w:val="20"/>
        </w:rPr>
        <w:t>Miljoner euro (avrundat till tre decimaler)</w:t>
      </w:r>
      <w:r w:rsidRPr="00103E70">
        <w:rPr>
          <w:color w:val="000000"/>
        </w:rPr>
        <w:t xml:space="preserve"> </w:t>
      </w:r>
    </w:p>
    <w:p w:rsidR="00272AA5" w:rsidRPr="00103E70" w:rsidRDefault="00272AA5" w:rsidP="00CB3D7F">
      <w:pPr>
        <w:outlineLvl w:val="0"/>
      </w:pPr>
      <w:r w:rsidRPr="00103E70">
        <w:t>4.1.2.</w:t>
      </w:r>
      <w:r w:rsidRPr="00103E70">
        <w:tab/>
      </w:r>
      <w:r w:rsidRPr="00103E70">
        <w:rPr>
          <w:color w:val="000000"/>
        </w:rPr>
        <w:t>Förenlighet med den ekonomiska planeringen</w:t>
      </w:r>
    </w:p>
    <w:p w:rsidR="00272AA5" w:rsidRPr="00103E70" w:rsidRDefault="00272AA5">
      <w:pPr>
        <w:pStyle w:val="Point1"/>
      </w:pPr>
      <w:r w:rsidRPr="00103E70">
        <w:rPr>
          <w:color w:val="000000"/>
        </w:rPr>
        <w:t>x</w:t>
      </w:r>
      <w:r w:rsidRPr="00103E70">
        <w:tab/>
      </w:r>
      <w:r w:rsidRPr="00103E70">
        <w:rPr>
          <w:color w:val="000000"/>
        </w:rPr>
        <w:t>Förslaget är förenligt med kommissionens meddelande av den 14 juli 2004 – Budgetplan 2007–2013, KOM(2004) 487 slutlig.</w:t>
      </w:r>
    </w:p>
    <w:p w:rsidR="00272AA5" w:rsidRPr="00103E70" w:rsidRDefault="00272AA5">
      <w:pPr>
        <w:pStyle w:val="Text1"/>
      </w:pPr>
      <w:r w:rsidRPr="00103E70">
        <w:sym w:font="Wingdings" w:char="F0A8"/>
      </w:r>
      <w:r w:rsidRPr="00103E70">
        <w:tab/>
      </w:r>
      <w:r w:rsidRPr="00103E70">
        <w:rPr>
          <w:color w:val="000000"/>
        </w:rPr>
        <w:t>Förslaget kräver omfördelningar under den berörda rubriken i budgetplanen.</w:t>
      </w:r>
    </w:p>
    <w:p w:rsidR="00272AA5" w:rsidRPr="00103E70" w:rsidRDefault="00272AA5">
      <w:pPr>
        <w:pStyle w:val="Text1"/>
      </w:pPr>
      <w:r w:rsidRPr="00103E70">
        <w:sym w:font="Wingdings" w:char="F0A8"/>
      </w:r>
      <w:r w:rsidRPr="00103E70">
        <w:tab/>
      </w:r>
      <w:r w:rsidRPr="00103E70">
        <w:rPr>
          <w:color w:val="000000"/>
        </w:rPr>
        <w:t>Förslaget kan kräva tillämpning av bestämmelserna i det interinstitutionella avtalet</w:t>
      </w:r>
      <w:r w:rsidRPr="00103E70">
        <w:rPr>
          <w:rStyle w:val="Fotnotsreferens"/>
          <w:color w:val="000000"/>
        </w:rPr>
        <w:footnoteReference w:id="12"/>
      </w:r>
      <w:r w:rsidRPr="00103E70">
        <w:rPr>
          <w:color w:val="000000"/>
        </w:rPr>
        <w:t xml:space="preserve"> (dvs. mekanismen för flexibilitet eller revidering av budgetplanen).</w:t>
      </w:r>
    </w:p>
    <w:p w:rsidR="00272AA5" w:rsidRPr="00103E70" w:rsidRDefault="00272AA5" w:rsidP="00CB3D7F">
      <w:pPr>
        <w:outlineLvl w:val="0"/>
      </w:pPr>
      <w:r w:rsidRPr="00103E70">
        <w:t>4.1.3.</w:t>
      </w:r>
      <w:r w:rsidRPr="00103E70">
        <w:tab/>
      </w:r>
      <w:r w:rsidRPr="00103E70">
        <w:rPr>
          <w:color w:val="000000"/>
        </w:rPr>
        <w:t>Påverkan på inkomsterna</w:t>
      </w:r>
    </w:p>
    <w:p w:rsidR="00272AA5" w:rsidRPr="00103E70" w:rsidRDefault="00272AA5">
      <w:pPr>
        <w:pStyle w:val="Text2"/>
      </w:pPr>
      <w:r w:rsidRPr="00103E70">
        <w:rPr>
          <w:color w:val="000000"/>
        </w:rPr>
        <w:t>x</w:t>
      </w:r>
      <w:r w:rsidRPr="00103E70">
        <w:tab/>
      </w:r>
      <w:r w:rsidRPr="00103E70">
        <w:rPr>
          <w:color w:val="000000"/>
        </w:rPr>
        <w:t>Förslaget påverkar inte inkomsterna.</w:t>
      </w:r>
    </w:p>
    <w:p w:rsidR="00272AA5" w:rsidRPr="00103E70" w:rsidRDefault="00272AA5">
      <w:pPr>
        <w:pStyle w:val="Text2"/>
      </w:pPr>
      <w:r w:rsidRPr="00103E70">
        <w:sym w:font="Wingdings" w:char="F0A8"/>
      </w:r>
      <w:r w:rsidRPr="00103E70">
        <w:tab/>
      </w:r>
      <w:r w:rsidRPr="00103E70">
        <w:rPr>
          <w:color w:val="000000"/>
        </w:rPr>
        <w:t>Förslaget påverkar inkomsterna enligt följande:</w:t>
      </w:r>
    </w:p>
    <w:p w:rsidR="00272AA5" w:rsidRPr="00103E70" w:rsidRDefault="00272AA5" w:rsidP="00CB3D7F">
      <w:pPr>
        <w:outlineLvl w:val="0"/>
        <w:rPr>
          <w:i/>
          <w:iCs/>
        </w:rPr>
      </w:pPr>
      <w:r w:rsidRPr="00103E70">
        <w:t>4.2.</w:t>
      </w:r>
      <w:r w:rsidRPr="00103E70">
        <w:tab/>
      </w:r>
      <w:r w:rsidRPr="00103E70">
        <w:rPr>
          <w:color w:val="000000"/>
        </w:rPr>
        <w:t>Personal uttryckt i heltidsekvivalenter (inklusive tjänstemän, tillfälligt anställda och extern personal) – för ytterligare uppgifter se punkt 8.2.1.</w:t>
      </w:r>
      <w:r w:rsidRPr="00103E70">
        <w:rPr>
          <w:sz w:val="12"/>
          <w:szCs w:val="12"/>
        </w:rPr>
        <w:tab/>
      </w:r>
    </w:p>
    <w:tbl>
      <w:tblPr>
        <w:tblW w:w="0" w:type="auto"/>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948"/>
        <w:gridCol w:w="754"/>
        <w:gridCol w:w="851"/>
        <w:gridCol w:w="851"/>
        <w:gridCol w:w="851"/>
        <w:gridCol w:w="851"/>
      </w:tblGrid>
      <w:tr w:rsidR="00272AA5" w:rsidRPr="00103E70">
        <w:tblPrEx>
          <w:tblCellMar>
            <w:top w:w="0" w:type="dxa"/>
            <w:bottom w:w="0" w:type="dxa"/>
          </w:tblCellMar>
        </w:tblPrEx>
        <w:trPr>
          <w:cantSplit/>
        </w:trPr>
        <w:tc>
          <w:tcPr>
            <w:tcW w:w="2268" w:type="dxa"/>
            <w:tcBorders>
              <w:top w:val="single" w:sz="12" w:space="0" w:color="auto"/>
              <w:left w:val="single" w:sz="12" w:space="0" w:color="auto"/>
              <w:bottom w:val="single" w:sz="6" w:space="0" w:color="auto"/>
              <w:right w:val="single" w:sz="6" w:space="0" w:color="auto"/>
            </w:tcBorders>
          </w:tcPr>
          <w:p w:rsidR="00272AA5" w:rsidRPr="00103E70" w:rsidRDefault="00272AA5"/>
          <w:p w:rsidR="00272AA5" w:rsidRPr="00103E70" w:rsidRDefault="00272AA5">
            <w:r w:rsidRPr="00103E70">
              <w:rPr>
                <w:b/>
                <w:bCs/>
                <w:color w:val="000000"/>
                <w:sz w:val="22"/>
                <w:szCs w:val="22"/>
              </w:rPr>
              <w:t>Årsbehov</w:t>
            </w:r>
          </w:p>
        </w:tc>
        <w:tc>
          <w:tcPr>
            <w:tcW w:w="948" w:type="dxa"/>
            <w:tcBorders>
              <w:top w:val="single" w:sz="12" w:space="0" w:color="auto"/>
              <w:left w:val="single" w:sz="6" w:space="0" w:color="auto"/>
              <w:bottom w:val="single" w:sz="6" w:space="0" w:color="auto"/>
              <w:right w:val="single" w:sz="6" w:space="0" w:color="auto"/>
            </w:tcBorders>
          </w:tcPr>
          <w:p w:rsidR="00272AA5" w:rsidRPr="00103E70" w:rsidRDefault="00272AA5">
            <w:pPr>
              <w:jc w:val="center"/>
            </w:pPr>
          </w:p>
          <w:p w:rsidR="00272AA5" w:rsidRPr="00103E70" w:rsidRDefault="00272AA5">
            <w:pPr>
              <w:jc w:val="center"/>
            </w:pPr>
            <w:r w:rsidRPr="00103E70">
              <w:t>2007</w:t>
            </w:r>
          </w:p>
        </w:tc>
        <w:tc>
          <w:tcPr>
            <w:tcW w:w="754" w:type="dxa"/>
            <w:tcBorders>
              <w:top w:val="single" w:sz="12" w:space="0" w:color="auto"/>
              <w:left w:val="single" w:sz="6" w:space="0" w:color="auto"/>
              <w:bottom w:val="single" w:sz="6" w:space="0" w:color="auto"/>
              <w:right w:val="single" w:sz="6" w:space="0" w:color="auto"/>
            </w:tcBorders>
          </w:tcPr>
          <w:p w:rsidR="00272AA5" w:rsidRPr="00103E70" w:rsidRDefault="00272AA5">
            <w:pPr>
              <w:jc w:val="center"/>
            </w:pPr>
          </w:p>
          <w:p w:rsidR="00272AA5" w:rsidRPr="00103E70" w:rsidRDefault="00272AA5">
            <w:pPr>
              <w:jc w:val="center"/>
            </w:pPr>
            <w:r w:rsidRPr="00103E70">
              <w:t>2008</w:t>
            </w:r>
          </w:p>
        </w:tc>
        <w:tc>
          <w:tcPr>
            <w:tcW w:w="851" w:type="dxa"/>
            <w:tcBorders>
              <w:top w:val="single" w:sz="12" w:space="0" w:color="auto"/>
              <w:left w:val="single" w:sz="6" w:space="0" w:color="auto"/>
              <w:bottom w:val="single" w:sz="6" w:space="0" w:color="auto"/>
              <w:right w:val="single" w:sz="6" w:space="0" w:color="auto"/>
            </w:tcBorders>
          </w:tcPr>
          <w:p w:rsidR="00272AA5" w:rsidRPr="00103E70" w:rsidRDefault="00272AA5">
            <w:pPr>
              <w:jc w:val="center"/>
            </w:pPr>
          </w:p>
          <w:p w:rsidR="00272AA5" w:rsidRPr="00103E70" w:rsidRDefault="00272AA5">
            <w:pPr>
              <w:jc w:val="center"/>
            </w:pPr>
            <w:r w:rsidRPr="00103E70">
              <w:t>2009</w:t>
            </w:r>
          </w:p>
        </w:tc>
        <w:tc>
          <w:tcPr>
            <w:tcW w:w="851" w:type="dxa"/>
            <w:tcBorders>
              <w:top w:val="single" w:sz="12" w:space="0" w:color="auto"/>
              <w:left w:val="single" w:sz="6" w:space="0" w:color="auto"/>
              <w:bottom w:val="single" w:sz="6" w:space="0" w:color="auto"/>
              <w:right w:val="single" w:sz="6" w:space="0" w:color="auto"/>
            </w:tcBorders>
          </w:tcPr>
          <w:p w:rsidR="00272AA5" w:rsidRPr="00103E70" w:rsidRDefault="00272AA5">
            <w:pPr>
              <w:jc w:val="center"/>
            </w:pPr>
          </w:p>
          <w:p w:rsidR="00272AA5" w:rsidRPr="00103E70" w:rsidRDefault="00272AA5">
            <w:pPr>
              <w:jc w:val="center"/>
            </w:pPr>
            <w:r w:rsidRPr="00103E70">
              <w:t>2010</w:t>
            </w:r>
          </w:p>
        </w:tc>
        <w:tc>
          <w:tcPr>
            <w:tcW w:w="851" w:type="dxa"/>
            <w:tcBorders>
              <w:top w:val="single" w:sz="12" w:space="0" w:color="auto"/>
              <w:left w:val="single" w:sz="6" w:space="0" w:color="auto"/>
              <w:bottom w:val="single" w:sz="6" w:space="0" w:color="auto"/>
              <w:right w:val="single" w:sz="6" w:space="0" w:color="auto"/>
            </w:tcBorders>
          </w:tcPr>
          <w:p w:rsidR="00272AA5" w:rsidRPr="00103E70" w:rsidRDefault="00272AA5">
            <w:pPr>
              <w:jc w:val="center"/>
            </w:pPr>
          </w:p>
          <w:p w:rsidR="00272AA5" w:rsidRPr="00103E70" w:rsidRDefault="00272AA5">
            <w:pPr>
              <w:jc w:val="center"/>
            </w:pPr>
            <w:r w:rsidRPr="00103E70">
              <w:t>2011</w:t>
            </w:r>
          </w:p>
        </w:tc>
        <w:tc>
          <w:tcPr>
            <w:tcW w:w="851" w:type="dxa"/>
            <w:tcBorders>
              <w:top w:val="single" w:sz="12" w:space="0" w:color="auto"/>
              <w:left w:val="single" w:sz="6" w:space="0" w:color="auto"/>
              <w:bottom w:val="single" w:sz="6" w:space="0" w:color="auto"/>
              <w:right w:val="single" w:sz="12" w:space="0" w:color="auto"/>
            </w:tcBorders>
          </w:tcPr>
          <w:p w:rsidR="00272AA5" w:rsidRPr="00103E70" w:rsidRDefault="00272AA5">
            <w:pPr>
              <w:jc w:val="center"/>
            </w:pPr>
          </w:p>
          <w:p w:rsidR="00272AA5" w:rsidRPr="00103E70" w:rsidRDefault="00272AA5">
            <w:pPr>
              <w:jc w:val="center"/>
            </w:pPr>
            <w:r w:rsidRPr="00103E70">
              <w:rPr>
                <w:color w:val="000000"/>
              </w:rPr>
              <w:t>n +4 och följande budgetår</w:t>
            </w:r>
          </w:p>
        </w:tc>
      </w:tr>
      <w:tr w:rsidR="00272AA5" w:rsidRPr="00103E70">
        <w:tblPrEx>
          <w:tblCellMar>
            <w:top w:w="0" w:type="dxa"/>
            <w:bottom w:w="0" w:type="dxa"/>
          </w:tblCellMar>
        </w:tblPrEx>
        <w:trPr>
          <w:cantSplit/>
        </w:trPr>
        <w:tc>
          <w:tcPr>
            <w:tcW w:w="2268" w:type="dxa"/>
            <w:tcBorders>
              <w:top w:val="single" w:sz="6" w:space="0" w:color="auto"/>
              <w:left w:val="single" w:sz="12" w:space="0" w:color="auto"/>
              <w:bottom w:val="single" w:sz="12" w:space="0" w:color="auto"/>
              <w:right w:val="single" w:sz="6" w:space="0" w:color="auto"/>
            </w:tcBorders>
          </w:tcPr>
          <w:p w:rsidR="00272AA5" w:rsidRPr="00103E70" w:rsidRDefault="00272AA5">
            <w:pPr>
              <w:spacing w:before="60" w:after="60"/>
            </w:pPr>
            <w:r w:rsidRPr="00103E70">
              <w:rPr>
                <w:color w:val="000000"/>
              </w:rPr>
              <w:t>Total personalstyrka</w:t>
            </w:r>
          </w:p>
        </w:tc>
        <w:tc>
          <w:tcPr>
            <w:tcW w:w="948" w:type="dxa"/>
            <w:tcBorders>
              <w:top w:val="single" w:sz="6" w:space="0" w:color="auto"/>
              <w:left w:val="single" w:sz="6" w:space="0" w:color="auto"/>
              <w:bottom w:val="single" w:sz="12" w:space="0" w:color="auto"/>
              <w:right w:val="single" w:sz="6" w:space="0" w:color="auto"/>
            </w:tcBorders>
          </w:tcPr>
          <w:p w:rsidR="00272AA5" w:rsidRPr="00103E70" w:rsidRDefault="00272AA5">
            <w:pPr>
              <w:spacing w:before="60" w:after="60"/>
            </w:pPr>
            <w:r w:rsidRPr="00103E70">
              <w:t>4</w:t>
            </w:r>
          </w:p>
        </w:tc>
        <w:tc>
          <w:tcPr>
            <w:tcW w:w="754" w:type="dxa"/>
            <w:tcBorders>
              <w:top w:val="single" w:sz="6" w:space="0" w:color="auto"/>
              <w:left w:val="single" w:sz="6" w:space="0" w:color="auto"/>
              <w:bottom w:val="single" w:sz="12" w:space="0" w:color="auto"/>
              <w:right w:val="single" w:sz="6" w:space="0" w:color="auto"/>
            </w:tcBorders>
          </w:tcPr>
          <w:p w:rsidR="00272AA5" w:rsidRPr="00103E70" w:rsidRDefault="00272AA5">
            <w:pPr>
              <w:spacing w:before="60" w:after="60"/>
            </w:pPr>
            <w:r w:rsidRPr="00103E70">
              <w:t>5</w:t>
            </w:r>
          </w:p>
        </w:tc>
        <w:tc>
          <w:tcPr>
            <w:tcW w:w="851" w:type="dxa"/>
            <w:tcBorders>
              <w:top w:val="single" w:sz="6" w:space="0" w:color="auto"/>
              <w:left w:val="single" w:sz="6" w:space="0" w:color="auto"/>
              <w:bottom w:val="single" w:sz="12" w:space="0" w:color="auto"/>
              <w:right w:val="single" w:sz="6" w:space="0" w:color="auto"/>
            </w:tcBorders>
          </w:tcPr>
          <w:p w:rsidR="00272AA5" w:rsidRPr="00103E70" w:rsidRDefault="00272AA5">
            <w:pPr>
              <w:spacing w:before="60" w:after="60"/>
            </w:pPr>
            <w:r w:rsidRPr="00103E70">
              <w:t>2</w:t>
            </w:r>
          </w:p>
        </w:tc>
        <w:tc>
          <w:tcPr>
            <w:tcW w:w="851" w:type="dxa"/>
            <w:tcBorders>
              <w:top w:val="single" w:sz="6" w:space="0" w:color="auto"/>
              <w:left w:val="single" w:sz="6" w:space="0" w:color="auto"/>
              <w:bottom w:val="single" w:sz="12" w:space="0" w:color="auto"/>
              <w:right w:val="single" w:sz="6" w:space="0" w:color="auto"/>
            </w:tcBorders>
          </w:tcPr>
          <w:p w:rsidR="00272AA5" w:rsidRPr="00103E70" w:rsidRDefault="00272AA5">
            <w:pPr>
              <w:spacing w:before="60" w:after="60"/>
            </w:pPr>
          </w:p>
        </w:tc>
        <w:tc>
          <w:tcPr>
            <w:tcW w:w="851" w:type="dxa"/>
            <w:tcBorders>
              <w:top w:val="single" w:sz="6" w:space="0" w:color="auto"/>
              <w:left w:val="single" w:sz="6" w:space="0" w:color="auto"/>
              <w:bottom w:val="single" w:sz="12" w:space="0" w:color="auto"/>
              <w:right w:val="single" w:sz="6" w:space="0" w:color="auto"/>
            </w:tcBorders>
          </w:tcPr>
          <w:p w:rsidR="00272AA5" w:rsidRPr="00103E70" w:rsidRDefault="00272AA5">
            <w:pPr>
              <w:spacing w:before="60" w:after="60"/>
            </w:pPr>
          </w:p>
        </w:tc>
        <w:tc>
          <w:tcPr>
            <w:tcW w:w="851" w:type="dxa"/>
            <w:tcBorders>
              <w:top w:val="single" w:sz="6" w:space="0" w:color="auto"/>
              <w:left w:val="single" w:sz="6" w:space="0" w:color="auto"/>
              <w:bottom w:val="single" w:sz="12" w:space="0" w:color="auto"/>
              <w:right w:val="single" w:sz="12" w:space="0" w:color="auto"/>
            </w:tcBorders>
          </w:tcPr>
          <w:p w:rsidR="00272AA5" w:rsidRPr="00103E70" w:rsidRDefault="00272AA5">
            <w:pPr>
              <w:spacing w:before="60" w:after="60"/>
            </w:pPr>
          </w:p>
        </w:tc>
      </w:tr>
    </w:tbl>
    <w:p w:rsidR="00272AA5" w:rsidRPr="00103E70" w:rsidRDefault="00272AA5">
      <w:pPr>
        <w:rPr>
          <w:b/>
          <w:bCs/>
          <w:sz w:val="16"/>
          <w:szCs w:val="16"/>
        </w:rPr>
      </w:pPr>
    </w:p>
    <w:p w:rsidR="00272AA5" w:rsidRPr="00103E70" w:rsidRDefault="00272AA5" w:rsidP="00CB3D7F">
      <w:pPr>
        <w:outlineLvl w:val="0"/>
        <w:rPr>
          <w:b/>
          <w:bCs/>
        </w:rPr>
      </w:pPr>
      <w:r w:rsidRPr="00103E70">
        <w:rPr>
          <w:b/>
          <w:bCs/>
        </w:rPr>
        <w:t>5.</w:t>
      </w:r>
      <w:r w:rsidRPr="00103E70">
        <w:rPr>
          <w:b/>
          <w:bCs/>
        </w:rPr>
        <w:tab/>
      </w:r>
      <w:r w:rsidRPr="00103E70">
        <w:rPr>
          <w:b/>
          <w:bCs/>
          <w:color w:val="000000"/>
        </w:rPr>
        <w:t>BESKRIVNING OCH MÅL</w:t>
      </w:r>
    </w:p>
    <w:p w:rsidR="00272AA5" w:rsidRPr="00103E70" w:rsidRDefault="00272AA5" w:rsidP="00CB3D7F">
      <w:pPr>
        <w:outlineLvl w:val="0"/>
      </w:pPr>
      <w:r w:rsidRPr="00103E70">
        <w:t>5.1.</w:t>
      </w:r>
      <w:r w:rsidRPr="00103E70">
        <w:tab/>
      </w:r>
      <w:r w:rsidRPr="00103E70">
        <w:rPr>
          <w:color w:val="000000"/>
        </w:rPr>
        <w:t>Behov som skall uppfyllas på lång eller kort sikt.</w:t>
      </w:r>
    </w:p>
    <w:p w:rsidR="00272AA5" w:rsidRPr="00103E70" w:rsidRDefault="00272AA5">
      <w:pPr>
        <w:rPr>
          <w:color w:val="000000"/>
        </w:rPr>
      </w:pPr>
      <w:r w:rsidRPr="00103E70">
        <w:rPr>
          <w:color w:val="000000"/>
        </w:rPr>
        <w:t>Se punkt 1 i motiveringen till förslaget till beslut.</w:t>
      </w:r>
    </w:p>
    <w:p w:rsidR="00272AA5" w:rsidRPr="00103E70" w:rsidRDefault="00272AA5" w:rsidP="00CB3D7F">
      <w:pPr>
        <w:outlineLvl w:val="0"/>
      </w:pPr>
      <w:r w:rsidRPr="00103E70">
        <w:t>5.2.</w:t>
      </w:r>
      <w:r w:rsidRPr="00103E70">
        <w:tab/>
      </w:r>
      <w:r w:rsidRPr="00103E70">
        <w:rPr>
          <w:color w:val="000000"/>
        </w:rPr>
        <w:t>Mervärde som tillförs genom kommissionens deltagande och förslagets förenlighet med övriga finansiella instrument samt eventuella synergieffekter.</w:t>
      </w:r>
    </w:p>
    <w:p w:rsidR="00272AA5" w:rsidRPr="00103E70" w:rsidRDefault="00272AA5">
      <w:r w:rsidRPr="00103E70">
        <w:rPr>
          <w:color w:val="000000"/>
        </w:rPr>
        <w:t>Europaåret riktar sig till medborgarna, men dess mål kan uppnås bättre och får ett större genomslag på EU-nivå än på medlemsstatsnivå.</w:t>
      </w:r>
      <w:r w:rsidRPr="00103E70">
        <w:t xml:space="preserve"> </w:t>
      </w:r>
      <w:r w:rsidRPr="00103E70">
        <w:rPr>
          <w:color w:val="000000"/>
        </w:rPr>
        <w:t>De planerade åtgärderna går inte utöver vad som är nödvändigt för att uppnå målen, samtidigt som proportionalitetsprincipen respekteras.</w:t>
      </w:r>
      <w:r w:rsidRPr="00103E70">
        <w:t xml:space="preserve"> </w:t>
      </w:r>
    </w:p>
    <w:p w:rsidR="00272AA5" w:rsidRPr="00103E70" w:rsidRDefault="00272AA5">
      <w:r w:rsidRPr="00103E70">
        <w:rPr>
          <w:color w:val="000000"/>
        </w:rPr>
        <w:t xml:space="preserve">Det ankommer på kommissionen att se till att den verksamhet som finansieras under året kompletterar andra EU-insatser på områden såsom strukturfonderna, utbildning, kultur, ungdomsfrågor, medborgarskap, sysselsättning, sociala frågor, jämställdhet, invandring, främjande av de grundläggande rättigheterna och kampen mot rasism och främlingsfientlighet samt audiovisuell politik och forskning. Det är särskilt viktigt att uppnå samstämdhet med Europeiska året för lika möjligheter för alla så att dessa båda Europaår samverkar i fråga om mål och åtgärder. </w:t>
      </w:r>
    </w:p>
    <w:p w:rsidR="00272AA5" w:rsidRPr="00103E70" w:rsidRDefault="00272AA5" w:rsidP="00CB3D7F">
      <w:pPr>
        <w:outlineLvl w:val="0"/>
      </w:pPr>
      <w:r w:rsidRPr="00103E70">
        <w:t>5.3.</w:t>
      </w:r>
      <w:r w:rsidRPr="00103E70">
        <w:tab/>
      </w:r>
      <w:r w:rsidRPr="00103E70">
        <w:rPr>
          <w:color w:val="000000"/>
        </w:rPr>
        <w:t>Mål, förväntade resultat och motsvarande indikatorer inom ramen för verksamhetsbaserad förvaltning.</w:t>
      </w:r>
    </w:p>
    <w:p w:rsidR="00272AA5" w:rsidRPr="00103E70" w:rsidRDefault="00272AA5">
      <w:r w:rsidRPr="00103E70">
        <w:rPr>
          <w:color w:val="000000"/>
        </w:rPr>
        <w:t>Se artiklarna 2 och 3 i förslaget till beslut samt den tillhörande bilagan.</w:t>
      </w:r>
    </w:p>
    <w:p w:rsidR="00272AA5" w:rsidRPr="00103E70" w:rsidRDefault="00272AA5" w:rsidP="00CB3D7F">
      <w:pPr>
        <w:outlineLvl w:val="0"/>
      </w:pPr>
      <w:r w:rsidRPr="00103E70">
        <w:t>5.4.</w:t>
      </w:r>
      <w:r w:rsidRPr="00103E70">
        <w:tab/>
      </w:r>
      <w:r w:rsidRPr="00103E70">
        <w:rPr>
          <w:color w:val="000000"/>
        </w:rPr>
        <w:t>Metod för genomförande (preliminär).</w:t>
      </w:r>
    </w:p>
    <w:p w:rsidR="00272AA5" w:rsidRPr="00103E70" w:rsidRDefault="00272AA5">
      <w:r w:rsidRPr="00103E70">
        <w:rPr>
          <w:color w:val="000000"/>
        </w:rPr>
        <w:t>Ange den eller de metoder</w:t>
      </w:r>
      <w:r w:rsidRPr="00103E70">
        <w:rPr>
          <w:rStyle w:val="Fotnotsreferens"/>
          <w:color w:val="000000"/>
        </w:rPr>
        <w:footnoteReference w:id="13"/>
      </w:r>
      <w:r w:rsidRPr="00103E70">
        <w:rPr>
          <w:color w:val="000000"/>
        </w:rPr>
        <w:t xml:space="preserve"> som valts för åtgärdens genomförande.</w:t>
      </w:r>
    </w:p>
    <w:p w:rsidR="00272AA5" w:rsidRPr="00103E70" w:rsidRDefault="00272AA5">
      <w:pPr>
        <w:rPr>
          <w:b/>
          <w:bCs/>
          <w:i/>
          <w:iCs/>
        </w:rPr>
      </w:pPr>
      <w:r w:rsidRPr="00103E70">
        <w:rPr>
          <w:color w:val="000000"/>
        </w:rPr>
        <w:t>x</w:t>
      </w:r>
      <w:r w:rsidRPr="00103E70">
        <w:rPr>
          <w:b/>
          <w:bCs/>
          <w:i/>
          <w:iCs/>
          <w:color w:val="000000"/>
        </w:rPr>
        <w:t xml:space="preserve"> Centraliserad förvaltning</w:t>
      </w:r>
    </w:p>
    <w:p w:rsidR="00272AA5" w:rsidRPr="00103E70" w:rsidRDefault="00272AA5">
      <w:r w:rsidRPr="00103E70">
        <w:rPr>
          <w:color w:val="000000"/>
        </w:rPr>
        <w:t>x</w:t>
      </w:r>
      <w:r w:rsidRPr="00103E70">
        <w:tab/>
      </w:r>
      <w:r w:rsidRPr="00103E70">
        <w:rPr>
          <w:color w:val="000000"/>
        </w:rPr>
        <w:t>Direkt av kommissionen</w:t>
      </w:r>
    </w:p>
    <w:p w:rsidR="00272AA5" w:rsidRPr="00103E70" w:rsidRDefault="00272AA5">
      <w:r w:rsidRPr="00103E70">
        <w:rPr>
          <w:color w:val="000000"/>
        </w:rPr>
        <w:t>ٱ</w:t>
      </w:r>
      <w:r w:rsidRPr="00103E70">
        <w:tab/>
      </w:r>
      <w:r w:rsidRPr="00103E70">
        <w:rPr>
          <w:color w:val="000000"/>
        </w:rPr>
        <w:t>Indirekt genom delegering till</w:t>
      </w:r>
    </w:p>
    <w:p w:rsidR="00272AA5" w:rsidRPr="00103E70" w:rsidRDefault="00272AA5">
      <w:r w:rsidRPr="00103E70">
        <w:rPr>
          <w:color w:val="000000"/>
        </w:rPr>
        <w:t>ٱ</w:t>
      </w:r>
      <w:r w:rsidRPr="00103E70">
        <w:tab/>
      </w:r>
      <w:r w:rsidRPr="00103E70">
        <w:rPr>
          <w:color w:val="000000"/>
        </w:rPr>
        <w:t>genomförandeorgan</w:t>
      </w:r>
    </w:p>
    <w:p w:rsidR="00272AA5" w:rsidRPr="00103E70" w:rsidRDefault="00272AA5">
      <w:r w:rsidRPr="00103E70">
        <w:rPr>
          <w:color w:val="000000"/>
        </w:rPr>
        <w:t>ٱ</w:t>
      </w:r>
      <w:r w:rsidRPr="00103E70">
        <w:tab/>
      </w:r>
      <w:r w:rsidRPr="00103E70">
        <w:rPr>
          <w:color w:val="000000"/>
        </w:rPr>
        <w:t>organ som inrättas av gemenskapen enligt artikel 185 i budgetförordningen</w:t>
      </w:r>
    </w:p>
    <w:p w:rsidR="00272AA5" w:rsidRPr="00103E70" w:rsidRDefault="00272AA5">
      <w:r w:rsidRPr="00103E70">
        <w:rPr>
          <w:color w:val="000000"/>
        </w:rPr>
        <w:t>ٱ</w:t>
      </w:r>
      <w:r w:rsidRPr="00103E70">
        <w:tab/>
      </w:r>
      <w:r w:rsidRPr="00103E70">
        <w:rPr>
          <w:color w:val="000000"/>
        </w:rPr>
        <w:t>nationella offentliga organ eller organ som anförtrotts uppgifter inom offentlig förvaltning</w:t>
      </w:r>
    </w:p>
    <w:p w:rsidR="00272AA5" w:rsidRPr="00103E70" w:rsidRDefault="00272AA5">
      <w:pPr>
        <w:rPr>
          <w:b/>
          <w:bCs/>
          <w:i/>
          <w:iCs/>
        </w:rPr>
      </w:pPr>
      <w:r w:rsidRPr="00103E70">
        <w:rPr>
          <w:color w:val="000000"/>
        </w:rPr>
        <w:t>ٱ</w:t>
      </w:r>
      <w:r w:rsidRPr="00103E70">
        <w:rPr>
          <w:b/>
          <w:bCs/>
          <w:i/>
          <w:iCs/>
          <w:color w:val="000000"/>
        </w:rPr>
        <w:t xml:space="preserve"> Delad eller decentraliserad förvaltning</w:t>
      </w:r>
    </w:p>
    <w:p w:rsidR="00272AA5" w:rsidRPr="00103E70" w:rsidRDefault="00272AA5">
      <w:r w:rsidRPr="00103E70">
        <w:tab/>
      </w:r>
      <w:r w:rsidRPr="00103E70">
        <w:rPr>
          <w:color w:val="000000"/>
        </w:rPr>
        <w:t>ٱ</w:t>
      </w:r>
      <w:r w:rsidRPr="00103E70">
        <w:tab/>
      </w:r>
      <w:r w:rsidRPr="00103E70">
        <w:rPr>
          <w:color w:val="000000"/>
        </w:rPr>
        <w:t>Tillsammans med medlemsstaterna</w:t>
      </w:r>
    </w:p>
    <w:p w:rsidR="00272AA5" w:rsidRPr="00103E70" w:rsidRDefault="00272AA5">
      <w:r w:rsidRPr="00103E70">
        <w:tab/>
      </w:r>
      <w:r w:rsidRPr="00103E70">
        <w:rPr>
          <w:color w:val="000000"/>
        </w:rPr>
        <w:t>ٱ</w:t>
      </w:r>
      <w:r w:rsidRPr="00103E70">
        <w:tab/>
      </w:r>
      <w:r w:rsidRPr="00103E70">
        <w:rPr>
          <w:color w:val="000000"/>
        </w:rPr>
        <w:t>Tillsammans med tredjeländer</w:t>
      </w:r>
    </w:p>
    <w:p w:rsidR="00272AA5" w:rsidRPr="00103E70" w:rsidRDefault="00272AA5">
      <w:pPr>
        <w:rPr>
          <w:b/>
          <w:bCs/>
          <w:i/>
          <w:iCs/>
        </w:rPr>
      </w:pPr>
      <w:r w:rsidRPr="00103E70">
        <w:rPr>
          <w:color w:val="000000"/>
        </w:rPr>
        <w:t>ٱ</w:t>
      </w:r>
      <w:r w:rsidRPr="00103E70">
        <w:rPr>
          <w:b/>
          <w:bCs/>
          <w:i/>
          <w:iCs/>
          <w:color w:val="000000"/>
        </w:rPr>
        <w:t> Gemensam förvaltning med internationella organisationer (ange vilka)</w:t>
      </w:r>
    </w:p>
    <w:p w:rsidR="00272AA5" w:rsidRPr="00103E70" w:rsidRDefault="00272AA5" w:rsidP="00CB3D7F">
      <w:pPr>
        <w:outlineLvl w:val="0"/>
        <w:rPr>
          <w:b/>
          <w:bCs/>
        </w:rPr>
      </w:pPr>
      <w:r w:rsidRPr="00103E70">
        <w:rPr>
          <w:b/>
          <w:bCs/>
        </w:rPr>
        <w:t>6.</w:t>
      </w:r>
      <w:r w:rsidRPr="00103E70">
        <w:rPr>
          <w:b/>
          <w:bCs/>
        </w:rPr>
        <w:tab/>
      </w:r>
      <w:r w:rsidRPr="00103E70">
        <w:rPr>
          <w:b/>
          <w:bCs/>
          <w:color w:val="000000"/>
        </w:rPr>
        <w:t>ÖVERVAKNING OCH UTVÄRDERING</w:t>
      </w:r>
    </w:p>
    <w:p w:rsidR="00272AA5" w:rsidRPr="00103E70" w:rsidRDefault="00272AA5" w:rsidP="00CB3D7F">
      <w:pPr>
        <w:outlineLvl w:val="0"/>
      </w:pPr>
      <w:r w:rsidRPr="00103E70">
        <w:t>6.1.</w:t>
      </w:r>
      <w:r w:rsidRPr="00103E70">
        <w:tab/>
      </w:r>
      <w:r w:rsidRPr="00103E70">
        <w:rPr>
          <w:color w:val="000000"/>
        </w:rPr>
        <w:t>Övervakningssystem</w:t>
      </w:r>
    </w:p>
    <w:p w:rsidR="00272AA5" w:rsidRPr="00103E70" w:rsidRDefault="00272AA5">
      <w:r w:rsidRPr="00103E70">
        <w:rPr>
          <w:color w:val="000000"/>
        </w:rPr>
        <w:t>Kommissionen och medlemsstaterna bör se till att de åtgärder som finansieras överensstämmer med varandra.</w:t>
      </w:r>
      <w:r w:rsidRPr="00103E70">
        <w:t xml:space="preserve"> </w:t>
      </w:r>
      <w:r w:rsidRPr="00103E70">
        <w:rPr>
          <w:color w:val="000000"/>
        </w:rPr>
        <w:t>Övervakningen torde ha en positiv effekt på åtgärdernas kvalitet, och medföra att de stämmer överens med de mål som ställts upp för året.</w:t>
      </w:r>
      <w:r w:rsidRPr="00103E70">
        <w:t xml:space="preserve"> </w:t>
      </w:r>
      <w:r w:rsidRPr="00103E70">
        <w:rPr>
          <w:color w:val="000000"/>
        </w:rPr>
        <w:t>Det är i första hand kommissionen som har till uppgift att utforma övervakningssystem. Detta görs i samråd med de medverkande länderna.</w:t>
      </w:r>
      <w:r w:rsidRPr="00103E70">
        <w:t xml:space="preserve"> </w:t>
      </w:r>
      <w:r w:rsidRPr="00103E70">
        <w:rPr>
          <w:color w:val="000000"/>
        </w:rPr>
        <w:t>Övervakningssystemen skall tillämpas i enlighet med ansvaret för finansieringen av verksamheten.</w:t>
      </w:r>
      <w:r w:rsidRPr="00103E70">
        <w:t xml:space="preserve"> </w:t>
      </w:r>
      <w:r w:rsidRPr="00103E70">
        <w:rPr>
          <w:color w:val="000000"/>
        </w:rPr>
        <w:t>Nedanstående tabell innehåller exempel på olika indikatorer som kan användas.</w:t>
      </w:r>
    </w:p>
    <w:tbl>
      <w:tblPr>
        <w:tblStyle w:val="Fichefinancireattributiontitreacte"/>
        <w:tblW w:w="9828" w:type="dxa"/>
        <w:tblLayout w:type="fixed"/>
        <w:tblLook w:val="01E0" w:firstRow="1" w:lastRow="1" w:firstColumn="1" w:lastColumn="1" w:noHBand="0" w:noVBand="0"/>
      </w:tblPr>
      <w:tblGrid>
        <w:gridCol w:w="3528"/>
        <w:gridCol w:w="6300"/>
      </w:tblGrid>
      <w:tr w:rsidR="00272AA5" w:rsidRPr="00103E70">
        <w:tc>
          <w:tcPr>
            <w:tcW w:w="3528" w:type="dxa"/>
          </w:tcPr>
          <w:p w:rsidR="00272AA5" w:rsidRPr="00103E70" w:rsidRDefault="00272AA5">
            <w:pPr>
              <w:rPr>
                <w:u w:val="none"/>
              </w:rPr>
            </w:pPr>
            <w:r w:rsidRPr="00103E70">
              <w:rPr>
                <w:bCs w:val="0"/>
                <w:color w:val="000000"/>
                <w:sz w:val="20"/>
                <w:szCs w:val="20"/>
                <w:u w:val="none"/>
              </w:rPr>
              <w:t>Mål</w:t>
            </w:r>
          </w:p>
        </w:tc>
        <w:tc>
          <w:tcPr>
            <w:tcW w:w="6300" w:type="dxa"/>
          </w:tcPr>
          <w:p w:rsidR="00272AA5" w:rsidRPr="00103E70" w:rsidRDefault="00272AA5">
            <w:pPr>
              <w:rPr>
                <w:u w:val="none"/>
              </w:rPr>
            </w:pPr>
            <w:r w:rsidRPr="00103E70">
              <w:rPr>
                <w:bCs w:val="0"/>
                <w:color w:val="000000"/>
                <w:sz w:val="20"/>
                <w:szCs w:val="20"/>
                <w:u w:val="none"/>
              </w:rPr>
              <w:t>Indikatorer (vägledande)</w:t>
            </w:r>
          </w:p>
        </w:tc>
      </w:tr>
      <w:tr w:rsidR="00272AA5" w:rsidRPr="00103E70">
        <w:tc>
          <w:tcPr>
            <w:tcW w:w="3528" w:type="dxa"/>
          </w:tcPr>
          <w:p w:rsidR="00272AA5" w:rsidRPr="00103E70" w:rsidRDefault="00272AA5">
            <w:pPr>
              <w:rPr>
                <w:u w:val="none"/>
              </w:rPr>
            </w:pPr>
            <w:r w:rsidRPr="00103E70">
              <w:rPr>
                <w:bCs w:val="0"/>
                <w:color w:val="000000"/>
                <w:sz w:val="20"/>
                <w:szCs w:val="20"/>
                <w:u w:val="none"/>
              </w:rPr>
              <w:t>Allmänna mål</w:t>
            </w:r>
          </w:p>
        </w:tc>
        <w:tc>
          <w:tcPr>
            <w:tcW w:w="6300" w:type="dxa"/>
          </w:tcPr>
          <w:p w:rsidR="00272AA5" w:rsidRPr="00103E70" w:rsidRDefault="00272AA5">
            <w:pPr>
              <w:rPr>
                <w:b w:val="0"/>
                <w:sz w:val="20"/>
                <w:szCs w:val="20"/>
                <w:u w:val="none"/>
              </w:rPr>
            </w:pPr>
          </w:p>
        </w:tc>
      </w:tr>
      <w:tr w:rsidR="00272AA5" w:rsidRPr="00103E70">
        <w:tc>
          <w:tcPr>
            <w:tcW w:w="3528" w:type="dxa"/>
          </w:tcPr>
          <w:p w:rsidR="00272AA5" w:rsidRPr="00103E70" w:rsidRDefault="00272AA5">
            <w:pPr>
              <w:rPr>
                <w:b w:val="0"/>
                <w:u w:val="none"/>
              </w:rPr>
            </w:pPr>
            <w:r w:rsidRPr="00103E70">
              <w:rPr>
                <w:b w:val="0"/>
                <w:color w:val="000000"/>
                <w:sz w:val="20"/>
                <w:szCs w:val="20"/>
                <w:u w:val="none"/>
              </w:rPr>
              <w:t>Att främja den interkulturella dialogen som ett instrument som gör det möjligt för EU:s medborgare och alla andra som är tillfälligt eller fast bosatta i EU att inhämta de kunskaper, de kvalifikationer och det kunnande som krävs för att klara sig i en öppnare men också mer komplex miljö, med de eventuella svårigheter det innebär, för att kunna dra nytta av möjligheterna i ett mångsidigt och dynamiskt samhälle, såväl inom Europa som i resten av världen</w:t>
            </w:r>
          </w:p>
        </w:tc>
        <w:tc>
          <w:tcPr>
            <w:tcW w:w="6300" w:type="dxa"/>
          </w:tcPr>
          <w:p w:rsidR="00272AA5" w:rsidRPr="00103E70" w:rsidRDefault="00272AA5">
            <w:pPr>
              <w:rPr>
                <w:b w:val="0"/>
                <w:sz w:val="20"/>
                <w:szCs w:val="20"/>
                <w:u w:val="none"/>
              </w:rPr>
            </w:pPr>
            <w:r w:rsidRPr="00103E70">
              <w:rPr>
                <w:b w:val="0"/>
                <w:color w:val="FF0000"/>
                <w:sz w:val="20"/>
                <w:szCs w:val="20"/>
                <w:u w:val="none"/>
              </w:rPr>
              <w:t xml:space="preserve"> </w:t>
            </w:r>
            <w:r w:rsidRPr="00103E70">
              <w:rPr>
                <w:b w:val="0"/>
                <w:color w:val="000000"/>
                <w:sz w:val="20"/>
                <w:szCs w:val="20"/>
                <w:u w:val="none"/>
              </w:rPr>
              <w:t>Antal och typ av initiativ som finansieras eller sponsras genom Europaåret.</w:t>
            </w:r>
          </w:p>
          <w:p w:rsidR="00272AA5" w:rsidRPr="00103E70" w:rsidRDefault="00272AA5">
            <w:pPr>
              <w:rPr>
                <w:b w:val="0"/>
                <w:sz w:val="20"/>
                <w:szCs w:val="20"/>
                <w:u w:val="none"/>
              </w:rPr>
            </w:pPr>
            <w:r w:rsidRPr="00103E70">
              <w:rPr>
                <w:b w:val="0"/>
                <w:color w:val="000000"/>
                <w:sz w:val="20"/>
                <w:szCs w:val="20"/>
                <w:u w:val="none"/>
              </w:rPr>
              <w:t>Hur har inställningen förändrats hos de personer som deltagit i satsningarna under året?</w:t>
            </w:r>
          </w:p>
          <w:p w:rsidR="00272AA5" w:rsidRPr="00103E70" w:rsidRDefault="00272AA5">
            <w:pPr>
              <w:rPr>
                <w:b w:val="0"/>
                <w:color w:val="FF0000"/>
                <w:sz w:val="20"/>
                <w:szCs w:val="20"/>
                <w:u w:val="none"/>
              </w:rPr>
            </w:pPr>
          </w:p>
        </w:tc>
      </w:tr>
      <w:tr w:rsidR="00272AA5" w:rsidRPr="00103E70">
        <w:tc>
          <w:tcPr>
            <w:tcW w:w="3528" w:type="dxa"/>
          </w:tcPr>
          <w:p w:rsidR="00272AA5" w:rsidRPr="00103E70" w:rsidRDefault="00272AA5">
            <w:pPr>
              <w:rPr>
                <w:b w:val="0"/>
                <w:u w:val="none"/>
              </w:rPr>
            </w:pPr>
            <w:r w:rsidRPr="00103E70">
              <w:rPr>
                <w:b w:val="0"/>
                <w:color w:val="000000"/>
                <w:sz w:val="20"/>
                <w:szCs w:val="20"/>
                <w:u w:val="none"/>
              </w:rPr>
              <w:t>Att ge EU:s medborgare, och alla andra som är bosatta i EU, insikt i hur viktigt det är att visa engagemang och öppenhet inför resten av världen och respekt för kulturella skillnader, med utgångspunkt i EU:s gemensamma värderingar, dvs. respekt för människans värdighet, icke-diskriminering, solidaritet, demokrati, rättsstatsprincipen samt respekt för de mänskliga rättigheterna, inklusive rättigheter för personer som tillhör minoriteter</w:t>
            </w:r>
          </w:p>
        </w:tc>
        <w:tc>
          <w:tcPr>
            <w:tcW w:w="6300" w:type="dxa"/>
          </w:tcPr>
          <w:p w:rsidR="00272AA5" w:rsidRPr="00103E70" w:rsidRDefault="00272AA5">
            <w:pPr>
              <w:rPr>
                <w:b w:val="0"/>
                <w:sz w:val="20"/>
                <w:szCs w:val="20"/>
                <w:u w:val="none"/>
              </w:rPr>
            </w:pPr>
            <w:r w:rsidRPr="00103E70">
              <w:rPr>
                <w:b w:val="0"/>
                <w:color w:val="000000"/>
                <w:sz w:val="20"/>
                <w:szCs w:val="20"/>
                <w:u w:val="none"/>
              </w:rPr>
              <w:t>Antal medborgare som deltagit i evenemang som anordnats med anledning av Europaåret.</w:t>
            </w:r>
          </w:p>
          <w:p w:rsidR="00272AA5" w:rsidRPr="00103E70" w:rsidRDefault="00272AA5">
            <w:pPr>
              <w:autoSpaceDE w:val="0"/>
              <w:autoSpaceDN w:val="0"/>
              <w:adjustRightInd w:val="0"/>
              <w:rPr>
                <w:b w:val="0"/>
                <w:u w:val="none"/>
              </w:rPr>
            </w:pPr>
            <w:r w:rsidRPr="00103E70">
              <w:rPr>
                <w:b w:val="0"/>
                <w:color w:val="000000"/>
                <w:sz w:val="20"/>
                <w:szCs w:val="20"/>
                <w:u w:val="none"/>
              </w:rPr>
              <w:t>Hur har inställningen förändrats hos de personer som deltagit i satsningarna under året?</w:t>
            </w:r>
          </w:p>
        </w:tc>
      </w:tr>
      <w:tr w:rsidR="00272AA5" w:rsidRPr="00103E70">
        <w:tc>
          <w:tcPr>
            <w:tcW w:w="3528" w:type="dxa"/>
          </w:tcPr>
          <w:p w:rsidR="00272AA5" w:rsidRPr="00103E70" w:rsidRDefault="00272AA5">
            <w:pPr>
              <w:rPr>
                <w:u w:val="none"/>
              </w:rPr>
            </w:pPr>
            <w:r w:rsidRPr="00103E70">
              <w:rPr>
                <w:bCs w:val="0"/>
                <w:color w:val="000000"/>
                <w:sz w:val="20"/>
                <w:szCs w:val="20"/>
                <w:u w:val="none"/>
              </w:rPr>
              <w:t>Särskilda mål</w:t>
            </w:r>
          </w:p>
        </w:tc>
        <w:tc>
          <w:tcPr>
            <w:tcW w:w="6300" w:type="dxa"/>
          </w:tcPr>
          <w:p w:rsidR="00272AA5" w:rsidRPr="00103E70" w:rsidRDefault="00272AA5">
            <w:pPr>
              <w:rPr>
                <w:u w:val="none"/>
              </w:rPr>
            </w:pPr>
            <w:r w:rsidRPr="00103E70">
              <w:rPr>
                <w:bCs w:val="0"/>
                <w:color w:val="000000"/>
                <w:sz w:val="20"/>
                <w:szCs w:val="20"/>
                <w:u w:val="none"/>
              </w:rPr>
              <w:t>Indikatorer</w:t>
            </w:r>
          </w:p>
        </w:tc>
      </w:tr>
      <w:tr w:rsidR="00272AA5" w:rsidRPr="00103E70">
        <w:tc>
          <w:tcPr>
            <w:tcW w:w="3528" w:type="dxa"/>
          </w:tcPr>
          <w:p w:rsidR="00272AA5" w:rsidRPr="00103E70" w:rsidRDefault="00272AA5">
            <w:pPr>
              <w:rPr>
                <w:b w:val="0"/>
                <w:u w:val="none"/>
              </w:rPr>
            </w:pPr>
            <w:r w:rsidRPr="00103E70">
              <w:rPr>
                <w:b w:val="0"/>
                <w:color w:val="000000"/>
                <w:sz w:val="20"/>
                <w:szCs w:val="20"/>
                <w:u w:val="none"/>
              </w:rPr>
              <w:t>Att göra samtliga EU-program och EU-åtgärder som medverkar till den interkulturella dialogen synligare och mer samstämda</w:t>
            </w:r>
          </w:p>
        </w:tc>
        <w:tc>
          <w:tcPr>
            <w:tcW w:w="6300" w:type="dxa"/>
          </w:tcPr>
          <w:p w:rsidR="00272AA5" w:rsidRPr="00103E70" w:rsidRDefault="00272AA5">
            <w:pPr>
              <w:rPr>
                <w:b w:val="0"/>
                <w:sz w:val="20"/>
                <w:szCs w:val="20"/>
                <w:u w:val="none"/>
              </w:rPr>
            </w:pPr>
            <w:r w:rsidRPr="00103E70">
              <w:rPr>
                <w:b w:val="0"/>
                <w:color w:val="000000"/>
                <w:sz w:val="20"/>
                <w:szCs w:val="20"/>
                <w:u w:val="none"/>
              </w:rPr>
              <w:t>Tillgång till och bruk av informationshjälpmedel som utformats och spridits inom ramen för Europaåret och som handlar om relevanta EU-program.</w:t>
            </w:r>
          </w:p>
          <w:p w:rsidR="00272AA5" w:rsidRPr="00103E70" w:rsidRDefault="00272AA5">
            <w:pPr>
              <w:rPr>
                <w:b w:val="0"/>
                <w:u w:val="none"/>
              </w:rPr>
            </w:pPr>
            <w:r w:rsidRPr="00103E70">
              <w:rPr>
                <w:b w:val="0"/>
                <w:color w:val="000000"/>
                <w:sz w:val="20"/>
                <w:szCs w:val="20"/>
                <w:u w:val="none"/>
              </w:rPr>
              <w:t>Hur väl känner de medverkande i Europaårets verksamhet till dessa program och åtgärder?</w:t>
            </w:r>
            <w:r w:rsidRPr="00103E70">
              <w:rPr>
                <w:b w:val="0"/>
                <w:sz w:val="20"/>
                <w:szCs w:val="20"/>
                <w:u w:val="none"/>
              </w:rPr>
              <w:t xml:space="preserve"> </w:t>
            </w:r>
          </w:p>
        </w:tc>
      </w:tr>
      <w:tr w:rsidR="00272AA5" w:rsidRPr="00103E70">
        <w:tc>
          <w:tcPr>
            <w:tcW w:w="3528" w:type="dxa"/>
          </w:tcPr>
          <w:p w:rsidR="00272AA5" w:rsidRPr="00103E70" w:rsidRDefault="00272AA5">
            <w:pPr>
              <w:rPr>
                <w:b w:val="0"/>
                <w:u w:val="none"/>
              </w:rPr>
            </w:pPr>
            <w:r w:rsidRPr="00103E70">
              <w:rPr>
                <w:b w:val="0"/>
                <w:sz w:val="20"/>
                <w:szCs w:val="20"/>
                <w:u w:val="none"/>
              </w:rPr>
              <w:t>Att lyfta fram olika kulturers bidrag till vårt kulturarv och till vårt levnadssätt; att ge EU-medborgare och alla andra som bor i EU, särskilt ungdomar, insikt i hur man genom interkulturell dialog kan visa engagemang och öppenhet inför resten av världen och respekt inför den kulturella mångfalden med utgångspunkt i EU:s gemensamma värderingar</w:t>
            </w:r>
            <w:r w:rsidRPr="00103E70">
              <w:rPr>
                <w:b w:val="0"/>
                <w:u w:val="none"/>
              </w:rPr>
              <w:t>.</w:t>
            </w:r>
          </w:p>
          <w:p w:rsidR="00272AA5" w:rsidRPr="00103E70" w:rsidRDefault="00272AA5">
            <w:pPr>
              <w:rPr>
                <w:b w:val="0"/>
                <w:color w:val="FF0000"/>
                <w:sz w:val="20"/>
                <w:szCs w:val="20"/>
                <w:u w:val="none"/>
              </w:rPr>
            </w:pPr>
          </w:p>
        </w:tc>
        <w:tc>
          <w:tcPr>
            <w:tcW w:w="6300" w:type="dxa"/>
          </w:tcPr>
          <w:p w:rsidR="00272AA5" w:rsidRPr="00103E70" w:rsidRDefault="00272AA5">
            <w:pPr>
              <w:rPr>
                <w:b w:val="0"/>
                <w:sz w:val="20"/>
                <w:szCs w:val="20"/>
                <w:u w:val="none"/>
              </w:rPr>
            </w:pPr>
            <w:r w:rsidRPr="00103E70">
              <w:rPr>
                <w:b w:val="0"/>
                <w:color w:val="000000"/>
                <w:sz w:val="20"/>
                <w:szCs w:val="20"/>
                <w:u w:val="none"/>
              </w:rPr>
              <w:t>Hur har inställningen förändrats hos de personer (särskilt ungdomar) som deltagit i satsningarna under året?</w:t>
            </w:r>
          </w:p>
          <w:p w:rsidR="00272AA5" w:rsidRPr="00103E70" w:rsidRDefault="00272AA5">
            <w:pPr>
              <w:rPr>
                <w:b w:val="0"/>
                <w:u w:val="none"/>
              </w:rPr>
            </w:pPr>
            <w:r w:rsidRPr="00103E70">
              <w:rPr>
                <w:b w:val="0"/>
                <w:color w:val="000000"/>
                <w:sz w:val="20"/>
                <w:szCs w:val="20"/>
                <w:u w:val="none"/>
              </w:rPr>
              <w:t>Hur, och hur mycket, har press och media rapporterat om evenemangen (kvalitativt och kvantitativt)?</w:t>
            </w:r>
          </w:p>
        </w:tc>
      </w:tr>
      <w:tr w:rsidR="00272AA5" w:rsidRPr="00103E70">
        <w:tc>
          <w:tcPr>
            <w:tcW w:w="3528" w:type="dxa"/>
          </w:tcPr>
          <w:p w:rsidR="00272AA5" w:rsidRPr="00103E70" w:rsidRDefault="00272AA5">
            <w:pPr>
              <w:rPr>
                <w:b w:val="0"/>
                <w:u w:val="none"/>
              </w:rPr>
            </w:pPr>
            <w:r w:rsidRPr="00103E70">
              <w:rPr>
                <w:b w:val="0"/>
                <w:color w:val="000000"/>
                <w:sz w:val="20"/>
                <w:szCs w:val="20"/>
                <w:u w:val="none"/>
              </w:rPr>
              <w:t>Att bidra till innovation och en övergripande strategi som syftar till att lyfta fram den interkulturella dialogen på alla områden, och särskilt bland ungdomar</w:t>
            </w:r>
          </w:p>
        </w:tc>
        <w:tc>
          <w:tcPr>
            <w:tcW w:w="6300" w:type="dxa"/>
          </w:tcPr>
          <w:p w:rsidR="00272AA5" w:rsidRPr="00103E70" w:rsidRDefault="00272AA5">
            <w:pPr>
              <w:rPr>
                <w:b w:val="0"/>
                <w:sz w:val="20"/>
                <w:szCs w:val="20"/>
                <w:u w:val="none"/>
              </w:rPr>
            </w:pPr>
            <w:r w:rsidRPr="00103E70">
              <w:rPr>
                <w:b w:val="0"/>
                <w:color w:val="000000"/>
                <w:sz w:val="20"/>
                <w:szCs w:val="20"/>
                <w:u w:val="none"/>
              </w:rPr>
              <w:t>Antal projekt som involverar projektägare eller nätverk från olika sektorer.</w:t>
            </w:r>
          </w:p>
          <w:p w:rsidR="00272AA5" w:rsidRPr="00103E70" w:rsidRDefault="00272AA5">
            <w:pPr>
              <w:rPr>
                <w:b w:val="0"/>
                <w:sz w:val="20"/>
                <w:szCs w:val="20"/>
                <w:u w:val="none"/>
              </w:rPr>
            </w:pPr>
          </w:p>
        </w:tc>
      </w:tr>
      <w:tr w:rsidR="00272AA5" w:rsidRPr="00103E70">
        <w:tc>
          <w:tcPr>
            <w:tcW w:w="3528" w:type="dxa"/>
          </w:tcPr>
          <w:p w:rsidR="00272AA5" w:rsidRPr="00103E70" w:rsidRDefault="00272AA5">
            <w:pPr>
              <w:rPr>
                <w:u w:val="none"/>
              </w:rPr>
            </w:pPr>
            <w:r w:rsidRPr="00103E70">
              <w:rPr>
                <w:bCs w:val="0"/>
                <w:color w:val="000000"/>
                <w:sz w:val="20"/>
                <w:szCs w:val="20"/>
                <w:u w:val="none"/>
              </w:rPr>
              <w:t>Driftsmål</w:t>
            </w:r>
          </w:p>
        </w:tc>
        <w:tc>
          <w:tcPr>
            <w:tcW w:w="6300" w:type="dxa"/>
          </w:tcPr>
          <w:p w:rsidR="00272AA5" w:rsidRPr="00103E70" w:rsidRDefault="00272AA5">
            <w:pPr>
              <w:rPr>
                <w:u w:val="none"/>
              </w:rPr>
            </w:pPr>
            <w:r w:rsidRPr="00103E70">
              <w:rPr>
                <w:bCs w:val="0"/>
                <w:color w:val="000000"/>
                <w:sz w:val="20"/>
                <w:szCs w:val="20"/>
                <w:u w:val="none"/>
              </w:rPr>
              <w:t>Indikatorer</w:t>
            </w:r>
          </w:p>
        </w:tc>
      </w:tr>
      <w:tr w:rsidR="00272AA5" w:rsidRPr="00103E70">
        <w:trPr>
          <w:trHeight w:val="224"/>
        </w:trPr>
        <w:tc>
          <w:tcPr>
            <w:tcW w:w="3528" w:type="dxa"/>
          </w:tcPr>
          <w:p w:rsidR="00272AA5" w:rsidRPr="00103E70" w:rsidRDefault="00272AA5">
            <w:pPr>
              <w:rPr>
                <w:b w:val="0"/>
                <w:u w:val="none"/>
              </w:rPr>
            </w:pPr>
            <w:r w:rsidRPr="00103E70">
              <w:rPr>
                <w:b w:val="0"/>
                <w:color w:val="000000"/>
                <w:sz w:val="20"/>
                <w:szCs w:val="20"/>
                <w:u w:val="none"/>
              </w:rPr>
              <w:t>Informationssatsningar på EU-nivå:</w:t>
            </w:r>
          </w:p>
        </w:tc>
        <w:tc>
          <w:tcPr>
            <w:tcW w:w="6300" w:type="dxa"/>
          </w:tcPr>
          <w:p w:rsidR="00272AA5" w:rsidRPr="00103E70" w:rsidRDefault="00272AA5">
            <w:pPr>
              <w:rPr>
                <w:b w:val="0"/>
                <w:sz w:val="20"/>
                <w:szCs w:val="20"/>
                <w:u w:val="none"/>
              </w:rPr>
            </w:pPr>
            <w:r w:rsidRPr="00103E70">
              <w:rPr>
                <w:b w:val="0"/>
                <w:color w:val="000000"/>
                <w:sz w:val="20"/>
                <w:szCs w:val="20"/>
                <w:u w:val="none"/>
              </w:rPr>
              <w:t>Antal och typ av upplysnings- och PR-verksamheter.</w:t>
            </w:r>
          </w:p>
          <w:p w:rsidR="00272AA5" w:rsidRPr="00103E70" w:rsidRDefault="00272AA5">
            <w:pPr>
              <w:rPr>
                <w:b w:val="0"/>
                <w:sz w:val="20"/>
                <w:szCs w:val="20"/>
                <w:u w:val="none"/>
              </w:rPr>
            </w:pPr>
            <w:r w:rsidRPr="00103E70">
              <w:rPr>
                <w:b w:val="0"/>
                <w:color w:val="000000"/>
                <w:sz w:val="20"/>
                <w:szCs w:val="20"/>
                <w:u w:val="none"/>
              </w:rPr>
              <w:t>Har allmänheten, och särskilt ungdomarna, fått bättre insikt i frågan?</w:t>
            </w:r>
          </w:p>
          <w:p w:rsidR="00272AA5" w:rsidRPr="00103E70" w:rsidRDefault="00272AA5">
            <w:pPr>
              <w:rPr>
                <w:b w:val="0"/>
                <w:u w:val="none"/>
              </w:rPr>
            </w:pPr>
            <w:r w:rsidRPr="00103E70">
              <w:rPr>
                <w:b w:val="0"/>
                <w:color w:val="000000"/>
                <w:sz w:val="20"/>
                <w:szCs w:val="20"/>
                <w:u w:val="none"/>
              </w:rPr>
              <w:t>Har det skett någon nyhetsbevakning av evenemang som genomförts med anledning av Europaåret?</w:t>
            </w:r>
            <w:r w:rsidRPr="00103E70">
              <w:rPr>
                <w:b w:val="0"/>
                <w:sz w:val="20"/>
                <w:szCs w:val="20"/>
                <w:u w:val="none"/>
              </w:rPr>
              <w:t xml:space="preserve"> </w:t>
            </w:r>
          </w:p>
          <w:p w:rsidR="00272AA5" w:rsidRPr="00103E70" w:rsidRDefault="00272AA5">
            <w:pPr>
              <w:rPr>
                <w:b w:val="0"/>
                <w:sz w:val="20"/>
                <w:szCs w:val="20"/>
                <w:u w:val="none"/>
              </w:rPr>
            </w:pPr>
            <w:r w:rsidRPr="00103E70">
              <w:rPr>
                <w:b w:val="0"/>
                <w:color w:val="000000"/>
                <w:sz w:val="20"/>
                <w:szCs w:val="20"/>
                <w:u w:val="none"/>
              </w:rPr>
              <w:t>Hur många procent av befolkningen har man nått ut till?</w:t>
            </w:r>
          </w:p>
          <w:p w:rsidR="00272AA5" w:rsidRPr="00103E70" w:rsidRDefault="00272AA5">
            <w:pPr>
              <w:rPr>
                <w:b w:val="0"/>
                <w:u w:val="none"/>
              </w:rPr>
            </w:pPr>
            <w:r w:rsidRPr="00103E70">
              <w:rPr>
                <w:b w:val="0"/>
                <w:color w:val="000000"/>
                <w:sz w:val="20"/>
                <w:szCs w:val="20"/>
                <w:u w:val="none"/>
              </w:rPr>
              <w:t>Vilka verktyg har tagits fram för att stimulera allmänhetens intresse?</w:t>
            </w:r>
            <w:r w:rsidRPr="00103E70">
              <w:rPr>
                <w:b w:val="0"/>
                <w:sz w:val="20"/>
                <w:szCs w:val="20"/>
                <w:u w:val="none"/>
              </w:rPr>
              <w:t xml:space="preserve"> </w:t>
            </w:r>
          </w:p>
        </w:tc>
      </w:tr>
      <w:tr w:rsidR="00272AA5" w:rsidRPr="00103E70">
        <w:trPr>
          <w:trHeight w:val="1122"/>
        </w:trPr>
        <w:tc>
          <w:tcPr>
            <w:tcW w:w="3528" w:type="dxa"/>
          </w:tcPr>
          <w:p w:rsidR="00272AA5" w:rsidRPr="00103E70" w:rsidRDefault="00272AA5">
            <w:pPr>
              <w:rPr>
                <w:b w:val="0"/>
                <w:u w:val="none"/>
              </w:rPr>
            </w:pPr>
            <w:r w:rsidRPr="00103E70">
              <w:rPr>
                <w:b w:val="0"/>
                <w:color w:val="000000"/>
                <w:sz w:val="20"/>
                <w:szCs w:val="20"/>
                <w:u w:val="none"/>
              </w:rPr>
              <w:t>Enkäter och undersökningar:</w:t>
            </w:r>
          </w:p>
        </w:tc>
        <w:tc>
          <w:tcPr>
            <w:tcW w:w="6300" w:type="dxa"/>
          </w:tcPr>
          <w:p w:rsidR="00272AA5" w:rsidRPr="00103E70" w:rsidRDefault="00272AA5">
            <w:pPr>
              <w:spacing w:before="0" w:after="0"/>
              <w:rPr>
                <w:b w:val="0"/>
                <w:u w:val="none"/>
              </w:rPr>
            </w:pPr>
            <w:r w:rsidRPr="00103E70">
              <w:rPr>
                <w:b w:val="0"/>
                <w:color w:val="000000"/>
                <w:sz w:val="20"/>
                <w:szCs w:val="20"/>
                <w:u w:val="none"/>
              </w:rPr>
              <w:t>Hur omfattande har de publicerade enkäter och undersökningar som behandlar interkulturell dialog varit?</w:t>
            </w:r>
          </w:p>
          <w:p w:rsidR="00272AA5" w:rsidRPr="00103E70" w:rsidRDefault="00272AA5">
            <w:pPr>
              <w:spacing w:before="0" w:after="0"/>
              <w:rPr>
                <w:b w:val="0"/>
                <w:sz w:val="20"/>
                <w:szCs w:val="20"/>
                <w:u w:val="none"/>
              </w:rPr>
            </w:pPr>
          </w:p>
        </w:tc>
      </w:tr>
      <w:tr w:rsidR="00272AA5" w:rsidRPr="00103E70">
        <w:tc>
          <w:tcPr>
            <w:tcW w:w="3528" w:type="dxa"/>
          </w:tcPr>
          <w:p w:rsidR="00272AA5" w:rsidRPr="00103E70" w:rsidRDefault="00272AA5">
            <w:pPr>
              <w:rPr>
                <w:b w:val="0"/>
                <w:u w:val="none"/>
              </w:rPr>
            </w:pPr>
            <w:r w:rsidRPr="00103E70">
              <w:rPr>
                <w:b w:val="0"/>
                <w:color w:val="000000"/>
                <w:sz w:val="20"/>
                <w:szCs w:val="20"/>
                <w:u w:val="none"/>
              </w:rPr>
              <w:t xml:space="preserve">Evenemang och initiativ på EU-nivå: </w:t>
            </w:r>
          </w:p>
        </w:tc>
        <w:tc>
          <w:tcPr>
            <w:tcW w:w="6300" w:type="dxa"/>
          </w:tcPr>
          <w:p w:rsidR="00272AA5" w:rsidRPr="00103E70" w:rsidRDefault="00272AA5">
            <w:pPr>
              <w:rPr>
                <w:b w:val="0"/>
                <w:sz w:val="20"/>
                <w:szCs w:val="20"/>
                <w:u w:val="none"/>
              </w:rPr>
            </w:pPr>
            <w:r w:rsidRPr="00103E70">
              <w:rPr>
                <w:b w:val="0"/>
                <w:color w:val="000000"/>
                <w:sz w:val="20"/>
                <w:szCs w:val="20"/>
                <w:u w:val="none"/>
              </w:rPr>
              <w:t>Antalet arrangerade evenemang och andel EU-stöd.</w:t>
            </w:r>
          </w:p>
          <w:p w:rsidR="00272AA5" w:rsidRPr="00103E70" w:rsidRDefault="00272AA5">
            <w:pPr>
              <w:rPr>
                <w:b w:val="0"/>
                <w:sz w:val="20"/>
                <w:szCs w:val="20"/>
                <w:u w:val="none"/>
              </w:rPr>
            </w:pPr>
            <w:r w:rsidRPr="00103E70">
              <w:rPr>
                <w:b w:val="0"/>
                <w:color w:val="000000"/>
                <w:sz w:val="20"/>
                <w:szCs w:val="20"/>
                <w:u w:val="none"/>
              </w:rPr>
              <w:t>Mediebevakning av evenemang.</w:t>
            </w:r>
          </w:p>
          <w:p w:rsidR="00272AA5" w:rsidRPr="00103E70" w:rsidRDefault="00272AA5">
            <w:pPr>
              <w:rPr>
                <w:b w:val="0"/>
                <w:sz w:val="20"/>
                <w:szCs w:val="20"/>
                <w:u w:val="none"/>
              </w:rPr>
            </w:pPr>
            <w:r w:rsidRPr="00103E70">
              <w:rPr>
                <w:b w:val="0"/>
                <w:color w:val="000000"/>
                <w:sz w:val="20"/>
                <w:szCs w:val="20"/>
                <w:u w:val="none"/>
              </w:rPr>
              <w:t>Antal deltagare (särskilt ungdomar) i evenemang som arrangerats med stöd genom Europaåret.</w:t>
            </w:r>
          </w:p>
          <w:p w:rsidR="00272AA5" w:rsidRPr="00103E70" w:rsidRDefault="00272AA5">
            <w:pPr>
              <w:rPr>
                <w:b w:val="0"/>
                <w:sz w:val="20"/>
                <w:szCs w:val="20"/>
                <w:u w:val="none"/>
              </w:rPr>
            </w:pPr>
            <w:r w:rsidRPr="00103E70">
              <w:rPr>
                <w:b w:val="0"/>
                <w:color w:val="000000"/>
                <w:sz w:val="20"/>
                <w:szCs w:val="20"/>
                <w:u w:val="none"/>
              </w:rPr>
              <w:t>Har allmänheten blivit mer insatt i frågan?</w:t>
            </w:r>
          </w:p>
          <w:p w:rsidR="00272AA5" w:rsidRPr="00103E70" w:rsidRDefault="00272AA5">
            <w:pPr>
              <w:rPr>
                <w:b w:val="0"/>
                <w:u w:val="none"/>
              </w:rPr>
            </w:pPr>
            <w:r w:rsidRPr="00103E70">
              <w:rPr>
                <w:b w:val="0"/>
                <w:color w:val="000000"/>
                <w:sz w:val="20"/>
                <w:szCs w:val="20"/>
                <w:u w:val="none"/>
              </w:rPr>
              <w:t>Andel av den totala budgeten som används för att stödja detta driftsmål (vägledande mål: 24 %).</w:t>
            </w:r>
          </w:p>
        </w:tc>
      </w:tr>
      <w:tr w:rsidR="00272AA5" w:rsidRPr="00103E70">
        <w:tc>
          <w:tcPr>
            <w:tcW w:w="3528" w:type="dxa"/>
          </w:tcPr>
          <w:p w:rsidR="00272AA5" w:rsidRPr="00103E70" w:rsidRDefault="00272AA5">
            <w:pPr>
              <w:rPr>
                <w:b w:val="0"/>
                <w:u w:val="none"/>
              </w:rPr>
            </w:pPr>
            <w:r w:rsidRPr="00103E70">
              <w:rPr>
                <w:b w:val="0"/>
                <w:color w:val="000000"/>
                <w:sz w:val="20"/>
                <w:szCs w:val="20"/>
                <w:u w:val="none"/>
              </w:rPr>
              <w:t xml:space="preserve">Evenemang och initiativ på nationell nivå: </w:t>
            </w:r>
          </w:p>
        </w:tc>
        <w:tc>
          <w:tcPr>
            <w:tcW w:w="6300" w:type="dxa"/>
          </w:tcPr>
          <w:p w:rsidR="00272AA5" w:rsidRPr="00103E70" w:rsidRDefault="00272AA5">
            <w:pPr>
              <w:rPr>
                <w:b w:val="0"/>
                <w:sz w:val="20"/>
                <w:szCs w:val="20"/>
                <w:u w:val="none"/>
              </w:rPr>
            </w:pPr>
            <w:r w:rsidRPr="00103E70">
              <w:rPr>
                <w:b w:val="0"/>
                <w:color w:val="000000"/>
                <w:sz w:val="20"/>
                <w:szCs w:val="20"/>
                <w:u w:val="none"/>
              </w:rPr>
              <w:t>Antalet arrangerade evenemang och andel EU-stöd.</w:t>
            </w:r>
          </w:p>
          <w:p w:rsidR="00272AA5" w:rsidRPr="00103E70" w:rsidRDefault="00272AA5">
            <w:pPr>
              <w:rPr>
                <w:b w:val="0"/>
                <w:sz w:val="20"/>
                <w:szCs w:val="20"/>
                <w:u w:val="none"/>
              </w:rPr>
            </w:pPr>
            <w:r w:rsidRPr="00103E70">
              <w:rPr>
                <w:b w:val="0"/>
                <w:color w:val="000000"/>
                <w:sz w:val="20"/>
                <w:szCs w:val="20"/>
                <w:u w:val="none"/>
              </w:rPr>
              <w:t>Mediebevakning av nationella initiativ.</w:t>
            </w:r>
          </w:p>
          <w:p w:rsidR="00272AA5" w:rsidRPr="00103E70" w:rsidRDefault="00272AA5">
            <w:pPr>
              <w:rPr>
                <w:b w:val="0"/>
                <w:sz w:val="20"/>
                <w:szCs w:val="20"/>
                <w:u w:val="none"/>
              </w:rPr>
            </w:pPr>
            <w:r w:rsidRPr="00103E70">
              <w:rPr>
                <w:b w:val="0"/>
                <w:color w:val="000000"/>
                <w:sz w:val="20"/>
                <w:szCs w:val="20"/>
                <w:u w:val="none"/>
              </w:rPr>
              <w:t>Multiplikatoreffekt (antal åtgärder och initiativ på nationell, regional och lokal nivå som sponsrats men ej finansierats av Europaåret).</w:t>
            </w:r>
          </w:p>
          <w:p w:rsidR="00272AA5" w:rsidRPr="00103E70" w:rsidRDefault="00272AA5">
            <w:pPr>
              <w:rPr>
                <w:b w:val="0"/>
                <w:u w:val="none"/>
              </w:rPr>
            </w:pPr>
            <w:r w:rsidRPr="00103E70">
              <w:rPr>
                <w:b w:val="0"/>
                <w:color w:val="000000"/>
                <w:sz w:val="20"/>
                <w:szCs w:val="20"/>
                <w:u w:val="none"/>
              </w:rPr>
              <w:t>Andel av den totala budgeten som används för att stödja detta driftsmål (vägledande mål: 25 %).</w:t>
            </w:r>
          </w:p>
        </w:tc>
      </w:tr>
    </w:tbl>
    <w:p w:rsidR="00272AA5" w:rsidRPr="00103E70" w:rsidRDefault="00272AA5">
      <w:r w:rsidRPr="00103E70">
        <w:rPr>
          <w:color w:val="000000"/>
        </w:rPr>
        <w:t>Indikatorerna bedöms utifrån uppgifter som inhämtats från olika håll: data från enkäter och fokusgrupper, löpande utvärdering av Europaåret samt uppgifter som inhämtats från nationella organ och relevanta projektanordnare för EU-program på området.</w:t>
      </w:r>
    </w:p>
    <w:p w:rsidR="00272AA5" w:rsidRPr="00103E70" w:rsidRDefault="00272AA5" w:rsidP="00CB3D7F">
      <w:pPr>
        <w:outlineLvl w:val="0"/>
      </w:pPr>
      <w:r w:rsidRPr="00103E70">
        <w:t>6.2.</w:t>
      </w:r>
      <w:r w:rsidRPr="00103E70">
        <w:tab/>
      </w:r>
      <w:r w:rsidRPr="00103E70">
        <w:rPr>
          <w:color w:val="000000"/>
        </w:rPr>
        <w:t>Utvärdering</w:t>
      </w:r>
    </w:p>
    <w:p w:rsidR="00272AA5" w:rsidRPr="00103E70" w:rsidRDefault="00272AA5" w:rsidP="00CB3D7F">
      <w:pPr>
        <w:outlineLvl w:val="0"/>
      </w:pPr>
      <w:r w:rsidRPr="00103E70">
        <w:t>6.2.1.</w:t>
      </w:r>
      <w:r w:rsidRPr="00103E70">
        <w:tab/>
      </w:r>
      <w:r w:rsidRPr="00103E70">
        <w:rPr>
          <w:color w:val="000000"/>
        </w:rPr>
        <w:t>Förhandsutvärdering</w:t>
      </w:r>
    </w:p>
    <w:p w:rsidR="00272AA5" w:rsidRPr="00103E70" w:rsidRDefault="00272AA5">
      <w:pPr>
        <w:pStyle w:val="Punktlista"/>
      </w:pPr>
      <w:r w:rsidRPr="00103E70">
        <w:rPr>
          <w:color w:val="000000"/>
        </w:rPr>
        <w:t>Förhandsutvärderingen av Europaåret bifogas detta förslag till Europaparlamentets och rådets beslut.</w:t>
      </w:r>
    </w:p>
    <w:p w:rsidR="00272AA5" w:rsidRPr="00103E70" w:rsidRDefault="00272AA5" w:rsidP="00CB3D7F">
      <w:pPr>
        <w:outlineLvl w:val="0"/>
      </w:pPr>
      <w:r w:rsidRPr="00103E70">
        <w:t>6.2.2.</w:t>
      </w:r>
      <w:r w:rsidRPr="00103E70">
        <w:tab/>
      </w:r>
      <w:r w:rsidRPr="00103E70">
        <w:rPr>
          <w:color w:val="000000"/>
        </w:rPr>
        <w:t>Åtgärder som vidtagits efter en halvtids-/efterhandsutvärdering (erfarenheter från liknande åtgärder)</w:t>
      </w:r>
    </w:p>
    <w:p w:rsidR="00272AA5" w:rsidRPr="00103E70" w:rsidRDefault="00272AA5">
      <w:r w:rsidRPr="00103E70">
        <w:rPr>
          <w:color w:val="000000"/>
        </w:rPr>
        <w:t>En extern utvärdering kommer att påbörjas året före Europeiska året för interkulturell dialog, dvs. 2007. Syftet är att följa den kontroll som görs under året och att tillhandahålla delresultat om så behövs.</w:t>
      </w:r>
      <w:r w:rsidRPr="00103E70">
        <w:t xml:space="preserve"> </w:t>
      </w:r>
      <w:r w:rsidRPr="00103E70">
        <w:rPr>
          <w:color w:val="000000"/>
        </w:rPr>
        <w:t>Resultaten från denna utvärdering förväntas vara klara efter första halvåret 2009.</w:t>
      </w:r>
    </w:p>
    <w:p w:rsidR="00272AA5" w:rsidRPr="00103E70" w:rsidRDefault="00272AA5" w:rsidP="00CB3D7F">
      <w:pPr>
        <w:keepNext/>
        <w:outlineLvl w:val="0"/>
        <w:rPr>
          <w:b/>
          <w:bCs/>
          <w:caps/>
        </w:rPr>
      </w:pPr>
      <w:r w:rsidRPr="00103E70">
        <w:rPr>
          <w:b/>
          <w:bCs/>
          <w:caps/>
        </w:rPr>
        <w:t>7.</w:t>
      </w:r>
      <w:r w:rsidRPr="00103E70">
        <w:rPr>
          <w:b/>
          <w:bCs/>
          <w:caps/>
        </w:rPr>
        <w:tab/>
      </w:r>
      <w:r w:rsidRPr="00103E70">
        <w:rPr>
          <w:b/>
          <w:bCs/>
          <w:caps/>
          <w:color w:val="000000"/>
        </w:rPr>
        <w:t>BESTÄMMELSER OM bedrägeriBEKÄMPNING</w:t>
      </w:r>
    </w:p>
    <w:p w:rsidR="00272AA5" w:rsidRPr="00103E70" w:rsidRDefault="00272AA5">
      <w:pPr>
        <w:spacing w:after="240"/>
      </w:pPr>
      <w:r w:rsidRPr="00103E70">
        <w:rPr>
          <w:color w:val="000000"/>
        </w:rPr>
        <w:t>Se artiklarna 12 och 13 i förslaget till beslut.</w:t>
      </w:r>
    </w:p>
    <w:p w:rsidR="00272AA5" w:rsidRPr="00103E70" w:rsidRDefault="00272AA5" w:rsidP="00CB3D7F">
      <w:pPr>
        <w:outlineLvl w:val="0"/>
      </w:pPr>
      <w:r w:rsidRPr="00103E70">
        <w:rPr>
          <w:b/>
          <w:bCs/>
        </w:rPr>
        <w:t>8.</w:t>
      </w:r>
      <w:r w:rsidRPr="00103E70">
        <w:rPr>
          <w:b/>
          <w:bCs/>
        </w:rPr>
        <w:tab/>
      </w:r>
      <w:r w:rsidRPr="00103E70">
        <w:rPr>
          <w:b/>
          <w:bCs/>
          <w:color w:val="000000"/>
        </w:rPr>
        <w:t>UPPGIFTER OM MEDEL</w:t>
      </w:r>
    </w:p>
    <w:p w:rsidR="00272AA5" w:rsidRPr="00103E70" w:rsidRDefault="00272AA5" w:rsidP="00CB3D7F">
      <w:pPr>
        <w:outlineLvl w:val="0"/>
      </w:pPr>
      <w:r w:rsidRPr="00103E70">
        <w:t>8.1.</w:t>
      </w:r>
      <w:r w:rsidRPr="00103E70">
        <w:tab/>
      </w:r>
      <w:r w:rsidRPr="00103E70">
        <w:rPr>
          <w:color w:val="000000"/>
        </w:rPr>
        <w:t>Förslagets mål i form av finansiella kostnader</w:t>
      </w:r>
    </w:p>
    <w:p w:rsidR="00272AA5" w:rsidRPr="00103E70" w:rsidRDefault="00272AA5">
      <w:pPr>
        <w:jc w:val="right"/>
        <w:rPr>
          <w:i/>
          <w:iCs/>
          <w:sz w:val="20"/>
          <w:szCs w:val="20"/>
        </w:rPr>
      </w:pPr>
      <w:r w:rsidRPr="00103E70">
        <w:rPr>
          <w:i/>
          <w:iCs/>
          <w:color w:val="000000"/>
          <w:sz w:val="20"/>
          <w:szCs w:val="20"/>
        </w:rPr>
        <w:t>Åtagandebemyndiganden i miljoner euro (avrundat till tre decimaler)</w:t>
      </w: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970"/>
        <w:gridCol w:w="586"/>
        <w:gridCol w:w="430"/>
        <w:gridCol w:w="80"/>
        <w:gridCol w:w="350"/>
        <w:gridCol w:w="430"/>
        <w:gridCol w:w="48"/>
        <w:gridCol w:w="382"/>
        <w:gridCol w:w="430"/>
        <w:gridCol w:w="18"/>
        <w:gridCol w:w="412"/>
        <w:gridCol w:w="430"/>
        <w:gridCol w:w="36"/>
        <w:gridCol w:w="395"/>
        <w:gridCol w:w="430"/>
        <w:gridCol w:w="114"/>
        <w:gridCol w:w="316"/>
        <w:gridCol w:w="430"/>
        <w:gridCol w:w="430"/>
        <w:gridCol w:w="585"/>
        <w:gridCol w:w="693"/>
      </w:tblGrid>
      <w:tr w:rsidR="00272AA5" w:rsidRPr="00103E70">
        <w:trPr>
          <w:cantSplit/>
          <w:trHeight w:val="378"/>
        </w:trPr>
        <w:tc>
          <w:tcPr>
            <w:tcW w:w="501" w:type="pct"/>
            <w:vMerge w:val="restart"/>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b/>
                <w:bCs/>
                <w:color w:val="000000"/>
                <w:sz w:val="16"/>
                <w:szCs w:val="16"/>
              </w:rPr>
              <w:t>(Målens, åtgärdernas och resultatens rubriker skall anges)</w:t>
            </w:r>
          </w:p>
        </w:tc>
        <w:tc>
          <w:tcPr>
            <w:tcW w:w="546" w:type="pct"/>
            <w:vMerge w:val="restart"/>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spacing w:before="100" w:beforeAutospacing="1" w:after="100" w:afterAutospacing="1"/>
              <w:ind w:left="113" w:right="113"/>
              <w:jc w:val="center"/>
            </w:pPr>
            <w:r w:rsidRPr="00103E70">
              <w:rPr>
                <w:b/>
                <w:bCs/>
                <w:color w:val="000000"/>
                <w:sz w:val="16"/>
                <w:szCs w:val="16"/>
              </w:rPr>
              <w:t>Typ av resultat</w:t>
            </w:r>
          </w:p>
        </w:tc>
        <w:tc>
          <w:tcPr>
            <w:tcW w:w="330" w:type="pct"/>
            <w:vMerge w:val="restart"/>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jc w:val="center"/>
            </w:pPr>
            <w:r w:rsidRPr="00103E70">
              <w:rPr>
                <w:b/>
                <w:bCs/>
                <w:color w:val="000000"/>
                <w:sz w:val="16"/>
                <w:szCs w:val="16"/>
              </w:rPr>
              <w:t>Genomsnittliga kostnader</w:t>
            </w:r>
          </w:p>
        </w:tc>
        <w:tc>
          <w:tcPr>
            <w:tcW w:w="287"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jc w:val="center"/>
              <w:rPr>
                <w:b/>
                <w:bCs/>
                <w:sz w:val="16"/>
                <w:szCs w:val="16"/>
              </w:rPr>
            </w:pPr>
            <w:r w:rsidRPr="00103E70">
              <w:rPr>
                <w:b/>
                <w:bCs/>
                <w:sz w:val="16"/>
                <w:szCs w:val="16"/>
              </w:rPr>
              <w:t>2007</w:t>
            </w:r>
          </w:p>
        </w:tc>
        <w:tc>
          <w:tcPr>
            <w:tcW w:w="466" w:type="pct"/>
            <w:gridSpan w:val="3"/>
            <w:tcBorders>
              <w:top w:val="single" w:sz="4" w:space="0" w:color="auto"/>
              <w:left w:val="single" w:sz="4" w:space="0" w:color="auto"/>
              <w:bottom w:val="single" w:sz="4" w:space="0" w:color="auto"/>
              <w:right w:val="single" w:sz="4" w:space="0" w:color="auto"/>
            </w:tcBorders>
          </w:tcPr>
          <w:p w:rsidR="00272AA5" w:rsidRPr="00103E70" w:rsidRDefault="00272AA5">
            <w:pPr>
              <w:jc w:val="center"/>
              <w:rPr>
                <w:b/>
                <w:bCs/>
                <w:sz w:val="16"/>
                <w:szCs w:val="16"/>
              </w:rPr>
            </w:pPr>
            <w:r w:rsidRPr="00103E70">
              <w:rPr>
                <w:b/>
                <w:bCs/>
                <w:sz w:val="16"/>
                <w:szCs w:val="16"/>
              </w:rPr>
              <w:t>2008</w:t>
            </w:r>
          </w:p>
        </w:tc>
        <w:tc>
          <w:tcPr>
            <w:tcW w:w="467" w:type="pct"/>
            <w:gridSpan w:val="3"/>
            <w:tcBorders>
              <w:top w:val="single" w:sz="4" w:space="0" w:color="auto"/>
              <w:left w:val="single" w:sz="4" w:space="0" w:color="auto"/>
              <w:bottom w:val="single" w:sz="4" w:space="0" w:color="auto"/>
              <w:right w:val="single" w:sz="4" w:space="0" w:color="auto"/>
            </w:tcBorders>
          </w:tcPr>
          <w:p w:rsidR="00272AA5" w:rsidRPr="00103E70" w:rsidRDefault="00272AA5">
            <w:pPr>
              <w:jc w:val="center"/>
              <w:rPr>
                <w:b/>
                <w:bCs/>
                <w:sz w:val="16"/>
                <w:szCs w:val="16"/>
              </w:rPr>
            </w:pPr>
            <w:r w:rsidRPr="00103E70">
              <w:rPr>
                <w:b/>
                <w:bCs/>
                <w:sz w:val="16"/>
                <w:szCs w:val="16"/>
              </w:rPr>
              <w:t>2009</w:t>
            </w:r>
          </w:p>
        </w:tc>
        <w:tc>
          <w:tcPr>
            <w:tcW w:w="494" w:type="pct"/>
            <w:gridSpan w:val="3"/>
            <w:tcBorders>
              <w:top w:val="single" w:sz="4" w:space="0" w:color="auto"/>
              <w:left w:val="single" w:sz="4" w:space="0" w:color="auto"/>
              <w:bottom w:val="single" w:sz="4" w:space="0" w:color="auto"/>
              <w:right w:val="single" w:sz="4" w:space="0" w:color="auto"/>
            </w:tcBorders>
          </w:tcPr>
          <w:p w:rsidR="00272AA5" w:rsidRPr="00103E70" w:rsidRDefault="00272AA5">
            <w:pPr>
              <w:jc w:val="center"/>
              <w:rPr>
                <w:b/>
                <w:bCs/>
                <w:sz w:val="16"/>
                <w:szCs w:val="16"/>
              </w:rPr>
            </w:pPr>
            <w:r w:rsidRPr="00103E70">
              <w:rPr>
                <w:b/>
                <w:bCs/>
                <w:sz w:val="16"/>
                <w:szCs w:val="16"/>
              </w:rPr>
              <w:t>2010</w:t>
            </w:r>
          </w:p>
        </w:tc>
        <w:tc>
          <w:tcPr>
            <w:tcW w:w="528" w:type="pct"/>
            <w:gridSpan w:val="3"/>
            <w:tcBorders>
              <w:top w:val="single" w:sz="4" w:space="0" w:color="auto"/>
              <w:left w:val="single" w:sz="4" w:space="0" w:color="auto"/>
              <w:bottom w:val="single" w:sz="4" w:space="0" w:color="auto"/>
              <w:right w:val="single" w:sz="4" w:space="0" w:color="auto"/>
            </w:tcBorders>
          </w:tcPr>
          <w:p w:rsidR="00272AA5" w:rsidRPr="00103E70" w:rsidRDefault="00272AA5">
            <w:pPr>
              <w:jc w:val="center"/>
              <w:rPr>
                <w:b/>
                <w:bCs/>
                <w:sz w:val="16"/>
                <w:szCs w:val="16"/>
              </w:rPr>
            </w:pPr>
            <w:r w:rsidRPr="00103E70">
              <w:rPr>
                <w:b/>
                <w:bCs/>
                <w:sz w:val="16"/>
                <w:szCs w:val="16"/>
              </w:rPr>
              <w:t>2011</w:t>
            </w:r>
          </w:p>
        </w:tc>
        <w:tc>
          <w:tcPr>
            <w:tcW w:w="662" w:type="pct"/>
            <w:gridSpan w:val="3"/>
            <w:tcBorders>
              <w:top w:val="single" w:sz="4" w:space="0" w:color="auto"/>
              <w:left w:val="single" w:sz="4" w:space="0" w:color="auto"/>
              <w:bottom w:val="single" w:sz="4" w:space="0" w:color="auto"/>
              <w:right w:val="single" w:sz="4" w:space="0" w:color="auto"/>
            </w:tcBorders>
          </w:tcPr>
          <w:p w:rsidR="00272AA5" w:rsidRPr="00103E70" w:rsidRDefault="00272AA5">
            <w:pPr>
              <w:jc w:val="center"/>
            </w:pPr>
            <w:r w:rsidRPr="00103E70">
              <w:rPr>
                <w:b/>
                <w:bCs/>
                <w:color w:val="000000"/>
                <w:sz w:val="16"/>
                <w:szCs w:val="16"/>
              </w:rPr>
              <w:t>År n+4 och följande bud-getår</w:t>
            </w:r>
          </w:p>
        </w:tc>
        <w:tc>
          <w:tcPr>
            <w:tcW w:w="719"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jc w:val="center"/>
            </w:pPr>
            <w:r w:rsidRPr="00103E70">
              <w:rPr>
                <w:b/>
                <w:bCs/>
                <w:color w:val="000000"/>
                <w:sz w:val="16"/>
                <w:szCs w:val="16"/>
              </w:rPr>
              <w:t>TOTALT</w:t>
            </w:r>
          </w:p>
        </w:tc>
      </w:tr>
      <w:tr w:rsidR="00272AA5" w:rsidRPr="00103E70">
        <w:trPr>
          <w:cantSplit/>
          <w:trHeight w:val="1134"/>
        </w:trPr>
        <w:tc>
          <w:tcPr>
            <w:tcW w:w="501" w:type="pct"/>
            <w:vMerge/>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546" w:type="pct"/>
            <w:vMerge/>
            <w:tcBorders>
              <w:top w:val="single" w:sz="4" w:space="0" w:color="auto"/>
              <w:left w:val="single" w:sz="4" w:space="0" w:color="auto"/>
              <w:bottom w:val="single" w:sz="4" w:space="0" w:color="auto"/>
              <w:right w:val="single" w:sz="4" w:space="0" w:color="auto"/>
            </w:tcBorders>
          </w:tcPr>
          <w:p w:rsidR="00272AA5" w:rsidRPr="00103E70" w:rsidRDefault="00272AA5">
            <w:pPr>
              <w:spacing w:before="100" w:beforeAutospacing="1" w:after="100" w:afterAutospacing="1"/>
              <w:rPr>
                <w:sz w:val="16"/>
                <w:szCs w:val="16"/>
              </w:rPr>
            </w:pPr>
          </w:p>
        </w:tc>
        <w:tc>
          <w:tcPr>
            <w:tcW w:w="330" w:type="pct"/>
            <w:vMerge/>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color w:val="000000"/>
                <w:sz w:val="16"/>
                <w:szCs w:val="16"/>
              </w:rPr>
              <w:t>Antal</w:t>
            </w:r>
          </w:p>
        </w:tc>
        <w:tc>
          <w:tcPr>
            <w:tcW w:w="242" w:type="pct"/>
            <w:gridSpan w:val="2"/>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color w:val="000000"/>
                <w:sz w:val="16"/>
                <w:szCs w:val="16"/>
              </w:rPr>
              <w:t>Totala kostnader</w:t>
            </w:r>
          </w:p>
        </w:tc>
        <w:tc>
          <w:tcPr>
            <w:tcW w:w="242" w:type="pct"/>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color w:val="000000"/>
                <w:sz w:val="16"/>
                <w:szCs w:val="16"/>
              </w:rPr>
              <w:t>Antal</w:t>
            </w:r>
          </w:p>
        </w:tc>
        <w:tc>
          <w:tcPr>
            <w:tcW w:w="242" w:type="pct"/>
            <w:gridSpan w:val="2"/>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color w:val="000000"/>
                <w:sz w:val="16"/>
                <w:szCs w:val="16"/>
              </w:rPr>
              <w:t>Totala kostnader</w:t>
            </w:r>
          </w:p>
        </w:tc>
        <w:tc>
          <w:tcPr>
            <w:tcW w:w="242" w:type="pct"/>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color w:val="000000"/>
                <w:sz w:val="16"/>
                <w:szCs w:val="16"/>
              </w:rPr>
              <w:t>Antal</w:t>
            </w:r>
          </w:p>
        </w:tc>
        <w:tc>
          <w:tcPr>
            <w:tcW w:w="242" w:type="pct"/>
            <w:gridSpan w:val="2"/>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color w:val="000000"/>
                <w:sz w:val="16"/>
                <w:szCs w:val="16"/>
              </w:rPr>
              <w:t>Totala kostnader</w:t>
            </w:r>
          </w:p>
        </w:tc>
        <w:tc>
          <w:tcPr>
            <w:tcW w:w="242" w:type="pct"/>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color w:val="000000"/>
                <w:sz w:val="16"/>
                <w:szCs w:val="16"/>
              </w:rPr>
              <w:t>Antal</w:t>
            </w:r>
          </w:p>
        </w:tc>
        <w:tc>
          <w:tcPr>
            <w:tcW w:w="242" w:type="pct"/>
            <w:gridSpan w:val="2"/>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color w:val="000000"/>
                <w:sz w:val="16"/>
                <w:szCs w:val="16"/>
              </w:rPr>
              <w:t>Totala kostnader</w:t>
            </w:r>
          </w:p>
        </w:tc>
        <w:tc>
          <w:tcPr>
            <w:tcW w:w="242" w:type="pct"/>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color w:val="000000"/>
                <w:sz w:val="16"/>
                <w:szCs w:val="16"/>
              </w:rPr>
              <w:t>Antal</w:t>
            </w:r>
          </w:p>
        </w:tc>
        <w:tc>
          <w:tcPr>
            <w:tcW w:w="242" w:type="pct"/>
            <w:gridSpan w:val="2"/>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color w:val="000000"/>
                <w:sz w:val="16"/>
                <w:szCs w:val="16"/>
              </w:rPr>
              <w:t>Totala kostnader</w:t>
            </w:r>
          </w:p>
        </w:tc>
        <w:tc>
          <w:tcPr>
            <w:tcW w:w="242" w:type="pct"/>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color w:val="000000"/>
                <w:sz w:val="16"/>
                <w:szCs w:val="16"/>
              </w:rPr>
              <w:t>Antal</w:t>
            </w:r>
          </w:p>
        </w:tc>
        <w:tc>
          <w:tcPr>
            <w:tcW w:w="242" w:type="pct"/>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color w:val="000000"/>
                <w:sz w:val="16"/>
                <w:szCs w:val="16"/>
              </w:rPr>
              <w:t>Totala kostnader</w:t>
            </w:r>
          </w:p>
        </w:tc>
        <w:tc>
          <w:tcPr>
            <w:tcW w:w="329" w:type="pct"/>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color w:val="000000"/>
                <w:sz w:val="16"/>
                <w:szCs w:val="16"/>
              </w:rPr>
              <w:t>Antal resultat</w:t>
            </w:r>
          </w:p>
        </w:tc>
        <w:tc>
          <w:tcPr>
            <w:tcW w:w="390" w:type="pct"/>
            <w:tcBorders>
              <w:top w:val="single" w:sz="4" w:space="0" w:color="auto"/>
              <w:left w:val="single" w:sz="4" w:space="0" w:color="auto"/>
              <w:bottom w:val="single" w:sz="4" w:space="0" w:color="auto"/>
              <w:right w:val="single" w:sz="4" w:space="0" w:color="auto"/>
            </w:tcBorders>
            <w:textDirection w:val="btLr"/>
          </w:tcPr>
          <w:p w:rsidR="00272AA5" w:rsidRPr="00103E70" w:rsidRDefault="00272AA5">
            <w:pPr>
              <w:ind w:left="113" w:right="113"/>
            </w:pPr>
            <w:r w:rsidRPr="00103E70">
              <w:rPr>
                <w:color w:val="000000"/>
                <w:sz w:val="16"/>
                <w:szCs w:val="16"/>
              </w:rPr>
              <w:t>Totala kostnader</w:t>
            </w:r>
          </w:p>
        </w:tc>
      </w:tr>
      <w:tr w:rsidR="00272AA5" w:rsidRPr="00103E70">
        <w:trPr>
          <w:trHeight w:hRule="exact" w:val="851"/>
        </w:trPr>
        <w:tc>
          <w:tcPr>
            <w:tcW w:w="501" w:type="pct"/>
            <w:vMerge w:val="restart"/>
            <w:tcBorders>
              <w:top w:val="single" w:sz="4" w:space="0" w:color="auto"/>
              <w:left w:val="single" w:sz="4" w:space="0" w:color="auto"/>
              <w:bottom w:val="single" w:sz="4" w:space="0" w:color="auto"/>
              <w:right w:val="single" w:sz="4" w:space="0" w:color="auto"/>
            </w:tcBorders>
          </w:tcPr>
          <w:p w:rsidR="00272AA5" w:rsidRPr="00103E70" w:rsidRDefault="00272AA5">
            <w:pPr>
              <w:jc w:val="center"/>
              <w:rPr>
                <w:b/>
                <w:bCs/>
                <w:sz w:val="16"/>
                <w:szCs w:val="16"/>
              </w:rPr>
            </w:pPr>
            <w:r w:rsidRPr="00103E70">
              <w:rPr>
                <w:b/>
                <w:bCs/>
                <w:sz w:val="16"/>
                <w:szCs w:val="16"/>
              </w:rPr>
              <w:t>Åtgärd A: åtgärder på EU-nivå</w:t>
            </w:r>
          </w:p>
        </w:tc>
        <w:tc>
          <w:tcPr>
            <w:tcW w:w="546"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Informations- och PR-kampanjer</w:t>
            </w:r>
          </w:p>
        </w:tc>
        <w:tc>
          <w:tcPr>
            <w:tcW w:w="330"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2,250</w:t>
            </w: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1</w:t>
            </w: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1,900</w:t>
            </w: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1</w:t>
            </w: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2,600</w:t>
            </w: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329"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2</w:t>
            </w:r>
          </w:p>
        </w:tc>
        <w:tc>
          <w:tcPr>
            <w:tcW w:w="390"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4,500</w:t>
            </w:r>
          </w:p>
        </w:tc>
      </w:tr>
      <w:tr w:rsidR="00272AA5" w:rsidRPr="00103E70">
        <w:trPr>
          <w:trHeight w:hRule="exact" w:val="737"/>
        </w:trPr>
        <w:tc>
          <w:tcPr>
            <w:tcW w:w="501" w:type="pct"/>
            <w:vMerge/>
            <w:tcBorders>
              <w:top w:val="single" w:sz="4" w:space="0" w:color="auto"/>
              <w:left w:val="single" w:sz="4" w:space="0" w:color="auto"/>
              <w:bottom w:val="single" w:sz="4" w:space="0" w:color="auto"/>
              <w:right w:val="single" w:sz="4" w:space="0" w:color="auto"/>
            </w:tcBorders>
          </w:tcPr>
          <w:p w:rsidR="00272AA5" w:rsidRPr="00103E70" w:rsidRDefault="00272AA5">
            <w:pPr>
              <w:jc w:val="center"/>
              <w:rPr>
                <w:sz w:val="16"/>
                <w:szCs w:val="16"/>
              </w:rPr>
            </w:pPr>
          </w:p>
        </w:tc>
        <w:tc>
          <w:tcPr>
            <w:tcW w:w="546"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Enkäter och undersökningar</w:t>
            </w:r>
          </w:p>
        </w:tc>
        <w:tc>
          <w:tcPr>
            <w:tcW w:w="330"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0,200</w:t>
            </w: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1</w:t>
            </w: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0,100</w:t>
            </w: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2</w:t>
            </w: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0,500</w:t>
            </w: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329"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3</w:t>
            </w:r>
          </w:p>
        </w:tc>
        <w:tc>
          <w:tcPr>
            <w:tcW w:w="390"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0,600</w:t>
            </w:r>
          </w:p>
        </w:tc>
      </w:tr>
      <w:tr w:rsidR="00272AA5" w:rsidRPr="00103E70">
        <w:trPr>
          <w:trHeight w:val="369"/>
        </w:trPr>
        <w:tc>
          <w:tcPr>
            <w:tcW w:w="501"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b/>
                <w:bCs/>
                <w:sz w:val="16"/>
                <w:szCs w:val="16"/>
              </w:rPr>
              <w:t>Åtgärd B: samfinansiering av åtgärder på EU-nivå</w:t>
            </w:r>
          </w:p>
        </w:tc>
        <w:tc>
          <w:tcPr>
            <w:tcW w:w="546"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Åtgärder med stort symbol</w:t>
            </w:r>
            <w:r w:rsidRPr="00103E70">
              <w:rPr>
                <w:sz w:val="16"/>
                <w:szCs w:val="16"/>
              </w:rPr>
              <w:softHyphen/>
              <w:t>värde, t.ex. öppnings- och avslutnings</w:t>
            </w:r>
            <w:r w:rsidRPr="00103E70">
              <w:rPr>
                <w:sz w:val="16"/>
                <w:szCs w:val="16"/>
              </w:rPr>
              <w:softHyphen/>
              <w:t>ceremonier</w:t>
            </w:r>
          </w:p>
        </w:tc>
        <w:tc>
          <w:tcPr>
            <w:tcW w:w="330"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0,300</w:t>
            </w: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2</w:t>
            </w: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0,6</w:t>
            </w: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6</w:t>
            </w: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1,8</w:t>
            </w: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329"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8</w:t>
            </w:r>
          </w:p>
        </w:tc>
        <w:tc>
          <w:tcPr>
            <w:tcW w:w="390"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2,400</w:t>
            </w:r>
          </w:p>
        </w:tc>
      </w:tr>
      <w:tr w:rsidR="00272AA5" w:rsidRPr="00103E70">
        <w:trPr>
          <w:trHeight w:val="369"/>
        </w:trPr>
        <w:tc>
          <w:tcPr>
            <w:tcW w:w="501"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b/>
                <w:bCs/>
                <w:sz w:val="16"/>
                <w:szCs w:val="16"/>
              </w:rPr>
              <w:t>Åtgärd C: samfinansiering av nationella åtgärder</w:t>
            </w:r>
            <w:r w:rsidRPr="00103E70">
              <w:rPr>
                <w:sz w:val="16"/>
                <w:szCs w:val="16"/>
              </w:rPr>
              <w:t xml:space="preserve"> </w:t>
            </w:r>
          </w:p>
        </w:tc>
        <w:tc>
          <w:tcPr>
            <w:tcW w:w="546"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Nationella initiativ</w:t>
            </w:r>
          </w:p>
        </w:tc>
        <w:tc>
          <w:tcPr>
            <w:tcW w:w="330"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0,100</w:t>
            </w: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4</w:t>
            </w: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0,400</w:t>
            </w: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21</w:t>
            </w: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2,100</w:t>
            </w: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p>
        </w:tc>
        <w:tc>
          <w:tcPr>
            <w:tcW w:w="329"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25</w:t>
            </w:r>
          </w:p>
        </w:tc>
        <w:tc>
          <w:tcPr>
            <w:tcW w:w="390" w:type="pct"/>
            <w:tcBorders>
              <w:top w:val="single" w:sz="4" w:space="0" w:color="auto"/>
              <w:left w:val="single" w:sz="4" w:space="0" w:color="auto"/>
              <w:bottom w:val="single" w:sz="4" w:space="0" w:color="auto"/>
              <w:right w:val="single" w:sz="4" w:space="0" w:color="auto"/>
            </w:tcBorders>
          </w:tcPr>
          <w:p w:rsidR="00272AA5" w:rsidRPr="00103E70" w:rsidRDefault="00272AA5">
            <w:pPr>
              <w:rPr>
                <w:sz w:val="16"/>
                <w:szCs w:val="16"/>
              </w:rPr>
            </w:pPr>
            <w:r w:rsidRPr="00103E70">
              <w:rPr>
                <w:sz w:val="16"/>
                <w:szCs w:val="16"/>
              </w:rPr>
              <w:t>2,500</w:t>
            </w:r>
          </w:p>
        </w:tc>
      </w:tr>
      <w:tr w:rsidR="00272AA5" w:rsidRPr="00103E70">
        <w:tc>
          <w:tcPr>
            <w:tcW w:w="501" w:type="pct"/>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r w:rsidRPr="00103E70">
              <w:rPr>
                <w:b/>
                <w:bCs/>
                <w:sz w:val="16"/>
                <w:szCs w:val="16"/>
              </w:rPr>
              <w:t>TOTALA KOSTNADER</w:t>
            </w:r>
          </w:p>
        </w:tc>
        <w:tc>
          <w:tcPr>
            <w:tcW w:w="546" w:type="pct"/>
            <w:tcBorders>
              <w:top w:val="single" w:sz="4" w:space="0" w:color="auto"/>
              <w:left w:val="single" w:sz="4" w:space="0" w:color="auto"/>
              <w:bottom w:val="single" w:sz="4" w:space="0" w:color="auto"/>
              <w:right w:val="single" w:sz="4" w:space="0" w:color="auto"/>
            </w:tcBorders>
          </w:tcPr>
          <w:p w:rsidR="00272AA5" w:rsidRPr="00103E70" w:rsidRDefault="00272AA5">
            <w:pPr>
              <w:spacing w:before="100" w:beforeAutospacing="1" w:after="100" w:afterAutospacing="1"/>
              <w:rPr>
                <w:sz w:val="16"/>
                <w:szCs w:val="16"/>
              </w:rPr>
            </w:pPr>
          </w:p>
        </w:tc>
        <w:tc>
          <w:tcPr>
            <w:tcW w:w="330" w:type="pct"/>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r w:rsidRPr="00103E70">
              <w:rPr>
                <w:b/>
                <w:bCs/>
                <w:sz w:val="16"/>
                <w:szCs w:val="16"/>
              </w:rPr>
              <w:t>8</w:t>
            </w: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r w:rsidRPr="00103E70">
              <w:rPr>
                <w:b/>
                <w:bCs/>
                <w:sz w:val="16"/>
                <w:szCs w:val="16"/>
              </w:rPr>
              <w:t>3,0</w:t>
            </w: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r w:rsidRPr="00103E70">
              <w:rPr>
                <w:b/>
                <w:bCs/>
                <w:sz w:val="16"/>
                <w:szCs w:val="16"/>
              </w:rPr>
              <w:t>30</w:t>
            </w: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r w:rsidRPr="00103E70">
              <w:rPr>
                <w:b/>
                <w:bCs/>
                <w:sz w:val="16"/>
                <w:szCs w:val="16"/>
              </w:rPr>
              <w:t>7,000</w:t>
            </w: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p>
        </w:tc>
        <w:tc>
          <w:tcPr>
            <w:tcW w:w="242" w:type="pct"/>
            <w:gridSpan w:val="2"/>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p>
        </w:tc>
        <w:tc>
          <w:tcPr>
            <w:tcW w:w="242" w:type="pct"/>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p>
        </w:tc>
        <w:tc>
          <w:tcPr>
            <w:tcW w:w="329" w:type="pct"/>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r w:rsidRPr="00103E70">
              <w:rPr>
                <w:b/>
                <w:bCs/>
                <w:sz w:val="16"/>
                <w:szCs w:val="16"/>
              </w:rPr>
              <w:t>38</w:t>
            </w:r>
          </w:p>
        </w:tc>
        <w:tc>
          <w:tcPr>
            <w:tcW w:w="390" w:type="pct"/>
            <w:tcBorders>
              <w:top w:val="single" w:sz="4" w:space="0" w:color="auto"/>
              <w:left w:val="single" w:sz="4" w:space="0" w:color="auto"/>
              <w:bottom w:val="single" w:sz="4" w:space="0" w:color="auto"/>
              <w:right w:val="single" w:sz="4" w:space="0" w:color="auto"/>
            </w:tcBorders>
          </w:tcPr>
          <w:p w:rsidR="00272AA5" w:rsidRPr="00103E70" w:rsidRDefault="00272AA5">
            <w:pPr>
              <w:rPr>
                <w:b/>
                <w:bCs/>
                <w:sz w:val="16"/>
                <w:szCs w:val="16"/>
              </w:rPr>
            </w:pPr>
            <w:r w:rsidRPr="00103E70">
              <w:rPr>
                <w:b/>
                <w:bCs/>
                <w:sz w:val="16"/>
                <w:szCs w:val="16"/>
              </w:rPr>
              <w:t>10,000</w:t>
            </w:r>
          </w:p>
        </w:tc>
      </w:tr>
    </w:tbl>
    <w:p w:rsidR="00272AA5" w:rsidRPr="00103E70" w:rsidRDefault="00272AA5">
      <w:r w:rsidRPr="00103E70">
        <w:rPr>
          <w:color w:val="000000"/>
        </w:rPr>
        <w:t>8.2 Kostnadskalkyl för åtgärderna</w:t>
      </w:r>
    </w:p>
    <w:p w:rsidR="00272AA5" w:rsidRPr="00103E70" w:rsidRDefault="00272AA5" w:rsidP="00CB3D7F">
      <w:pPr>
        <w:outlineLvl w:val="0"/>
        <w:rPr>
          <w:b/>
          <w:bCs/>
          <w:i/>
          <w:iCs/>
        </w:rPr>
      </w:pPr>
      <w:r w:rsidRPr="00103E70">
        <w:rPr>
          <w:b/>
          <w:bCs/>
          <w:i/>
          <w:iCs/>
          <w:color w:val="000000"/>
        </w:rPr>
        <w:t>Åtgärd A: Åtgärder på EU-nivå</w:t>
      </w:r>
    </w:p>
    <w:p w:rsidR="00272AA5" w:rsidRPr="00103E70" w:rsidRDefault="00272AA5">
      <w:pPr>
        <w:pStyle w:val="Punktlista"/>
      </w:pPr>
      <w:r w:rsidRPr="00103E70">
        <w:rPr>
          <w:color w:val="000000"/>
        </w:rPr>
        <w:t>Informations- och kommunikationssatsningar:</w:t>
      </w:r>
    </w:p>
    <w:p w:rsidR="00272AA5" w:rsidRPr="00103E70" w:rsidRDefault="00272AA5">
      <w:pPr>
        <w:keepLines/>
        <w:spacing w:after="60"/>
      </w:pPr>
      <w:r w:rsidRPr="00103E70">
        <w:rPr>
          <w:color w:val="000000"/>
        </w:rPr>
        <w:t>Under Europaåret kommer EU att göra en informationssatsning för att stödja de olika åtgärderna. Det innebär att man kommer att utforma en logotyp och en eller flera sloganer, utarbeta olika verktyg och instrument för att skapa uppmärksamhet kring frågan, samarbeta med media samt hjälpa till att sprida EU-kampanjen i medlemsstaterna.</w:t>
      </w:r>
      <w:r w:rsidRPr="00103E70">
        <w:t xml:space="preserve"> </w:t>
      </w:r>
      <w:r w:rsidRPr="00103E70">
        <w:rPr>
          <w:color w:val="000000"/>
        </w:rPr>
        <w:t>Särskilda ungdomssatsningar kommer att göras.</w:t>
      </w:r>
    </w:p>
    <w:p w:rsidR="00272AA5" w:rsidRPr="00103E70" w:rsidRDefault="00272AA5">
      <w:pPr>
        <w:keepLines/>
        <w:spacing w:after="60"/>
      </w:pPr>
      <w:r w:rsidRPr="00103E70">
        <w:rPr>
          <w:color w:val="000000"/>
        </w:rPr>
        <w:t>Kampanjen kommer även att omfatta åtgärder för att uppmärksamma de EU-program, EU-åtgärder och EU-initiativ som skall bidra till att uppnå målen för Europaåret och för att tillkännage resultaten. På Europaservern kommer det att skapas en webbplats med information, som bl.a. kommer att innehålla en portal för projekt som rör den interkulturella dialogen för att ge projektägare vägledning om olika relevanta EU-program och EU-åtgärder.</w:t>
      </w:r>
      <w:r w:rsidRPr="00103E70">
        <w:t xml:space="preserve"> </w:t>
      </w:r>
    </w:p>
    <w:p w:rsidR="00272AA5" w:rsidRPr="00103E70" w:rsidRDefault="00272AA5">
      <w:r w:rsidRPr="00103E70">
        <w:rPr>
          <w:color w:val="000000"/>
        </w:rPr>
        <w:t>En rimlig uppskattning av totalbeloppet för informations- och kommunikationssatsningarna under året är 4 500 000 euro.</w:t>
      </w:r>
      <w:r w:rsidRPr="00103E70">
        <w:t xml:space="preserve"> </w:t>
      </w:r>
      <w:r w:rsidRPr="00103E70">
        <w:rPr>
          <w:color w:val="000000"/>
        </w:rPr>
        <w:t>En del av dessa 4 500 000 euro bör användas till att samordna satsningen på EU-nivå, men huvuddelen av beloppet kommer att användas för att sprida satsningen i medlemsstaterna.</w:t>
      </w:r>
    </w:p>
    <w:p w:rsidR="00272AA5" w:rsidRPr="00103E70" w:rsidRDefault="00272AA5">
      <w:pPr>
        <w:pStyle w:val="Punktlista"/>
      </w:pPr>
      <w:r w:rsidRPr="00103E70">
        <w:rPr>
          <w:color w:val="000000"/>
        </w:rPr>
        <w:t>Enkäter och undersökningar</w:t>
      </w:r>
    </w:p>
    <w:p w:rsidR="00272AA5" w:rsidRPr="00103E70" w:rsidRDefault="00272AA5">
      <w:r w:rsidRPr="00103E70">
        <w:rPr>
          <w:color w:val="000000"/>
        </w:rPr>
        <w:t xml:space="preserve">Två </w:t>
      </w:r>
      <w:r w:rsidRPr="00103E70">
        <w:rPr>
          <w:i/>
          <w:iCs/>
          <w:color w:val="000000"/>
        </w:rPr>
        <w:t>Eurobarometerundersökningar</w:t>
      </w:r>
      <w:r w:rsidRPr="00103E70">
        <w:rPr>
          <w:color w:val="000000"/>
        </w:rPr>
        <w:t xml:space="preserve">, varav den ena skall genomföras före och den andra mot slutet av Europaåret, kommer att genomföras för att bedöma vilket genomslag året fått. Alla insatser som gjorts inom ramen för Europaåret kommer dessutom att utvärderas. Denna </w:t>
      </w:r>
      <w:r w:rsidRPr="00103E70">
        <w:rPr>
          <w:i/>
          <w:iCs/>
          <w:color w:val="000000"/>
        </w:rPr>
        <w:t>utvärdering</w:t>
      </w:r>
      <w:r w:rsidRPr="00103E70">
        <w:rPr>
          <w:color w:val="000000"/>
        </w:rPr>
        <w:t xml:space="preserve"> kommer att tjäna som underlag för den rapport som sammanställs efter årets slut.</w:t>
      </w:r>
    </w:p>
    <w:p w:rsidR="00272AA5" w:rsidRPr="00103E70" w:rsidRDefault="00272AA5" w:rsidP="00CB3D7F">
      <w:pPr>
        <w:outlineLvl w:val="0"/>
        <w:rPr>
          <w:b/>
          <w:bCs/>
          <w:i/>
          <w:iCs/>
        </w:rPr>
      </w:pPr>
      <w:r w:rsidRPr="00103E70">
        <w:rPr>
          <w:b/>
          <w:bCs/>
          <w:i/>
          <w:iCs/>
          <w:color w:val="000000"/>
        </w:rPr>
        <w:t>Åtgärd B: Samfinansierade åtgärder på EU-nivå</w:t>
      </w:r>
      <w:r w:rsidRPr="00103E70">
        <w:rPr>
          <w:rStyle w:val="tw4winMark"/>
        </w:rPr>
        <w:t xml:space="preserve"> </w:t>
      </w:r>
    </w:p>
    <w:p w:rsidR="00272AA5" w:rsidRPr="00103E70" w:rsidRDefault="00272AA5">
      <w:r w:rsidRPr="00103E70">
        <w:rPr>
          <w:color w:val="000000"/>
        </w:rPr>
        <w:t>Med hjälp av ett begränsat antal åtgärder med stort symbolvärde på EU-nivå hoppas man att i första hand ungdomar skall få upp ögonen för målen för Europaåret.</w:t>
      </w:r>
      <w:r w:rsidRPr="00103E70">
        <w:t xml:space="preserve"> </w:t>
      </w:r>
      <w:r w:rsidRPr="00103E70">
        <w:rPr>
          <w:color w:val="000000"/>
        </w:rPr>
        <w:t>Exempelvis kommer öppnings- och avslutningsceremonierna för Europeiska året för interkulturell dialog att anordnas i samarbete med de medlemsstater som innehar ordförandeskapet i EU under 2008</w:t>
      </w:r>
      <w:r w:rsidRPr="00103E70">
        <w:rPr>
          <w:i/>
          <w:iCs/>
          <w:color w:val="000000"/>
        </w:rPr>
        <w:t>.</w:t>
      </w:r>
      <w:r w:rsidRPr="00103E70">
        <w:t xml:space="preserve"> </w:t>
      </w:r>
    </w:p>
    <w:p w:rsidR="00272AA5" w:rsidRPr="00103E70" w:rsidRDefault="00272AA5">
      <w:r w:rsidRPr="00103E70">
        <w:rPr>
          <w:color w:val="000000"/>
        </w:rPr>
        <w:t>Det genomsnittliga EU-bidraget till dessa åtgärder (högst 80 % av totalkostnaden) uppskattas till 300 000 euro.</w:t>
      </w:r>
      <w:r w:rsidRPr="00103E70">
        <w:t xml:space="preserve"> </w:t>
      </w:r>
      <w:r w:rsidRPr="00103E70">
        <w:rPr>
          <w:color w:val="000000"/>
        </w:rPr>
        <w:t>Detta innebär en sammanlagd budget på minst 375 000 euro, vilket motsvarar exempelvis kostnaden för ett tvådagarsevenemang med ca 250 deltagare.</w:t>
      </w:r>
    </w:p>
    <w:p w:rsidR="00272AA5" w:rsidRPr="00103E70" w:rsidRDefault="00272AA5">
      <w:r w:rsidRPr="00103E70">
        <w:rPr>
          <w:color w:val="000000"/>
        </w:rPr>
        <w:t>Eftersom det endast planeras ett fåtal åtgärder (8 stycken) bör dessa få en jämn geografisk spridning, återspegla de många olika slags frågeställningar och former av interkulturell dialog som finns samt vara jämnt fördelade över året.</w:t>
      </w:r>
      <w:r w:rsidRPr="00103E70">
        <w:t xml:space="preserve"> </w:t>
      </w:r>
    </w:p>
    <w:p w:rsidR="00272AA5" w:rsidRPr="00103E70" w:rsidRDefault="00272AA5" w:rsidP="00CB3D7F">
      <w:pPr>
        <w:outlineLvl w:val="0"/>
        <w:rPr>
          <w:b/>
          <w:bCs/>
          <w:i/>
          <w:iCs/>
        </w:rPr>
      </w:pPr>
      <w:r w:rsidRPr="00103E70">
        <w:rPr>
          <w:b/>
          <w:bCs/>
          <w:i/>
          <w:iCs/>
          <w:color w:val="000000"/>
        </w:rPr>
        <w:t>Åtgärd C: Nationella åtgärder</w:t>
      </w:r>
    </w:p>
    <w:p w:rsidR="00272AA5" w:rsidRPr="00103E70" w:rsidRDefault="00272AA5">
      <w:r w:rsidRPr="00103E70">
        <w:rPr>
          <w:color w:val="000000"/>
        </w:rPr>
        <w:t>Även om Europeiska unionen kan bidra med en grund för informationssatsningarna måste medlemsstaterna själva arbeta aktivt för att nå framsteg.</w:t>
      </w:r>
      <w:r w:rsidRPr="00103E70">
        <w:t xml:space="preserve"> </w:t>
      </w:r>
      <w:r w:rsidRPr="00103E70">
        <w:rPr>
          <w:color w:val="000000"/>
        </w:rPr>
        <w:t>Bäst resultat kan uppnås genom ett stort evenemang eller liknande åtgärd med en EU-dimension som kan få det civila samhället att engagera sig.</w:t>
      </w:r>
      <w:r w:rsidRPr="00103E70">
        <w:rPr>
          <w:rStyle w:val="tw4winMark"/>
        </w:rPr>
        <w:t xml:space="preserve"> </w:t>
      </w:r>
    </w:p>
    <w:p w:rsidR="00272AA5" w:rsidRPr="00103E70" w:rsidRDefault="00272AA5">
      <w:pPr>
        <w:spacing w:after="240"/>
      </w:pPr>
      <w:r w:rsidRPr="00103E70">
        <w:rPr>
          <w:color w:val="000000"/>
        </w:rPr>
        <w:t>Åtgärderna bör utformas så att de samverkar med ovannämnda EU-åtgärder.</w:t>
      </w:r>
      <w:r w:rsidRPr="00103E70">
        <w:t xml:space="preserve"> </w:t>
      </w:r>
      <w:r w:rsidRPr="00103E70">
        <w:rPr>
          <w:color w:val="000000"/>
        </w:rPr>
        <w:t>Stödet till åtgärderna ges i form av bidrag på 50 % av åtgärdens eller evenemangets sammanlagda budget.</w:t>
      </w:r>
      <w:r w:rsidRPr="00103E70">
        <w:t xml:space="preserve"> </w:t>
      </w:r>
      <w:r w:rsidRPr="00103E70">
        <w:rPr>
          <w:color w:val="000000"/>
        </w:rPr>
        <w:t>Det genomsnittliga EU-bidraget beräknas uppgå till 100 000 euro.</w:t>
      </w:r>
      <w:r w:rsidRPr="00103E70">
        <w:tab/>
      </w:r>
    </w:p>
    <w:p w:rsidR="00272AA5" w:rsidRPr="00103E70" w:rsidRDefault="00272AA5" w:rsidP="00CB3D7F">
      <w:pPr>
        <w:outlineLvl w:val="0"/>
      </w:pPr>
      <w:r w:rsidRPr="00103E70">
        <w:t>8.3.</w:t>
      </w:r>
      <w:r w:rsidRPr="00103E70">
        <w:tab/>
      </w:r>
      <w:r w:rsidRPr="00103E70">
        <w:rPr>
          <w:color w:val="000000"/>
        </w:rPr>
        <w:t>Administrativa utgifter</w:t>
      </w:r>
    </w:p>
    <w:p w:rsidR="00272AA5" w:rsidRPr="00103E70" w:rsidRDefault="00272AA5" w:rsidP="00CB3D7F">
      <w:pPr>
        <w:outlineLvl w:val="0"/>
      </w:pPr>
      <w:r w:rsidRPr="00103E70">
        <w:t>8.3.1.</w:t>
      </w:r>
      <w:r w:rsidRPr="00103E70">
        <w:tab/>
      </w:r>
      <w:r w:rsidRPr="00103E70">
        <w:rPr>
          <w:color w:val="000000"/>
        </w:rPr>
        <w:t>Antal och typ av personal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60"/>
        <w:gridCol w:w="1101"/>
        <w:gridCol w:w="1101"/>
        <w:gridCol w:w="1101"/>
        <w:gridCol w:w="1101"/>
        <w:gridCol w:w="1101"/>
        <w:gridCol w:w="1100"/>
        <w:gridCol w:w="7"/>
      </w:tblGrid>
      <w:tr w:rsidR="00272AA5" w:rsidRPr="00103E70">
        <w:trPr>
          <w:trHeight w:val="682"/>
        </w:trPr>
        <w:tc>
          <w:tcPr>
            <w:tcW w:w="154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color w:val="000000"/>
                <w:sz w:val="20"/>
                <w:szCs w:val="20"/>
              </w:rPr>
              <w:t>Typ av tjänster</w:t>
            </w:r>
          </w:p>
        </w:tc>
        <w:tc>
          <w:tcPr>
            <w:tcW w:w="96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607" w:type="dxa"/>
            <w:gridSpan w:val="7"/>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color w:val="000000"/>
                <w:sz w:val="20"/>
                <w:szCs w:val="20"/>
              </w:rPr>
              <w:t>Personal som krävs för att förvalta åtgärden, dvs. befintliga plus ev. ytterligare personalresurser (</w:t>
            </w:r>
            <w:r w:rsidRPr="00103E70">
              <w:rPr>
                <w:b/>
                <w:bCs/>
                <w:color w:val="000000"/>
                <w:sz w:val="20"/>
                <w:szCs w:val="20"/>
              </w:rPr>
              <w:t>antal tjänster/heltidsekvivalenter</w:t>
            </w:r>
            <w:r w:rsidRPr="00103E70">
              <w:rPr>
                <w:color w:val="000000"/>
                <w:sz w:val="20"/>
                <w:szCs w:val="20"/>
              </w:rPr>
              <w:t>)</w:t>
            </w:r>
          </w:p>
        </w:tc>
      </w:tr>
      <w:tr w:rsidR="00272AA5" w:rsidRPr="00103E70">
        <w:trPr>
          <w:trHeight w:val="385"/>
        </w:trPr>
        <w:tc>
          <w:tcPr>
            <w:tcW w:w="1548"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1101"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sz w:val="20"/>
                <w:szCs w:val="20"/>
              </w:rPr>
              <w:t>2007</w:t>
            </w:r>
          </w:p>
        </w:tc>
        <w:tc>
          <w:tcPr>
            <w:tcW w:w="1101"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sz w:val="20"/>
                <w:szCs w:val="20"/>
              </w:rPr>
              <w:t>2008</w:t>
            </w:r>
          </w:p>
        </w:tc>
        <w:tc>
          <w:tcPr>
            <w:tcW w:w="1101"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sz w:val="20"/>
                <w:szCs w:val="20"/>
              </w:rPr>
              <w:t>2009</w:t>
            </w:r>
          </w:p>
        </w:tc>
        <w:tc>
          <w:tcPr>
            <w:tcW w:w="1101"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sz w:val="20"/>
                <w:szCs w:val="20"/>
              </w:rPr>
              <w:t>2010</w:t>
            </w:r>
          </w:p>
        </w:tc>
        <w:tc>
          <w:tcPr>
            <w:tcW w:w="1101"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sz w:val="20"/>
                <w:szCs w:val="20"/>
              </w:rPr>
              <w:t>2011</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sz w:val="20"/>
                <w:szCs w:val="20"/>
              </w:rPr>
              <w:t>2012</w:t>
            </w:r>
          </w:p>
        </w:tc>
      </w:tr>
      <w:tr w:rsidR="00272AA5" w:rsidRPr="00103E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6"/>
        </w:trPr>
        <w:tc>
          <w:tcPr>
            <w:tcW w:w="1548" w:type="dxa"/>
            <w:vMerge w:val="restart"/>
            <w:tcBorders>
              <w:top w:val="single" w:sz="4" w:space="0" w:color="auto"/>
              <w:left w:val="single" w:sz="4" w:space="0" w:color="auto"/>
              <w:bottom w:val="single" w:sz="4" w:space="0" w:color="auto"/>
              <w:right w:val="single" w:sz="4" w:space="0" w:color="auto"/>
            </w:tcBorders>
          </w:tcPr>
          <w:p w:rsidR="00272AA5" w:rsidRPr="00103E70" w:rsidRDefault="00272AA5">
            <w:pPr>
              <w:jc w:val="center"/>
            </w:pPr>
            <w:r w:rsidRPr="00103E70">
              <w:rPr>
                <w:color w:val="000000"/>
                <w:sz w:val="20"/>
                <w:szCs w:val="20"/>
              </w:rPr>
              <w:t>Tjänstemän eller tillfälligt anställda</w:t>
            </w:r>
            <w:r w:rsidRPr="00103E70">
              <w:rPr>
                <w:rStyle w:val="Fotnotsreferens"/>
                <w:color w:val="000000"/>
                <w:sz w:val="20"/>
                <w:szCs w:val="20"/>
              </w:rPr>
              <w:footnoteReference w:id="14"/>
            </w:r>
            <w:r w:rsidRPr="00103E70">
              <w:rPr>
                <w:color w:val="000000"/>
                <w:sz w:val="20"/>
                <w:szCs w:val="20"/>
              </w:rPr>
              <w:t xml:space="preserve"> (XX 01 01)</w:t>
            </w:r>
          </w:p>
          <w:p w:rsidR="00272AA5" w:rsidRPr="00103E70" w:rsidRDefault="00272AA5">
            <w:pPr>
              <w:spacing w:before="0" w:after="0"/>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272AA5" w:rsidRPr="00103E70" w:rsidRDefault="00272AA5">
            <w:r w:rsidRPr="00103E70">
              <w:rPr>
                <w:sz w:val="20"/>
                <w:szCs w:val="20"/>
              </w:rPr>
              <w:t>A*/AD</w:t>
            </w:r>
          </w:p>
        </w:tc>
        <w:tc>
          <w:tcPr>
            <w:tcW w:w="1101"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2</w:t>
            </w:r>
          </w:p>
        </w:tc>
        <w:tc>
          <w:tcPr>
            <w:tcW w:w="1101"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2</w:t>
            </w:r>
          </w:p>
        </w:tc>
        <w:tc>
          <w:tcPr>
            <w:tcW w:w="1101"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0,5</w:t>
            </w:r>
          </w:p>
        </w:tc>
        <w:tc>
          <w:tcPr>
            <w:tcW w:w="1101"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1101"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r>
      <w:tr w:rsidR="00272AA5" w:rsidRPr="00103E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4"/>
        </w:trPr>
        <w:tc>
          <w:tcPr>
            <w:tcW w:w="1548" w:type="dxa"/>
            <w:vMerge/>
            <w:tcBorders>
              <w:left w:val="single" w:sz="4" w:space="0" w:color="auto"/>
              <w:bottom w:val="single" w:sz="4" w:space="0" w:color="auto"/>
              <w:right w:val="single" w:sz="4" w:space="0" w:color="auto"/>
            </w:tcBorders>
            <w:vAlign w:val="center"/>
          </w:tcPr>
          <w:p w:rsidR="00272AA5" w:rsidRPr="00103E70" w:rsidRDefault="00272AA5">
            <w:pPr>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B*, C*/AST</w:t>
            </w:r>
          </w:p>
        </w:tc>
        <w:tc>
          <w:tcPr>
            <w:tcW w:w="1101"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1</w:t>
            </w:r>
          </w:p>
        </w:tc>
        <w:tc>
          <w:tcPr>
            <w:tcW w:w="1101"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1</w:t>
            </w:r>
          </w:p>
        </w:tc>
        <w:tc>
          <w:tcPr>
            <w:tcW w:w="1101"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0,5</w:t>
            </w:r>
          </w:p>
        </w:tc>
        <w:tc>
          <w:tcPr>
            <w:tcW w:w="1101"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1101"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1102" w:type="dxa"/>
            <w:gridSpan w:val="2"/>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r>
      <w:tr w:rsidR="00272AA5" w:rsidRPr="00103E70">
        <w:trPr>
          <w:gridAfter w:val="1"/>
          <w:wAfter w:w="7" w:type="dxa"/>
          <w:trHeight w:val="456"/>
        </w:trPr>
        <w:tc>
          <w:tcPr>
            <w:tcW w:w="2508" w:type="dxa"/>
            <w:gridSpan w:val="2"/>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color w:val="000000"/>
                <w:sz w:val="20"/>
                <w:szCs w:val="20"/>
              </w:rPr>
              <w:t>Personal som finansieras</w:t>
            </w:r>
            <w:r w:rsidRPr="00103E70">
              <w:rPr>
                <w:rStyle w:val="Fotnotsreferens"/>
                <w:color w:val="000000"/>
                <w:sz w:val="20"/>
                <w:szCs w:val="20"/>
              </w:rPr>
              <w:footnoteReference w:id="15"/>
            </w:r>
            <w:r w:rsidRPr="00103E70">
              <w:rPr>
                <w:color w:val="000000"/>
                <w:sz w:val="20"/>
                <w:szCs w:val="20"/>
              </w:rPr>
              <w:t xml:space="preserve"> genom art. XX 01 02</w:t>
            </w:r>
          </w:p>
          <w:p w:rsidR="00272AA5" w:rsidRPr="00103E70" w:rsidRDefault="00272AA5">
            <w:pPr>
              <w:spacing w:before="0" w:after="0"/>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1</w:t>
            </w: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2</w:t>
            </w: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1</w:t>
            </w: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r>
      <w:tr w:rsidR="00272AA5" w:rsidRPr="00103E70">
        <w:trPr>
          <w:gridAfter w:val="1"/>
          <w:wAfter w:w="7" w:type="dxa"/>
          <w:trHeight w:val="456"/>
        </w:trPr>
        <w:tc>
          <w:tcPr>
            <w:tcW w:w="2508" w:type="dxa"/>
            <w:gridSpan w:val="2"/>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color w:val="000000"/>
                <w:sz w:val="20"/>
                <w:szCs w:val="20"/>
              </w:rPr>
              <w:t>Övrig personal som finansieras</w:t>
            </w:r>
            <w:r w:rsidRPr="00103E70">
              <w:rPr>
                <w:rStyle w:val="Fotnotsreferens"/>
                <w:color w:val="000000"/>
                <w:sz w:val="20"/>
                <w:szCs w:val="20"/>
              </w:rPr>
              <w:footnoteReference w:id="16"/>
            </w:r>
            <w:r w:rsidRPr="00103E70">
              <w:rPr>
                <w:color w:val="000000"/>
                <w:sz w:val="20"/>
                <w:szCs w:val="20"/>
              </w:rPr>
              <w:t xml:space="preserve"> genom art. XX 01 04/05</w:t>
            </w:r>
          </w:p>
          <w:p w:rsidR="00272AA5" w:rsidRPr="00103E70" w:rsidRDefault="00272AA5">
            <w:pPr>
              <w:spacing w:before="0" w:after="0"/>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w:t>
            </w: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w:t>
            </w: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w:t>
            </w: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r>
      <w:tr w:rsidR="00272AA5" w:rsidRPr="00103E70">
        <w:trPr>
          <w:gridAfter w:val="1"/>
          <w:wAfter w:w="7" w:type="dxa"/>
          <w:trHeight w:val="456"/>
        </w:trPr>
        <w:tc>
          <w:tcPr>
            <w:tcW w:w="2508" w:type="dxa"/>
            <w:gridSpan w:val="2"/>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b/>
                <w:bCs/>
                <w:color w:val="000000"/>
                <w:sz w:val="20"/>
                <w:szCs w:val="20"/>
              </w:rPr>
              <w:t>TOTALT</w:t>
            </w: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4</w:t>
            </w: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5</w:t>
            </w: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2</w:t>
            </w: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r>
    </w:tbl>
    <w:p w:rsidR="00272AA5" w:rsidRPr="00103E70" w:rsidRDefault="00272AA5"/>
    <w:p w:rsidR="00272AA5" w:rsidRPr="00103E70" w:rsidRDefault="00272AA5" w:rsidP="00CB3D7F">
      <w:pPr>
        <w:outlineLvl w:val="0"/>
      </w:pPr>
      <w:r w:rsidRPr="00103E70">
        <w:t>8.3.2.</w:t>
      </w:r>
      <w:r w:rsidRPr="00103E70">
        <w:tab/>
      </w:r>
      <w:r w:rsidRPr="00103E70">
        <w:rPr>
          <w:color w:val="000000"/>
        </w:rPr>
        <w:t>Beskrivning av de uppgifter som skall utföras i samband med åtgärden</w:t>
      </w:r>
    </w:p>
    <w:p w:rsidR="00272AA5" w:rsidRPr="00103E70" w:rsidRDefault="00272AA5">
      <w:r w:rsidRPr="00103E70">
        <w:rPr>
          <w:color w:val="000000"/>
        </w:rPr>
        <w:t>A-tjänstemän: rådgivande kommitté, utformning av anbudsinfordringar, uppföljning av bidragen till medlemsstaterna, informationskampanj, evenemang, undersökningar och pressmeddelanden</w:t>
      </w:r>
    </w:p>
    <w:p w:rsidR="00272AA5" w:rsidRPr="00103E70" w:rsidRDefault="00272AA5">
      <w:r w:rsidRPr="00103E70">
        <w:rPr>
          <w:color w:val="000000"/>
        </w:rPr>
        <w:t>B-tjänstemän: ekonomisk uppföljning av anbud och bidrag, biträda A-tjänstemännen i alla arbetsuppgifter</w:t>
      </w:r>
    </w:p>
    <w:p w:rsidR="00272AA5" w:rsidRPr="00103E70" w:rsidRDefault="00272AA5">
      <w:r w:rsidRPr="00103E70">
        <w:rPr>
          <w:color w:val="000000"/>
        </w:rPr>
        <w:t>C-tjänstemän: assisterar i alla ovannämnda arbetsuppgifter</w:t>
      </w:r>
    </w:p>
    <w:p w:rsidR="00272AA5" w:rsidRPr="00103E70" w:rsidRDefault="00272AA5" w:rsidP="00CB3D7F">
      <w:pPr>
        <w:outlineLvl w:val="0"/>
      </w:pPr>
      <w:r w:rsidRPr="00103E70">
        <w:t>8.3.3.</w:t>
      </w:r>
      <w:r w:rsidRPr="00103E70">
        <w:tab/>
      </w:r>
      <w:r w:rsidRPr="00103E70">
        <w:rPr>
          <w:color w:val="000000"/>
        </w:rPr>
        <w:t>Personalresurser (som omfattas av tjänsteföreskrifterna)</w:t>
      </w:r>
    </w:p>
    <w:p w:rsidR="00272AA5" w:rsidRPr="00103E70" w:rsidRDefault="00272AA5">
      <w:r w:rsidRPr="00103E70">
        <w:rPr>
          <w:color w:val="000000"/>
        </w:rPr>
        <w:t>ٱ</w:t>
      </w:r>
      <w:r w:rsidRPr="00103E70">
        <w:tab/>
      </w:r>
      <w:r w:rsidRPr="00103E70">
        <w:rPr>
          <w:color w:val="000000"/>
        </w:rPr>
        <w:t>Tjänster som för närvarande anslagits till förvaltning av de program som skall ersättas eller utvidgas.</w:t>
      </w:r>
    </w:p>
    <w:p w:rsidR="00272AA5" w:rsidRPr="00103E70" w:rsidRDefault="00272AA5">
      <w:pPr>
        <w:rPr>
          <w:sz w:val="20"/>
          <w:szCs w:val="20"/>
        </w:rPr>
      </w:pPr>
      <w:r w:rsidRPr="00103E70">
        <w:rPr>
          <w:color w:val="000000"/>
        </w:rPr>
        <w:t>1</w:t>
      </w:r>
      <w:r w:rsidRPr="00103E70">
        <w:tab/>
      </w:r>
      <w:r w:rsidRPr="00103E70">
        <w:rPr>
          <w:color w:val="000000"/>
        </w:rPr>
        <w:t>Tjänster som redan har anslagits inom ramen för den årliga politiska strategin/det preliminära budgetförslaget för år 2006.</w:t>
      </w:r>
    </w:p>
    <w:p w:rsidR="00272AA5" w:rsidRPr="00103E70" w:rsidRDefault="00272AA5">
      <w:r w:rsidRPr="00103E70">
        <w:rPr>
          <w:color w:val="000000"/>
        </w:rPr>
        <w:t>1</w:t>
      </w:r>
      <w:r w:rsidRPr="00103E70">
        <w:tab/>
      </w:r>
      <w:r w:rsidRPr="00103E70">
        <w:rPr>
          <w:color w:val="000000"/>
        </w:rPr>
        <w:t>Tjänster som skall begäras i samband med 2007 års politiska strategi/preliminära budgetförslag.</w:t>
      </w:r>
    </w:p>
    <w:p w:rsidR="00272AA5" w:rsidRPr="00103E70" w:rsidRDefault="00272AA5" w:rsidP="00CB3D7F">
      <w:pPr>
        <w:outlineLvl w:val="0"/>
      </w:pPr>
      <w:r w:rsidRPr="00103E70">
        <w:rPr>
          <w:color w:val="000000"/>
        </w:rPr>
        <w:t>1</w:t>
      </w:r>
      <w:r w:rsidRPr="00103E70">
        <w:tab/>
      </w:r>
      <w:r w:rsidRPr="00103E70">
        <w:rPr>
          <w:color w:val="000000"/>
        </w:rPr>
        <w:t>Tjänster som skall fördelas om med hjälp av befintliga resurser inom förvaltningsavdelningen (intern omfördelning).</w:t>
      </w:r>
    </w:p>
    <w:p w:rsidR="00272AA5" w:rsidRPr="00103E70" w:rsidRDefault="00272AA5">
      <w:r w:rsidRPr="00103E70">
        <w:rPr>
          <w:color w:val="000000"/>
        </w:rPr>
        <w:t>ٱ</w:t>
      </w:r>
      <w:r w:rsidRPr="00103E70">
        <w:tab/>
      </w:r>
      <w:r w:rsidRPr="00103E70">
        <w:rPr>
          <w:color w:val="000000"/>
        </w:rPr>
        <w:t>Tjänster som krävs för år n, men som inte planerats inom ramen för den årliga politiska strategin/det preliminära budgetförslaget för det berörda året.</w:t>
      </w:r>
    </w:p>
    <w:p w:rsidR="00272AA5" w:rsidRPr="00103E70" w:rsidRDefault="00272AA5">
      <w:r w:rsidRPr="00103E70">
        <w:rPr>
          <w:color w:val="000000"/>
        </w:rPr>
        <w:t>Övriga administrativa utgifter som ingår i referensbeloppet (XX 01 04/05 – Utgifter för administration)</w:t>
      </w:r>
    </w:p>
    <w:p w:rsidR="00272AA5" w:rsidRPr="00103E70" w:rsidRDefault="00272AA5" w:rsidP="00CB3D7F">
      <w:pPr>
        <w:outlineLvl w:val="0"/>
      </w:pPr>
      <w:r w:rsidRPr="00103E70">
        <w:rPr>
          <w:color w:val="000000"/>
          <w:sz w:val="20"/>
          <w:szCs w:val="20"/>
        </w:rPr>
        <w:t>EJ TILLÄMPLIGT</w:t>
      </w:r>
    </w:p>
    <w:p w:rsidR="00272AA5" w:rsidRPr="00103E70" w:rsidRDefault="00272AA5">
      <w:pPr>
        <w:jc w:val="right"/>
        <w:rPr>
          <w:i/>
          <w:iCs/>
          <w:sz w:val="20"/>
          <w:szCs w:val="20"/>
        </w:rPr>
      </w:pPr>
      <w:r w:rsidRPr="00103E70">
        <w:rPr>
          <w:i/>
          <w:iCs/>
          <w:color w:val="000000"/>
          <w:sz w:val="20"/>
          <w:szCs w:val="20"/>
        </w:rPr>
        <w:t>Miljoner euro (avrundat till tre decimaler)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738"/>
        <w:gridCol w:w="616"/>
        <w:gridCol w:w="616"/>
        <w:gridCol w:w="616"/>
        <w:gridCol w:w="616"/>
        <w:gridCol w:w="616"/>
        <w:gridCol w:w="994"/>
      </w:tblGrid>
      <w:tr w:rsidR="00272AA5" w:rsidRPr="00103E70">
        <w:tblPrEx>
          <w:tblCellMar>
            <w:top w:w="0" w:type="dxa"/>
            <w:bottom w:w="0" w:type="dxa"/>
          </w:tblCellMar>
        </w:tblPrEx>
        <w:trPr>
          <w:trHeight w:val="625"/>
        </w:trPr>
        <w:tc>
          <w:tcPr>
            <w:tcW w:w="3687"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rPr>
                <w:sz w:val="20"/>
                <w:szCs w:val="20"/>
              </w:rPr>
            </w:pPr>
            <w:r w:rsidRPr="00103E70">
              <w:rPr>
                <w:color w:val="000000"/>
                <w:sz w:val="20"/>
                <w:szCs w:val="20"/>
              </w:rPr>
              <w:t>Budgetrubrik</w:t>
            </w:r>
          </w:p>
          <w:p w:rsidR="00272AA5" w:rsidRPr="00103E70" w:rsidRDefault="00272AA5">
            <w:r w:rsidRPr="00103E70">
              <w:rPr>
                <w:color w:val="000000"/>
                <w:sz w:val="20"/>
                <w:szCs w:val="20"/>
              </w:rPr>
              <w:t>(nummer och benämning)</w:t>
            </w:r>
          </w:p>
        </w:tc>
        <w:tc>
          <w:tcPr>
            <w:tcW w:w="738" w:type="dxa"/>
            <w:tcBorders>
              <w:top w:val="single" w:sz="4" w:space="0" w:color="auto"/>
              <w:left w:val="single" w:sz="4" w:space="0" w:color="auto"/>
              <w:bottom w:val="single" w:sz="4" w:space="0" w:color="auto"/>
              <w:right w:val="single" w:sz="4" w:space="0" w:color="auto"/>
            </w:tcBorders>
          </w:tcPr>
          <w:p w:rsidR="00272AA5" w:rsidRPr="00103E70" w:rsidRDefault="00272AA5">
            <w:pPr>
              <w:jc w:val="center"/>
            </w:pPr>
            <w:r w:rsidRPr="00103E70">
              <w:rPr>
                <w:sz w:val="20"/>
                <w:szCs w:val="20"/>
              </w:rPr>
              <w:t>2007</w:t>
            </w: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jc w:val="center"/>
            </w:pPr>
            <w:r w:rsidRPr="00103E70">
              <w:rPr>
                <w:sz w:val="20"/>
                <w:szCs w:val="20"/>
              </w:rPr>
              <w:t>2008</w:t>
            </w: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jc w:val="center"/>
            </w:pPr>
            <w:r w:rsidRPr="00103E70">
              <w:rPr>
                <w:sz w:val="20"/>
                <w:szCs w:val="20"/>
              </w:rPr>
              <w:t>2009</w:t>
            </w: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jc w:val="center"/>
            </w:pPr>
            <w:r w:rsidRPr="00103E70">
              <w:rPr>
                <w:sz w:val="20"/>
                <w:szCs w:val="20"/>
              </w:rPr>
              <w:t>2010</w:t>
            </w: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jc w:val="center"/>
            </w:pPr>
            <w:r w:rsidRPr="00103E70">
              <w:rPr>
                <w:sz w:val="20"/>
                <w:szCs w:val="20"/>
              </w:rPr>
              <w:t>2011</w:t>
            </w: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jc w:val="center"/>
            </w:pPr>
            <w:r w:rsidRPr="00103E70">
              <w:rPr>
                <w:sz w:val="20"/>
                <w:szCs w:val="20"/>
              </w:rPr>
              <w:t>2012</w:t>
            </w:r>
          </w:p>
        </w:tc>
        <w:tc>
          <w:tcPr>
            <w:tcW w:w="994" w:type="dxa"/>
            <w:tcBorders>
              <w:top w:val="single" w:sz="4" w:space="0" w:color="auto"/>
              <w:left w:val="single" w:sz="4" w:space="0" w:color="auto"/>
              <w:bottom w:val="single" w:sz="4" w:space="0" w:color="auto"/>
              <w:right w:val="single" w:sz="4" w:space="0" w:color="auto"/>
            </w:tcBorders>
          </w:tcPr>
          <w:p w:rsidR="00272AA5" w:rsidRPr="00103E70" w:rsidRDefault="00272AA5">
            <w:pPr>
              <w:jc w:val="center"/>
            </w:pPr>
            <w:r w:rsidRPr="00103E70">
              <w:rPr>
                <w:color w:val="000000"/>
                <w:sz w:val="20"/>
                <w:szCs w:val="20"/>
              </w:rPr>
              <w:t>TOTALT</w:t>
            </w:r>
          </w:p>
        </w:tc>
      </w:tr>
      <w:tr w:rsidR="00272AA5" w:rsidRPr="00103E70">
        <w:tblPrEx>
          <w:tblCellMar>
            <w:top w:w="0" w:type="dxa"/>
            <w:bottom w:w="0" w:type="dxa"/>
          </w:tblCellMar>
        </w:tblPrEx>
        <w:trPr>
          <w:trHeight w:val="420"/>
        </w:trPr>
        <w:tc>
          <w:tcPr>
            <w:tcW w:w="3687"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b/>
                <w:bCs/>
                <w:sz w:val="18"/>
                <w:szCs w:val="18"/>
              </w:rPr>
              <w:t xml:space="preserve">1. </w:t>
            </w:r>
            <w:r w:rsidRPr="00103E70">
              <w:rPr>
                <w:b/>
                <w:bCs/>
                <w:color w:val="000000"/>
                <w:sz w:val="18"/>
                <w:szCs w:val="18"/>
              </w:rPr>
              <w:t>Tekniskt och administrativt stöd (inklusive tillhörande personalkostnader)</w:t>
            </w:r>
          </w:p>
        </w:tc>
        <w:tc>
          <w:tcPr>
            <w:tcW w:w="738" w:type="dxa"/>
            <w:tcBorders>
              <w:top w:val="single" w:sz="4" w:space="0" w:color="auto"/>
              <w:left w:val="single" w:sz="4" w:space="0" w:color="auto"/>
              <w:bottom w:val="single" w:sz="4" w:space="0" w:color="auto"/>
              <w:right w:val="nil"/>
            </w:tcBorders>
            <w:shd w:val="pct10" w:color="auto" w:fill="auto"/>
            <w:vAlign w:val="center"/>
          </w:tcPr>
          <w:p w:rsidR="00272AA5" w:rsidRPr="00103E70" w:rsidRDefault="00272AA5">
            <w:pPr>
              <w:rPr>
                <w:sz w:val="20"/>
                <w:szCs w:val="20"/>
              </w:rPr>
            </w:pPr>
          </w:p>
        </w:tc>
        <w:tc>
          <w:tcPr>
            <w:tcW w:w="616" w:type="dxa"/>
            <w:tcBorders>
              <w:top w:val="single" w:sz="4" w:space="0" w:color="auto"/>
              <w:left w:val="nil"/>
              <w:bottom w:val="single" w:sz="4" w:space="0" w:color="auto"/>
              <w:right w:val="nil"/>
            </w:tcBorders>
            <w:shd w:val="pct10" w:color="auto" w:fill="auto"/>
          </w:tcPr>
          <w:p w:rsidR="00272AA5" w:rsidRPr="00103E70" w:rsidRDefault="00272AA5">
            <w:pPr>
              <w:rPr>
                <w:sz w:val="20"/>
                <w:szCs w:val="20"/>
              </w:rPr>
            </w:pPr>
          </w:p>
        </w:tc>
        <w:tc>
          <w:tcPr>
            <w:tcW w:w="616" w:type="dxa"/>
            <w:tcBorders>
              <w:top w:val="single" w:sz="4" w:space="0" w:color="auto"/>
              <w:left w:val="nil"/>
              <w:bottom w:val="single" w:sz="4" w:space="0" w:color="auto"/>
              <w:right w:val="nil"/>
            </w:tcBorders>
            <w:shd w:val="pct10" w:color="auto" w:fill="auto"/>
          </w:tcPr>
          <w:p w:rsidR="00272AA5" w:rsidRPr="00103E70" w:rsidRDefault="00272AA5">
            <w:pPr>
              <w:rPr>
                <w:sz w:val="20"/>
                <w:szCs w:val="20"/>
              </w:rPr>
            </w:pPr>
          </w:p>
        </w:tc>
        <w:tc>
          <w:tcPr>
            <w:tcW w:w="616" w:type="dxa"/>
            <w:tcBorders>
              <w:top w:val="single" w:sz="4" w:space="0" w:color="auto"/>
              <w:left w:val="nil"/>
              <w:bottom w:val="single" w:sz="4" w:space="0" w:color="auto"/>
              <w:right w:val="nil"/>
            </w:tcBorders>
            <w:shd w:val="pct10" w:color="auto" w:fill="auto"/>
          </w:tcPr>
          <w:p w:rsidR="00272AA5" w:rsidRPr="00103E70" w:rsidRDefault="00272AA5">
            <w:pPr>
              <w:rPr>
                <w:sz w:val="20"/>
                <w:szCs w:val="20"/>
              </w:rPr>
            </w:pPr>
          </w:p>
        </w:tc>
        <w:tc>
          <w:tcPr>
            <w:tcW w:w="616" w:type="dxa"/>
            <w:tcBorders>
              <w:top w:val="single" w:sz="4" w:space="0" w:color="auto"/>
              <w:left w:val="nil"/>
              <w:bottom w:val="single" w:sz="4" w:space="0" w:color="auto"/>
              <w:right w:val="nil"/>
            </w:tcBorders>
            <w:shd w:val="pct10" w:color="auto" w:fill="auto"/>
          </w:tcPr>
          <w:p w:rsidR="00272AA5" w:rsidRPr="00103E70" w:rsidRDefault="00272AA5">
            <w:pPr>
              <w:rPr>
                <w:sz w:val="20"/>
                <w:szCs w:val="20"/>
              </w:rPr>
            </w:pPr>
          </w:p>
        </w:tc>
        <w:tc>
          <w:tcPr>
            <w:tcW w:w="616" w:type="dxa"/>
            <w:tcBorders>
              <w:top w:val="single" w:sz="4" w:space="0" w:color="auto"/>
              <w:left w:val="nil"/>
              <w:bottom w:val="single" w:sz="4" w:space="0" w:color="auto"/>
              <w:right w:val="nil"/>
            </w:tcBorders>
            <w:shd w:val="pct10" w:color="auto" w:fill="auto"/>
          </w:tcPr>
          <w:p w:rsidR="00272AA5" w:rsidRPr="00103E70" w:rsidRDefault="00272AA5">
            <w:pPr>
              <w:rPr>
                <w:sz w:val="20"/>
                <w:szCs w:val="20"/>
              </w:rPr>
            </w:pPr>
          </w:p>
        </w:tc>
        <w:tc>
          <w:tcPr>
            <w:tcW w:w="994" w:type="dxa"/>
            <w:tcBorders>
              <w:top w:val="single" w:sz="4" w:space="0" w:color="auto"/>
              <w:left w:val="nil"/>
              <w:bottom w:val="single" w:sz="4" w:space="0" w:color="auto"/>
              <w:right w:val="single" w:sz="4" w:space="0" w:color="auto"/>
            </w:tcBorders>
            <w:shd w:val="pct10" w:color="auto" w:fill="auto"/>
            <w:vAlign w:val="center"/>
          </w:tcPr>
          <w:p w:rsidR="00272AA5" w:rsidRPr="00103E70" w:rsidRDefault="00272AA5">
            <w:pPr>
              <w:rPr>
                <w:sz w:val="20"/>
                <w:szCs w:val="20"/>
              </w:rPr>
            </w:pPr>
          </w:p>
        </w:tc>
      </w:tr>
      <w:tr w:rsidR="00272AA5" w:rsidRPr="00103E70">
        <w:tblPrEx>
          <w:tblCellMar>
            <w:top w:w="0" w:type="dxa"/>
            <w:bottom w:w="0" w:type="dxa"/>
          </w:tblCellMar>
        </w:tblPrEx>
        <w:trPr>
          <w:trHeight w:val="420"/>
        </w:trPr>
        <w:tc>
          <w:tcPr>
            <w:tcW w:w="3687"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b/>
                <w:bCs/>
                <w:sz w:val="20"/>
                <w:szCs w:val="20"/>
              </w:rPr>
              <w:t xml:space="preserve"> </w:t>
            </w:r>
            <w:r w:rsidRPr="00103E70">
              <w:rPr>
                <w:color w:val="000000"/>
                <w:sz w:val="20"/>
                <w:szCs w:val="20"/>
              </w:rPr>
              <w:t>Genomförandeorgan</w:t>
            </w:r>
            <w:r w:rsidRPr="00103E70">
              <w:rPr>
                <w:rStyle w:val="Fotnotsreferens"/>
                <w:color w:val="000000"/>
                <w:sz w:val="20"/>
                <w:szCs w:val="20"/>
              </w:rPr>
              <w:footnoteReference w:id="17"/>
            </w:r>
          </w:p>
          <w:p w:rsidR="00272AA5" w:rsidRPr="00103E70" w:rsidRDefault="00272AA5">
            <w:pPr>
              <w:spacing w:before="0" w:after="0"/>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rPr>
                <w:sz w:val="20"/>
                <w:szCs w:val="20"/>
              </w:rPr>
            </w:pPr>
            <w:r w:rsidRPr="00103E70">
              <w:rPr>
                <w:sz w:val="20"/>
                <w:szCs w:val="20"/>
              </w:rPr>
              <w:t>0</w:t>
            </w: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w:t>
            </w: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rPr>
                <w:sz w:val="20"/>
                <w:szCs w:val="20"/>
              </w:rPr>
            </w:pPr>
            <w:r w:rsidRPr="00103E70">
              <w:rPr>
                <w:sz w:val="20"/>
                <w:szCs w:val="20"/>
              </w:rPr>
              <w:t>0</w:t>
            </w:r>
          </w:p>
        </w:tc>
      </w:tr>
      <w:tr w:rsidR="00272AA5" w:rsidRPr="00103E70">
        <w:tblPrEx>
          <w:tblCellMar>
            <w:top w:w="0" w:type="dxa"/>
            <w:bottom w:w="0" w:type="dxa"/>
          </w:tblCellMar>
        </w:tblPrEx>
        <w:trPr>
          <w:trHeight w:val="420"/>
        </w:trPr>
        <w:tc>
          <w:tcPr>
            <w:tcW w:w="3687"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color w:val="000000"/>
                <w:sz w:val="18"/>
                <w:szCs w:val="18"/>
              </w:rPr>
              <w:t>Övrigt tekniskt och administrativt stöd</w:t>
            </w:r>
          </w:p>
        </w:tc>
        <w:tc>
          <w:tcPr>
            <w:tcW w:w="73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rPr>
                <w:sz w:val="20"/>
                <w:szCs w:val="20"/>
              </w:rPr>
            </w:pPr>
            <w:r w:rsidRPr="00103E70">
              <w:rPr>
                <w:sz w:val="20"/>
                <w:szCs w:val="20"/>
              </w:rPr>
              <w:t>0</w:t>
            </w: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w:t>
            </w: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rPr>
                <w:sz w:val="20"/>
                <w:szCs w:val="20"/>
              </w:rPr>
            </w:pPr>
            <w:r w:rsidRPr="00103E70">
              <w:rPr>
                <w:sz w:val="20"/>
                <w:szCs w:val="20"/>
              </w:rPr>
              <w:t>0</w:t>
            </w:r>
          </w:p>
        </w:tc>
      </w:tr>
      <w:tr w:rsidR="00272AA5" w:rsidRPr="00103E70">
        <w:tblPrEx>
          <w:tblCellMar>
            <w:top w:w="0" w:type="dxa"/>
            <w:bottom w:w="0" w:type="dxa"/>
          </w:tblCellMar>
        </w:tblPrEx>
        <w:trPr>
          <w:trHeight w:val="420"/>
        </w:trPr>
        <w:tc>
          <w:tcPr>
            <w:tcW w:w="3687"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b/>
                <w:bCs/>
                <w:color w:val="000000"/>
                <w:sz w:val="20"/>
                <w:szCs w:val="20"/>
              </w:rPr>
              <w:t xml:space="preserve">- </w:t>
            </w:r>
            <w:r w:rsidRPr="00103E70">
              <w:rPr>
                <w:i/>
                <w:iCs/>
                <w:color w:val="000000"/>
                <w:sz w:val="20"/>
                <w:szCs w:val="20"/>
              </w:rPr>
              <w:t>internt</w:t>
            </w:r>
          </w:p>
        </w:tc>
        <w:tc>
          <w:tcPr>
            <w:tcW w:w="73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rPr>
                <w:sz w:val="20"/>
                <w:szCs w:val="20"/>
              </w:rPr>
            </w:pPr>
          </w:p>
        </w:tc>
      </w:tr>
      <w:tr w:rsidR="00272AA5" w:rsidRPr="00103E70">
        <w:tblPrEx>
          <w:tblCellMar>
            <w:top w:w="0" w:type="dxa"/>
            <w:bottom w:w="0" w:type="dxa"/>
          </w:tblCellMar>
        </w:tblPrEx>
        <w:trPr>
          <w:trHeight w:val="420"/>
        </w:trPr>
        <w:tc>
          <w:tcPr>
            <w:tcW w:w="3687"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b/>
                <w:bCs/>
                <w:color w:val="000000"/>
                <w:sz w:val="20"/>
                <w:szCs w:val="20"/>
              </w:rPr>
              <w:t xml:space="preserve">- </w:t>
            </w:r>
            <w:r w:rsidRPr="00103E70">
              <w:rPr>
                <w:i/>
                <w:iCs/>
                <w:color w:val="000000"/>
                <w:sz w:val="20"/>
                <w:szCs w:val="20"/>
              </w:rPr>
              <w:t>externt</w:t>
            </w:r>
          </w:p>
        </w:tc>
        <w:tc>
          <w:tcPr>
            <w:tcW w:w="73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rPr>
                <w:sz w:val="20"/>
                <w:szCs w:val="20"/>
              </w:rPr>
            </w:pPr>
          </w:p>
        </w:tc>
      </w:tr>
      <w:tr w:rsidR="00272AA5" w:rsidRPr="00103E70">
        <w:tblPrEx>
          <w:tblCellMar>
            <w:top w:w="0" w:type="dxa"/>
            <w:bottom w:w="0" w:type="dxa"/>
          </w:tblCellMar>
        </w:tblPrEx>
        <w:trPr>
          <w:trHeight w:val="420"/>
        </w:trPr>
        <w:tc>
          <w:tcPr>
            <w:tcW w:w="3687"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b/>
                <w:bCs/>
                <w:color w:val="000000"/>
                <w:sz w:val="18"/>
                <w:szCs w:val="18"/>
              </w:rPr>
              <w:t>Totalt tekniskt och administrativt stöd</w:t>
            </w:r>
          </w:p>
        </w:tc>
        <w:tc>
          <w:tcPr>
            <w:tcW w:w="73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rPr>
                <w:sz w:val="20"/>
                <w:szCs w:val="20"/>
              </w:rPr>
            </w:pPr>
            <w:r w:rsidRPr="00103E70">
              <w:rPr>
                <w:sz w:val="20"/>
                <w:szCs w:val="20"/>
              </w:rPr>
              <w:t>0</w:t>
            </w: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w:t>
            </w: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rPr>
                <w:sz w:val="20"/>
                <w:szCs w:val="20"/>
              </w:rPr>
            </w:pPr>
            <w:r w:rsidRPr="00103E70">
              <w:rPr>
                <w:sz w:val="20"/>
                <w:szCs w:val="20"/>
              </w:rPr>
              <w:t>0</w:t>
            </w:r>
          </w:p>
        </w:tc>
      </w:tr>
    </w:tbl>
    <w:p w:rsidR="00272AA5" w:rsidRPr="00103E70" w:rsidRDefault="00272AA5" w:rsidP="00CB3D7F">
      <w:pPr>
        <w:outlineLvl w:val="0"/>
      </w:pPr>
      <w:r w:rsidRPr="00103E70">
        <w:t>8.3.4.</w:t>
      </w:r>
      <w:r w:rsidRPr="00103E70">
        <w:tab/>
      </w:r>
      <w:r w:rsidRPr="00103E70">
        <w:rPr>
          <w:color w:val="000000"/>
        </w:rPr>
        <w:t xml:space="preserve">Finansiella kostnader för personal och därmed sammanhängande kostnader som </w:t>
      </w:r>
      <w:r w:rsidRPr="00103E70">
        <w:rPr>
          <w:color w:val="000000"/>
          <w:u w:val="single"/>
        </w:rPr>
        <w:t>inte</w:t>
      </w:r>
      <w:r w:rsidRPr="00103E70">
        <w:rPr>
          <w:color w:val="000000"/>
        </w:rPr>
        <w:t xml:space="preserve"> inkluderats i referensbeloppet</w:t>
      </w:r>
    </w:p>
    <w:p w:rsidR="00272AA5" w:rsidRPr="00103E70" w:rsidRDefault="00272AA5">
      <w:pPr>
        <w:pStyle w:val="NormalRight"/>
        <w:rPr>
          <w:i/>
          <w:iCs/>
        </w:rPr>
      </w:pPr>
      <w:r w:rsidRPr="00103E70">
        <w:rPr>
          <w:i/>
          <w:iCs/>
          <w:color w:val="000000"/>
          <w:sz w:val="20"/>
          <w:szCs w:val="20"/>
        </w:rPr>
        <w:t>Miljoner euro (avrundat till tre decimaler)</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3"/>
        <w:gridCol w:w="1008"/>
        <w:gridCol w:w="1009"/>
        <w:gridCol w:w="1008"/>
        <w:gridCol w:w="1009"/>
        <w:gridCol w:w="1008"/>
        <w:gridCol w:w="1009"/>
      </w:tblGrid>
      <w:tr w:rsidR="00272AA5" w:rsidRPr="00103E70">
        <w:tblPrEx>
          <w:tblCellMar>
            <w:top w:w="0" w:type="dxa"/>
            <w:bottom w:w="0" w:type="dxa"/>
          </w:tblCellMar>
        </w:tblPrEx>
        <w:trPr>
          <w:trHeight w:val="391"/>
        </w:trPr>
        <w:tc>
          <w:tcPr>
            <w:tcW w:w="3563"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color w:val="000000"/>
                <w:sz w:val="20"/>
                <w:szCs w:val="20"/>
              </w:rPr>
              <w:t>Typ av personal</w:t>
            </w:r>
          </w:p>
        </w:tc>
        <w:tc>
          <w:tcPr>
            <w:tcW w:w="100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rPr>
                <w:sz w:val="20"/>
                <w:szCs w:val="20"/>
              </w:rPr>
            </w:pPr>
            <w:r w:rsidRPr="00103E70">
              <w:rPr>
                <w:sz w:val="20"/>
                <w:szCs w:val="20"/>
              </w:rPr>
              <w:t>2007</w:t>
            </w:r>
          </w:p>
        </w:tc>
        <w:tc>
          <w:tcPr>
            <w:tcW w:w="1009"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rPr>
                <w:sz w:val="20"/>
                <w:szCs w:val="20"/>
              </w:rPr>
            </w:pPr>
            <w:r w:rsidRPr="00103E70">
              <w:rPr>
                <w:sz w:val="20"/>
                <w:szCs w:val="20"/>
              </w:rPr>
              <w:t>2008</w:t>
            </w:r>
          </w:p>
        </w:tc>
        <w:tc>
          <w:tcPr>
            <w:tcW w:w="100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rPr>
                <w:sz w:val="20"/>
                <w:szCs w:val="20"/>
              </w:rPr>
            </w:pPr>
            <w:r w:rsidRPr="00103E70">
              <w:rPr>
                <w:sz w:val="20"/>
                <w:szCs w:val="20"/>
              </w:rPr>
              <w:t>2009</w:t>
            </w:r>
          </w:p>
        </w:tc>
        <w:tc>
          <w:tcPr>
            <w:tcW w:w="1009"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rPr>
                <w:sz w:val="20"/>
                <w:szCs w:val="20"/>
              </w:rPr>
            </w:pPr>
            <w:r w:rsidRPr="00103E70">
              <w:rPr>
                <w:sz w:val="20"/>
                <w:szCs w:val="20"/>
              </w:rPr>
              <w:t>2010</w:t>
            </w:r>
          </w:p>
        </w:tc>
        <w:tc>
          <w:tcPr>
            <w:tcW w:w="100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rPr>
                <w:sz w:val="20"/>
                <w:szCs w:val="20"/>
              </w:rPr>
            </w:pPr>
            <w:r w:rsidRPr="00103E70">
              <w:rPr>
                <w:sz w:val="20"/>
                <w:szCs w:val="20"/>
              </w:rPr>
              <w:t>2011</w:t>
            </w:r>
          </w:p>
        </w:tc>
        <w:tc>
          <w:tcPr>
            <w:tcW w:w="1009"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2012</w:t>
            </w:r>
          </w:p>
        </w:tc>
      </w:tr>
      <w:tr w:rsidR="00272AA5" w:rsidRPr="00103E70">
        <w:tblPrEx>
          <w:tblCellMar>
            <w:top w:w="0" w:type="dxa"/>
            <w:bottom w:w="0" w:type="dxa"/>
          </w:tblCellMar>
        </w:tblPrEx>
        <w:trPr>
          <w:cantSplit/>
          <w:trHeight w:val="684"/>
        </w:trPr>
        <w:tc>
          <w:tcPr>
            <w:tcW w:w="3563"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color w:val="000000"/>
                <w:sz w:val="20"/>
                <w:szCs w:val="20"/>
              </w:rPr>
              <w:t>Tjänstemän och tillfälligt anställda (XX 01 01)</w:t>
            </w:r>
          </w:p>
        </w:tc>
        <w:tc>
          <w:tcPr>
            <w:tcW w:w="1008" w:type="dxa"/>
            <w:tcBorders>
              <w:top w:val="single" w:sz="4" w:space="0" w:color="auto"/>
              <w:left w:val="single" w:sz="4" w:space="0" w:color="auto"/>
              <w:bottom w:val="single" w:sz="4" w:space="0" w:color="auto"/>
              <w:right w:val="single" w:sz="4" w:space="0" w:color="auto"/>
            </w:tcBorders>
          </w:tcPr>
          <w:p w:rsidR="00272AA5" w:rsidRPr="00103E70" w:rsidRDefault="00272AA5">
            <w:pPr>
              <w:spacing w:before="0" w:after="0"/>
              <w:rPr>
                <w:sz w:val="20"/>
                <w:szCs w:val="20"/>
              </w:rPr>
            </w:pPr>
          </w:p>
          <w:p w:rsidR="00272AA5" w:rsidRPr="00103E70" w:rsidRDefault="00272AA5">
            <w:pPr>
              <w:spacing w:before="0" w:after="0"/>
              <w:rPr>
                <w:sz w:val="20"/>
                <w:szCs w:val="20"/>
              </w:rPr>
            </w:pPr>
            <w:r w:rsidRPr="00103E70">
              <w:rPr>
                <w:sz w:val="20"/>
                <w:szCs w:val="20"/>
              </w:rPr>
              <w:t>0,324</w:t>
            </w:r>
          </w:p>
        </w:tc>
        <w:tc>
          <w:tcPr>
            <w:tcW w:w="1009" w:type="dxa"/>
            <w:tcBorders>
              <w:top w:val="single" w:sz="4" w:space="0" w:color="auto"/>
              <w:left w:val="single" w:sz="4" w:space="0" w:color="auto"/>
              <w:bottom w:val="single" w:sz="4" w:space="0" w:color="auto"/>
              <w:right w:val="single" w:sz="4" w:space="0" w:color="auto"/>
            </w:tcBorders>
          </w:tcPr>
          <w:p w:rsidR="00272AA5" w:rsidRPr="00103E70" w:rsidRDefault="00272AA5">
            <w:pPr>
              <w:spacing w:before="0" w:after="0"/>
              <w:rPr>
                <w:sz w:val="20"/>
                <w:szCs w:val="20"/>
              </w:rPr>
            </w:pPr>
          </w:p>
          <w:p w:rsidR="00272AA5" w:rsidRPr="00103E70" w:rsidRDefault="00272AA5">
            <w:pPr>
              <w:spacing w:before="0" w:after="0"/>
              <w:rPr>
                <w:sz w:val="20"/>
                <w:szCs w:val="20"/>
              </w:rPr>
            </w:pPr>
            <w:r w:rsidRPr="00103E70">
              <w:rPr>
                <w:sz w:val="20"/>
                <w:szCs w:val="20"/>
              </w:rPr>
              <w:t>0,324</w:t>
            </w:r>
          </w:p>
        </w:tc>
        <w:tc>
          <w:tcPr>
            <w:tcW w:w="1008" w:type="dxa"/>
            <w:tcBorders>
              <w:top w:val="single" w:sz="4" w:space="0" w:color="auto"/>
              <w:left w:val="single" w:sz="4" w:space="0" w:color="auto"/>
              <w:bottom w:val="single" w:sz="4" w:space="0" w:color="auto"/>
              <w:right w:val="single" w:sz="4" w:space="0" w:color="auto"/>
            </w:tcBorders>
          </w:tcPr>
          <w:p w:rsidR="00272AA5" w:rsidRPr="00103E70" w:rsidRDefault="00272AA5">
            <w:pPr>
              <w:spacing w:before="0" w:after="0"/>
              <w:rPr>
                <w:sz w:val="20"/>
                <w:szCs w:val="20"/>
              </w:rPr>
            </w:pPr>
          </w:p>
          <w:p w:rsidR="00272AA5" w:rsidRPr="00103E70" w:rsidRDefault="00272AA5">
            <w:pPr>
              <w:spacing w:before="0" w:after="0"/>
              <w:rPr>
                <w:sz w:val="20"/>
                <w:szCs w:val="20"/>
              </w:rPr>
            </w:pPr>
            <w:r w:rsidRPr="00103E70">
              <w:rPr>
                <w:sz w:val="20"/>
                <w:szCs w:val="20"/>
              </w:rPr>
              <w:t>0,054</w:t>
            </w:r>
          </w:p>
        </w:tc>
        <w:tc>
          <w:tcPr>
            <w:tcW w:w="1009"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p w:rsidR="00272AA5" w:rsidRPr="00103E70" w:rsidRDefault="00272AA5">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r>
      <w:tr w:rsidR="00272AA5" w:rsidRPr="00103E70">
        <w:tblPrEx>
          <w:tblCellMar>
            <w:top w:w="0" w:type="dxa"/>
            <w:bottom w:w="0" w:type="dxa"/>
          </w:tblCellMar>
        </w:tblPrEx>
        <w:trPr>
          <w:cantSplit/>
          <w:trHeight w:val="684"/>
        </w:trPr>
        <w:tc>
          <w:tcPr>
            <w:tcW w:w="3563"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rPr>
                <w:sz w:val="20"/>
                <w:szCs w:val="20"/>
              </w:rPr>
            </w:pPr>
            <w:r w:rsidRPr="00103E70">
              <w:rPr>
                <w:color w:val="000000"/>
                <w:sz w:val="20"/>
                <w:szCs w:val="20"/>
              </w:rPr>
              <w:t>Personal som finansieras genom artikel XX 01 02 (extraanställda, nationella experter, kontraktsanställda, etc.)</w:t>
            </w:r>
          </w:p>
          <w:p w:rsidR="00272AA5" w:rsidRPr="00103E70" w:rsidRDefault="00272AA5">
            <w:pPr>
              <w:jc w:val="right"/>
            </w:pPr>
            <w:r w:rsidRPr="00103E70">
              <w:rPr>
                <w:color w:val="000000"/>
                <w:sz w:val="20"/>
                <w:szCs w:val="20"/>
              </w:rPr>
              <w:t>(ange budgetrubrik)</w:t>
            </w:r>
          </w:p>
        </w:tc>
        <w:tc>
          <w:tcPr>
            <w:tcW w:w="1008"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0,054</w:t>
            </w:r>
          </w:p>
        </w:tc>
        <w:tc>
          <w:tcPr>
            <w:tcW w:w="1009"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0,108</w:t>
            </w:r>
          </w:p>
        </w:tc>
        <w:tc>
          <w:tcPr>
            <w:tcW w:w="1008"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0,054</w:t>
            </w:r>
          </w:p>
        </w:tc>
        <w:tc>
          <w:tcPr>
            <w:tcW w:w="1009"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1008"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r>
      <w:tr w:rsidR="00272AA5" w:rsidRPr="00103E70">
        <w:tblPrEx>
          <w:tblCellMar>
            <w:top w:w="0" w:type="dxa"/>
            <w:bottom w:w="0" w:type="dxa"/>
          </w:tblCellMar>
        </w:tblPrEx>
        <w:trPr>
          <w:cantSplit/>
          <w:trHeight w:val="303"/>
        </w:trPr>
        <w:tc>
          <w:tcPr>
            <w:tcW w:w="3563"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right"/>
            </w:pPr>
            <w:r w:rsidRPr="00103E70">
              <w:rPr>
                <w:b/>
                <w:bCs/>
                <w:color w:val="000000"/>
                <w:sz w:val="20"/>
                <w:szCs w:val="20"/>
              </w:rPr>
              <w:t>Totala kostnader för personal och därmed sammanhängande kostnader (som INTE ingår i referensbeloppet)</w:t>
            </w:r>
          </w:p>
        </w:tc>
        <w:tc>
          <w:tcPr>
            <w:tcW w:w="1008" w:type="dxa"/>
            <w:tcBorders>
              <w:top w:val="single" w:sz="4" w:space="0" w:color="auto"/>
              <w:left w:val="single" w:sz="4" w:space="0" w:color="auto"/>
              <w:bottom w:val="single" w:sz="4" w:space="0" w:color="auto"/>
              <w:right w:val="single" w:sz="4" w:space="0" w:color="auto"/>
            </w:tcBorders>
          </w:tcPr>
          <w:p w:rsidR="00272AA5" w:rsidRPr="00103E70" w:rsidRDefault="00272AA5">
            <w:pPr>
              <w:rPr>
                <w:b/>
                <w:bCs/>
                <w:sz w:val="20"/>
                <w:szCs w:val="20"/>
              </w:rPr>
            </w:pPr>
            <w:r w:rsidRPr="00103E70">
              <w:rPr>
                <w:b/>
                <w:bCs/>
                <w:sz w:val="20"/>
                <w:szCs w:val="20"/>
              </w:rPr>
              <w:t>0,378</w:t>
            </w:r>
          </w:p>
        </w:tc>
        <w:tc>
          <w:tcPr>
            <w:tcW w:w="1009" w:type="dxa"/>
            <w:tcBorders>
              <w:top w:val="single" w:sz="4" w:space="0" w:color="auto"/>
              <w:left w:val="single" w:sz="4" w:space="0" w:color="auto"/>
              <w:bottom w:val="single" w:sz="4" w:space="0" w:color="auto"/>
              <w:right w:val="single" w:sz="4" w:space="0" w:color="auto"/>
            </w:tcBorders>
          </w:tcPr>
          <w:p w:rsidR="00272AA5" w:rsidRPr="00103E70" w:rsidRDefault="00272AA5">
            <w:pPr>
              <w:rPr>
                <w:b/>
                <w:bCs/>
                <w:sz w:val="20"/>
                <w:szCs w:val="20"/>
              </w:rPr>
            </w:pPr>
            <w:r w:rsidRPr="00103E70">
              <w:rPr>
                <w:b/>
                <w:bCs/>
                <w:sz w:val="20"/>
                <w:szCs w:val="20"/>
              </w:rPr>
              <w:t>0,432</w:t>
            </w:r>
          </w:p>
        </w:tc>
        <w:tc>
          <w:tcPr>
            <w:tcW w:w="1008" w:type="dxa"/>
            <w:tcBorders>
              <w:top w:val="single" w:sz="4" w:space="0" w:color="auto"/>
              <w:left w:val="single" w:sz="4" w:space="0" w:color="auto"/>
              <w:bottom w:val="single" w:sz="4" w:space="0" w:color="auto"/>
              <w:right w:val="single" w:sz="4" w:space="0" w:color="auto"/>
            </w:tcBorders>
          </w:tcPr>
          <w:p w:rsidR="00272AA5" w:rsidRPr="00103E70" w:rsidRDefault="00272AA5">
            <w:pPr>
              <w:rPr>
                <w:b/>
                <w:bCs/>
                <w:sz w:val="20"/>
                <w:szCs w:val="20"/>
              </w:rPr>
            </w:pPr>
            <w:r w:rsidRPr="00103E70">
              <w:rPr>
                <w:b/>
                <w:bCs/>
                <w:sz w:val="20"/>
                <w:szCs w:val="20"/>
              </w:rPr>
              <w:t>0,108</w:t>
            </w:r>
          </w:p>
        </w:tc>
        <w:tc>
          <w:tcPr>
            <w:tcW w:w="1009" w:type="dxa"/>
            <w:tcBorders>
              <w:top w:val="single" w:sz="4" w:space="0" w:color="auto"/>
              <w:left w:val="single" w:sz="4" w:space="0" w:color="auto"/>
              <w:bottom w:val="single" w:sz="4" w:space="0" w:color="auto"/>
              <w:right w:val="single" w:sz="4" w:space="0" w:color="auto"/>
            </w:tcBorders>
          </w:tcPr>
          <w:p w:rsidR="00272AA5" w:rsidRPr="00103E70" w:rsidRDefault="00272AA5">
            <w:pPr>
              <w:rPr>
                <w:b/>
                <w:bCs/>
                <w:sz w:val="20"/>
                <w:szCs w:val="20"/>
              </w:rPr>
            </w:pPr>
          </w:p>
        </w:tc>
        <w:tc>
          <w:tcPr>
            <w:tcW w:w="1008" w:type="dxa"/>
            <w:tcBorders>
              <w:top w:val="single" w:sz="4" w:space="0" w:color="auto"/>
              <w:left w:val="single" w:sz="4" w:space="0" w:color="auto"/>
              <w:bottom w:val="single" w:sz="4" w:space="0" w:color="auto"/>
              <w:right w:val="single" w:sz="4" w:space="0" w:color="auto"/>
            </w:tcBorders>
          </w:tcPr>
          <w:p w:rsidR="00272AA5" w:rsidRPr="00103E70" w:rsidRDefault="00272AA5">
            <w:pPr>
              <w:rPr>
                <w:b/>
                <w:bCs/>
                <w:sz w:val="20"/>
                <w:szCs w:val="20"/>
              </w:rPr>
            </w:pPr>
          </w:p>
        </w:tc>
        <w:tc>
          <w:tcPr>
            <w:tcW w:w="1009" w:type="dxa"/>
            <w:tcBorders>
              <w:top w:val="single" w:sz="4" w:space="0" w:color="auto"/>
              <w:left w:val="single" w:sz="4" w:space="0" w:color="auto"/>
              <w:bottom w:val="single" w:sz="4" w:space="0" w:color="auto"/>
              <w:right w:val="single" w:sz="4" w:space="0" w:color="auto"/>
            </w:tcBorders>
          </w:tcPr>
          <w:p w:rsidR="00272AA5" w:rsidRPr="00103E70" w:rsidRDefault="00272AA5">
            <w:pPr>
              <w:rPr>
                <w:b/>
                <w:bCs/>
                <w:sz w:val="20"/>
                <w:szCs w:val="20"/>
              </w:rPr>
            </w:pPr>
          </w:p>
        </w:tc>
      </w:tr>
    </w:tbl>
    <w:p w:rsidR="00272AA5" w:rsidRPr="00103E70" w:rsidRDefault="00272AA5">
      <w:pPr>
        <w:pBdr>
          <w:top w:val="single" w:sz="4" w:space="1" w:color="auto"/>
          <w:left w:val="single" w:sz="4" w:space="4" w:color="auto"/>
          <w:bottom w:val="single" w:sz="4" w:space="1" w:color="auto"/>
          <w:right w:val="single" w:sz="4" w:space="4" w:color="auto"/>
        </w:pBdr>
      </w:pPr>
      <w:r w:rsidRPr="00103E70">
        <w:rPr>
          <w:color w:val="000000"/>
        </w:rPr>
        <w:t xml:space="preserve">Beräkning – </w:t>
      </w:r>
      <w:r w:rsidRPr="00103E70">
        <w:rPr>
          <w:b/>
          <w:bCs/>
          <w:i/>
          <w:iCs/>
          <w:color w:val="000000"/>
        </w:rPr>
        <w:t>Tjänstemän och tillfälligt anställda</w:t>
      </w:r>
    </w:p>
    <w:p w:rsidR="00272AA5" w:rsidRPr="00103E70" w:rsidRDefault="00272AA5">
      <w:pPr>
        <w:pBdr>
          <w:top w:val="single" w:sz="4" w:space="1" w:color="auto"/>
          <w:left w:val="single" w:sz="4" w:space="4" w:color="auto"/>
          <w:bottom w:val="single" w:sz="4" w:space="1" w:color="auto"/>
          <w:right w:val="single" w:sz="4" w:space="4" w:color="auto"/>
        </w:pBdr>
        <w:rPr>
          <w:i/>
          <w:iCs/>
        </w:rPr>
      </w:pPr>
      <w:r w:rsidRPr="00103E70">
        <w:rPr>
          <w:i/>
          <w:iCs/>
          <w:color w:val="000000"/>
        </w:rPr>
        <w:t>I förekommande fall skall en hänvisning göras till punkt 8.2.1.</w:t>
      </w:r>
    </w:p>
    <w:p w:rsidR="00272AA5" w:rsidRPr="00103E70" w:rsidRDefault="00272AA5">
      <w:pPr>
        <w:pBdr>
          <w:top w:val="single" w:sz="4" w:space="1" w:color="auto"/>
          <w:left w:val="single" w:sz="4" w:space="4" w:color="auto"/>
          <w:bottom w:val="single" w:sz="4" w:space="1" w:color="auto"/>
          <w:right w:val="single" w:sz="4" w:space="4" w:color="auto"/>
        </w:pBdr>
        <w:rPr>
          <w:i/>
          <w:iCs/>
        </w:rPr>
      </w:pPr>
      <w:r w:rsidRPr="00103E70">
        <w:rPr>
          <w:i/>
          <w:iCs/>
          <w:color w:val="000000"/>
        </w:rPr>
        <w:t>Den typiska kostnad som fastställs för tjänstemännen (personalutgifter och därtill hörande utgifter) i riktlinjerna är 108 000 euro.</w:t>
      </w:r>
    </w:p>
    <w:p w:rsidR="00272AA5" w:rsidRPr="00103E70" w:rsidRDefault="00272AA5">
      <w:r w:rsidRPr="00103E70">
        <w:t>.</w:t>
      </w:r>
    </w:p>
    <w:p w:rsidR="00272AA5" w:rsidRPr="00103E70" w:rsidRDefault="00272AA5" w:rsidP="00CB3D7F">
      <w:pPr>
        <w:pBdr>
          <w:top w:val="single" w:sz="4" w:space="1" w:color="auto"/>
          <w:left w:val="single" w:sz="4" w:space="4" w:color="auto"/>
          <w:bottom w:val="single" w:sz="4" w:space="1" w:color="auto"/>
          <w:right w:val="single" w:sz="4" w:space="4" w:color="auto"/>
        </w:pBdr>
        <w:outlineLvl w:val="0"/>
      </w:pPr>
      <w:r w:rsidRPr="00103E70">
        <w:rPr>
          <w:color w:val="000000"/>
        </w:rPr>
        <w:t xml:space="preserve">Beräkning – </w:t>
      </w:r>
      <w:r w:rsidRPr="00103E70">
        <w:rPr>
          <w:b/>
          <w:bCs/>
          <w:i/>
          <w:iCs/>
          <w:color w:val="000000"/>
        </w:rPr>
        <w:t>Personal som finansieras inom ramen för artikel XX 01 02</w:t>
      </w:r>
    </w:p>
    <w:p w:rsidR="00272AA5" w:rsidRPr="00103E70" w:rsidRDefault="00272AA5" w:rsidP="00CB3D7F">
      <w:pPr>
        <w:pBdr>
          <w:top w:val="single" w:sz="4" w:space="1" w:color="auto"/>
          <w:left w:val="single" w:sz="4" w:space="4" w:color="auto"/>
          <w:bottom w:val="single" w:sz="4" w:space="1" w:color="auto"/>
          <w:right w:val="single" w:sz="4" w:space="4" w:color="auto"/>
        </w:pBdr>
        <w:outlineLvl w:val="0"/>
      </w:pPr>
      <w:r w:rsidRPr="00103E70">
        <w:rPr>
          <w:i/>
          <w:iCs/>
          <w:color w:val="000000"/>
        </w:rPr>
        <w:t>I förekommande fall skall en hänvisning göras till punkt 8.2.1.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8"/>
        <w:gridCol w:w="800"/>
        <w:gridCol w:w="800"/>
        <w:gridCol w:w="800"/>
        <w:gridCol w:w="800"/>
        <w:gridCol w:w="800"/>
        <w:gridCol w:w="800"/>
        <w:gridCol w:w="960"/>
      </w:tblGrid>
      <w:tr w:rsidR="00272AA5" w:rsidRPr="00103E70">
        <w:tblPrEx>
          <w:tblCellMar>
            <w:top w:w="0" w:type="dxa"/>
            <w:bottom w:w="0" w:type="dxa"/>
          </w:tblCellMar>
        </w:tblPrEx>
        <w:trPr>
          <w:trHeight w:val="420"/>
        </w:trPr>
        <w:tc>
          <w:tcPr>
            <w:tcW w:w="9228" w:type="dxa"/>
            <w:gridSpan w:val="8"/>
            <w:tcBorders>
              <w:top w:val="nil"/>
              <w:left w:val="nil"/>
              <w:bottom w:val="single" w:sz="4" w:space="0" w:color="auto"/>
              <w:right w:val="nil"/>
            </w:tcBorders>
            <w:vAlign w:val="center"/>
          </w:tcPr>
          <w:p w:rsidR="00272AA5" w:rsidRPr="00103E70" w:rsidRDefault="00272AA5"/>
          <w:p w:rsidR="00272AA5" w:rsidRPr="00103E70" w:rsidRDefault="00272AA5">
            <w:r w:rsidRPr="00103E70">
              <w:t xml:space="preserve">8.3.5. </w:t>
            </w:r>
            <w:r w:rsidRPr="00103E70">
              <w:rPr>
                <w:color w:val="000000"/>
              </w:rPr>
              <w:t xml:space="preserve">Övriga administrativa utgifter som </w:t>
            </w:r>
            <w:r w:rsidRPr="00103E70">
              <w:rPr>
                <w:color w:val="000000"/>
                <w:u w:val="single"/>
              </w:rPr>
              <w:t>inte</w:t>
            </w:r>
            <w:r w:rsidRPr="00103E70">
              <w:rPr>
                <w:color w:val="000000"/>
              </w:rPr>
              <w:t xml:space="preserve"> ingår i referensbeloppet</w:t>
            </w:r>
          </w:p>
          <w:p w:rsidR="00272AA5" w:rsidRPr="00103E70" w:rsidRDefault="00272AA5">
            <w:pPr>
              <w:jc w:val="right"/>
            </w:pPr>
            <w:r w:rsidRPr="00103E70">
              <w:rPr>
                <w:i/>
                <w:iCs/>
                <w:color w:val="000000"/>
                <w:sz w:val="20"/>
                <w:szCs w:val="20"/>
              </w:rPr>
              <w:t>Miljoner euro (avrundat till tre decimaler)</w:t>
            </w:r>
          </w:p>
        </w:tc>
      </w:tr>
      <w:tr w:rsidR="00272AA5" w:rsidRPr="00103E70">
        <w:tblPrEx>
          <w:tblCellMar>
            <w:top w:w="0" w:type="dxa"/>
            <w:bottom w:w="0" w:type="dxa"/>
          </w:tblCellMar>
        </w:tblPrEx>
        <w:trPr>
          <w:trHeight w:val="420"/>
        </w:trPr>
        <w:tc>
          <w:tcPr>
            <w:tcW w:w="346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ind w:left="360" w:hanging="360"/>
              <w:rPr>
                <w:b/>
                <w:bCs/>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ind w:left="-57" w:right="-57"/>
              <w:jc w:val="center"/>
              <w:rPr>
                <w:sz w:val="20"/>
                <w:szCs w:val="20"/>
              </w:rPr>
            </w:pPr>
            <w:r w:rsidRPr="00103E70">
              <w:rPr>
                <w:sz w:val="20"/>
                <w:szCs w:val="20"/>
              </w:rPr>
              <w:t>2007</w:t>
            </w:r>
          </w:p>
        </w:tc>
        <w:tc>
          <w:tcPr>
            <w:tcW w:w="800"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ind w:left="-57" w:right="-57"/>
              <w:jc w:val="center"/>
              <w:rPr>
                <w:sz w:val="20"/>
                <w:szCs w:val="20"/>
              </w:rPr>
            </w:pPr>
            <w:r w:rsidRPr="00103E70">
              <w:rPr>
                <w:sz w:val="20"/>
                <w:szCs w:val="20"/>
              </w:rPr>
              <w:t>2008</w:t>
            </w:r>
          </w:p>
        </w:tc>
        <w:tc>
          <w:tcPr>
            <w:tcW w:w="800"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ind w:left="-57" w:right="-57"/>
              <w:jc w:val="center"/>
              <w:rPr>
                <w:sz w:val="20"/>
                <w:szCs w:val="20"/>
              </w:rPr>
            </w:pPr>
            <w:r w:rsidRPr="00103E70">
              <w:rPr>
                <w:sz w:val="20"/>
                <w:szCs w:val="20"/>
              </w:rPr>
              <w:t>2009</w:t>
            </w:r>
          </w:p>
        </w:tc>
        <w:tc>
          <w:tcPr>
            <w:tcW w:w="800"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ind w:left="-57" w:right="-57"/>
              <w:jc w:val="center"/>
              <w:rPr>
                <w:sz w:val="20"/>
                <w:szCs w:val="20"/>
              </w:rPr>
            </w:pPr>
            <w:r w:rsidRPr="00103E70">
              <w:rPr>
                <w:sz w:val="20"/>
                <w:szCs w:val="20"/>
              </w:rPr>
              <w:t>2010</w:t>
            </w:r>
          </w:p>
        </w:tc>
        <w:tc>
          <w:tcPr>
            <w:tcW w:w="800"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ind w:left="-57" w:right="-57"/>
              <w:jc w:val="center"/>
              <w:rPr>
                <w:sz w:val="20"/>
                <w:szCs w:val="20"/>
              </w:rPr>
            </w:pPr>
            <w:r w:rsidRPr="00103E70">
              <w:rPr>
                <w:sz w:val="20"/>
                <w:szCs w:val="20"/>
              </w:rPr>
              <w:t>2011</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ind w:left="-57" w:right="-57"/>
              <w:jc w:val="center"/>
              <w:rPr>
                <w:sz w:val="20"/>
                <w:szCs w:val="20"/>
              </w:rPr>
            </w:pPr>
            <w:r w:rsidRPr="00103E70">
              <w:rPr>
                <w:sz w:val="20"/>
                <w:szCs w:val="20"/>
              </w:rPr>
              <w:t>2012</w:t>
            </w:r>
          </w:p>
        </w:tc>
        <w:tc>
          <w:tcPr>
            <w:tcW w:w="960"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ind w:left="-57" w:right="-57"/>
              <w:jc w:val="center"/>
            </w:pPr>
            <w:r w:rsidRPr="00103E70">
              <w:rPr>
                <w:color w:val="000000"/>
                <w:sz w:val="20"/>
                <w:szCs w:val="20"/>
              </w:rPr>
              <w:t>TOTALT</w:t>
            </w:r>
          </w:p>
        </w:tc>
      </w:tr>
      <w:tr w:rsidR="00272AA5" w:rsidRPr="00103E70">
        <w:tblPrEx>
          <w:tblCellMar>
            <w:top w:w="0" w:type="dxa"/>
            <w:bottom w:w="0" w:type="dxa"/>
          </w:tblCellMar>
        </w:tblPrEx>
        <w:trPr>
          <w:trHeight w:val="455"/>
        </w:trPr>
        <w:tc>
          <w:tcPr>
            <w:tcW w:w="346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color w:val="000000"/>
                <w:sz w:val="18"/>
                <w:szCs w:val="18"/>
              </w:rPr>
              <w:t>XX 01 02 11 01 – Tjänsteresor</w:t>
            </w:r>
          </w:p>
        </w:tc>
        <w:tc>
          <w:tcPr>
            <w:tcW w:w="800"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rPr>
                <w:sz w:val="20"/>
                <w:szCs w:val="20"/>
              </w:rPr>
            </w:pPr>
            <w:r w:rsidRPr="00103E70">
              <w:rPr>
                <w:sz w:val="20"/>
                <w:szCs w:val="20"/>
              </w:rPr>
              <w:t>0,010</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0,030</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rPr>
                <w:sz w:val="20"/>
                <w:szCs w:val="20"/>
              </w:rPr>
            </w:pPr>
            <w:r w:rsidRPr="00103E70">
              <w:rPr>
                <w:sz w:val="20"/>
                <w:szCs w:val="20"/>
              </w:rPr>
              <w:t>0,040</w:t>
            </w:r>
          </w:p>
        </w:tc>
      </w:tr>
      <w:tr w:rsidR="00272AA5" w:rsidRPr="00103E70">
        <w:tblPrEx>
          <w:tblCellMar>
            <w:top w:w="0" w:type="dxa"/>
            <w:bottom w:w="0" w:type="dxa"/>
          </w:tblCellMar>
        </w:tblPrEx>
        <w:trPr>
          <w:trHeight w:val="454"/>
        </w:trPr>
        <w:tc>
          <w:tcPr>
            <w:tcW w:w="346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color w:val="000000"/>
                <w:sz w:val="18"/>
                <w:szCs w:val="18"/>
              </w:rPr>
              <w:t>XX 01 02 11 02 – Konferenser och möten</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r>
      <w:tr w:rsidR="00272AA5" w:rsidRPr="00103E70">
        <w:tblPrEx>
          <w:tblCellMar>
            <w:top w:w="0" w:type="dxa"/>
            <w:bottom w:w="0" w:type="dxa"/>
          </w:tblCellMar>
        </w:tblPrEx>
        <w:trPr>
          <w:trHeight w:val="454"/>
        </w:trPr>
        <w:tc>
          <w:tcPr>
            <w:tcW w:w="346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color w:val="000000"/>
                <w:sz w:val="18"/>
                <w:szCs w:val="18"/>
              </w:rPr>
              <w:t>XX 01 02 11 03 - Kommittémöten</w:t>
            </w:r>
            <w:r w:rsidRPr="00103E70">
              <w:rPr>
                <w:rStyle w:val="Fotnotsreferens"/>
                <w:color w:val="000000"/>
                <w:sz w:val="18"/>
                <w:szCs w:val="18"/>
              </w:rPr>
              <w:footnoteReference w:id="18"/>
            </w:r>
          </w:p>
          <w:p w:rsidR="00272AA5" w:rsidRPr="00103E70" w:rsidRDefault="00272AA5">
            <w:pPr>
              <w:spacing w:before="0" w:after="0"/>
              <w:rPr>
                <w:sz w:val="18"/>
                <w:szCs w:val="18"/>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0,016</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0,034</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0,016</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0, 066</w:t>
            </w:r>
          </w:p>
        </w:tc>
      </w:tr>
      <w:tr w:rsidR="00272AA5" w:rsidRPr="00103E70">
        <w:tblPrEx>
          <w:tblCellMar>
            <w:top w:w="0" w:type="dxa"/>
            <w:bottom w:w="0" w:type="dxa"/>
          </w:tblCellMar>
        </w:tblPrEx>
        <w:trPr>
          <w:trHeight w:val="454"/>
        </w:trPr>
        <w:tc>
          <w:tcPr>
            <w:tcW w:w="346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color w:val="000000"/>
                <w:sz w:val="18"/>
                <w:szCs w:val="18"/>
              </w:rPr>
              <w:t>XX 01 02 11 04 – Studier och samråd</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r>
      <w:tr w:rsidR="00272AA5" w:rsidRPr="00103E70">
        <w:tblPrEx>
          <w:tblCellMar>
            <w:top w:w="0" w:type="dxa"/>
            <w:bottom w:w="0" w:type="dxa"/>
          </w:tblCellMar>
        </w:tblPrEx>
        <w:trPr>
          <w:trHeight w:val="435"/>
        </w:trPr>
        <w:tc>
          <w:tcPr>
            <w:tcW w:w="346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r w:rsidRPr="00103E70">
              <w:rPr>
                <w:color w:val="000000"/>
                <w:sz w:val="18"/>
                <w:szCs w:val="18"/>
              </w:rPr>
              <w:t>XX 01 02 11 05 - Informationssystem</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r>
      <w:tr w:rsidR="00272AA5" w:rsidRPr="00103E70">
        <w:tblPrEx>
          <w:tblCellMar>
            <w:top w:w="0" w:type="dxa"/>
            <w:bottom w:w="0" w:type="dxa"/>
          </w:tblCellMar>
        </w:tblPrEx>
        <w:trPr>
          <w:trHeight w:val="426"/>
        </w:trPr>
        <w:tc>
          <w:tcPr>
            <w:tcW w:w="346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ind w:left="360" w:hanging="360"/>
            </w:pPr>
            <w:r w:rsidRPr="00103E70">
              <w:rPr>
                <w:b/>
                <w:bCs/>
                <w:sz w:val="20"/>
                <w:szCs w:val="20"/>
              </w:rPr>
              <w:t xml:space="preserve">2. </w:t>
            </w:r>
            <w:r w:rsidRPr="00103E70">
              <w:rPr>
                <w:b/>
                <w:bCs/>
                <w:color w:val="000000"/>
                <w:sz w:val="20"/>
                <w:szCs w:val="20"/>
              </w:rPr>
              <w:t>Övriga förvaltningsutgifter totalt (XX 01 02 11)</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0,026</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0,064</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0,016</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r w:rsidRPr="00103E70">
              <w:rPr>
                <w:sz w:val="20"/>
                <w:szCs w:val="20"/>
              </w:rPr>
              <w:t>0,106</w:t>
            </w:r>
          </w:p>
        </w:tc>
      </w:tr>
      <w:tr w:rsidR="00272AA5" w:rsidRPr="00103E70">
        <w:tblPrEx>
          <w:tblCellMar>
            <w:top w:w="0" w:type="dxa"/>
            <w:bottom w:w="0" w:type="dxa"/>
          </w:tblCellMar>
        </w:tblPrEx>
        <w:trPr>
          <w:trHeight w:val="426"/>
        </w:trPr>
        <w:tc>
          <w:tcPr>
            <w:tcW w:w="346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ind w:left="360" w:hanging="360"/>
            </w:pPr>
            <w:r w:rsidRPr="00103E70">
              <w:rPr>
                <w:b/>
                <w:bCs/>
                <w:sz w:val="20"/>
                <w:szCs w:val="20"/>
              </w:rPr>
              <w:t xml:space="preserve">3. </w:t>
            </w:r>
            <w:r w:rsidRPr="00103E70">
              <w:rPr>
                <w:b/>
                <w:bCs/>
                <w:color w:val="000000"/>
                <w:sz w:val="20"/>
                <w:szCs w:val="20"/>
              </w:rPr>
              <w:t>Övriga administrativa utgifter</w:t>
            </w:r>
            <w:r w:rsidRPr="00103E70">
              <w:rPr>
                <w:color w:val="000000"/>
                <w:sz w:val="20"/>
                <w:szCs w:val="20"/>
              </w:rPr>
              <w:t xml:space="preserve"> (specificera genom att ange budgetrubrik)</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272AA5" w:rsidRPr="00103E70" w:rsidRDefault="00272AA5">
            <w:pPr>
              <w:rPr>
                <w:sz w:val="20"/>
                <w:szCs w:val="20"/>
              </w:rPr>
            </w:pPr>
          </w:p>
        </w:tc>
      </w:tr>
      <w:tr w:rsidR="00272AA5" w:rsidRPr="00103E70">
        <w:tblPrEx>
          <w:tblCellMar>
            <w:top w:w="0" w:type="dxa"/>
            <w:bottom w:w="0" w:type="dxa"/>
          </w:tblCellMar>
        </w:tblPrEx>
        <w:trPr>
          <w:trHeight w:val="473"/>
        </w:trPr>
        <w:tc>
          <w:tcPr>
            <w:tcW w:w="3468"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pPr>
            <w:r w:rsidRPr="00103E70">
              <w:rPr>
                <w:b/>
                <w:bCs/>
                <w:color w:val="000000"/>
                <w:sz w:val="20"/>
                <w:szCs w:val="20"/>
              </w:rPr>
              <w:t>Totala administrativa utgifter, andra än personalkostnader och därmed sammanhängande kostnader (som INTE ingår i referensbeloppet)</w:t>
            </w:r>
          </w:p>
        </w:tc>
        <w:tc>
          <w:tcPr>
            <w:tcW w:w="800"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rPr>
                <w:sz w:val="20"/>
                <w:szCs w:val="20"/>
              </w:rPr>
            </w:pPr>
            <w:r w:rsidRPr="00103E70">
              <w:rPr>
                <w:sz w:val="20"/>
                <w:szCs w:val="20"/>
              </w:rPr>
              <w:t>0,026</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jc w:val="center"/>
              <w:rPr>
                <w:sz w:val="20"/>
                <w:szCs w:val="20"/>
              </w:rPr>
            </w:pPr>
          </w:p>
          <w:p w:rsidR="00272AA5" w:rsidRPr="00103E70" w:rsidRDefault="00272AA5">
            <w:pPr>
              <w:jc w:val="center"/>
              <w:rPr>
                <w:sz w:val="20"/>
                <w:szCs w:val="20"/>
              </w:rPr>
            </w:pPr>
            <w:r w:rsidRPr="00103E70">
              <w:rPr>
                <w:sz w:val="20"/>
                <w:szCs w:val="20"/>
              </w:rPr>
              <w:t>0,064</w:t>
            </w:r>
          </w:p>
          <w:p w:rsidR="00272AA5" w:rsidRPr="00103E70" w:rsidRDefault="00272AA5">
            <w:pPr>
              <w:jc w:val="cente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jc w:val="center"/>
              <w:rPr>
                <w:sz w:val="20"/>
                <w:szCs w:val="20"/>
              </w:rPr>
            </w:pPr>
          </w:p>
          <w:p w:rsidR="00272AA5" w:rsidRPr="00103E70" w:rsidRDefault="00272AA5">
            <w:pPr>
              <w:jc w:val="center"/>
              <w:rPr>
                <w:sz w:val="20"/>
                <w:szCs w:val="20"/>
              </w:rPr>
            </w:pPr>
            <w:r w:rsidRPr="00103E70">
              <w:rPr>
                <w:sz w:val="20"/>
                <w:szCs w:val="20"/>
              </w:rPr>
              <w:t>0,016</w:t>
            </w: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jc w:val="cente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jc w:val="cente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272AA5" w:rsidRPr="00103E70" w:rsidRDefault="00272AA5">
            <w:pPr>
              <w:jc w:val="center"/>
              <w:rPr>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tcPr>
          <w:p w:rsidR="00272AA5" w:rsidRPr="00103E70" w:rsidRDefault="00272AA5">
            <w:pPr>
              <w:jc w:val="center"/>
              <w:rPr>
                <w:b/>
                <w:bCs/>
                <w:sz w:val="20"/>
                <w:szCs w:val="20"/>
              </w:rPr>
            </w:pPr>
            <w:r w:rsidRPr="00103E70">
              <w:rPr>
                <w:sz w:val="20"/>
                <w:szCs w:val="20"/>
              </w:rPr>
              <w:t>0,106</w:t>
            </w:r>
          </w:p>
        </w:tc>
      </w:tr>
    </w:tbl>
    <w:p w:rsidR="00272AA5" w:rsidRPr="00103E70" w:rsidRDefault="00272AA5">
      <w:pPr>
        <w:pBdr>
          <w:top w:val="single" w:sz="4" w:space="1" w:color="auto"/>
          <w:left w:val="single" w:sz="4" w:space="4" w:color="auto"/>
          <w:bottom w:val="single" w:sz="4" w:space="1" w:color="auto"/>
          <w:right w:val="single" w:sz="4" w:space="4" w:color="auto"/>
        </w:pBdr>
      </w:pPr>
      <w:r w:rsidRPr="00103E70">
        <w:rPr>
          <w:color w:val="000000"/>
        </w:rPr>
        <w:t xml:space="preserve">Beräkning – </w:t>
      </w:r>
      <w:r w:rsidRPr="00103E70">
        <w:rPr>
          <w:b/>
          <w:bCs/>
          <w:i/>
          <w:iCs/>
          <w:color w:val="000000"/>
        </w:rPr>
        <w:t xml:space="preserve">Övriga administrativa utgifter som </w:t>
      </w:r>
      <w:r w:rsidRPr="00103E70">
        <w:rPr>
          <w:b/>
          <w:bCs/>
          <w:i/>
          <w:iCs/>
          <w:color w:val="000000"/>
          <w:u w:val="single"/>
        </w:rPr>
        <w:t>inte</w:t>
      </w:r>
      <w:r w:rsidRPr="00103E70">
        <w:rPr>
          <w:b/>
          <w:bCs/>
          <w:i/>
          <w:iCs/>
          <w:color w:val="000000"/>
        </w:rPr>
        <w:t xml:space="preserve"> ingår i referensbeloppet</w:t>
      </w:r>
    </w:p>
    <w:p w:rsidR="00272AA5" w:rsidRPr="00103E70" w:rsidRDefault="00272AA5">
      <w:pPr>
        <w:pBdr>
          <w:top w:val="single" w:sz="4" w:space="1" w:color="auto"/>
          <w:left w:val="single" w:sz="4" w:space="4" w:color="auto"/>
          <w:bottom w:val="single" w:sz="4" w:space="1" w:color="auto"/>
          <w:right w:val="single" w:sz="4" w:space="4" w:color="auto"/>
        </w:pBdr>
      </w:pPr>
      <w:r w:rsidRPr="00103E70">
        <w:rPr>
          <w:color w:val="000000"/>
        </w:rPr>
        <w:t>Tjänsteresor: i genomsnitt 2 tjänsteresor per land x 25 länder x 800 euro</w:t>
      </w:r>
    </w:p>
    <w:p w:rsidR="00272AA5" w:rsidRPr="00103E70" w:rsidRDefault="00272AA5" w:rsidP="00CB3D7F">
      <w:pPr>
        <w:pBdr>
          <w:top w:val="single" w:sz="4" w:space="1" w:color="auto"/>
          <w:left w:val="single" w:sz="4" w:space="4" w:color="auto"/>
          <w:bottom w:val="single" w:sz="4" w:space="1" w:color="auto"/>
          <w:right w:val="single" w:sz="4" w:space="4" w:color="auto"/>
        </w:pBdr>
        <w:outlineLvl w:val="0"/>
      </w:pPr>
      <w:r w:rsidRPr="00103E70">
        <w:rPr>
          <w:color w:val="000000"/>
        </w:rPr>
        <w:t>Rådgivande kommitté: 4 sammanträden x 25 deltagare x 665 euro</w:t>
      </w:r>
    </w:p>
    <w:p w:rsidR="00272AA5" w:rsidRPr="00103E70" w:rsidRDefault="00272AA5">
      <w:r w:rsidRPr="00103E70">
        <w:rPr>
          <w:color w:val="000000"/>
        </w:rPr>
        <w:t>Behovet av personalresurser och administrativa resurser kommer att täckas av de anslag som beviljats det upphandlingsansvariga generaldirektoratet inom ramen för den årliga anslagstilldelningen.</w:t>
      </w:r>
      <w:r w:rsidRPr="00103E70">
        <w:t xml:space="preserve"> </w:t>
      </w:r>
    </w:p>
    <w:sectPr w:rsidR="00272AA5" w:rsidRPr="00103E70" w:rsidSect="00565D16">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EED" w:rsidRPr="00103E70" w:rsidRDefault="00266EED">
      <w:pPr>
        <w:spacing w:before="0" w:after="0"/>
      </w:pPr>
      <w:r w:rsidRPr="00103E70">
        <w:separator/>
      </w:r>
    </w:p>
  </w:endnote>
  <w:endnote w:type="continuationSeparator" w:id="0">
    <w:p w:rsidR="00266EED" w:rsidRPr="00103E70" w:rsidRDefault="00266EED">
      <w:pPr>
        <w:spacing w:before="0" w:after="0"/>
      </w:pPr>
      <w:r w:rsidRPr="00103E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7F" w:rsidRPr="00103E70" w:rsidRDefault="00CB3D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7F" w:rsidRPr="00103E70" w:rsidRDefault="00CB3D7F">
    <w:pPr>
      <w:pStyle w:val="FooterConseil"/>
      <w:pBdr>
        <w:bottom w:val="single" w:sz="4" w:space="1" w:color="auto"/>
      </w:pBdr>
      <w:spacing w:after="60"/>
    </w:pPr>
  </w:p>
  <w:p w:rsidR="00CB3D7F" w:rsidRPr="00103E70" w:rsidRDefault="00CB3D7F">
    <w:pPr>
      <w:pStyle w:val="FooterConseil"/>
    </w:pPr>
    <w:bookmarkStart w:id="11" w:name="CoteFooter"/>
    <w:bookmarkEnd w:id="11"/>
    <w:r w:rsidRPr="00103E70">
      <w:t xml:space="preserve">13094/05 </w:t>
    </w:r>
    <w:r w:rsidRPr="00103E70">
      <w:tab/>
    </w:r>
    <w:r w:rsidRPr="00103E70">
      <w:tab/>
    </w:r>
    <w:bookmarkStart w:id="12" w:name="Init"/>
    <w:bookmarkEnd w:id="12"/>
    <w:r w:rsidRPr="00103E70">
      <w:t>/mr</w:t>
    </w:r>
    <w:r w:rsidRPr="00103E70">
      <w:tab/>
    </w:r>
    <w:r w:rsidRPr="00103E70">
      <w:fldChar w:fldCharType="begin" w:fldLock="1"/>
    </w:r>
    <w:r w:rsidRPr="00103E70">
      <w:instrText xml:space="preserve"> PAGE </w:instrText>
    </w:r>
    <w:r w:rsidRPr="00103E70">
      <w:fldChar w:fldCharType="separate"/>
    </w:r>
    <w:r w:rsidR="00816C03" w:rsidRPr="00103E70">
      <w:t>1</w:t>
    </w:r>
    <w:r w:rsidRPr="00103E70">
      <w:fldChar w:fldCharType="end"/>
    </w:r>
  </w:p>
  <w:p w:rsidR="00CB3D7F" w:rsidRPr="00103E70" w:rsidRDefault="00CB3D7F">
    <w:pPr>
      <w:pStyle w:val="FooterConseil"/>
      <w:tabs>
        <w:tab w:val="clear" w:pos="7371"/>
      </w:tabs>
      <w:spacing w:line="280" w:lineRule="exact"/>
      <w:rPr>
        <w:position w:val="-4"/>
      </w:rPr>
    </w:pPr>
    <w:r w:rsidRPr="00103E70">
      <w:tab/>
    </w:r>
    <w:bookmarkStart w:id="13" w:name="DG"/>
    <w:bookmarkEnd w:id="13"/>
    <w:r w:rsidRPr="00103E70">
      <w:t>DG I</w:t>
    </w:r>
    <w:r w:rsidRPr="00103E70">
      <w:tab/>
    </w:r>
    <w:r w:rsidRPr="00103E70">
      <w:rPr>
        <w:position w:val="-4"/>
      </w:rPr>
      <w:t> </w:t>
    </w:r>
    <w:bookmarkStart w:id="14" w:name="Langue"/>
    <w:r w:rsidRPr="00103E70">
      <w:rPr>
        <w:b/>
        <w:position w:val="-4"/>
        <w:sz w:val="36"/>
      </w:rPr>
      <w:t>SV</w:t>
    </w:r>
    <w:bookmarkEnd w:id="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7F" w:rsidRPr="00103E70" w:rsidRDefault="00CB3D7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7F" w:rsidRPr="00103E70" w:rsidRDefault="00CB3D7F" w:rsidP="00565D16">
    <w:pPr>
      <w:pStyle w:val="Sidfot"/>
      <w:rPr>
        <w:rFonts w:ascii="Arial" w:hAnsi="Arial" w:cs="Arial"/>
        <w:b/>
        <w:sz w:val="48"/>
      </w:rPr>
    </w:pPr>
    <w:r w:rsidRPr="00103E70">
      <w:rPr>
        <w:rFonts w:ascii="Arial" w:hAnsi="Arial" w:cs="Arial"/>
        <w:b/>
        <w:sz w:val="48"/>
      </w:rPr>
      <w:t>SV</w:t>
    </w:r>
    <w:r w:rsidRPr="00103E70">
      <w:rPr>
        <w:rFonts w:ascii="Arial" w:hAnsi="Arial" w:cs="Arial"/>
        <w:b/>
        <w:sz w:val="48"/>
      </w:rPr>
      <w:tab/>
    </w:r>
    <w:r w:rsidRPr="00103E70">
      <w:rPr>
        <w:rFonts w:ascii="Arial" w:hAnsi="Arial" w:cs="Arial"/>
        <w:b/>
        <w:sz w:val="48"/>
      </w:rPr>
      <w:tab/>
    </w:r>
    <w:fldSimple w:instr=" DOCPROPERTY &quot;Classification&quot; \* MERGEFORMAT " w:fldLock="1">
      <w:r w:rsidR="00816C03" w:rsidRPr="00103E70">
        <w:t xml:space="preserve"> </w:t>
      </w:r>
    </w:fldSimple>
    <w:r w:rsidRPr="00103E70">
      <w:tab/>
    </w:r>
    <w:r w:rsidRPr="00103E70">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7F" w:rsidRPr="00103E70" w:rsidRDefault="00CB3D7F" w:rsidP="00565D16">
    <w:pPr>
      <w:pStyle w:val="Sidfot"/>
      <w:rPr>
        <w:rFonts w:ascii="Arial" w:hAnsi="Arial" w:cs="Arial"/>
        <w:b/>
        <w:sz w:val="48"/>
      </w:rPr>
    </w:pPr>
    <w:r w:rsidRPr="00103E70">
      <w:rPr>
        <w:rFonts w:ascii="Arial" w:hAnsi="Arial" w:cs="Arial"/>
        <w:b/>
        <w:sz w:val="48"/>
      </w:rPr>
      <w:t>SV</w:t>
    </w:r>
    <w:r w:rsidRPr="00103E70">
      <w:rPr>
        <w:rFonts w:ascii="Arial" w:hAnsi="Arial" w:cs="Arial"/>
        <w:b/>
        <w:sz w:val="48"/>
      </w:rPr>
      <w:tab/>
    </w:r>
    <w:r w:rsidRPr="00103E70">
      <w:rPr>
        <w:rFonts w:ascii="Arial" w:hAnsi="Arial" w:cs="Arial"/>
        <w:b/>
        <w:sz w:val="48"/>
      </w:rPr>
      <w:tab/>
    </w:r>
    <w:fldSimple w:instr=" DOCPROPERTY &quot;Classification&quot; \* MERGEFORMAT " w:fldLock="1">
      <w:r w:rsidR="00816C03" w:rsidRPr="00103E70">
        <w:t xml:space="preserve"> </w:t>
      </w:r>
    </w:fldSimple>
    <w:r w:rsidRPr="00103E70">
      <w:tab/>
    </w:r>
    <w:r w:rsidRPr="00103E70">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7F" w:rsidRPr="00103E70" w:rsidRDefault="00CB3D7F" w:rsidP="00565D16">
    <w:pPr>
      <w:pStyle w:val="Sidfot"/>
      <w:rPr>
        <w:rFonts w:ascii="Arial" w:hAnsi="Arial" w:cs="Arial"/>
        <w:b/>
        <w:sz w:val="48"/>
      </w:rPr>
    </w:pPr>
    <w:r w:rsidRPr="00103E70">
      <w:rPr>
        <w:rFonts w:ascii="Arial" w:hAnsi="Arial" w:cs="Arial"/>
        <w:b/>
        <w:sz w:val="48"/>
      </w:rPr>
      <w:t>SV</w:t>
    </w:r>
    <w:r w:rsidRPr="00103E70">
      <w:rPr>
        <w:rFonts w:ascii="Arial" w:hAnsi="Arial" w:cs="Arial"/>
        <w:b/>
        <w:sz w:val="48"/>
      </w:rPr>
      <w:tab/>
    </w:r>
    <w:r w:rsidRPr="00103E70">
      <w:fldChar w:fldCharType="begin" w:fldLock="1"/>
    </w:r>
    <w:r w:rsidRPr="00103E70">
      <w:instrText xml:space="preserve"> PAGE  \* MERGEFORMAT </w:instrText>
    </w:r>
    <w:r w:rsidRPr="00103E70">
      <w:fldChar w:fldCharType="separate"/>
    </w:r>
    <w:r w:rsidR="00816C03" w:rsidRPr="00103E70">
      <w:t>30</w:t>
    </w:r>
    <w:r w:rsidRPr="00103E70">
      <w:fldChar w:fldCharType="end"/>
    </w:r>
    <w:r w:rsidRPr="00103E70">
      <w:tab/>
    </w:r>
    <w:fldSimple w:instr=" DOCPROPERTY &quot;Classification&quot; \* MERGEFORMAT " w:fldLock="1">
      <w:r w:rsidR="00816C03" w:rsidRPr="00103E70">
        <w:t xml:space="preserve"> </w:t>
      </w:r>
    </w:fldSimple>
    <w:r w:rsidRPr="00103E70">
      <w:tab/>
    </w:r>
    <w:r w:rsidRPr="00103E70">
      <w:rPr>
        <w:rFonts w:ascii="Arial" w:hAnsi="Arial" w:cs="Arial"/>
        <w:b/>
        <w:sz w:val="48"/>
      </w:rPr>
      <w:t>SV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7F" w:rsidRPr="00103E70" w:rsidRDefault="00CB3D7F" w:rsidP="00565D16">
    <w:pPr>
      <w:pStyle w:val="Sidfot"/>
    </w:pPr>
    <w:r w:rsidRPr="00103E70">
      <w:t>SV</w:t>
    </w:r>
    <w:r w:rsidRPr="00103E70">
      <w:tab/>
    </w:r>
    <w:r w:rsidRPr="00103E70">
      <w:fldChar w:fldCharType="begin" w:fldLock="1"/>
    </w:r>
    <w:r w:rsidRPr="00103E70">
      <w:instrText xml:space="preserve"> PAGE  \* MERGEFORMAT </w:instrText>
    </w:r>
    <w:r w:rsidRPr="00103E70">
      <w:fldChar w:fldCharType="separate"/>
    </w:r>
    <w:r w:rsidRPr="00103E70">
      <w:t>0</w:t>
    </w:r>
    <w:r w:rsidRPr="00103E70">
      <w:fldChar w:fldCharType="end"/>
    </w:r>
    <w:r w:rsidRPr="00103E70">
      <w:tab/>
    </w:r>
    <w:fldSimple w:instr=" DOCPROPERTY &quot;Classification&quot; \* MERGEFORMAT " w:fldLock="1">
      <w:r w:rsidR="00816C03" w:rsidRPr="00103E70">
        <w:t xml:space="preserve"> </w:t>
      </w:r>
    </w:fldSimple>
    <w:r w:rsidRPr="00103E70">
      <w:tab/>
      <w:t>SVSV</w:t>
    </w:r>
    <w:r w:rsidRPr="00103E70">
      <w:tab/>
    </w:r>
    <w:r w:rsidRPr="00103E70">
      <w:fldChar w:fldCharType="begin" w:fldLock="1"/>
    </w:r>
    <w:r w:rsidRPr="00103E70">
      <w:instrText xml:space="preserve"> PAGE  \* MERGEFORMAT </w:instrText>
    </w:r>
    <w:r w:rsidRPr="00103E70">
      <w:fldChar w:fldCharType="separate"/>
    </w:r>
    <w:r w:rsidRPr="00103E70">
      <w:t>0</w:t>
    </w:r>
    <w:r w:rsidRPr="00103E70">
      <w:fldChar w:fldCharType="end"/>
    </w:r>
    <w:r w:rsidRPr="00103E70">
      <w:tab/>
    </w:r>
    <w:fldSimple w:instr=" DOCPROPERTY &quot;Classification&quot; \* MERGEFORMAT " w:fldLock="1">
      <w:r w:rsidR="00816C03" w:rsidRPr="00103E70">
        <w:t xml:space="preserve"> </w:t>
      </w:r>
    </w:fldSimple>
    <w:r w:rsidRPr="00103E70">
      <w:tab/>
      <w:t>SVSV</w:t>
    </w:r>
    <w:r w:rsidRPr="00103E70">
      <w:tab/>
    </w:r>
    <w:r w:rsidRPr="00103E70">
      <w:fldChar w:fldCharType="begin" w:fldLock="1"/>
    </w:r>
    <w:r w:rsidRPr="00103E70">
      <w:instrText xml:space="preserve"> PAGE  \* MERGEFORMAT </w:instrText>
    </w:r>
    <w:r w:rsidRPr="00103E70">
      <w:fldChar w:fldCharType="separate"/>
    </w:r>
    <w:r w:rsidRPr="00103E70">
      <w:t>0</w:t>
    </w:r>
    <w:r w:rsidRPr="00103E70">
      <w:fldChar w:fldCharType="end"/>
    </w:r>
    <w:r w:rsidRPr="00103E70">
      <w:tab/>
    </w:r>
    <w:fldSimple w:instr=" DOCPROPERTY &quot;Classification&quot; \* MERGEFORMAT " w:fldLock="1">
      <w:r w:rsidR="00816C03" w:rsidRPr="00103E70">
        <w:t xml:space="preserve"> </w:t>
      </w:r>
    </w:fldSimple>
    <w:r w:rsidRPr="00103E70">
      <w:tab/>
      <w:t>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EED" w:rsidRPr="00103E70" w:rsidRDefault="00266EED">
      <w:pPr>
        <w:spacing w:before="0" w:after="0"/>
      </w:pPr>
      <w:r w:rsidRPr="00103E70">
        <w:separator/>
      </w:r>
    </w:p>
  </w:footnote>
  <w:footnote w:type="continuationSeparator" w:id="0">
    <w:p w:rsidR="00266EED" w:rsidRPr="00103E70" w:rsidRDefault="00266EED">
      <w:pPr>
        <w:spacing w:before="0" w:after="0"/>
      </w:pPr>
      <w:r w:rsidRPr="00103E70">
        <w:continuationSeparator/>
      </w:r>
    </w:p>
  </w:footnote>
  <w:footnote w:id="1">
    <w:p w:rsidR="00CB3D7F" w:rsidRPr="00103E70" w:rsidRDefault="00CB3D7F">
      <w:pPr>
        <w:pStyle w:val="Fotnotstext"/>
      </w:pPr>
      <w:r w:rsidRPr="00103E70">
        <w:rPr>
          <w:rStyle w:val="Fotnotsreferens"/>
        </w:rPr>
        <w:footnoteRef/>
      </w:r>
      <w:r w:rsidRPr="00103E70">
        <w:tab/>
      </w:r>
      <w:r w:rsidRPr="00103E70">
        <w:rPr>
          <w:color w:val="000000"/>
        </w:rPr>
        <w:t>Förslag till Europaparlamentets och rådets beslut om Europeiska året för lika möjligheter för alla (2007) -</w:t>
      </w:r>
      <w:r w:rsidRPr="00103E70">
        <w:t xml:space="preserve"> </w:t>
      </w:r>
      <w:r w:rsidRPr="00103E70">
        <w:rPr>
          <w:color w:val="000000"/>
        </w:rPr>
        <w:t>På väg mot ett rättvist samhälle - KOM(2005) 225, 1.6.2005.</w:t>
      </w:r>
    </w:p>
  </w:footnote>
  <w:footnote w:id="2">
    <w:p w:rsidR="00CB3D7F" w:rsidRPr="00103E70" w:rsidRDefault="00CB3D7F">
      <w:pPr>
        <w:pStyle w:val="Fotnotstext"/>
      </w:pPr>
      <w:r w:rsidRPr="00103E70">
        <w:rPr>
          <w:rStyle w:val="Fotnotsreferens"/>
        </w:rPr>
        <w:footnoteRef/>
      </w:r>
      <w:r w:rsidRPr="00103E70">
        <w:tab/>
        <w:t>Med ”engagerade (EU-)medborgare” avses i detta beslut inte enbart unionsmedborgare enligt definitionen i artikel 17 i fördraget om Europeiska Unionen, utan alla som är fast eller tillfälligt bosatta i Europeiska unionen.</w:t>
      </w:r>
    </w:p>
  </w:footnote>
  <w:footnote w:id="3">
    <w:p w:rsidR="00CB3D7F" w:rsidRPr="00103E70" w:rsidRDefault="00CB3D7F">
      <w:pPr>
        <w:pStyle w:val="Fotnotstext"/>
      </w:pPr>
      <w:r w:rsidRPr="00103E70">
        <w:rPr>
          <w:rStyle w:val="Fotnotsreferens"/>
        </w:rPr>
        <w:footnoteRef/>
      </w:r>
      <w:r w:rsidRPr="00103E70">
        <w:tab/>
      </w:r>
      <w:r w:rsidRPr="00103E70">
        <w:rPr>
          <w:color w:val="000000"/>
        </w:rPr>
        <w:t>EUT C […], […], s. […].</w:t>
      </w:r>
    </w:p>
  </w:footnote>
  <w:footnote w:id="4">
    <w:p w:rsidR="00CB3D7F" w:rsidRPr="00103E70" w:rsidRDefault="00CB3D7F">
      <w:pPr>
        <w:pStyle w:val="Fotnotstext"/>
      </w:pPr>
      <w:r w:rsidRPr="00103E70">
        <w:rPr>
          <w:rStyle w:val="Fotnotsreferens"/>
        </w:rPr>
        <w:footnoteRef/>
      </w:r>
      <w:r w:rsidRPr="00103E70">
        <w:tab/>
      </w:r>
      <w:r w:rsidRPr="00103E70">
        <w:rPr>
          <w:color w:val="000000"/>
        </w:rPr>
        <w:t>EUT C […], […], s. […].</w:t>
      </w:r>
    </w:p>
  </w:footnote>
  <w:footnote w:id="5">
    <w:p w:rsidR="00CB3D7F" w:rsidRPr="00103E70" w:rsidRDefault="00CB3D7F">
      <w:pPr>
        <w:pStyle w:val="Fotnotstext"/>
      </w:pPr>
      <w:r w:rsidRPr="00103E70">
        <w:rPr>
          <w:rStyle w:val="Fotnotsreferens"/>
        </w:rPr>
        <w:footnoteRef/>
      </w:r>
      <w:r w:rsidRPr="00103E70">
        <w:tab/>
      </w:r>
      <w:r w:rsidRPr="00103E70">
        <w:rPr>
          <w:color w:val="000000"/>
        </w:rPr>
        <w:t>EUT C […], […], s. […].</w:t>
      </w:r>
    </w:p>
  </w:footnote>
  <w:footnote w:id="6">
    <w:p w:rsidR="00CB3D7F" w:rsidRPr="00103E70" w:rsidRDefault="00CB3D7F">
      <w:pPr>
        <w:pStyle w:val="Fotnotstext"/>
      </w:pPr>
      <w:r w:rsidRPr="00103E70">
        <w:rPr>
          <w:rStyle w:val="Fotnotsreferens"/>
        </w:rPr>
        <w:footnoteRef/>
      </w:r>
      <w:r w:rsidRPr="00103E70">
        <w:tab/>
      </w:r>
      <w:r w:rsidRPr="00103E70">
        <w:rPr>
          <w:color w:val="000000"/>
        </w:rPr>
        <w:t>EUT C […], […], s. […].</w:t>
      </w:r>
    </w:p>
  </w:footnote>
  <w:footnote w:id="7">
    <w:p w:rsidR="00CB3D7F" w:rsidRPr="00103E70" w:rsidRDefault="00CB3D7F">
      <w:pPr>
        <w:pStyle w:val="Fotnotstext"/>
      </w:pPr>
      <w:r w:rsidRPr="00103E70">
        <w:rPr>
          <w:rStyle w:val="Fotnotsreferens"/>
        </w:rPr>
        <w:footnoteRef/>
      </w:r>
      <w:r w:rsidRPr="00103E70">
        <w:tab/>
      </w:r>
      <w:r w:rsidRPr="00103E70">
        <w:rPr>
          <w:color w:val="000000"/>
        </w:rPr>
        <w:t>Meddelande från kommissionen.</w:t>
      </w:r>
      <w:r w:rsidRPr="00103E70">
        <w:t xml:space="preserve"> </w:t>
      </w:r>
      <w:r w:rsidRPr="00103E70">
        <w:rPr>
          <w:color w:val="000000"/>
        </w:rPr>
        <w:t>Europeiska grannskapspolitiken.</w:t>
      </w:r>
      <w:r w:rsidRPr="00103E70">
        <w:t xml:space="preserve"> </w:t>
      </w:r>
      <w:r w:rsidRPr="00103E70">
        <w:rPr>
          <w:color w:val="000000"/>
        </w:rPr>
        <w:t>Strategidokument - KOM(2004) 373, 12.5.2004.</w:t>
      </w:r>
    </w:p>
  </w:footnote>
  <w:footnote w:id="8">
    <w:p w:rsidR="00CB3D7F" w:rsidRPr="00103E70" w:rsidRDefault="00CB3D7F">
      <w:pPr>
        <w:pStyle w:val="Fotnotstext"/>
      </w:pPr>
      <w:r w:rsidRPr="00103E70">
        <w:rPr>
          <w:rStyle w:val="Fotnotsreferens"/>
        </w:rPr>
        <w:footnoteRef/>
      </w:r>
      <w:r w:rsidRPr="00103E70">
        <w:tab/>
      </w:r>
      <w:r w:rsidRPr="00103E70">
        <w:rPr>
          <w:color w:val="000000"/>
        </w:rPr>
        <w:t>Se meddelandet från kommissionen till rådet, Europaparlamentet, Europeiska ekonomiska och sociala kommittén samt Regionkommittén – Dialog mellan det civila samhället i EU och det i kandidatländerna – KOM(2005) 290, 29.6.2005.</w:t>
      </w:r>
    </w:p>
  </w:footnote>
  <w:footnote w:id="9">
    <w:p w:rsidR="00CB3D7F" w:rsidRPr="00103E70" w:rsidRDefault="00CB3D7F">
      <w:pPr>
        <w:pStyle w:val="Fotnotstext"/>
      </w:pPr>
      <w:r w:rsidRPr="00103E70">
        <w:rPr>
          <w:rStyle w:val="Fotnotsreferens"/>
        </w:rPr>
        <w:footnoteRef/>
      </w:r>
      <w:r w:rsidRPr="00103E70">
        <w:tab/>
      </w:r>
      <w:r w:rsidRPr="00103E70">
        <w:rPr>
          <w:color w:val="000000"/>
        </w:rPr>
        <w:t>EGT C 172, 18.6.1999, s. 1.</w:t>
      </w:r>
    </w:p>
  </w:footnote>
  <w:footnote w:id="10">
    <w:p w:rsidR="00CB3D7F" w:rsidRPr="00103E70" w:rsidRDefault="00CB3D7F">
      <w:pPr>
        <w:pStyle w:val="Fotnotstext"/>
      </w:pPr>
      <w:r w:rsidRPr="00103E70">
        <w:rPr>
          <w:rStyle w:val="Fotnotsreferens"/>
        </w:rPr>
        <w:footnoteRef/>
      </w:r>
      <w:r w:rsidRPr="00103E70">
        <w:tab/>
      </w:r>
      <w:r w:rsidRPr="00103E70">
        <w:rPr>
          <w:color w:val="000000"/>
        </w:rPr>
        <w:t>Utgifter som inte omfattas av kapitel xx i avdelning xx.</w:t>
      </w:r>
    </w:p>
  </w:footnote>
  <w:footnote w:id="11">
    <w:p w:rsidR="00CB3D7F" w:rsidRPr="00103E70" w:rsidRDefault="00CB3D7F">
      <w:pPr>
        <w:pStyle w:val="Fotnotstext"/>
      </w:pPr>
      <w:r w:rsidRPr="00103E70">
        <w:rPr>
          <w:rStyle w:val="Fotnotsreferens"/>
        </w:rPr>
        <w:footnoteRef/>
      </w:r>
      <w:r w:rsidRPr="00103E70">
        <w:tab/>
      </w:r>
      <w:r w:rsidRPr="00103E70">
        <w:rPr>
          <w:color w:val="000000"/>
        </w:rPr>
        <w:t>Andra utgifter inom kapitel xx än artiklarna xx och xx.</w:t>
      </w:r>
    </w:p>
  </w:footnote>
  <w:footnote w:id="12">
    <w:p w:rsidR="00CB3D7F" w:rsidRPr="00103E70" w:rsidRDefault="00CB3D7F">
      <w:pPr>
        <w:pStyle w:val="Fotnotstext"/>
      </w:pPr>
      <w:r w:rsidRPr="00103E70">
        <w:rPr>
          <w:rStyle w:val="Fotnotsreferens"/>
        </w:rPr>
        <w:footnoteRef/>
      </w:r>
      <w:r w:rsidRPr="00103E70">
        <w:tab/>
      </w:r>
      <w:r w:rsidRPr="00103E70">
        <w:rPr>
          <w:color w:val="000000"/>
        </w:rPr>
        <w:t>Se punkterna 19 och 24 i det interinstitutionella avtalet.</w:t>
      </w:r>
    </w:p>
  </w:footnote>
  <w:footnote w:id="13">
    <w:p w:rsidR="00CB3D7F" w:rsidRPr="00103E70" w:rsidRDefault="00CB3D7F">
      <w:pPr>
        <w:pStyle w:val="Fotnotstext"/>
      </w:pPr>
      <w:r w:rsidRPr="00103E70">
        <w:rPr>
          <w:rStyle w:val="Fotnotsreferens"/>
        </w:rPr>
        <w:footnoteRef/>
      </w:r>
      <w:r w:rsidRPr="00103E70">
        <w:tab/>
      </w:r>
      <w:r w:rsidRPr="00103E70">
        <w:rPr>
          <w:color w:val="000000"/>
        </w:rPr>
        <w:t>Om fler än en metod anges skall ytterligare uppifter lämnas under avsnittet ”Kommentarer” i denna punkt.</w:t>
      </w:r>
    </w:p>
  </w:footnote>
  <w:footnote w:id="14">
    <w:p w:rsidR="00CB3D7F" w:rsidRPr="00103E70" w:rsidRDefault="00CB3D7F">
      <w:pPr>
        <w:pStyle w:val="Fotnotstext"/>
      </w:pPr>
      <w:r w:rsidRPr="00103E70">
        <w:rPr>
          <w:rStyle w:val="Fotnotsreferens"/>
        </w:rPr>
        <w:footnoteRef/>
      </w:r>
      <w:r w:rsidRPr="00103E70">
        <w:tab/>
      </w:r>
      <w:r w:rsidRPr="00103E70">
        <w:rPr>
          <w:color w:val="000000"/>
        </w:rPr>
        <w:t>Kostnader som INTE täcks av referensbeloppet.</w:t>
      </w:r>
    </w:p>
  </w:footnote>
  <w:footnote w:id="15">
    <w:p w:rsidR="00CB3D7F" w:rsidRPr="00103E70" w:rsidRDefault="00CB3D7F">
      <w:pPr>
        <w:pStyle w:val="Fotnotstext"/>
      </w:pPr>
      <w:r w:rsidRPr="00103E70">
        <w:rPr>
          <w:rStyle w:val="Fotnotsreferens"/>
        </w:rPr>
        <w:footnoteRef/>
      </w:r>
      <w:r w:rsidRPr="00103E70">
        <w:tab/>
      </w:r>
      <w:r w:rsidRPr="00103E70">
        <w:rPr>
          <w:color w:val="000000"/>
        </w:rPr>
        <w:t>Kostnader som INTE täcks av referensbeloppet.</w:t>
      </w:r>
    </w:p>
  </w:footnote>
  <w:footnote w:id="16">
    <w:p w:rsidR="00CB3D7F" w:rsidRPr="00103E70" w:rsidRDefault="00CB3D7F">
      <w:pPr>
        <w:pStyle w:val="Fotnotstext"/>
      </w:pPr>
      <w:r w:rsidRPr="00103E70">
        <w:rPr>
          <w:rStyle w:val="Fotnotsreferens"/>
        </w:rPr>
        <w:footnoteRef/>
      </w:r>
      <w:r w:rsidRPr="00103E70">
        <w:tab/>
      </w:r>
      <w:r w:rsidRPr="00103E70">
        <w:rPr>
          <w:color w:val="000000"/>
        </w:rPr>
        <w:t>Kostnader som ingår i referensbeloppet.</w:t>
      </w:r>
    </w:p>
  </w:footnote>
  <w:footnote w:id="17">
    <w:p w:rsidR="00CB3D7F" w:rsidRPr="00103E70" w:rsidRDefault="00CB3D7F">
      <w:pPr>
        <w:pStyle w:val="Fotnotstext"/>
      </w:pPr>
      <w:r w:rsidRPr="00103E70">
        <w:rPr>
          <w:rStyle w:val="Fotnotsreferens"/>
        </w:rPr>
        <w:footnoteRef/>
      </w:r>
      <w:r w:rsidRPr="00103E70">
        <w:tab/>
      </w:r>
      <w:r w:rsidRPr="00103E70">
        <w:rPr>
          <w:color w:val="000000"/>
        </w:rPr>
        <w:t>Det skall göras en hänvisning till den särskilda finansieringsöversikten för det eller de berörda verkställande organen.</w:t>
      </w:r>
    </w:p>
  </w:footnote>
  <w:footnote w:id="18">
    <w:p w:rsidR="00CB3D7F" w:rsidRPr="00103E70" w:rsidRDefault="00CB3D7F">
      <w:pPr>
        <w:pStyle w:val="Fotnotstext"/>
      </w:pPr>
      <w:r w:rsidRPr="00103E70">
        <w:rPr>
          <w:rStyle w:val="Fotnotsreferens"/>
        </w:rPr>
        <w:footnoteRef/>
      </w:r>
      <w:r w:rsidRPr="00103E70">
        <w:tab/>
      </w:r>
      <w:r w:rsidRPr="00103E70">
        <w:rPr>
          <w:color w:val="000000"/>
        </w:rPr>
        <w:t>Ange vilken typ av kommitté som avses samt vilken grupp den tillhör.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7F" w:rsidRPr="00103E70" w:rsidRDefault="00CB3D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7F" w:rsidRPr="00103E70" w:rsidRDefault="00CB3D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7F" w:rsidRPr="00103E70" w:rsidRDefault="00CB3D7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D7F" w:rsidRPr="00103E70" w:rsidRDefault="00CB3D7F" w:rsidP="00565D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C8DF2F"/>
    <w:multiLevelType w:val="hybridMultilevel"/>
    <w:tmpl w:val="9D1564C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33CE50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F30937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BEC787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CC0E52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772E7F4"/>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296C7F92"/>
    <w:lvl w:ilvl="0">
      <w:start w:val="1"/>
      <w:numFmt w:val="bullet"/>
      <w:lvlText w:val=""/>
      <w:lvlJc w:val="left"/>
      <w:pPr>
        <w:tabs>
          <w:tab w:val="num" w:pos="1440"/>
        </w:tabs>
        <w:ind w:left="1440" w:hanging="360"/>
      </w:pPr>
      <w:rPr>
        <w:rFonts w:ascii="Symbol" w:hAnsi="Symbol" w:cs="Symbol" w:hint="default"/>
      </w:rPr>
    </w:lvl>
  </w:abstractNum>
  <w:abstractNum w:abstractNumId="7" w15:restartNumberingAfterBreak="0">
    <w:nsid w:val="FFFFFF82"/>
    <w:multiLevelType w:val="singleLevel"/>
    <w:tmpl w:val="5C64D70C"/>
    <w:lvl w:ilvl="0">
      <w:start w:val="1"/>
      <w:numFmt w:val="bullet"/>
      <w:lvlText w:val=""/>
      <w:lvlJc w:val="left"/>
      <w:pPr>
        <w:tabs>
          <w:tab w:val="num" w:pos="1080"/>
        </w:tabs>
        <w:ind w:left="1080" w:hanging="360"/>
      </w:pPr>
      <w:rPr>
        <w:rFonts w:ascii="Symbol" w:hAnsi="Symbol" w:cs="Symbol" w:hint="default"/>
      </w:rPr>
    </w:lvl>
  </w:abstractNum>
  <w:abstractNum w:abstractNumId="8" w15:restartNumberingAfterBreak="0">
    <w:nsid w:val="FFFFFF83"/>
    <w:multiLevelType w:val="singleLevel"/>
    <w:tmpl w:val="3CBA2C20"/>
    <w:lvl w:ilvl="0">
      <w:start w:val="1"/>
      <w:numFmt w:val="bullet"/>
      <w:lvlText w:val=""/>
      <w:lvlJc w:val="left"/>
      <w:pPr>
        <w:tabs>
          <w:tab w:val="num" w:pos="720"/>
        </w:tabs>
        <w:ind w:left="720" w:hanging="360"/>
      </w:pPr>
      <w:rPr>
        <w:rFonts w:ascii="Symbol" w:hAnsi="Symbol" w:cs="Symbol" w:hint="default"/>
      </w:rPr>
    </w:lvl>
  </w:abstractNum>
  <w:abstractNum w:abstractNumId="9" w15:restartNumberingAfterBreak="0">
    <w:nsid w:val="FFFFFF88"/>
    <w:multiLevelType w:val="singleLevel"/>
    <w:tmpl w:val="E028F76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220FA06"/>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3197BE6"/>
    <w:multiLevelType w:val="hybridMultilevel"/>
    <w:tmpl w:val="EE6EAA1A"/>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34815B2"/>
    <w:multiLevelType w:val="hybridMultilevel"/>
    <w:tmpl w:val="12BE449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3AE497A"/>
    <w:multiLevelType w:val="singleLevel"/>
    <w:tmpl w:val="34180612"/>
    <w:lvl w:ilvl="0">
      <w:start w:val="1"/>
      <w:numFmt w:val="bullet"/>
      <w:pStyle w:val="ListBullet1"/>
      <w:lvlText w:val=""/>
      <w:lvlJc w:val="left"/>
      <w:pPr>
        <w:tabs>
          <w:tab w:val="num" w:pos="1134"/>
        </w:tabs>
        <w:ind w:left="1134" w:hanging="283"/>
      </w:pPr>
      <w:rPr>
        <w:rFonts w:ascii="Symbol" w:hAnsi="Symbol" w:cs="Symbol"/>
      </w:rPr>
    </w:lvl>
  </w:abstractNum>
  <w:abstractNum w:abstractNumId="15" w15:restartNumberingAfterBreak="0">
    <w:nsid w:val="046F33CE"/>
    <w:multiLevelType w:val="multilevel"/>
    <w:tmpl w:val="F76ED738"/>
    <w:name w:val="List Bullet 1"/>
    <w:lvl w:ilvl="0">
      <w:start w:val="1"/>
      <w:numFmt w:val="decimal"/>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6604AE0"/>
    <w:multiLevelType w:val="singleLevel"/>
    <w:tmpl w:val="4788984C"/>
    <w:lvl w:ilvl="0">
      <w:start w:val="3"/>
      <w:numFmt w:val="decimal"/>
      <w:lvlText w:val="%1."/>
      <w:lvlJc w:val="left"/>
      <w:pPr>
        <w:tabs>
          <w:tab w:val="num" w:pos="360"/>
        </w:tabs>
        <w:ind w:left="340" w:hanging="340"/>
      </w:pPr>
    </w:lvl>
  </w:abstractNum>
  <w:abstractNum w:abstractNumId="17" w15:restartNumberingAfterBreak="0">
    <w:nsid w:val="07713D46"/>
    <w:multiLevelType w:val="hybridMultilevel"/>
    <w:tmpl w:val="78F26C1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7A20418"/>
    <w:multiLevelType w:val="hybridMultilevel"/>
    <w:tmpl w:val="6C16ECF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86F37DE"/>
    <w:multiLevelType w:val="multilevel"/>
    <w:tmpl w:val="285C9CA8"/>
    <w:name w:val="List Number 2"/>
    <w:lvl w:ilvl="0">
      <w:start w:val="1"/>
      <w:numFmt w:val="decimal"/>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87A5002"/>
    <w:multiLevelType w:val="hybridMultilevel"/>
    <w:tmpl w:val="2C901B7E"/>
    <w:lvl w:ilvl="0" w:tplc="080C0001">
      <w:start w:val="1"/>
      <w:numFmt w:val="bullet"/>
      <w:lvlText w:val=""/>
      <w:lvlJc w:val="left"/>
      <w:pPr>
        <w:tabs>
          <w:tab w:val="num" w:pos="720"/>
        </w:tabs>
        <w:ind w:left="720" w:hanging="360"/>
      </w:pPr>
      <w:rPr>
        <w:rFonts w:ascii="Symbol" w:hAnsi="Symbol" w:cs="Symbo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start w:val="1"/>
      <w:numFmt w:val="bullet"/>
      <w:lvlText w:val=""/>
      <w:lvlJc w:val="left"/>
      <w:pPr>
        <w:tabs>
          <w:tab w:val="num" w:pos="2160"/>
        </w:tabs>
        <w:ind w:left="2160" w:hanging="360"/>
      </w:pPr>
      <w:rPr>
        <w:rFonts w:ascii="Wingdings" w:hAnsi="Wingdings" w:cs="Wingdings" w:hint="default"/>
      </w:rPr>
    </w:lvl>
    <w:lvl w:ilvl="3" w:tplc="080C0001">
      <w:start w:val="1"/>
      <w:numFmt w:val="bullet"/>
      <w:lvlText w:val=""/>
      <w:lvlJc w:val="left"/>
      <w:pPr>
        <w:tabs>
          <w:tab w:val="num" w:pos="2880"/>
        </w:tabs>
        <w:ind w:left="2880" w:hanging="360"/>
      </w:pPr>
      <w:rPr>
        <w:rFonts w:ascii="Symbol" w:hAnsi="Symbol" w:cs="Symbol" w:hint="default"/>
      </w:rPr>
    </w:lvl>
    <w:lvl w:ilvl="4" w:tplc="080C0003">
      <w:start w:val="1"/>
      <w:numFmt w:val="bullet"/>
      <w:lvlText w:val="o"/>
      <w:lvlJc w:val="left"/>
      <w:pPr>
        <w:tabs>
          <w:tab w:val="num" w:pos="3600"/>
        </w:tabs>
        <w:ind w:left="3600" w:hanging="360"/>
      </w:pPr>
      <w:rPr>
        <w:rFonts w:ascii="Courier New" w:hAnsi="Courier New" w:cs="Courier New" w:hint="default"/>
      </w:rPr>
    </w:lvl>
    <w:lvl w:ilvl="5" w:tplc="080C0005">
      <w:start w:val="1"/>
      <w:numFmt w:val="bullet"/>
      <w:lvlText w:val=""/>
      <w:lvlJc w:val="left"/>
      <w:pPr>
        <w:tabs>
          <w:tab w:val="num" w:pos="4320"/>
        </w:tabs>
        <w:ind w:left="4320" w:hanging="360"/>
      </w:pPr>
      <w:rPr>
        <w:rFonts w:ascii="Wingdings" w:hAnsi="Wingdings" w:cs="Wingdings" w:hint="default"/>
      </w:rPr>
    </w:lvl>
    <w:lvl w:ilvl="6" w:tplc="080C0001">
      <w:start w:val="1"/>
      <w:numFmt w:val="bullet"/>
      <w:lvlText w:val=""/>
      <w:lvlJc w:val="left"/>
      <w:pPr>
        <w:tabs>
          <w:tab w:val="num" w:pos="5040"/>
        </w:tabs>
        <w:ind w:left="5040" w:hanging="360"/>
      </w:pPr>
      <w:rPr>
        <w:rFonts w:ascii="Symbol" w:hAnsi="Symbol" w:cs="Symbol" w:hint="default"/>
      </w:rPr>
    </w:lvl>
    <w:lvl w:ilvl="7" w:tplc="080C0003">
      <w:start w:val="1"/>
      <w:numFmt w:val="bullet"/>
      <w:lvlText w:val="o"/>
      <w:lvlJc w:val="left"/>
      <w:pPr>
        <w:tabs>
          <w:tab w:val="num" w:pos="5760"/>
        </w:tabs>
        <w:ind w:left="5760" w:hanging="360"/>
      </w:pPr>
      <w:rPr>
        <w:rFonts w:ascii="Courier New" w:hAnsi="Courier New" w:cs="Courier New" w:hint="default"/>
      </w:rPr>
    </w:lvl>
    <w:lvl w:ilvl="8" w:tplc="080C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099A185B"/>
    <w:multiLevelType w:val="hybridMultilevel"/>
    <w:tmpl w:val="1A103F2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0AD66275"/>
    <w:multiLevelType w:val="hybridMultilevel"/>
    <w:tmpl w:val="0CE4D7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0B2D68C1"/>
    <w:multiLevelType w:val="hybridMultilevel"/>
    <w:tmpl w:val="08C6D1C4"/>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0B4B62CE"/>
    <w:multiLevelType w:val="singleLevel"/>
    <w:tmpl w:val="306ACA20"/>
    <w:lvl w:ilvl="0">
      <w:start w:val="1"/>
      <w:numFmt w:val="bullet"/>
      <w:lvlText w:val=""/>
      <w:lvlJc w:val="left"/>
      <w:pPr>
        <w:tabs>
          <w:tab w:val="num" w:pos="283"/>
        </w:tabs>
        <w:ind w:left="283" w:hanging="283"/>
      </w:pPr>
      <w:rPr>
        <w:rFonts w:ascii="Symbol" w:hAnsi="Symbol" w:cs="Symbol" w:hint="default"/>
      </w:rPr>
    </w:lvl>
  </w:abstractNum>
  <w:abstractNum w:abstractNumId="25" w15:restartNumberingAfterBreak="0">
    <w:nsid w:val="0C0C4D94"/>
    <w:multiLevelType w:val="hybridMultilevel"/>
    <w:tmpl w:val="EE7EDEE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0CE85528"/>
    <w:multiLevelType w:val="singleLevel"/>
    <w:tmpl w:val="7BA29BAC"/>
    <w:lvl w:ilvl="0">
      <w:start w:val="1"/>
      <w:numFmt w:val="bullet"/>
      <w:pStyle w:val="Punktlista3"/>
      <w:lvlText w:val=""/>
      <w:lvlJc w:val="left"/>
      <w:pPr>
        <w:tabs>
          <w:tab w:val="num" w:pos="1134"/>
        </w:tabs>
        <w:ind w:left="1134" w:hanging="283"/>
      </w:pPr>
      <w:rPr>
        <w:rFonts w:ascii="Symbol" w:hAnsi="Symbol" w:cs="Symbol"/>
      </w:rPr>
    </w:lvl>
  </w:abstractNum>
  <w:abstractNum w:abstractNumId="27" w15:restartNumberingAfterBreak="0">
    <w:nsid w:val="0E557D20"/>
    <w:multiLevelType w:val="singleLevel"/>
    <w:tmpl w:val="29AE4C22"/>
    <w:lvl w:ilvl="0">
      <w:start w:val="1"/>
      <w:numFmt w:val="bullet"/>
      <w:pStyle w:val="Punktlista2"/>
      <w:lvlText w:val=""/>
      <w:lvlJc w:val="left"/>
      <w:pPr>
        <w:tabs>
          <w:tab w:val="num" w:pos="1134"/>
        </w:tabs>
        <w:ind w:left="1134" w:hanging="283"/>
      </w:pPr>
      <w:rPr>
        <w:rFonts w:ascii="Symbol" w:hAnsi="Symbol" w:cs="Symbol"/>
      </w:rPr>
    </w:lvl>
  </w:abstractNum>
  <w:abstractNum w:abstractNumId="28" w15:restartNumberingAfterBreak="0">
    <w:nsid w:val="0ECD002D"/>
    <w:multiLevelType w:val="hybridMultilevel"/>
    <w:tmpl w:val="0950C1B4"/>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10C32F8E"/>
    <w:multiLevelType w:val="singleLevel"/>
    <w:tmpl w:val="7D32806C"/>
    <w:name w:val="List Number 3"/>
    <w:lvl w:ilvl="0">
      <w:start w:val="1"/>
      <w:numFmt w:val="decimal"/>
      <w:pStyle w:val="Considrant"/>
      <w:lvlText w:val="(%1)"/>
      <w:lvlJc w:val="left"/>
      <w:pPr>
        <w:tabs>
          <w:tab w:val="num" w:pos="709"/>
        </w:tabs>
        <w:ind w:left="709" w:hanging="709"/>
      </w:pPr>
    </w:lvl>
  </w:abstractNum>
  <w:abstractNum w:abstractNumId="30" w15:restartNumberingAfterBreak="0">
    <w:nsid w:val="15103E07"/>
    <w:multiLevelType w:val="hybridMultilevel"/>
    <w:tmpl w:val="9FE0FEC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177349BE"/>
    <w:multiLevelType w:val="singleLevel"/>
    <w:tmpl w:val="63CC21A2"/>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32" w15:restartNumberingAfterBreak="0">
    <w:nsid w:val="18F82A41"/>
    <w:multiLevelType w:val="multilevel"/>
    <w:tmpl w:val="52A03670"/>
    <w:name w:val="List Bullet 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1AF55C01"/>
    <w:multiLevelType w:val="hybridMultilevel"/>
    <w:tmpl w:val="9CFAC510"/>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1B0A02FD"/>
    <w:multiLevelType w:val="hybridMultilevel"/>
    <w:tmpl w:val="7E26F88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1BDB56B7"/>
    <w:multiLevelType w:val="hybridMultilevel"/>
    <w:tmpl w:val="ED7A0800"/>
    <w:lvl w:ilvl="0" w:tplc="080C0001">
      <w:start w:val="1"/>
      <w:numFmt w:val="bullet"/>
      <w:lvlText w:val=""/>
      <w:lvlJc w:val="left"/>
      <w:pPr>
        <w:tabs>
          <w:tab w:val="num" w:pos="360"/>
        </w:tabs>
        <w:ind w:left="360" w:hanging="360"/>
      </w:pPr>
      <w:rPr>
        <w:rFonts w:ascii="Symbol" w:hAnsi="Symbol" w:cs="Symbol" w:hint="default"/>
      </w:rPr>
    </w:lvl>
    <w:lvl w:ilvl="1" w:tplc="080C0003">
      <w:start w:val="1"/>
      <w:numFmt w:val="bullet"/>
      <w:lvlText w:val="o"/>
      <w:lvlJc w:val="left"/>
      <w:pPr>
        <w:tabs>
          <w:tab w:val="num" w:pos="1080"/>
        </w:tabs>
        <w:ind w:left="1080" w:hanging="360"/>
      </w:pPr>
      <w:rPr>
        <w:rFonts w:ascii="Courier New" w:hAnsi="Courier New" w:cs="Courier New" w:hint="default"/>
      </w:rPr>
    </w:lvl>
    <w:lvl w:ilvl="2" w:tplc="080C0005">
      <w:start w:val="1"/>
      <w:numFmt w:val="bullet"/>
      <w:lvlText w:val=""/>
      <w:lvlJc w:val="left"/>
      <w:pPr>
        <w:tabs>
          <w:tab w:val="num" w:pos="1800"/>
        </w:tabs>
        <w:ind w:left="1800" w:hanging="360"/>
      </w:pPr>
      <w:rPr>
        <w:rFonts w:ascii="Wingdings" w:hAnsi="Wingdings" w:cs="Wingdings" w:hint="default"/>
      </w:rPr>
    </w:lvl>
    <w:lvl w:ilvl="3" w:tplc="080C0001">
      <w:start w:val="1"/>
      <w:numFmt w:val="bullet"/>
      <w:lvlText w:val=""/>
      <w:lvlJc w:val="left"/>
      <w:pPr>
        <w:tabs>
          <w:tab w:val="num" w:pos="2520"/>
        </w:tabs>
        <w:ind w:left="2520" w:hanging="360"/>
      </w:pPr>
      <w:rPr>
        <w:rFonts w:ascii="Symbol" w:hAnsi="Symbol" w:cs="Symbol" w:hint="default"/>
      </w:rPr>
    </w:lvl>
    <w:lvl w:ilvl="4" w:tplc="080C0003">
      <w:start w:val="1"/>
      <w:numFmt w:val="bullet"/>
      <w:lvlText w:val="o"/>
      <w:lvlJc w:val="left"/>
      <w:pPr>
        <w:tabs>
          <w:tab w:val="num" w:pos="3240"/>
        </w:tabs>
        <w:ind w:left="3240" w:hanging="360"/>
      </w:pPr>
      <w:rPr>
        <w:rFonts w:ascii="Courier New" w:hAnsi="Courier New" w:cs="Courier New" w:hint="default"/>
      </w:rPr>
    </w:lvl>
    <w:lvl w:ilvl="5" w:tplc="080C0005">
      <w:start w:val="1"/>
      <w:numFmt w:val="bullet"/>
      <w:lvlText w:val=""/>
      <w:lvlJc w:val="left"/>
      <w:pPr>
        <w:tabs>
          <w:tab w:val="num" w:pos="3960"/>
        </w:tabs>
        <w:ind w:left="3960" w:hanging="360"/>
      </w:pPr>
      <w:rPr>
        <w:rFonts w:ascii="Wingdings" w:hAnsi="Wingdings" w:cs="Wingdings" w:hint="default"/>
      </w:rPr>
    </w:lvl>
    <w:lvl w:ilvl="6" w:tplc="080C0001">
      <w:start w:val="1"/>
      <w:numFmt w:val="bullet"/>
      <w:lvlText w:val=""/>
      <w:lvlJc w:val="left"/>
      <w:pPr>
        <w:tabs>
          <w:tab w:val="num" w:pos="4680"/>
        </w:tabs>
        <w:ind w:left="4680" w:hanging="360"/>
      </w:pPr>
      <w:rPr>
        <w:rFonts w:ascii="Symbol" w:hAnsi="Symbol" w:cs="Symbol" w:hint="default"/>
      </w:rPr>
    </w:lvl>
    <w:lvl w:ilvl="7" w:tplc="080C0003">
      <w:start w:val="1"/>
      <w:numFmt w:val="bullet"/>
      <w:lvlText w:val="o"/>
      <w:lvlJc w:val="left"/>
      <w:pPr>
        <w:tabs>
          <w:tab w:val="num" w:pos="5400"/>
        </w:tabs>
        <w:ind w:left="5400" w:hanging="360"/>
      </w:pPr>
      <w:rPr>
        <w:rFonts w:ascii="Courier New" w:hAnsi="Courier New" w:cs="Courier New" w:hint="default"/>
      </w:rPr>
    </w:lvl>
    <w:lvl w:ilvl="8" w:tplc="080C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27AA4D49"/>
    <w:multiLevelType w:val="multilevel"/>
    <w:tmpl w:val="362490F8"/>
    <w:lvl w:ilvl="0">
      <w:start w:val="1"/>
      <w:numFmt w:val="decimal"/>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2A750448"/>
    <w:multiLevelType w:val="hybridMultilevel"/>
    <w:tmpl w:val="D9B0D85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2CD34FFD"/>
    <w:multiLevelType w:val="singleLevel"/>
    <w:tmpl w:val="40B842A2"/>
    <w:lvl w:ilvl="0">
      <w:start w:val="1"/>
      <w:numFmt w:val="bullet"/>
      <w:pStyle w:val="Tiret2"/>
      <w:lvlText w:val="–"/>
      <w:lvlJc w:val="left"/>
      <w:pPr>
        <w:tabs>
          <w:tab w:val="num" w:pos="1984"/>
        </w:tabs>
        <w:ind w:left="1984" w:hanging="567"/>
      </w:pPr>
    </w:lvl>
  </w:abstractNum>
  <w:abstractNum w:abstractNumId="39" w15:restartNumberingAfterBreak="0">
    <w:nsid w:val="2D9E3F51"/>
    <w:multiLevelType w:val="hybridMultilevel"/>
    <w:tmpl w:val="D3C264C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2DC05526"/>
    <w:multiLevelType w:val="hybridMultilevel"/>
    <w:tmpl w:val="EFE4B74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1"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42" w15:restartNumberingAfterBreak="0">
    <w:nsid w:val="3398025C"/>
    <w:multiLevelType w:val="hybridMultilevel"/>
    <w:tmpl w:val="39526F4E"/>
    <w:lvl w:ilvl="0" w:tplc="D7A68ED0">
      <w:numFmt w:val="bullet"/>
      <w:lvlText w:val="-"/>
      <w:lvlJc w:val="left"/>
      <w:pPr>
        <w:tabs>
          <w:tab w:val="num" w:pos="720"/>
        </w:tabs>
        <w:ind w:left="720" w:hanging="360"/>
      </w:pPr>
      <w:rPr>
        <w:rFonts w:ascii="Times New Roman" w:eastAsia="Times New Roman" w:hAnsi="Times New Roman" w:hint="default"/>
        <w:b/>
        <w:bCs/>
        <w:i/>
        <w:iCs/>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342C4801"/>
    <w:multiLevelType w:val="hybridMultilevel"/>
    <w:tmpl w:val="4724B644"/>
    <w:lvl w:ilvl="0" w:tplc="080C0001">
      <w:start w:val="1"/>
      <w:numFmt w:val="bullet"/>
      <w:lvlText w:val=""/>
      <w:lvlJc w:val="left"/>
      <w:pPr>
        <w:tabs>
          <w:tab w:val="num" w:pos="360"/>
        </w:tabs>
        <w:ind w:left="360" w:hanging="360"/>
      </w:pPr>
      <w:rPr>
        <w:rFonts w:ascii="Symbol" w:hAnsi="Symbol" w:cs="Symbol" w:hint="default"/>
      </w:rPr>
    </w:lvl>
    <w:lvl w:ilvl="1" w:tplc="080C0003">
      <w:start w:val="1"/>
      <w:numFmt w:val="bullet"/>
      <w:lvlText w:val="o"/>
      <w:lvlJc w:val="left"/>
      <w:pPr>
        <w:tabs>
          <w:tab w:val="num" w:pos="1080"/>
        </w:tabs>
        <w:ind w:left="1080" w:hanging="360"/>
      </w:pPr>
      <w:rPr>
        <w:rFonts w:ascii="Courier New" w:hAnsi="Courier New" w:cs="Courier New" w:hint="default"/>
      </w:rPr>
    </w:lvl>
    <w:lvl w:ilvl="2" w:tplc="080C0005">
      <w:start w:val="1"/>
      <w:numFmt w:val="bullet"/>
      <w:lvlText w:val=""/>
      <w:lvlJc w:val="left"/>
      <w:pPr>
        <w:tabs>
          <w:tab w:val="num" w:pos="1800"/>
        </w:tabs>
        <w:ind w:left="1800" w:hanging="360"/>
      </w:pPr>
      <w:rPr>
        <w:rFonts w:ascii="Wingdings" w:hAnsi="Wingdings" w:cs="Wingdings" w:hint="default"/>
      </w:rPr>
    </w:lvl>
    <w:lvl w:ilvl="3" w:tplc="080C0001">
      <w:start w:val="1"/>
      <w:numFmt w:val="bullet"/>
      <w:lvlText w:val=""/>
      <w:lvlJc w:val="left"/>
      <w:pPr>
        <w:tabs>
          <w:tab w:val="num" w:pos="2520"/>
        </w:tabs>
        <w:ind w:left="2520" w:hanging="360"/>
      </w:pPr>
      <w:rPr>
        <w:rFonts w:ascii="Symbol" w:hAnsi="Symbol" w:cs="Symbol" w:hint="default"/>
      </w:rPr>
    </w:lvl>
    <w:lvl w:ilvl="4" w:tplc="080C0003">
      <w:start w:val="1"/>
      <w:numFmt w:val="bullet"/>
      <w:lvlText w:val="o"/>
      <w:lvlJc w:val="left"/>
      <w:pPr>
        <w:tabs>
          <w:tab w:val="num" w:pos="3240"/>
        </w:tabs>
        <w:ind w:left="3240" w:hanging="360"/>
      </w:pPr>
      <w:rPr>
        <w:rFonts w:ascii="Courier New" w:hAnsi="Courier New" w:cs="Courier New" w:hint="default"/>
      </w:rPr>
    </w:lvl>
    <w:lvl w:ilvl="5" w:tplc="080C0005">
      <w:start w:val="1"/>
      <w:numFmt w:val="bullet"/>
      <w:lvlText w:val=""/>
      <w:lvlJc w:val="left"/>
      <w:pPr>
        <w:tabs>
          <w:tab w:val="num" w:pos="3960"/>
        </w:tabs>
        <w:ind w:left="3960" w:hanging="360"/>
      </w:pPr>
      <w:rPr>
        <w:rFonts w:ascii="Wingdings" w:hAnsi="Wingdings" w:cs="Wingdings" w:hint="default"/>
      </w:rPr>
    </w:lvl>
    <w:lvl w:ilvl="6" w:tplc="080C0001">
      <w:start w:val="1"/>
      <w:numFmt w:val="bullet"/>
      <w:lvlText w:val=""/>
      <w:lvlJc w:val="left"/>
      <w:pPr>
        <w:tabs>
          <w:tab w:val="num" w:pos="4680"/>
        </w:tabs>
        <w:ind w:left="4680" w:hanging="360"/>
      </w:pPr>
      <w:rPr>
        <w:rFonts w:ascii="Symbol" w:hAnsi="Symbol" w:cs="Symbol" w:hint="default"/>
      </w:rPr>
    </w:lvl>
    <w:lvl w:ilvl="7" w:tplc="080C0003">
      <w:start w:val="1"/>
      <w:numFmt w:val="bullet"/>
      <w:lvlText w:val="o"/>
      <w:lvlJc w:val="left"/>
      <w:pPr>
        <w:tabs>
          <w:tab w:val="num" w:pos="5400"/>
        </w:tabs>
        <w:ind w:left="5400" w:hanging="360"/>
      </w:pPr>
      <w:rPr>
        <w:rFonts w:ascii="Courier New" w:hAnsi="Courier New" w:cs="Courier New" w:hint="default"/>
      </w:rPr>
    </w:lvl>
    <w:lvl w:ilvl="8" w:tplc="080C0005">
      <w:start w:val="1"/>
      <w:numFmt w:val="bullet"/>
      <w:lvlText w:val=""/>
      <w:lvlJc w:val="left"/>
      <w:pPr>
        <w:tabs>
          <w:tab w:val="num" w:pos="6120"/>
        </w:tabs>
        <w:ind w:left="6120" w:hanging="360"/>
      </w:pPr>
      <w:rPr>
        <w:rFonts w:ascii="Wingdings" w:hAnsi="Wingdings" w:cs="Wingdings" w:hint="default"/>
      </w:rPr>
    </w:lvl>
  </w:abstractNum>
  <w:abstractNum w:abstractNumId="44" w15:restartNumberingAfterBreak="0">
    <w:nsid w:val="36796BEF"/>
    <w:multiLevelType w:val="hybridMultilevel"/>
    <w:tmpl w:val="7A30EC1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36B336FA"/>
    <w:multiLevelType w:val="hybridMultilevel"/>
    <w:tmpl w:val="760E911C"/>
    <w:lvl w:ilvl="0" w:tplc="08090001">
      <w:start w:val="1"/>
      <w:numFmt w:val="bullet"/>
      <w:lvlText w:val=""/>
      <w:lvlJc w:val="left"/>
      <w:pPr>
        <w:tabs>
          <w:tab w:val="num" w:pos="1060"/>
        </w:tabs>
        <w:ind w:left="1060" w:hanging="360"/>
      </w:pPr>
      <w:rPr>
        <w:rFonts w:ascii="Symbol" w:hAnsi="Symbol" w:cs="Symbol" w:hint="default"/>
      </w:rPr>
    </w:lvl>
    <w:lvl w:ilvl="1" w:tplc="08090003">
      <w:start w:val="1"/>
      <w:numFmt w:val="bullet"/>
      <w:lvlText w:val="o"/>
      <w:lvlJc w:val="left"/>
      <w:pPr>
        <w:tabs>
          <w:tab w:val="num" w:pos="1780"/>
        </w:tabs>
        <w:ind w:left="1780" w:hanging="360"/>
      </w:pPr>
      <w:rPr>
        <w:rFonts w:ascii="Courier New" w:hAnsi="Courier New" w:cs="Courier New" w:hint="default"/>
      </w:rPr>
    </w:lvl>
    <w:lvl w:ilvl="2" w:tplc="08090005">
      <w:start w:val="1"/>
      <w:numFmt w:val="bullet"/>
      <w:lvlText w:val=""/>
      <w:lvlJc w:val="left"/>
      <w:pPr>
        <w:tabs>
          <w:tab w:val="num" w:pos="2500"/>
        </w:tabs>
        <w:ind w:left="2500" w:hanging="360"/>
      </w:pPr>
      <w:rPr>
        <w:rFonts w:ascii="Wingdings" w:hAnsi="Wingdings" w:cs="Wingdings" w:hint="default"/>
      </w:rPr>
    </w:lvl>
    <w:lvl w:ilvl="3" w:tplc="08090001">
      <w:start w:val="1"/>
      <w:numFmt w:val="bullet"/>
      <w:lvlText w:val=""/>
      <w:lvlJc w:val="left"/>
      <w:pPr>
        <w:tabs>
          <w:tab w:val="num" w:pos="3220"/>
        </w:tabs>
        <w:ind w:left="3220" w:hanging="360"/>
      </w:pPr>
      <w:rPr>
        <w:rFonts w:ascii="Symbol" w:hAnsi="Symbol" w:cs="Symbol" w:hint="default"/>
      </w:rPr>
    </w:lvl>
    <w:lvl w:ilvl="4" w:tplc="08090003">
      <w:start w:val="1"/>
      <w:numFmt w:val="bullet"/>
      <w:lvlText w:val="o"/>
      <w:lvlJc w:val="left"/>
      <w:pPr>
        <w:tabs>
          <w:tab w:val="num" w:pos="3940"/>
        </w:tabs>
        <w:ind w:left="3940" w:hanging="360"/>
      </w:pPr>
      <w:rPr>
        <w:rFonts w:ascii="Courier New" w:hAnsi="Courier New" w:cs="Courier New" w:hint="default"/>
      </w:rPr>
    </w:lvl>
    <w:lvl w:ilvl="5" w:tplc="08090005">
      <w:start w:val="1"/>
      <w:numFmt w:val="bullet"/>
      <w:lvlText w:val=""/>
      <w:lvlJc w:val="left"/>
      <w:pPr>
        <w:tabs>
          <w:tab w:val="num" w:pos="4660"/>
        </w:tabs>
        <w:ind w:left="4660" w:hanging="360"/>
      </w:pPr>
      <w:rPr>
        <w:rFonts w:ascii="Wingdings" w:hAnsi="Wingdings" w:cs="Wingdings" w:hint="default"/>
      </w:rPr>
    </w:lvl>
    <w:lvl w:ilvl="6" w:tplc="08090001">
      <w:start w:val="1"/>
      <w:numFmt w:val="bullet"/>
      <w:lvlText w:val=""/>
      <w:lvlJc w:val="left"/>
      <w:pPr>
        <w:tabs>
          <w:tab w:val="num" w:pos="5380"/>
        </w:tabs>
        <w:ind w:left="5380" w:hanging="360"/>
      </w:pPr>
      <w:rPr>
        <w:rFonts w:ascii="Symbol" w:hAnsi="Symbol" w:cs="Symbol" w:hint="default"/>
      </w:rPr>
    </w:lvl>
    <w:lvl w:ilvl="7" w:tplc="08090003">
      <w:start w:val="1"/>
      <w:numFmt w:val="bullet"/>
      <w:lvlText w:val="o"/>
      <w:lvlJc w:val="left"/>
      <w:pPr>
        <w:tabs>
          <w:tab w:val="num" w:pos="6100"/>
        </w:tabs>
        <w:ind w:left="6100" w:hanging="360"/>
      </w:pPr>
      <w:rPr>
        <w:rFonts w:ascii="Courier New" w:hAnsi="Courier New" w:cs="Courier New" w:hint="default"/>
      </w:rPr>
    </w:lvl>
    <w:lvl w:ilvl="8" w:tplc="08090005">
      <w:start w:val="1"/>
      <w:numFmt w:val="bullet"/>
      <w:lvlText w:val=""/>
      <w:lvlJc w:val="left"/>
      <w:pPr>
        <w:tabs>
          <w:tab w:val="num" w:pos="6820"/>
        </w:tabs>
        <w:ind w:left="6820" w:hanging="360"/>
      </w:pPr>
      <w:rPr>
        <w:rFonts w:ascii="Wingdings" w:hAnsi="Wingdings" w:cs="Wingdings" w:hint="default"/>
      </w:rPr>
    </w:lvl>
  </w:abstractNum>
  <w:abstractNum w:abstractNumId="46" w15:restartNumberingAfterBreak="0">
    <w:nsid w:val="391B0FE7"/>
    <w:multiLevelType w:val="hybridMultilevel"/>
    <w:tmpl w:val="9F2ABD2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3B8519EE"/>
    <w:multiLevelType w:val="singleLevel"/>
    <w:tmpl w:val="306ACA20"/>
    <w:lvl w:ilvl="0">
      <w:start w:val="1"/>
      <w:numFmt w:val="bullet"/>
      <w:lvlText w:val=""/>
      <w:lvlJc w:val="left"/>
      <w:pPr>
        <w:tabs>
          <w:tab w:val="num" w:pos="283"/>
        </w:tabs>
        <w:ind w:left="283" w:hanging="283"/>
      </w:pPr>
      <w:rPr>
        <w:rFonts w:ascii="Symbol" w:hAnsi="Symbol" w:cs="Symbol" w:hint="default"/>
      </w:rPr>
    </w:lvl>
  </w:abstractNum>
  <w:abstractNum w:abstractNumId="48" w15:restartNumberingAfterBreak="0">
    <w:nsid w:val="3BFF55A2"/>
    <w:multiLevelType w:val="hybridMultilevel"/>
    <w:tmpl w:val="0C709DA8"/>
    <w:lvl w:ilvl="0" w:tplc="08090001">
      <w:start w:val="1"/>
      <w:numFmt w:val="bullet"/>
      <w:lvlText w:val=""/>
      <w:lvlJc w:val="left"/>
      <w:pPr>
        <w:tabs>
          <w:tab w:val="num" w:pos="612"/>
        </w:tabs>
        <w:ind w:left="612" w:hanging="360"/>
      </w:pPr>
      <w:rPr>
        <w:rFonts w:ascii="Symbol" w:hAnsi="Symbol" w:cs="Symbol" w:hint="default"/>
      </w:rPr>
    </w:lvl>
    <w:lvl w:ilvl="1" w:tplc="08090003">
      <w:start w:val="1"/>
      <w:numFmt w:val="bullet"/>
      <w:lvlText w:val="o"/>
      <w:lvlJc w:val="left"/>
      <w:pPr>
        <w:tabs>
          <w:tab w:val="num" w:pos="1332"/>
        </w:tabs>
        <w:ind w:left="1332" w:hanging="360"/>
      </w:pPr>
      <w:rPr>
        <w:rFonts w:ascii="Courier New" w:hAnsi="Courier New" w:cs="Courier New" w:hint="default"/>
      </w:rPr>
    </w:lvl>
    <w:lvl w:ilvl="2" w:tplc="08090005">
      <w:start w:val="1"/>
      <w:numFmt w:val="bullet"/>
      <w:lvlText w:val=""/>
      <w:lvlJc w:val="left"/>
      <w:pPr>
        <w:tabs>
          <w:tab w:val="num" w:pos="2052"/>
        </w:tabs>
        <w:ind w:left="2052" w:hanging="360"/>
      </w:pPr>
      <w:rPr>
        <w:rFonts w:ascii="Wingdings" w:hAnsi="Wingdings" w:cs="Wingdings" w:hint="default"/>
      </w:rPr>
    </w:lvl>
    <w:lvl w:ilvl="3" w:tplc="08090001">
      <w:start w:val="1"/>
      <w:numFmt w:val="bullet"/>
      <w:lvlText w:val=""/>
      <w:lvlJc w:val="left"/>
      <w:pPr>
        <w:tabs>
          <w:tab w:val="num" w:pos="2772"/>
        </w:tabs>
        <w:ind w:left="2772" w:hanging="360"/>
      </w:pPr>
      <w:rPr>
        <w:rFonts w:ascii="Symbol" w:hAnsi="Symbol" w:cs="Symbol" w:hint="default"/>
      </w:rPr>
    </w:lvl>
    <w:lvl w:ilvl="4" w:tplc="08090003">
      <w:start w:val="1"/>
      <w:numFmt w:val="bullet"/>
      <w:lvlText w:val="o"/>
      <w:lvlJc w:val="left"/>
      <w:pPr>
        <w:tabs>
          <w:tab w:val="num" w:pos="3492"/>
        </w:tabs>
        <w:ind w:left="3492" w:hanging="360"/>
      </w:pPr>
      <w:rPr>
        <w:rFonts w:ascii="Courier New" w:hAnsi="Courier New" w:cs="Courier New" w:hint="default"/>
      </w:rPr>
    </w:lvl>
    <w:lvl w:ilvl="5" w:tplc="08090005">
      <w:start w:val="1"/>
      <w:numFmt w:val="bullet"/>
      <w:lvlText w:val=""/>
      <w:lvlJc w:val="left"/>
      <w:pPr>
        <w:tabs>
          <w:tab w:val="num" w:pos="4212"/>
        </w:tabs>
        <w:ind w:left="4212" w:hanging="360"/>
      </w:pPr>
      <w:rPr>
        <w:rFonts w:ascii="Wingdings" w:hAnsi="Wingdings" w:cs="Wingdings" w:hint="default"/>
      </w:rPr>
    </w:lvl>
    <w:lvl w:ilvl="6" w:tplc="08090001">
      <w:start w:val="1"/>
      <w:numFmt w:val="bullet"/>
      <w:lvlText w:val=""/>
      <w:lvlJc w:val="left"/>
      <w:pPr>
        <w:tabs>
          <w:tab w:val="num" w:pos="4932"/>
        </w:tabs>
        <w:ind w:left="4932" w:hanging="360"/>
      </w:pPr>
      <w:rPr>
        <w:rFonts w:ascii="Symbol" w:hAnsi="Symbol" w:cs="Symbol" w:hint="default"/>
      </w:rPr>
    </w:lvl>
    <w:lvl w:ilvl="7" w:tplc="08090003">
      <w:start w:val="1"/>
      <w:numFmt w:val="bullet"/>
      <w:lvlText w:val="o"/>
      <w:lvlJc w:val="left"/>
      <w:pPr>
        <w:tabs>
          <w:tab w:val="num" w:pos="5652"/>
        </w:tabs>
        <w:ind w:left="5652" w:hanging="360"/>
      </w:pPr>
      <w:rPr>
        <w:rFonts w:ascii="Courier New" w:hAnsi="Courier New" w:cs="Courier New" w:hint="default"/>
      </w:rPr>
    </w:lvl>
    <w:lvl w:ilvl="8" w:tplc="08090005">
      <w:start w:val="1"/>
      <w:numFmt w:val="bullet"/>
      <w:lvlText w:val=""/>
      <w:lvlJc w:val="left"/>
      <w:pPr>
        <w:tabs>
          <w:tab w:val="num" w:pos="6372"/>
        </w:tabs>
        <w:ind w:left="6372" w:hanging="360"/>
      </w:pPr>
      <w:rPr>
        <w:rFonts w:ascii="Wingdings" w:hAnsi="Wingdings" w:cs="Wingdings" w:hint="default"/>
      </w:rPr>
    </w:lvl>
  </w:abstractNum>
  <w:abstractNum w:abstractNumId="49" w15:restartNumberingAfterBreak="0">
    <w:nsid w:val="3CBC2859"/>
    <w:multiLevelType w:val="multilevel"/>
    <w:tmpl w:val="A738782E"/>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3D325A08"/>
    <w:multiLevelType w:val="hybridMultilevel"/>
    <w:tmpl w:val="EC48249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441465D6"/>
    <w:multiLevelType w:val="hybridMultilevel"/>
    <w:tmpl w:val="9416B59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45842BB8"/>
    <w:multiLevelType w:val="singleLevel"/>
    <w:tmpl w:val="9EB6589E"/>
    <w:lvl w:ilvl="0">
      <w:start w:val="1"/>
      <w:numFmt w:val="bullet"/>
      <w:pStyle w:val="Punktlista4"/>
      <w:lvlText w:val=""/>
      <w:lvlJc w:val="left"/>
      <w:pPr>
        <w:tabs>
          <w:tab w:val="num" w:pos="1134"/>
        </w:tabs>
        <w:ind w:left="1134" w:hanging="283"/>
      </w:pPr>
      <w:rPr>
        <w:rFonts w:ascii="Symbol" w:hAnsi="Symbol" w:cs="Symbol"/>
      </w:rPr>
    </w:lvl>
  </w:abstractNum>
  <w:abstractNum w:abstractNumId="53" w15:restartNumberingAfterBreak="0">
    <w:nsid w:val="459F1E63"/>
    <w:multiLevelType w:val="hybridMultilevel"/>
    <w:tmpl w:val="B80AC7B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45B04366"/>
    <w:multiLevelType w:val="hybridMultilevel"/>
    <w:tmpl w:val="9A82F59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45B909E2"/>
    <w:multiLevelType w:val="hybridMultilevel"/>
    <w:tmpl w:val="E3C461F2"/>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56" w15:restartNumberingAfterBreak="0">
    <w:nsid w:val="46073DAC"/>
    <w:multiLevelType w:val="hybridMultilevel"/>
    <w:tmpl w:val="6B1A1E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476241A2"/>
    <w:multiLevelType w:val="hybridMultilevel"/>
    <w:tmpl w:val="316436C0"/>
    <w:lvl w:ilvl="0" w:tplc="08090001">
      <w:start w:val="1"/>
      <w:numFmt w:val="bullet"/>
      <w:lvlText w:val=""/>
      <w:lvlJc w:val="left"/>
      <w:pPr>
        <w:tabs>
          <w:tab w:val="num" w:pos="720"/>
        </w:tabs>
        <w:ind w:left="720" w:hanging="360"/>
      </w:pPr>
      <w:rPr>
        <w:rFonts w:ascii="Symbol" w:hAnsi="Symbol" w:cs="Symbol" w:hint="default"/>
      </w:rPr>
    </w:lvl>
    <w:lvl w:ilvl="1" w:tplc="080C000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48DF5DB8"/>
    <w:multiLevelType w:val="singleLevel"/>
    <w:tmpl w:val="556C673A"/>
    <w:lvl w:ilvl="0">
      <w:start w:val="1"/>
      <w:numFmt w:val="decimal"/>
      <w:lvlText w:val="%1."/>
      <w:lvlJc w:val="left"/>
      <w:pPr>
        <w:tabs>
          <w:tab w:val="num" w:pos="360"/>
        </w:tabs>
        <w:ind w:left="340" w:hanging="340"/>
      </w:pPr>
    </w:lvl>
  </w:abstractNum>
  <w:abstractNum w:abstractNumId="59" w15:restartNumberingAfterBreak="0">
    <w:nsid w:val="49C8346C"/>
    <w:multiLevelType w:val="multilevel"/>
    <w:tmpl w:val="C0145086"/>
    <w:name w:val="List Bullet 2"/>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4BF65A6A"/>
    <w:multiLevelType w:val="hybridMultilevel"/>
    <w:tmpl w:val="AB406896"/>
    <w:lvl w:ilvl="0" w:tplc="08090001">
      <w:start w:val="1"/>
      <w:numFmt w:val="bullet"/>
      <w:lvlText w:val=""/>
      <w:lvlJc w:val="left"/>
      <w:pPr>
        <w:tabs>
          <w:tab w:val="num" w:pos="1060"/>
        </w:tabs>
        <w:ind w:left="1060" w:hanging="360"/>
      </w:pPr>
      <w:rPr>
        <w:rFonts w:ascii="Symbol" w:hAnsi="Symbol" w:cs="Symbol" w:hint="default"/>
      </w:rPr>
    </w:lvl>
    <w:lvl w:ilvl="1" w:tplc="08090003">
      <w:start w:val="1"/>
      <w:numFmt w:val="bullet"/>
      <w:lvlText w:val="o"/>
      <w:lvlJc w:val="left"/>
      <w:pPr>
        <w:tabs>
          <w:tab w:val="num" w:pos="1780"/>
        </w:tabs>
        <w:ind w:left="1780" w:hanging="360"/>
      </w:pPr>
      <w:rPr>
        <w:rFonts w:ascii="Courier New" w:hAnsi="Courier New" w:cs="Courier New" w:hint="default"/>
      </w:rPr>
    </w:lvl>
    <w:lvl w:ilvl="2" w:tplc="08090005">
      <w:start w:val="1"/>
      <w:numFmt w:val="bullet"/>
      <w:lvlText w:val=""/>
      <w:lvlJc w:val="left"/>
      <w:pPr>
        <w:tabs>
          <w:tab w:val="num" w:pos="2500"/>
        </w:tabs>
        <w:ind w:left="2500" w:hanging="360"/>
      </w:pPr>
      <w:rPr>
        <w:rFonts w:ascii="Wingdings" w:hAnsi="Wingdings" w:cs="Wingdings" w:hint="default"/>
      </w:rPr>
    </w:lvl>
    <w:lvl w:ilvl="3" w:tplc="08090001">
      <w:start w:val="1"/>
      <w:numFmt w:val="bullet"/>
      <w:lvlText w:val=""/>
      <w:lvlJc w:val="left"/>
      <w:pPr>
        <w:tabs>
          <w:tab w:val="num" w:pos="3220"/>
        </w:tabs>
        <w:ind w:left="3220" w:hanging="360"/>
      </w:pPr>
      <w:rPr>
        <w:rFonts w:ascii="Symbol" w:hAnsi="Symbol" w:cs="Symbol" w:hint="default"/>
      </w:rPr>
    </w:lvl>
    <w:lvl w:ilvl="4" w:tplc="08090003">
      <w:start w:val="1"/>
      <w:numFmt w:val="bullet"/>
      <w:lvlText w:val="o"/>
      <w:lvlJc w:val="left"/>
      <w:pPr>
        <w:tabs>
          <w:tab w:val="num" w:pos="3940"/>
        </w:tabs>
        <w:ind w:left="3940" w:hanging="360"/>
      </w:pPr>
      <w:rPr>
        <w:rFonts w:ascii="Courier New" w:hAnsi="Courier New" w:cs="Courier New" w:hint="default"/>
      </w:rPr>
    </w:lvl>
    <w:lvl w:ilvl="5" w:tplc="08090005">
      <w:start w:val="1"/>
      <w:numFmt w:val="bullet"/>
      <w:lvlText w:val=""/>
      <w:lvlJc w:val="left"/>
      <w:pPr>
        <w:tabs>
          <w:tab w:val="num" w:pos="4660"/>
        </w:tabs>
        <w:ind w:left="4660" w:hanging="360"/>
      </w:pPr>
      <w:rPr>
        <w:rFonts w:ascii="Wingdings" w:hAnsi="Wingdings" w:cs="Wingdings" w:hint="default"/>
      </w:rPr>
    </w:lvl>
    <w:lvl w:ilvl="6" w:tplc="08090001">
      <w:start w:val="1"/>
      <w:numFmt w:val="bullet"/>
      <w:lvlText w:val=""/>
      <w:lvlJc w:val="left"/>
      <w:pPr>
        <w:tabs>
          <w:tab w:val="num" w:pos="5380"/>
        </w:tabs>
        <w:ind w:left="5380" w:hanging="360"/>
      </w:pPr>
      <w:rPr>
        <w:rFonts w:ascii="Symbol" w:hAnsi="Symbol" w:cs="Symbol" w:hint="default"/>
      </w:rPr>
    </w:lvl>
    <w:lvl w:ilvl="7" w:tplc="08090003">
      <w:start w:val="1"/>
      <w:numFmt w:val="bullet"/>
      <w:lvlText w:val="o"/>
      <w:lvlJc w:val="left"/>
      <w:pPr>
        <w:tabs>
          <w:tab w:val="num" w:pos="6100"/>
        </w:tabs>
        <w:ind w:left="6100" w:hanging="360"/>
      </w:pPr>
      <w:rPr>
        <w:rFonts w:ascii="Courier New" w:hAnsi="Courier New" w:cs="Courier New" w:hint="default"/>
      </w:rPr>
    </w:lvl>
    <w:lvl w:ilvl="8" w:tplc="08090005">
      <w:start w:val="1"/>
      <w:numFmt w:val="bullet"/>
      <w:lvlText w:val=""/>
      <w:lvlJc w:val="left"/>
      <w:pPr>
        <w:tabs>
          <w:tab w:val="num" w:pos="6820"/>
        </w:tabs>
        <w:ind w:left="6820" w:hanging="360"/>
      </w:pPr>
      <w:rPr>
        <w:rFonts w:ascii="Wingdings" w:hAnsi="Wingdings" w:cs="Wingdings" w:hint="default"/>
      </w:rPr>
    </w:lvl>
  </w:abstractNum>
  <w:abstractNum w:abstractNumId="61" w15:restartNumberingAfterBreak="0">
    <w:nsid w:val="4C883A6A"/>
    <w:multiLevelType w:val="hybridMultilevel"/>
    <w:tmpl w:val="020E43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2" w15:restartNumberingAfterBreak="0">
    <w:nsid w:val="4CC61CB4"/>
    <w:multiLevelType w:val="hybridMultilevel"/>
    <w:tmpl w:val="DEDC3112"/>
    <w:lvl w:ilvl="0" w:tplc="FFFFFFFF">
      <w:start w:val="1"/>
      <w:numFmt w:val="bullet"/>
      <w:lvlText w:val=""/>
      <w:lvlJc w:val="left"/>
      <w:pPr>
        <w:tabs>
          <w:tab w:val="num" w:pos="540"/>
        </w:tabs>
        <w:ind w:left="54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4FC75D3B"/>
    <w:multiLevelType w:val="hybridMultilevel"/>
    <w:tmpl w:val="D4B249C2"/>
    <w:lvl w:ilvl="0" w:tplc="080C0001">
      <w:start w:val="1"/>
      <w:numFmt w:val="bullet"/>
      <w:lvlText w:val=""/>
      <w:lvlJc w:val="left"/>
      <w:pPr>
        <w:tabs>
          <w:tab w:val="num" w:pos="720"/>
        </w:tabs>
        <w:ind w:left="720" w:hanging="360"/>
      </w:pPr>
      <w:rPr>
        <w:rFonts w:ascii="Symbol" w:hAnsi="Symbol" w:cs="Symbo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start w:val="1"/>
      <w:numFmt w:val="bullet"/>
      <w:lvlText w:val=""/>
      <w:lvlJc w:val="left"/>
      <w:pPr>
        <w:tabs>
          <w:tab w:val="num" w:pos="2160"/>
        </w:tabs>
        <w:ind w:left="2160" w:hanging="360"/>
      </w:pPr>
      <w:rPr>
        <w:rFonts w:ascii="Wingdings" w:hAnsi="Wingdings" w:cs="Wingdings" w:hint="default"/>
      </w:rPr>
    </w:lvl>
    <w:lvl w:ilvl="3" w:tplc="080C0001">
      <w:start w:val="1"/>
      <w:numFmt w:val="bullet"/>
      <w:lvlText w:val=""/>
      <w:lvlJc w:val="left"/>
      <w:pPr>
        <w:tabs>
          <w:tab w:val="num" w:pos="2880"/>
        </w:tabs>
        <w:ind w:left="2880" w:hanging="360"/>
      </w:pPr>
      <w:rPr>
        <w:rFonts w:ascii="Symbol" w:hAnsi="Symbol" w:cs="Symbol" w:hint="default"/>
      </w:rPr>
    </w:lvl>
    <w:lvl w:ilvl="4" w:tplc="080C0003">
      <w:start w:val="1"/>
      <w:numFmt w:val="bullet"/>
      <w:lvlText w:val="o"/>
      <w:lvlJc w:val="left"/>
      <w:pPr>
        <w:tabs>
          <w:tab w:val="num" w:pos="3600"/>
        </w:tabs>
        <w:ind w:left="3600" w:hanging="360"/>
      </w:pPr>
      <w:rPr>
        <w:rFonts w:ascii="Courier New" w:hAnsi="Courier New" w:cs="Courier New" w:hint="default"/>
      </w:rPr>
    </w:lvl>
    <w:lvl w:ilvl="5" w:tplc="080C0005">
      <w:start w:val="1"/>
      <w:numFmt w:val="bullet"/>
      <w:lvlText w:val=""/>
      <w:lvlJc w:val="left"/>
      <w:pPr>
        <w:tabs>
          <w:tab w:val="num" w:pos="4320"/>
        </w:tabs>
        <w:ind w:left="4320" w:hanging="360"/>
      </w:pPr>
      <w:rPr>
        <w:rFonts w:ascii="Wingdings" w:hAnsi="Wingdings" w:cs="Wingdings" w:hint="default"/>
      </w:rPr>
    </w:lvl>
    <w:lvl w:ilvl="6" w:tplc="080C0001">
      <w:start w:val="1"/>
      <w:numFmt w:val="bullet"/>
      <w:lvlText w:val=""/>
      <w:lvlJc w:val="left"/>
      <w:pPr>
        <w:tabs>
          <w:tab w:val="num" w:pos="5040"/>
        </w:tabs>
        <w:ind w:left="5040" w:hanging="360"/>
      </w:pPr>
      <w:rPr>
        <w:rFonts w:ascii="Symbol" w:hAnsi="Symbol" w:cs="Symbol" w:hint="default"/>
      </w:rPr>
    </w:lvl>
    <w:lvl w:ilvl="7" w:tplc="080C0003">
      <w:start w:val="1"/>
      <w:numFmt w:val="bullet"/>
      <w:lvlText w:val="o"/>
      <w:lvlJc w:val="left"/>
      <w:pPr>
        <w:tabs>
          <w:tab w:val="num" w:pos="5760"/>
        </w:tabs>
        <w:ind w:left="5760" w:hanging="360"/>
      </w:pPr>
      <w:rPr>
        <w:rFonts w:ascii="Courier New" w:hAnsi="Courier New" w:cs="Courier New" w:hint="default"/>
      </w:rPr>
    </w:lvl>
    <w:lvl w:ilvl="8" w:tplc="080C0005">
      <w:start w:val="1"/>
      <w:numFmt w:val="bullet"/>
      <w:lvlText w:val=""/>
      <w:lvlJc w:val="left"/>
      <w:pPr>
        <w:tabs>
          <w:tab w:val="num" w:pos="6480"/>
        </w:tabs>
        <w:ind w:left="6480" w:hanging="360"/>
      </w:pPr>
      <w:rPr>
        <w:rFonts w:ascii="Wingdings" w:hAnsi="Wingdings" w:cs="Wingdings" w:hint="default"/>
      </w:rPr>
    </w:lvl>
  </w:abstractNum>
  <w:abstractNum w:abstractNumId="64" w15:restartNumberingAfterBreak="0">
    <w:nsid w:val="50453A02"/>
    <w:multiLevelType w:val="hybridMultilevel"/>
    <w:tmpl w:val="93524AF0"/>
    <w:lvl w:ilvl="0" w:tplc="FFFFFFFF">
      <w:start w:val="1"/>
      <w:numFmt w:val="decimal"/>
      <w:lvlText w:val="%1)"/>
      <w:lvlJc w:val="left"/>
      <w:pPr>
        <w:tabs>
          <w:tab w:val="num" w:pos="720"/>
        </w:tabs>
        <w:ind w:left="720" w:hanging="363"/>
      </w:pPr>
      <w:rPr>
        <w:b/>
        <w:bCs/>
        <w:caps w:val="0"/>
        <w:smallCaps/>
      </w:rPr>
    </w:lvl>
    <w:lvl w:ilvl="1" w:tplc="FFFFFFFF">
      <w:start w:val="1"/>
      <w:numFmt w:val="bullet"/>
      <w:lvlText w:val=""/>
      <w:lvlJc w:val="left"/>
      <w:pPr>
        <w:tabs>
          <w:tab w:val="num" w:pos="1443"/>
        </w:tabs>
        <w:ind w:left="1443" w:hanging="363"/>
      </w:pPr>
      <w:rPr>
        <w:rFonts w:ascii="Symbol" w:hAnsi="Symbol" w:cs="Symbol" w:hint="default"/>
        <w:b/>
        <w:bCs/>
        <w:caps w:val="0"/>
        <w:smallCaps/>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15:restartNumberingAfterBreak="0">
    <w:nsid w:val="558E77F4"/>
    <w:multiLevelType w:val="hybridMultilevel"/>
    <w:tmpl w:val="5AF4992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560F45FC"/>
    <w:multiLevelType w:val="singleLevel"/>
    <w:tmpl w:val="3F3EA308"/>
    <w:lvl w:ilvl="0">
      <w:start w:val="1"/>
      <w:numFmt w:val="bullet"/>
      <w:pStyle w:val="Punktlista"/>
      <w:lvlText w:val=""/>
      <w:lvlJc w:val="left"/>
      <w:pPr>
        <w:tabs>
          <w:tab w:val="num" w:pos="283"/>
        </w:tabs>
        <w:ind w:left="283" w:hanging="283"/>
      </w:pPr>
      <w:rPr>
        <w:rFonts w:ascii="Symbol" w:hAnsi="Symbol" w:cs="Symbol"/>
      </w:rPr>
    </w:lvl>
  </w:abstractNum>
  <w:abstractNum w:abstractNumId="67" w15:restartNumberingAfterBreak="0">
    <w:nsid w:val="566A6877"/>
    <w:multiLevelType w:val="hybridMultilevel"/>
    <w:tmpl w:val="DF2E674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576A32C9"/>
    <w:multiLevelType w:val="multilevel"/>
    <w:tmpl w:val="9FA4C1EA"/>
    <w:name w:val="Considérant"/>
    <w:lvl w:ilvl="0">
      <w:start w:val="1"/>
      <w:numFmt w:val="decimal"/>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581E4047"/>
    <w:multiLevelType w:val="hybridMultilevel"/>
    <w:tmpl w:val="D6E468C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5B5F0ECE"/>
    <w:multiLevelType w:val="hybridMultilevel"/>
    <w:tmpl w:val="58B6CDF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5FF62125"/>
    <w:multiLevelType w:val="hybridMultilevel"/>
    <w:tmpl w:val="81B0DCD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2" w15:restartNumberingAfterBreak="0">
    <w:nsid w:val="61096C0E"/>
    <w:multiLevelType w:val="hybridMultilevel"/>
    <w:tmpl w:val="314A519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61900D62"/>
    <w:multiLevelType w:val="hybridMultilevel"/>
    <w:tmpl w:val="1910D74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4" w15:restartNumberingAfterBreak="0">
    <w:nsid w:val="6272686E"/>
    <w:multiLevelType w:val="singleLevel"/>
    <w:tmpl w:val="6292DC68"/>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75" w15:restartNumberingAfterBreak="0">
    <w:nsid w:val="62910FBB"/>
    <w:multiLevelType w:val="multilevel"/>
    <w:tmpl w:val="F4782DB6"/>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630E4DAD"/>
    <w:multiLevelType w:val="singleLevel"/>
    <w:tmpl w:val="DC928774"/>
    <w:name w:val="List Dash 2"/>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77" w15:restartNumberingAfterBreak="0">
    <w:nsid w:val="635A437E"/>
    <w:multiLevelType w:val="hybridMultilevel"/>
    <w:tmpl w:val="81E01768"/>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78" w15:restartNumberingAfterBreak="0">
    <w:nsid w:val="65537FF5"/>
    <w:multiLevelType w:val="hybridMultilevel"/>
    <w:tmpl w:val="463CF0A6"/>
    <w:lvl w:ilvl="0" w:tplc="08090001">
      <w:start w:val="1"/>
      <w:numFmt w:val="bullet"/>
      <w:lvlText w:val=""/>
      <w:lvlJc w:val="left"/>
      <w:pPr>
        <w:tabs>
          <w:tab w:val="num" w:pos="1060"/>
        </w:tabs>
        <w:ind w:left="1060" w:hanging="360"/>
      </w:pPr>
      <w:rPr>
        <w:rFonts w:ascii="Symbol" w:hAnsi="Symbol" w:cs="Symbol" w:hint="default"/>
      </w:rPr>
    </w:lvl>
    <w:lvl w:ilvl="1" w:tplc="08090003">
      <w:start w:val="1"/>
      <w:numFmt w:val="bullet"/>
      <w:lvlText w:val="o"/>
      <w:lvlJc w:val="left"/>
      <w:pPr>
        <w:tabs>
          <w:tab w:val="num" w:pos="1780"/>
        </w:tabs>
        <w:ind w:left="1780" w:hanging="360"/>
      </w:pPr>
      <w:rPr>
        <w:rFonts w:ascii="Courier New" w:hAnsi="Courier New" w:cs="Courier New" w:hint="default"/>
      </w:rPr>
    </w:lvl>
    <w:lvl w:ilvl="2" w:tplc="08090005">
      <w:start w:val="1"/>
      <w:numFmt w:val="bullet"/>
      <w:lvlText w:val=""/>
      <w:lvlJc w:val="left"/>
      <w:pPr>
        <w:tabs>
          <w:tab w:val="num" w:pos="2500"/>
        </w:tabs>
        <w:ind w:left="2500" w:hanging="360"/>
      </w:pPr>
      <w:rPr>
        <w:rFonts w:ascii="Wingdings" w:hAnsi="Wingdings" w:cs="Wingdings" w:hint="default"/>
      </w:rPr>
    </w:lvl>
    <w:lvl w:ilvl="3" w:tplc="08090001">
      <w:start w:val="1"/>
      <w:numFmt w:val="bullet"/>
      <w:lvlText w:val=""/>
      <w:lvlJc w:val="left"/>
      <w:pPr>
        <w:tabs>
          <w:tab w:val="num" w:pos="3220"/>
        </w:tabs>
        <w:ind w:left="3220" w:hanging="360"/>
      </w:pPr>
      <w:rPr>
        <w:rFonts w:ascii="Symbol" w:hAnsi="Symbol" w:cs="Symbol" w:hint="default"/>
      </w:rPr>
    </w:lvl>
    <w:lvl w:ilvl="4" w:tplc="08090003">
      <w:start w:val="1"/>
      <w:numFmt w:val="bullet"/>
      <w:lvlText w:val="o"/>
      <w:lvlJc w:val="left"/>
      <w:pPr>
        <w:tabs>
          <w:tab w:val="num" w:pos="3940"/>
        </w:tabs>
        <w:ind w:left="3940" w:hanging="360"/>
      </w:pPr>
      <w:rPr>
        <w:rFonts w:ascii="Courier New" w:hAnsi="Courier New" w:cs="Courier New" w:hint="default"/>
      </w:rPr>
    </w:lvl>
    <w:lvl w:ilvl="5" w:tplc="08090005">
      <w:start w:val="1"/>
      <w:numFmt w:val="bullet"/>
      <w:lvlText w:val=""/>
      <w:lvlJc w:val="left"/>
      <w:pPr>
        <w:tabs>
          <w:tab w:val="num" w:pos="4660"/>
        </w:tabs>
        <w:ind w:left="4660" w:hanging="360"/>
      </w:pPr>
      <w:rPr>
        <w:rFonts w:ascii="Wingdings" w:hAnsi="Wingdings" w:cs="Wingdings" w:hint="default"/>
      </w:rPr>
    </w:lvl>
    <w:lvl w:ilvl="6" w:tplc="08090001">
      <w:start w:val="1"/>
      <w:numFmt w:val="bullet"/>
      <w:lvlText w:val=""/>
      <w:lvlJc w:val="left"/>
      <w:pPr>
        <w:tabs>
          <w:tab w:val="num" w:pos="5380"/>
        </w:tabs>
        <w:ind w:left="5380" w:hanging="360"/>
      </w:pPr>
      <w:rPr>
        <w:rFonts w:ascii="Symbol" w:hAnsi="Symbol" w:cs="Symbol" w:hint="default"/>
      </w:rPr>
    </w:lvl>
    <w:lvl w:ilvl="7" w:tplc="08090003">
      <w:start w:val="1"/>
      <w:numFmt w:val="bullet"/>
      <w:lvlText w:val="o"/>
      <w:lvlJc w:val="left"/>
      <w:pPr>
        <w:tabs>
          <w:tab w:val="num" w:pos="6100"/>
        </w:tabs>
        <w:ind w:left="6100" w:hanging="360"/>
      </w:pPr>
      <w:rPr>
        <w:rFonts w:ascii="Courier New" w:hAnsi="Courier New" w:cs="Courier New" w:hint="default"/>
      </w:rPr>
    </w:lvl>
    <w:lvl w:ilvl="8" w:tplc="08090005">
      <w:start w:val="1"/>
      <w:numFmt w:val="bullet"/>
      <w:lvlText w:val=""/>
      <w:lvlJc w:val="left"/>
      <w:pPr>
        <w:tabs>
          <w:tab w:val="num" w:pos="6820"/>
        </w:tabs>
        <w:ind w:left="6820" w:hanging="360"/>
      </w:pPr>
      <w:rPr>
        <w:rFonts w:ascii="Wingdings" w:hAnsi="Wingdings" w:cs="Wingdings" w:hint="default"/>
      </w:rPr>
    </w:lvl>
  </w:abstractNum>
  <w:abstractNum w:abstractNumId="79" w15:restartNumberingAfterBreak="0">
    <w:nsid w:val="65DF779E"/>
    <w:multiLevelType w:val="hybridMultilevel"/>
    <w:tmpl w:val="9DAC7FF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0" w15:restartNumberingAfterBreak="0">
    <w:nsid w:val="66FA550D"/>
    <w:multiLevelType w:val="hybridMultilevel"/>
    <w:tmpl w:val="142070A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1" w15:restartNumberingAfterBreak="0">
    <w:nsid w:val="67EC134D"/>
    <w:multiLevelType w:val="singleLevel"/>
    <w:tmpl w:val="C9963BB4"/>
    <w:lvl w:ilvl="0">
      <w:start w:val="1"/>
      <w:numFmt w:val="bullet"/>
      <w:pStyle w:val="Tiret3"/>
      <w:lvlText w:val="–"/>
      <w:lvlJc w:val="left"/>
      <w:pPr>
        <w:tabs>
          <w:tab w:val="num" w:pos="2551"/>
        </w:tabs>
        <w:ind w:left="2551" w:hanging="567"/>
      </w:pPr>
    </w:lvl>
  </w:abstractNum>
  <w:abstractNum w:abstractNumId="82" w15:restartNumberingAfterBreak="0">
    <w:nsid w:val="683C16AD"/>
    <w:multiLevelType w:val="hybridMultilevel"/>
    <w:tmpl w:val="277E8C4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686F3DA3"/>
    <w:multiLevelType w:val="hybridMultilevel"/>
    <w:tmpl w:val="1E4822C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4" w15:restartNumberingAfterBreak="0">
    <w:nsid w:val="695E1554"/>
    <w:multiLevelType w:val="hybridMultilevel"/>
    <w:tmpl w:val="B7A237C6"/>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85" w15:restartNumberingAfterBreak="0">
    <w:nsid w:val="69A53F65"/>
    <w:multiLevelType w:val="multilevel"/>
    <w:tmpl w:val="A0C05336"/>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rPr>
        <w:b w:val="0"/>
      </w:r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6BE27A0B"/>
    <w:multiLevelType w:val="hybridMultilevel"/>
    <w:tmpl w:val="C83E9B96"/>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
      <w:lvlJc w:val="left"/>
      <w:pPr>
        <w:tabs>
          <w:tab w:val="num" w:pos="1080"/>
        </w:tabs>
        <w:ind w:left="1080" w:hanging="360"/>
      </w:pPr>
      <w:rPr>
        <w:rFonts w:ascii="Symbol" w:hAnsi="Symbol" w:cs="Symbol"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87" w15:restartNumberingAfterBreak="0">
    <w:nsid w:val="70BC2B0D"/>
    <w:multiLevelType w:val="hybridMultilevel"/>
    <w:tmpl w:val="4B928E06"/>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88"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89" w15:restartNumberingAfterBreak="0">
    <w:nsid w:val="78662338"/>
    <w:multiLevelType w:val="hybridMultilevel"/>
    <w:tmpl w:val="48D0CF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0" w15:restartNumberingAfterBreak="0">
    <w:nsid w:val="79B61412"/>
    <w:multiLevelType w:val="hybridMultilevel"/>
    <w:tmpl w:val="30A0D41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91" w15:restartNumberingAfterBreak="0">
    <w:nsid w:val="7ABE2734"/>
    <w:multiLevelType w:val="hybridMultilevel"/>
    <w:tmpl w:val="C7D0EB2E"/>
    <w:lvl w:ilvl="0" w:tplc="08090001">
      <w:start w:val="1"/>
      <w:numFmt w:val="bullet"/>
      <w:lvlText w:val=""/>
      <w:lvlJc w:val="left"/>
      <w:pPr>
        <w:tabs>
          <w:tab w:val="num" w:pos="540"/>
        </w:tabs>
        <w:ind w:left="540" w:hanging="360"/>
      </w:pPr>
      <w:rPr>
        <w:rFonts w:ascii="Symbol" w:hAnsi="Symbol" w:cs="Symbol" w:hint="default"/>
      </w:rPr>
    </w:lvl>
    <w:lvl w:ilvl="1" w:tplc="080C0001">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92" w15:restartNumberingAfterBreak="0">
    <w:nsid w:val="7B0A7402"/>
    <w:multiLevelType w:val="hybridMultilevel"/>
    <w:tmpl w:val="4808A7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3"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94" w15:restartNumberingAfterBreak="0">
    <w:nsid w:val="7CD720B4"/>
    <w:multiLevelType w:val="hybridMultilevel"/>
    <w:tmpl w:val="C36A62B6"/>
    <w:lvl w:ilvl="0" w:tplc="080C0001">
      <w:start w:val="1"/>
      <w:numFmt w:val="bullet"/>
      <w:lvlText w:val=""/>
      <w:lvlJc w:val="left"/>
      <w:pPr>
        <w:tabs>
          <w:tab w:val="num" w:pos="700"/>
        </w:tabs>
        <w:ind w:left="700" w:hanging="360"/>
      </w:pPr>
      <w:rPr>
        <w:rFonts w:ascii="Symbol" w:hAnsi="Symbol" w:cs="Symbol" w:hint="default"/>
      </w:rPr>
    </w:lvl>
    <w:lvl w:ilvl="1" w:tplc="080C0003">
      <w:start w:val="1"/>
      <w:numFmt w:val="bullet"/>
      <w:lvlText w:val="o"/>
      <w:lvlJc w:val="left"/>
      <w:pPr>
        <w:tabs>
          <w:tab w:val="num" w:pos="1420"/>
        </w:tabs>
        <w:ind w:left="1420" w:hanging="360"/>
      </w:pPr>
      <w:rPr>
        <w:rFonts w:ascii="Courier New" w:hAnsi="Courier New" w:cs="Courier New" w:hint="default"/>
      </w:rPr>
    </w:lvl>
    <w:lvl w:ilvl="2" w:tplc="080C0005">
      <w:start w:val="1"/>
      <w:numFmt w:val="bullet"/>
      <w:lvlText w:val=""/>
      <w:lvlJc w:val="left"/>
      <w:pPr>
        <w:tabs>
          <w:tab w:val="num" w:pos="2140"/>
        </w:tabs>
        <w:ind w:left="2140" w:hanging="360"/>
      </w:pPr>
      <w:rPr>
        <w:rFonts w:ascii="Wingdings" w:hAnsi="Wingdings" w:cs="Wingdings" w:hint="default"/>
      </w:rPr>
    </w:lvl>
    <w:lvl w:ilvl="3" w:tplc="080C0001">
      <w:start w:val="1"/>
      <w:numFmt w:val="bullet"/>
      <w:lvlText w:val=""/>
      <w:lvlJc w:val="left"/>
      <w:pPr>
        <w:tabs>
          <w:tab w:val="num" w:pos="2860"/>
        </w:tabs>
        <w:ind w:left="2860" w:hanging="360"/>
      </w:pPr>
      <w:rPr>
        <w:rFonts w:ascii="Symbol" w:hAnsi="Symbol" w:cs="Symbol" w:hint="default"/>
      </w:rPr>
    </w:lvl>
    <w:lvl w:ilvl="4" w:tplc="080C0003">
      <w:start w:val="1"/>
      <w:numFmt w:val="bullet"/>
      <w:lvlText w:val="o"/>
      <w:lvlJc w:val="left"/>
      <w:pPr>
        <w:tabs>
          <w:tab w:val="num" w:pos="3580"/>
        </w:tabs>
        <w:ind w:left="3580" w:hanging="360"/>
      </w:pPr>
      <w:rPr>
        <w:rFonts w:ascii="Courier New" w:hAnsi="Courier New" w:cs="Courier New" w:hint="default"/>
      </w:rPr>
    </w:lvl>
    <w:lvl w:ilvl="5" w:tplc="080C0005">
      <w:start w:val="1"/>
      <w:numFmt w:val="bullet"/>
      <w:lvlText w:val=""/>
      <w:lvlJc w:val="left"/>
      <w:pPr>
        <w:tabs>
          <w:tab w:val="num" w:pos="4300"/>
        </w:tabs>
        <w:ind w:left="4300" w:hanging="360"/>
      </w:pPr>
      <w:rPr>
        <w:rFonts w:ascii="Wingdings" w:hAnsi="Wingdings" w:cs="Wingdings" w:hint="default"/>
      </w:rPr>
    </w:lvl>
    <w:lvl w:ilvl="6" w:tplc="080C0001">
      <w:start w:val="1"/>
      <w:numFmt w:val="bullet"/>
      <w:lvlText w:val=""/>
      <w:lvlJc w:val="left"/>
      <w:pPr>
        <w:tabs>
          <w:tab w:val="num" w:pos="5020"/>
        </w:tabs>
        <w:ind w:left="5020" w:hanging="360"/>
      </w:pPr>
      <w:rPr>
        <w:rFonts w:ascii="Symbol" w:hAnsi="Symbol" w:cs="Symbol" w:hint="default"/>
      </w:rPr>
    </w:lvl>
    <w:lvl w:ilvl="7" w:tplc="080C0003">
      <w:start w:val="1"/>
      <w:numFmt w:val="bullet"/>
      <w:lvlText w:val="o"/>
      <w:lvlJc w:val="left"/>
      <w:pPr>
        <w:tabs>
          <w:tab w:val="num" w:pos="5740"/>
        </w:tabs>
        <w:ind w:left="5740" w:hanging="360"/>
      </w:pPr>
      <w:rPr>
        <w:rFonts w:ascii="Courier New" w:hAnsi="Courier New" w:cs="Courier New" w:hint="default"/>
      </w:rPr>
    </w:lvl>
    <w:lvl w:ilvl="8" w:tplc="080C0005">
      <w:start w:val="1"/>
      <w:numFmt w:val="bullet"/>
      <w:lvlText w:val=""/>
      <w:lvlJc w:val="left"/>
      <w:pPr>
        <w:tabs>
          <w:tab w:val="num" w:pos="6460"/>
        </w:tabs>
        <w:ind w:left="6460" w:hanging="360"/>
      </w:pPr>
      <w:rPr>
        <w:rFonts w:ascii="Wingdings" w:hAnsi="Wingdings" w:cs="Wingdings" w:hint="default"/>
      </w:rPr>
    </w:lvl>
  </w:abstractNum>
  <w:abstractNum w:abstractNumId="95" w15:restartNumberingAfterBreak="0">
    <w:nsid w:val="7E252853"/>
    <w:multiLevelType w:val="hybridMultilevel"/>
    <w:tmpl w:val="6212CB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6" w15:restartNumberingAfterBreak="0">
    <w:nsid w:val="7EEC6748"/>
    <w:multiLevelType w:val="hybridMultilevel"/>
    <w:tmpl w:val="E2A0A188"/>
    <w:lvl w:ilvl="0" w:tplc="FFFFFFFF">
      <w:start w:val="1"/>
      <w:numFmt w:val="bullet"/>
      <w:lvlText w:val=""/>
      <w:lvlJc w:val="left"/>
      <w:pPr>
        <w:tabs>
          <w:tab w:val="num" w:pos="700"/>
        </w:tabs>
        <w:ind w:left="700" w:hanging="360"/>
      </w:pPr>
      <w:rPr>
        <w:rFonts w:ascii="Symbol" w:hAnsi="Symbol" w:cs="Symbol" w:hint="default"/>
      </w:rPr>
    </w:lvl>
    <w:lvl w:ilvl="1" w:tplc="FFFFFFFF">
      <w:start w:val="1"/>
      <w:numFmt w:val="bullet"/>
      <w:lvlText w:val="o"/>
      <w:lvlJc w:val="left"/>
      <w:pPr>
        <w:tabs>
          <w:tab w:val="num" w:pos="1420"/>
        </w:tabs>
        <w:ind w:left="1420" w:hanging="360"/>
      </w:pPr>
      <w:rPr>
        <w:rFonts w:ascii="Courier New" w:hAnsi="Courier New" w:cs="Courier New" w:hint="default"/>
      </w:rPr>
    </w:lvl>
    <w:lvl w:ilvl="2" w:tplc="FFFFFFFF">
      <w:start w:val="1"/>
      <w:numFmt w:val="bullet"/>
      <w:lvlText w:val=""/>
      <w:lvlJc w:val="left"/>
      <w:pPr>
        <w:tabs>
          <w:tab w:val="num" w:pos="2140"/>
        </w:tabs>
        <w:ind w:left="2140" w:hanging="360"/>
      </w:pPr>
      <w:rPr>
        <w:rFonts w:ascii="Wingdings" w:hAnsi="Wingdings" w:cs="Wingdings" w:hint="default"/>
      </w:rPr>
    </w:lvl>
    <w:lvl w:ilvl="3" w:tplc="FFFFFFFF">
      <w:start w:val="1"/>
      <w:numFmt w:val="bullet"/>
      <w:lvlText w:val=""/>
      <w:lvlJc w:val="left"/>
      <w:pPr>
        <w:tabs>
          <w:tab w:val="num" w:pos="2860"/>
        </w:tabs>
        <w:ind w:left="2860" w:hanging="360"/>
      </w:pPr>
      <w:rPr>
        <w:rFonts w:ascii="Symbol" w:hAnsi="Symbol" w:cs="Symbol" w:hint="default"/>
      </w:rPr>
    </w:lvl>
    <w:lvl w:ilvl="4" w:tplc="FFFFFFFF">
      <w:start w:val="1"/>
      <w:numFmt w:val="bullet"/>
      <w:lvlText w:val="o"/>
      <w:lvlJc w:val="left"/>
      <w:pPr>
        <w:tabs>
          <w:tab w:val="num" w:pos="3580"/>
        </w:tabs>
        <w:ind w:left="3580" w:hanging="360"/>
      </w:pPr>
      <w:rPr>
        <w:rFonts w:ascii="Courier New" w:hAnsi="Courier New" w:cs="Courier New" w:hint="default"/>
      </w:rPr>
    </w:lvl>
    <w:lvl w:ilvl="5" w:tplc="FFFFFFFF">
      <w:start w:val="1"/>
      <w:numFmt w:val="bullet"/>
      <w:lvlText w:val=""/>
      <w:lvlJc w:val="left"/>
      <w:pPr>
        <w:tabs>
          <w:tab w:val="num" w:pos="4300"/>
        </w:tabs>
        <w:ind w:left="4300" w:hanging="360"/>
      </w:pPr>
      <w:rPr>
        <w:rFonts w:ascii="Wingdings" w:hAnsi="Wingdings" w:cs="Wingdings" w:hint="default"/>
      </w:rPr>
    </w:lvl>
    <w:lvl w:ilvl="6" w:tplc="FFFFFFFF">
      <w:start w:val="1"/>
      <w:numFmt w:val="bullet"/>
      <w:lvlText w:val=""/>
      <w:lvlJc w:val="left"/>
      <w:pPr>
        <w:tabs>
          <w:tab w:val="num" w:pos="5020"/>
        </w:tabs>
        <w:ind w:left="5020" w:hanging="360"/>
      </w:pPr>
      <w:rPr>
        <w:rFonts w:ascii="Symbol" w:hAnsi="Symbol" w:cs="Symbol" w:hint="default"/>
      </w:rPr>
    </w:lvl>
    <w:lvl w:ilvl="7" w:tplc="FFFFFFFF">
      <w:start w:val="1"/>
      <w:numFmt w:val="bullet"/>
      <w:lvlText w:val="o"/>
      <w:lvlJc w:val="left"/>
      <w:pPr>
        <w:tabs>
          <w:tab w:val="num" w:pos="5740"/>
        </w:tabs>
        <w:ind w:left="5740" w:hanging="360"/>
      </w:pPr>
      <w:rPr>
        <w:rFonts w:ascii="Courier New" w:hAnsi="Courier New" w:cs="Courier New" w:hint="default"/>
      </w:rPr>
    </w:lvl>
    <w:lvl w:ilvl="8" w:tplc="FFFFFFFF">
      <w:start w:val="1"/>
      <w:numFmt w:val="bullet"/>
      <w:lvlText w:val=""/>
      <w:lvlJc w:val="left"/>
      <w:pPr>
        <w:tabs>
          <w:tab w:val="num" w:pos="6460"/>
        </w:tabs>
        <w:ind w:left="6460" w:hanging="360"/>
      </w:pPr>
      <w:rPr>
        <w:rFonts w:ascii="Wingdings" w:hAnsi="Wingdings" w:cs="Wingdings" w:hint="default"/>
      </w:rPr>
    </w:lvl>
  </w:abstractNum>
  <w:abstractNum w:abstractNumId="97" w15:restartNumberingAfterBreak="0">
    <w:nsid w:val="7F0F3B56"/>
    <w:multiLevelType w:val="singleLevel"/>
    <w:tmpl w:val="175453F2"/>
    <w:lvl w:ilvl="0">
      <w:start w:val="1"/>
      <w:numFmt w:val="bullet"/>
      <w:pStyle w:val="ListDash4"/>
      <w:lvlText w:val="–"/>
      <w:lvlJc w:val="left"/>
      <w:pPr>
        <w:tabs>
          <w:tab w:val="num" w:pos="1134"/>
        </w:tabs>
        <w:ind w:left="1134" w:hanging="283"/>
      </w:pPr>
      <w:rPr>
        <w:rFonts w:ascii="Times New Roman" w:hAnsi="Times New Roman" w:cs="Times New Roman"/>
      </w:rPr>
    </w:lvl>
  </w:abstractNum>
  <w:abstractNum w:abstractNumId="98" w15:restartNumberingAfterBreak="0">
    <w:nsid w:val="7F163681"/>
    <w:multiLevelType w:val="hybridMultilevel"/>
    <w:tmpl w:val="6CC09654"/>
    <w:lvl w:ilvl="0" w:tplc="08090001">
      <w:start w:val="1"/>
      <w:numFmt w:val="bullet"/>
      <w:lvlText w:val=""/>
      <w:lvlJc w:val="left"/>
      <w:pPr>
        <w:tabs>
          <w:tab w:val="num" w:pos="1060"/>
        </w:tabs>
        <w:ind w:left="1060" w:hanging="360"/>
      </w:pPr>
      <w:rPr>
        <w:rFonts w:ascii="Symbol" w:hAnsi="Symbol" w:cs="Symbol" w:hint="default"/>
      </w:rPr>
    </w:lvl>
    <w:lvl w:ilvl="1" w:tplc="08090003">
      <w:start w:val="1"/>
      <w:numFmt w:val="bullet"/>
      <w:lvlText w:val="o"/>
      <w:lvlJc w:val="left"/>
      <w:pPr>
        <w:tabs>
          <w:tab w:val="num" w:pos="1780"/>
        </w:tabs>
        <w:ind w:left="1780" w:hanging="360"/>
      </w:pPr>
      <w:rPr>
        <w:rFonts w:ascii="Courier New" w:hAnsi="Courier New" w:cs="Courier New" w:hint="default"/>
      </w:rPr>
    </w:lvl>
    <w:lvl w:ilvl="2" w:tplc="08090005">
      <w:start w:val="1"/>
      <w:numFmt w:val="bullet"/>
      <w:lvlText w:val=""/>
      <w:lvlJc w:val="left"/>
      <w:pPr>
        <w:tabs>
          <w:tab w:val="num" w:pos="2500"/>
        </w:tabs>
        <w:ind w:left="2500" w:hanging="360"/>
      </w:pPr>
      <w:rPr>
        <w:rFonts w:ascii="Wingdings" w:hAnsi="Wingdings" w:cs="Wingdings" w:hint="default"/>
      </w:rPr>
    </w:lvl>
    <w:lvl w:ilvl="3" w:tplc="08090001">
      <w:start w:val="1"/>
      <w:numFmt w:val="bullet"/>
      <w:lvlText w:val=""/>
      <w:lvlJc w:val="left"/>
      <w:pPr>
        <w:tabs>
          <w:tab w:val="num" w:pos="3220"/>
        </w:tabs>
        <w:ind w:left="3220" w:hanging="360"/>
      </w:pPr>
      <w:rPr>
        <w:rFonts w:ascii="Symbol" w:hAnsi="Symbol" w:cs="Symbol" w:hint="default"/>
      </w:rPr>
    </w:lvl>
    <w:lvl w:ilvl="4" w:tplc="08090003">
      <w:start w:val="1"/>
      <w:numFmt w:val="bullet"/>
      <w:lvlText w:val="o"/>
      <w:lvlJc w:val="left"/>
      <w:pPr>
        <w:tabs>
          <w:tab w:val="num" w:pos="3940"/>
        </w:tabs>
        <w:ind w:left="3940" w:hanging="360"/>
      </w:pPr>
      <w:rPr>
        <w:rFonts w:ascii="Courier New" w:hAnsi="Courier New" w:cs="Courier New" w:hint="default"/>
      </w:rPr>
    </w:lvl>
    <w:lvl w:ilvl="5" w:tplc="08090005">
      <w:start w:val="1"/>
      <w:numFmt w:val="bullet"/>
      <w:lvlText w:val=""/>
      <w:lvlJc w:val="left"/>
      <w:pPr>
        <w:tabs>
          <w:tab w:val="num" w:pos="4660"/>
        </w:tabs>
        <w:ind w:left="4660" w:hanging="360"/>
      </w:pPr>
      <w:rPr>
        <w:rFonts w:ascii="Wingdings" w:hAnsi="Wingdings" w:cs="Wingdings" w:hint="default"/>
      </w:rPr>
    </w:lvl>
    <w:lvl w:ilvl="6" w:tplc="08090001">
      <w:start w:val="1"/>
      <w:numFmt w:val="bullet"/>
      <w:lvlText w:val=""/>
      <w:lvlJc w:val="left"/>
      <w:pPr>
        <w:tabs>
          <w:tab w:val="num" w:pos="5380"/>
        </w:tabs>
        <w:ind w:left="5380" w:hanging="360"/>
      </w:pPr>
      <w:rPr>
        <w:rFonts w:ascii="Symbol" w:hAnsi="Symbol" w:cs="Symbol" w:hint="default"/>
      </w:rPr>
    </w:lvl>
    <w:lvl w:ilvl="7" w:tplc="08090003">
      <w:start w:val="1"/>
      <w:numFmt w:val="bullet"/>
      <w:lvlText w:val="o"/>
      <w:lvlJc w:val="left"/>
      <w:pPr>
        <w:tabs>
          <w:tab w:val="num" w:pos="6100"/>
        </w:tabs>
        <w:ind w:left="6100" w:hanging="360"/>
      </w:pPr>
      <w:rPr>
        <w:rFonts w:ascii="Courier New" w:hAnsi="Courier New" w:cs="Courier New" w:hint="default"/>
      </w:rPr>
    </w:lvl>
    <w:lvl w:ilvl="8" w:tplc="08090005">
      <w:start w:val="1"/>
      <w:numFmt w:val="bullet"/>
      <w:lvlText w:val=""/>
      <w:lvlJc w:val="left"/>
      <w:pPr>
        <w:tabs>
          <w:tab w:val="num" w:pos="6820"/>
        </w:tabs>
        <w:ind w:left="6820" w:hanging="360"/>
      </w:pPr>
      <w:rPr>
        <w:rFonts w:ascii="Wingdings" w:hAnsi="Wingdings" w:cs="Wingdings" w:hint="default"/>
      </w:rPr>
    </w:lvl>
  </w:abstractNum>
  <w:abstractNum w:abstractNumId="99" w15:restartNumberingAfterBreak="0">
    <w:nsid w:val="7F7575D0"/>
    <w:multiLevelType w:val="singleLevel"/>
    <w:tmpl w:val="123E1F50"/>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00" w15:restartNumberingAfterBreak="0">
    <w:nsid w:val="7FBD54D0"/>
    <w:multiLevelType w:val="hybridMultilevel"/>
    <w:tmpl w:val="293EB4C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1825124421">
    <w:abstractNumId w:val="10"/>
  </w:num>
  <w:num w:numId="2" w16cid:durableId="2130585937">
    <w:abstractNumId w:val="8"/>
  </w:num>
  <w:num w:numId="3" w16cid:durableId="1101217959">
    <w:abstractNumId w:val="7"/>
  </w:num>
  <w:num w:numId="4" w16cid:durableId="116725613">
    <w:abstractNumId w:val="6"/>
  </w:num>
  <w:num w:numId="5" w16cid:durableId="1525249995">
    <w:abstractNumId w:val="9"/>
  </w:num>
  <w:num w:numId="6" w16cid:durableId="92407623">
    <w:abstractNumId w:val="4"/>
  </w:num>
  <w:num w:numId="7" w16cid:durableId="1895654612">
    <w:abstractNumId w:val="3"/>
  </w:num>
  <w:num w:numId="8" w16cid:durableId="1925793870">
    <w:abstractNumId w:val="2"/>
  </w:num>
  <w:num w:numId="9" w16cid:durableId="690491712">
    <w:abstractNumId w:val="10"/>
  </w:num>
  <w:num w:numId="10" w16cid:durableId="61102986">
    <w:abstractNumId w:val="8"/>
  </w:num>
  <w:num w:numId="11" w16cid:durableId="2086030733">
    <w:abstractNumId w:val="7"/>
  </w:num>
  <w:num w:numId="12" w16cid:durableId="1859155123">
    <w:abstractNumId w:val="6"/>
  </w:num>
  <w:num w:numId="13" w16cid:durableId="1383404533">
    <w:abstractNumId w:val="9"/>
  </w:num>
  <w:num w:numId="14" w16cid:durableId="1444038385">
    <w:abstractNumId w:val="4"/>
  </w:num>
  <w:num w:numId="15" w16cid:durableId="1532061959">
    <w:abstractNumId w:val="3"/>
  </w:num>
  <w:num w:numId="16" w16cid:durableId="1890877346">
    <w:abstractNumId w:val="2"/>
  </w:num>
  <w:num w:numId="17" w16cid:durableId="1030836802">
    <w:abstractNumId w:val="93"/>
  </w:num>
  <w:num w:numId="18" w16cid:durableId="2129425526">
    <w:abstractNumId w:val="41"/>
  </w:num>
  <w:num w:numId="19" w16cid:durableId="350182314">
    <w:abstractNumId w:val="38"/>
  </w:num>
  <w:num w:numId="20" w16cid:durableId="1370371751">
    <w:abstractNumId w:val="81"/>
  </w:num>
  <w:num w:numId="21" w16cid:durableId="1804228269">
    <w:abstractNumId w:val="88"/>
  </w:num>
  <w:num w:numId="22" w16cid:durableId="1932397318">
    <w:abstractNumId w:val="59"/>
  </w:num>
  <w:num w:numId="23" w16cid:durableId="199513593">
    <w:abstractNumId w:val="68"/>
  </w:num>
  <w:num w:numId="24" w16cid:durableId="1764759434">
    <w:abstractNumId w:val="66"/>
  </w:num>
  <w:num w:numId="25" w16cid:durableId="860096519">
    <w:abstractNumId w:val="14"/>
  </w:num>
  <w:num w:numId="26" w16cid:durableId="678697008">
    <w:abstractNumId w:val="27"/>
  </w:num>
  <w:num w:numId="27" w16cid:durableId="573393876">
    <w:abstractNumId w:val="26"/>
  </w:num>
  <w:num w:numId="28" w16cid:durableId="1132095835">
    <w:abstractNumId w:val="52"/>
  </w:num>
  <w:num w:numId="29" w16cid:durableId="317538000">
    <w:abstractNumId w:val="99"/>
  </w:num>
  <w:num w:numId="30" w16cid:durableId="2076540778">
    <w:abstractNumId w:val="74"/>
  </w:num>
  <w:num w:numId="31" w16cid:durableId="1509523168">
    <w:abstractNumId w:val="31"/>
  </w:num>
  <w:num w:numId="32" w16cid:durableId="498159061">
    <w:abstractNumId w:val="76"/>
  </w:num>
  <w:num w:numId="33" w16cid:durableId="645548529">
    <w:abstractNumId w:val="97"/>
  </w:num>
  <w:num w:numId="34" w16cid:durableId="1730567567">
    <w:abstractNumId w:val="85"/>
  </w:num>
  <w:num w:numId="35" w16cid:durableId="261307694">
    <w:abstractNumId w:val="49"/>
  </w:num>
  <w:num w:numId="36" w16cid:durableId="1382906017">
    <w:abstractNumId w:val="15"/>
  </w:num>
  <w:num w:numId="37" w16cid:durableId="47724544">
    <w:abstractNumId w:val="19"/>
  </w:num>
  <w:num w:numId="38" w16cid:durableId="576525685">
    <w:abstractNumId w:val="36"/>
  </w:num>
  <w:num w:numId="39" w16cid:durableId="1397823908">
    <w:abstractNumId w:val="29"/>
  </w:num>
  <w:num w:numId="40" w16cid:durableId="1604144351">
    <w:abstractNumId w:val="25"/>
  </w:num>
  <w:num w:numId="41" w16cid:durableId="1564022672">
    <w:abstractNumId w:val="67"/>
  </w:num>
  <w:num w:numId="42" w16cid:durableId="867527980">
    <w:abstractNumId w:val="23"/>
  </w:num>
  <w:num w:numId="43" w16cid:durableId="1904489755">
    <w:abstractNumId w:val="64"/>
  </w:num>
  <w:num w:numId="44" w16cid:durableId="2115126218">
    <w:abstractNumId w:val="54"/>
  </w:num>
  <w:num w:numId="45" w16cid:durableId="1853378070">
    <w:abstractNumId w:val="44"/>
  </w:num>
  <w:num w:numId="46" w16cid:durableId="1423451772">
    <w:abstractNumId w:val="90"/>
  </w:num>
  <w:num w:numId="47" w16cid:durableId="792015635">
    <w:abstractNumId w:val="37"/>
  </w:num>
  <w:num w:numId="48" w16cid:durableId="726338667">
    <w:abstractNumId w:val="22"/>
  </w:num>
  <w:num w:numId="49" w16cid:durableId="623269148">
    <w:abstractNumId w:val="39"/>
  </w:num>
  <w:num w:numId="50" w16cid:durableId="1471283282">
    <w:abstractNumId w:val="50"/>
  </w:num>
  <w:num w:numId="51" w16cid:durableId="1941834490">
    <w:abstractNumId w:val="69"/>
  </w:num>
  <w:num w:numId="52" w16cid:durableId="1214852796">
    <w:abstractNumId w:val="92"/>
  </w:num>
  <w:num w:numId="53" w16cid:durableId="399914284">
    <w:abstractNumId w:val="72"/>
  </w:num>
  <w:num w:numId="54" w16cid:durableId="344291595">
    <w:abstractNumId w:val="34"/>
  </w:num>
  <w:num w:numId="55" w16cid:durableId="1724451059">
    <w:abstractNumId w:val="51"/>
  </w:num>
  <w:num w:numId="56" w16cid:durableId="1963267044">
    <w:abstractNumId w:val="73"/>
  </w:num>
  <w:num w:numId="57" w16cid:durableId="1063479635">
    <w:abstractNumId w:val="55"/>
  </w:num>
  <w:num w:numId="58" w16cid:durableId="1702123005">
    <w:abstractNumId w:val="84"/>
  </w:num>
  <w:num w:numId="59" w16cid:durableId="402413610">
    <w:abstractNumId w:val="86"/>
  </w:num>
  <w:num w:numId="60" w16cid:durableId="169413050">
    <w:abstractNumId w:val="100"/>
  </w:num>
  <w:num w:numId="61" w16cid:durableId="1288583576">
    <w:abstractNumId w:val="56"/>
  </w:num>
  <w:num w:numId="62" w16cid:durableId="1209030562">
    <w:abstractNumId w:val="58"/>
  </w:num>
  <w:num w:numId="63" w16cid:durableId="817498587">
    <w:abstractNumId w:val="62"/>
  </w:num>
  <w:num w:numId="64" w16cid:durableId="1107509100">
    <w:abstractNumId w:val="57"/>
  </w:num>
  <w:num w:numId="65" w16cid:durableId="1674410610">
    <w:abstractNumId w:val="71"/>
  </w:num>
  <w:num w:numId="66" w16cid:durableId="663121973">
    <w:abstractNumId w:val="89"/>
  </w:num>
  <w:num w:numId="67" w16cid:durableId="1899319634">
    <w:abstractNumId w:val="30"/>
  </w:num>
  <w:num w:numId="68" w16cid:durableId="70583079">
    <w:abstractNumId w:val="65"/>
  </w:num>
  <w:num w:numId="69" w16cid:durableId="493885388">
    <w:abstractNumId w:val="95"/>
  </w:num>
  <w:num w:numId="70" w16cid:durableId="477111205">
    <w:abstractNumId w:val="21"/>
  </w:num>
  <w:num w:numId="71" w16cid:durableId="973756314">
    <w:abstractNumId w:val="13"/>
  </w:num>
  <w:num w:numId="72" w16cid:durableId="74787241">
    <w:abstractNumId w:val="91"/>
  </w:num>
  <w:num w:numId="73" w16cid:durableId="10183297">
    <w:abstractNumId w:val="46"/>
  </w:num>
  <w:num w:numId="74" w16cid:durableId="915748987">
    <w:abstractNumId w:val="53"/>
  </w:num>
  <w:num w:numId="75" w16cid:durableId="186019444">
    <w:abstractNumId w:val="16"/>
  </w:num>
  <w:num w:numId="76" w16cid:durableId="491720419">
    <w:abstractNumId w:val="45"/>
  </w:num>
  <w:num w:numId="77" w16cid:durableId="1557887158">
    <w:abstractNumId w:val="98"/>
  </w:num>
  <w:num w:numId="78" w16cid:durableId="1040319064">
    <w:abstractNumId w:val="60"/>
  </w:num>
  <w:num w:numId="79" w16cid:durableId="307591885">
    <w:abstractNumId w:val="78"/>
  </w:num>
  <w:num w:numId="80" w16cid:durableId="1869415796">
    <w:abstractNumId w:val="82"/>
  </w:num>
  <w:num w:numId="81" w16cid:durableId="1663924414">
    <w:abstractNumId w:val="0"/>
  </w:num>
  <w:num w:numId="82" w16cid:durableId="1866166550">
    <w:abstractNumId w:val="83"/>
  </w:num>
  <w:num w:numId="83" w16cid:durableId="500850546">
    <w:abstractNumId w:val="17"/>
  </w:num>
  <w:num w:numId="84" w16cid:durableId="1704162865">
    <w:abstractNumId w:val="80"/>
  </w:num>
  <w:num w:numId="85" w16cid:durableId="403996091">
    <w:abstractNumId w:val="63"/>
  </w:num>
  <w:num w:numId="86" w16cid:durableId="1124153462">
    <w:abstractNumId w:val="20"/>
  </w:num>
  <w:num w:numId="87" w16cid:durableId="1175877716">
    <w:abstractNumId w:val="43"/>
  </w:num>
  <w:num w:numId="88" w16cid:durableId="154806140">
    <w:abstractNumId w:val="35"/>
  </w:num>
  <w:num w:numId="89" w16cid:durableId="1808931360">
    <w:abstractNumId w:val="94"/>
  </w:num>
  <w:num w:numId="90" w16cid:durableId="2106657070">
    <w:abstractNumId w:val="61"/>
  </w:num>
  <w:num w:numId="91" w16cid:durableId="1612665253">
    <w:abstractNumId w:val="87"/>
  </w:num>
  <w:num w:numId="92" w16cid:durableId="1764913949">
    <w:abstractNumId w:val="28"/>
  </w:num>
  <w:num w:numId="93" w16cid:durableId="1879856858">
    <w:abstractNumId w:val="12"/>
  </w:num>
  <w:num w:numId="94" w16cid:durableId="577638963">
    <w:abstractNumId w:val="40"/>
  </w:num>
  <w:num w:numId="95" w16cid:durableId="1462117406">
    <w:abstractNumId w:val="33"/>
  </w:num>
  <w:num w:numId="96" w16cid:durableId="1120879921">
    <w:abstractNumId w:val="11"/>
    <w:lvlOverride w:ilvl="0">
      <w:lvl w:ilvl="0">
        <w:start w:val="1"/>
        <w:numFmt w:val="bullet"/>
        <w:lvlText w:val="–"/>
        <w:lvlJc w:val="left"/>
        <w:pPr>
          <w:ind w:left="1135" w:hanging="284"/>
        </w:pPr>
        <w:rPr>
          <w:rFonts w:ascii="Times New Roman" w:hAnsi="Times New Roman" w:cs="Times New Roman" w:hint="default"/>
        </w:rPr>
      </w:lvl>
    </w:lvlOverride>
  </w:num>
  <w:num w:numId="97" w16cid:durableId="943608140">
    <w:abstractNumId w:val="79"/>
  </w:num>
  <w:num w:numId="98" w16cid:durableId="254898905">
    <w:abstractNumId w:val="18"/>
  </w:num>
  <w:num w:numId="99" w16cid:durableId="1050425973">
    <w:abstractNumId w:val="96"/>
  </w:num>
  <w:num w:numId="100" w16cid:durableId="1751656343">
    <w:abstractNumId w:val="77"/>
  </w:num>
  <w:num w:numId="101" w16cid:durableId="1969125164">
    <w:abstractNumId w:val="48"/>
  </w:num>
  <w:num w:numId="102" w16cid:durableId="663898281">
    <w:abstractNumId w:val="70"/>
  </w:num>
  <w:num w:numId="103" w16cid:durableId="1128012730">
    <w:abstractNumId w:val="47"/>
  </w:num>
  <w:num w:numId="104" w16cid:durableId="1718629213">
    <w:abstractNumId w:val="24"/>
  </w:num>
  <w:num w:numId="105" w16cid:durableId="1018583981">
    <w:abstractNumId w:val="42"/>
  </w:num>
  <w:num w:numId="106" w16cid:durableId="944508094">
    <w:abstractNumId w:val="5"/>
  </w:num>
  <w:num w:numId="107" w16cid:durableId="8331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DQCRepairStyles" w:val=";List Number (Level 2);"/>
    <w:docVar w:name="LW_DocType" w:val="COM"/>
    <w:docVar w:name="VSSDB_IniPath" w:val="\\at100\user\wovo\SEILEG\vss\srcsafe.ini"/>
    <w:docVar w:name="VSSDB_ProjectPath" w:val="$/LegisWrite/DOT/COM"/>
  </w:docVars>
  <w:rsids>
    <w:rsidRoot w:val="00421E5D"/>
    <w:rsid w:val="00000B8A"/>
    <w:rsid w:val="00001F7C"/>
    <w:rsid w:val="0000218A"/>
    <w:rsid w:val="00002826"/>
    <w:rsid w:val="00004CF5"/>
    <w:rsid w:val="00005BAA"/>
    <w:rsid w:val="00023A19"/>
    <w:rsid w:val="00024BA5"/>
    <w:rsid w:val="00040D0C"/>
    <w:rsid w:val="00046584"/>
    <w:rsid w:val="0004681E"/>
    <w:rsid w:val="00050D6E"/>
    <w:rsid w:val="00055A9A"/>
    <w:rsid w:val="0005784B"/>
    <w:rsid w:val="000602BB"/>
    <w:rsid w:val="00060DBF"/>
    <w:rsid w:val="0006716A"/>
    <w:rsid w:val="00071319"/>
    <w:rsid w:val="00076E11"/>
    <w:rsid w:val="00083137"/>
    <w:rsid w:val="0009394E"/>
    <w:rsid w:val="000A25BC"/>
    <w:rsid w:val="000A26CC"/>
    <w:rsid w:val="000A4B1C"/>
    <w:rsid w:val="000B6273"/>
    <w:rsid w:val="000C4CB5"/>
    <w:rsid w:val="000C54C4"/>
    <w:rsid w:val="000E31BA"/>
    <w:rsid w:val="000E4523"/>
    <w:rsid w:val="000F1F2F"/>
    <w:rsid w:val="000F21C1"/>
    <w:rsid w:val="000F63D8"/>
    <w:rsid w:val="00101158"/>
    <w:rsid w:val="00103E70"/>
    <w:rsid w:val="0010791B"/>
    <w:rsid w:val="00112B19"/>
    <w:rsid w:val="00117191"/>
    <w:rsid w:val="00127578"/>
    <w:rsid w:val="0013022D"/>
    <w:rsid w:val="00131688"/>
    <w:rsid w:val="001335D2"/>
    <w:rsid w:val="001518F4"/>
    <w:rsid w:val="00153E1E"/>
    <w:rsid w:val="00160CE6"/>
    <w:rsid w:val="00161DE5"/>
    <w:rsid w:val="001657B8"/>
    <w:rsid w:val="0016684F"/>
    <w:rsid w:val="00172F23"/>
    <w:rsid w:val="001848AE"/>
    <w:rsid w:val="001917F8"/>
    <w:rsid w:val="00193BD8"/>
    <w:rsid w:val="001A3DA9"/>
    <w:rsid w:val="001A472E"/>
    <w:rsid w:val="001A4B33"/>
    <w:rsid w:val="001B2E54"/>
    <w:rsid w:val="001C397D"/>
    <w:rsid w:val="001C4027"/>
    <w:rsid w:val="001C6287"/>
    <w:rsid w:val="001D2EA0"/>
    <w:rsid w:val="001D7BAA"/>
    <w:rsid w:val="001E5B59"/>
    <w:rsid w:val="001F24E7"/>
    <w:rsid w:val="002023EA"/>
    <w:rsid w:val="00202EB3"/>
    <w:rsid w:val="00203C10"/>
    <w:rsid w:val="002107DC"/>
    <w:rsid w:val="00226B8C"/>
    <w:rsid w:val="0024491A"/>
    <w:rsid w:val="002518BB"/>
    <w:rsid w:val="00252F72"/>
    <w:rsid w:val="00256285"/>
    <w:rsid w:val="00265129"/>
    <w:rsid w:val="00265195"/>
    <w:rsid w:val="00266EED"/>
    <w:rsid w:val="00267BDC"/>
    <w:rsid w:val="00272AA5"/>
    <w:rsid w:val="00286764"/>
    <w:rsid w:val="002A2392"/>
    <w:rsid w:val="002B51DD"/>
    <w:rsid w:val="002C5092"/>
    <w:rsid w:val="002D5824"/>
    <w:rsid w:val="002E4B3F"/>
    <w:rsid w:val="002F5228"/>
    <w:rsid w:val="002F5A0C"/>
    <w:rsid w:val="00312202"/>
    <w:rsid w:val="0031610D"/>
    <w:rsid w:val="00317C1D"/>
    <w:rsid w:val="00333F02"/>
    <w:rsid w:val="003433FE"/>
    <w:rsid w:val="003518A6"/>
    <w:rsid w:val="0035642C"/>
    <w:rsid w:val="00357940"/>
    <w:rsid w:val="0036509F"/>
    <w:rsid w:val="003730D3"/>
    <w:rsid w:val="00387583"/>
    <w:rsid w:val="00393BEC"/>
    <w:rsid w:val="0039736B"/>
    <w:rsid w:val="003A0DD4"/>
    <w:rsid w:val="003A2079"/>
    <w:rsid w:val="003A284E"/>
    <w:rsid w:val="003A3CA5"/>
    <w:rsid w:val="003A65AA"/>
    <w:rsid w:val="003B3B35"/>
    <w:rsid w:val="003B4653"/>
    <w:rsid w:val="003C2A48"/>
    <w:rsid w:val="003C6F8D"/>
    <w:rsid w:val="003D0377"/>
    <w:rsid w:val="003E0B0E"/>
    <w:rsid w:val="003E1013"/>
    <w:rsid w:val="003E20DA"/>
    <w:rsid w:val="003E68B7"/>
    <w:rsid w:val="003E7EAD"/>
    <w:rsid w:val="003F6F0B"/>
    <w:rsid w:val="0040438C"/>
    <w:rsid w:val="00412ED2"/>
    <w:rsid w:val="00421E5D"/>
    <w:rsid w:val="00425BCA"/>
    <w:rsid w:val="004314AF"/>
    <w:rsid w:val="0043223F"/>
    <w:rsid w:val="00434EAC"/>
    <w:rsid w:val="0044097D"/>
    <w:rsid w:val="0044133E"/>
    <w:rsid w:val="00442470"/>
    <w:rsid w:val="004429BF"/>
    <w:rsid w:val="00444327"/>
    <w:rsid w:val="00460C94"/>
    <w:rsid w:val="00466B0B"/>
    <w:rsid w:val="0047087F"/>
    <w:rsid w:val="0047361F"/>
    <w:rsid w:val="004927B4"/>
    <w:rsid w:val="004A1C8B"/>
    <w:rsid w:val="004C03A8"/>
    <w:rsid w:val="004F49A6"/>
    <w:rsid w:val="005072DB"/>
    <w:rsid w:val="00520019"/>
    <w:rsid w:val="00523A36"/>
    <w:rsid w:val="00523A8C"/>
    <w:rsid w:val="005367E5"/>
    <w:rsid w:val="00550A1B"/>
    <w:rsid w:val="00555221"/>
    <w:rsid w:val="00560612"/>
    <w:rsid w:val="00565D16"/>
    <w:rsid w:val="00580534"/>
    <w:rsid w:val="0058181A"/>
    <w:rsid w:val="005838E0"/>
    <w:rsid w:val="00584940"/>
    <w:rsid w:val="00584F0F"/>
    <w:rsid w:val="00585F5D"/>
    <w:rsid w:val="00591258"/>
    <w:rsid w:val="005930E6"/>
    <w:rsid w:val="005A1E70"/>
    <w:rsid w:val="005B7556"/>
    <w:rsid w:val="005C181B"/>
    <w:rsid w:val="005C65E3"/>
    <w:rsid w:val="005C6FC1"/>
    <w:rsid w:val="005C789F"/>
    <w:rsid w:val="005D5DCB"/>
    <w:rsid w:val="005F377F"/>
    <w:rsid w:val="006041F1"/>
    <w:rsid w:val="00606E9C"/>
    <w:rsid w:val="00611519"/>
    <w:rsid w:val="00611E5F"/>
    <w:rsid w:val="006162A4"/>
    <w:rsid w:val="00626BEF"/>
    <w:rsid w:val="00626F80"/>
    <w:rsid w:val="006466E9"/>
    <w:rsid w:val="00652626"/>
    <w:rsid w:val="006541CA"/>
    <w:rsid w:val="00662324"/>
    <w:rsid w:val="00667E49"/>
    <w:rsid w:val="006741A9"/>
    <w:rsid w:val="00674C34"/>
    <w:rsid w:val="0067706F"/>
    <w:rsid w:val="00681232"/>
    <w:rsid w:val="00681EA4"/>
    <w:rsid w:val="006865A5"/>
    <w:rsid w:val="006878AC"/>
    <w:rsid w:val="00690084"/>
    <w:rsid w:val="006B0B4B"/>
    <w:rsid w:val="006B4EC0"/>
    <w:rsid w:val="006B7546"/>
    <w:rsid w:val="006C3AFC"/>
    <w:rsid w:val="006D0106"/>
    <w:rsid w:val="006D49EF"/>
    <w:rsid w:val="006D5B0C"/>
    <w:rsid w:val="006E1D81"/>
    <w:rsid w:val="006F076A"/>
    <w:rsid w:val="006F461B"/>
    <w:rsid w:val="007072C0"/>
    <w:rsid w:val="00710A92"/>
    <w:rsid w:val="007112C5"/>
    <w:rsid w:val="00712104"/>
    <w:rsid w:val="00714436"/>
    <w:rsid w:val="00720E96"/>
    <w:rsid w:val="0072133A"/>
    <w:rsid w:val="00722E56"/>
    <w:rsid w:val="0073750F"/>
    <w:rsid w:val="00743A1C"/>
    <w:rsid w:val="00761B4A"/>
    <w:rsid w:val="007653BE"/>
    <w:rsid w:val="00770402"/>
    <w:rsid w:val="00771044"/>
    <w:rsid w:val="007746BC"/>
    <w:rsid w:val="007758A4"/>
    <w:rsid w:val="00781330"/>
    <w:rsid w:val="0078524E"/>
    <w:rsid w:val="00786D60"/>
    <w:rsid w:val="007940C9"/>
    <w:rsid w:val="00795079"/>
    <w:rsid w:val="007972A0"/>
    <w:rsid w:val="007A19E8"/>
    <w:rsid w:val="007A2E01"/>
    <w:rsid w:val="007A5039"/>
    <w:rsid w:val="007B129F"/>
    <w:rsid w:val="007C1069"/>
    <w:rsid w:val="007C5B4C"/>
    <w:rsid w:val="007D5C26"/>
    <w:rsid w:val="007D75CB"/>
    <w:rsid w:val="007E1F5D"/>
    <w:rsid w:val="007E6323"/>
    <w:rsid w:val="007E6C5B"/>
    <w:rsid w:val="00800BC0"/>
    <w:rsid w:val="00803CC8"/>
    <w:rsid w:val="00804608"/>
    <w:rsid w:val="00804D3F"/>
    <w:rsid w:val="008075A8"/>
    <w:rsid w:val="0081267E"/>
    <w:rsid w:val="008144F6"/>
    <w:rsid w:val="0081474C"/>
    <w:rsid w:val="00816C03"/>
    <w:rsid w:val="008178BB"/>
    <w:rsid w:val="00817E21"/>
    <w:rsid w:val="008208A4"/>
    <w:rsid w:val="008446B9"/>
    <w:rsid w:val="00850592"/>
    <w:rsid w:val="00851340"/>
    <w:rsid w:val="00855525"/>
    <w:rsid w:val="00872FBA"/>
    <w:rsid w:val="00874FD7"/>
    <w:rsid w:val="00875D42"/>
    <w:rsid w:val="008776A8"/>
    <w:rsid w:val="00882C3D"/>
    <w:rsid w:val="0088583B"/>
    <w:rsid w:val="008938F6"/>
    <w:rsid w:val="00894A05"/>
    <w:rsid w:val="008A0867"/>
    <w:rsid w:val="008A4936"/>
    <w:rsid w:val="008B3493"/>
    <w:rsid w:val="008C0C18"/>
    <w:rsid w:val="008D151B"/>
    <w:rsid w:val="008E248D"/>
    <w:rsid w:val="008F71DD"/>
    <w:rsid w:val="00900BB8"/>
    <w:rsid w:val="009021EB"/>
    <w:rsid w:val="00902534"/>
    <w:rsid w:val="0091329D"/>
    <w:rsid w:val="0091600F"/>
    <w:rsid w:val="00916BD8"/>
    <w:rsid w:val="00917BAE"/>
    <w:rsid w:val="00941438"/>
    <w:rsid w:val="0094237B"/>
    <w:rsid w:val="009449A6"/>
    <w:rsid w:val="00945D2D"/>
    <w:rsid w:val="00951762"/>
    <w:rsid w:val="009554B0"/>
    <w:rsid w:val="00957F83"/>
    <w:rsid w:val="00985843"/>
    <w:rsid w:val="009867FE"/>
    <w:rsid w:val="00990FCB"/>
    <w:rsid w:val="009A410D"/>
    <w:rsid w:val="009A6521"/>
    <w:rsid w:val="009A6E2B"/>
    <w:rsid w:val="009B03EF"/>
    <w:rsid w:val="009C1603"/>
    <w:rsid w:val="009C281F"/>
    <w:rsid w:val="009C3254"/>
    <w:rsid w:val="009C417A"/>
    <w:rsid w:val="009C4333"/>
    <w:rsid w:val="009C47FA"/>
    <w:rsid w:val="009C64D6"/>
    <w:rsid w:val="009D00DD"/>
    <w:rsid w:val="009D06AE"/>
    <w:rsid w:val="009D21B9"/>
    <w:rsid w:val="009D6318"/>
    <w:rsid w:val="009E1D1B"/>
    <w:rsid w:val="009E1D8F"/>
    <w:rsid w:val="009E2179"/>
    <w:rsid w:val="009E273A"/>
    <w:rsid w:val="009E5698"/>
    <w:rsid w:val="009E7E9E"/>
    <w:rsid w:val="009F0696"/>
    <w:rsid w:val="009F23BB"/>
    <w:rsid w:val="009F6919"/>
    <w:rsid w:val="00A0175A"/>
    <w:rsid w:val="00A117D3"/>
    <w:rsid w:val="00A11D91"/>
    <w:rsid w:val="00A14D98"/>
    <w:rsid w:val="00A216ED"/>
    <w:rsid w:val="00A26157"/>
    <w:rsid w:val="00A27102"/>
    <w:rsid w:val="00A34FF1"/>
    <w:rsid w:val="00A429CF"/>
    <w:rsid w:val="00A44048"/>
    <w:rsid w:val="00A471AC"/>
    <w:rsid w:val="00A47624"/>
    <w:rsid w:val="00A51E2F"/>
    <w:rsid w:val="00A57D3A"/>
    <w:rsid w:val="00A64216"/>
    <w:rsid w:val="00A822E8"/>
    <w:rsid w:val="00A82E73"/>
    <w:rsid w:val="00A83AF6"/>
    <w:rsid w:val="00A85FC2"/>
    <w:rsid w:val="00A90C5A"/>
    <w:rsid w:val="00A94C9E"/>
    <w:rsid w:val="00A95BBE"/>
    <w:rsid w:val="00A963D0"/>
    <w:rsid w:val="00A97EB2"/>
    <w:rsid w:val="00AB2D18"/>
    <w:rsid w:val="00AB413F"/>
    <w:rsid w:val="00AB43D8"/>
    <w:rsid w:val="00AB52C8"/>
    <w:rsid w:val="00AB59CF"/>
    <w:rsid w:val="00AD5B86"/>
    <w:rsid w:val="00AE6B5F"/>
    <w:rsid w:val="00AE7CCD"/>
    <w:rsid w:val="00AF5A43"/>
    <w:rsid w:val="00B078A0"/>
    <w:rsid w:val="00B11068"/>
    <w:rsid w:val="00B13236"/>
    <w:rsid w:val="00B14326"/>
    <w:rsid w:val="00B17DB0"/>
    <w:rsid w:val="00B17F90"/>
    <w:rsid w:val="00B25BB1"/>
    <w:rsid w:val="00B3046F"/>
    <w:rsid w:val="00B53119"/>
    <w:rsid w:val="00B600F3"/>
    <w:rsid w:val="00B7531C"/>
    <w:rsid w:val="00B82D51"/>
    <w:rsid w:val="00B83AD6"/>
    <w:rsid w:val="00B9489E"/>
    <w:rsid w:val="00B975D9"/>
    <w:rsid w:val="00BA0811"/>
    <w:rsid w:val="00BA3579"/>
    <w:rsid w:val="00BA5B06"/>
    <w:rsid w:val="00BA6647"/>
    <w:rsid w:val="00BB073F"/>
    <w:rsid w:val="00BB0F13"/>
    <w:rsid w:val="00BC3561"/>
    <w:rsid w:val="00BD2FB4"/>
    <w:rsid w:val="00BE15A4"/>
    <w:rsid w:val="00C010EF"/>
    <w:rsid w:val="00C03BC2"/>
    <w:rsid w:val="00C046BD"/>
    <w:rsid w:val="00C048F9"/>
    <w:rsid w:val="00C04B38"/>
    <w:rsid w:val="00C119F2"/>
    <w:rsid w:val="00C11D4E"/>
    <w:rsid w:val="00C16812"/>
    <w:rsid w:val="00C1704A"/>
    <w:rsid w:val="00C2184F"/>
    <w:rsid w:val="00C224E8"/>
    <w:rsid w:val="00C24BF2"/>
    <w:rsid w:val="00C26A73"/>
    <w:rsid w:val="00C301CD"/>
    <w:rsid w:val="00C33BE8"/>
    <w:rsid w:val="00C4129E"/>
    <w:rsid w:val="00C50CC3"/>
    <w:rsid w:val="00C50FA4"/>
    <w:rsid w:val="00C54570"/>
    <w:rsid w:val="00C57BB8"/>
    <w:rsid w:val="00C60F60"/>
    <w:rsid w:val="00C62100"/>
    <w:rsid w:val="00C6557B"/>
    <w:rsid w:val="00C72A78"/>
    <w:rsid w:val="00C73021"/>
    <w:rsid w:val="00C80987"/>
    <w:rsid w:val="00C84739"/>
    <w:rsid w:val="00C861B4"/>
    <w:rsid w:val="00C91A39"/>
    <w:rsid w:val="00C95387"/>
    <w:rsid w:val="00CA0998"/>
    <w:rsid w:val="00CA2C2C"/>
    <w:rsid w:val="00CB3D7F"/>
    <w:rsid w:val="00CB5BC0"/>
    <w:rsid w:val="00CE22E6"/>
    <w:rsid w:val="00CE42AE"/>
    <w:rsid w:val="00CE7796"/>
    <w:rsid w:val="00CF1046"/>
    <w:rsid w:val="00CF634D"/>
    <w:rsid w:val="00D10553"/>
    <w:rsid w:val="00D20664"/>
    <w:rsid w:val="00D20B99"/>
    <w:rsid w:val="00D213E3"/>
    <w:rsid w:val="00D24887"/>
    <w:rsid w:val="00D26549"/>
    <w:rsid w:val="00D30214"/>
    <w:rsid w:val="00D304A1"/>
    <w:rsid w:val="00D4410B"/>
    <w:rsid w:val="00D45237"/>
    <w:rsid w:val="00D52190"/>
    <w:rsid w:val="00D57B86"/>
    <w:rsid w:val="00D612C8"/>
    <w:rsid w:val="00D74350"/>
    <w:rsid w:val="00D751D3"/>
    <w:rsid w:val="00D77C59"/>
    <w:rsid w:val="00D812B5"/>
    <w:rsid w:val="00D86C68"/>
    <w:rsid w:val="00D90160"/>
    <w:rsid w:val="00D9047C"/>
    <w:rsid w:val="00D91379"/>
    <w:rsid w:val="00D955F9"/>
    <w:rsid w:val="00DA3630"/>
    <w:rsid w:val="00DA4710"/>
    <w:rsid w:val="00DA5E40"/>
    <w:rsid w:val="00DA7D5F"/>
    <w:rsid w:val="00DB040F"/>
    <w:rsid w:val="00DC0999"/>
    <w:rsid w:val="00DC3FA8"/>
    <w:rsid w:val="00DF0269"/>
    <w:rsid w:val="00DF1D7F"/>
    <w:rsid w:val="00DF4804"/>
    <w:rsid w:val="00DF4EFB"/>
    <w:rsid w:val="00DF7717"/>
    <w:rsid w:val="00E014D7"/>
    <w:rsid w:val="00E034B3"/>
    <w:rsid w:val="00E107C3"/>
    <w:rsid w:val="00E132B4"/>
    <w:rsid w:val="00E138F7"/>
    <w:rsid w:val="00E17D88"/>
    <w:rsid w:val="00E23F01"/>
    <w:rsid w:val="00E26612"/>
    <w:rsid w:val="00E36DF3"/>
    <w:rsid w:val="00E37765"/>
    <w:rsid w:val="00E37C11"/>
    <w:rsid w:val="00E42DC3"/>
    <w:rsid w:val="00E50082"/>
    <w:rsid w:val="00E51691"/>
    <w:rsid w:val="00E518EE"/>
    <w:rsid w:val="00E53BDE"/>
    <w:rsid w:val="00E55C7A"/>
    <w:rsid w:val="00E679D4"/>
    <w:rsid w:val="00E73184"/>
    <w:rsid w:val="00E84A66"/>
    <w:rsid w:val="00E9071C"/>
    <w:rsid w:val="00E9118D"/>
    <w:rsid w:val="00E917AA"/>
    <w:rsid w:val="00E96130"/>
    <w:rsid w:val="00EA0015"/>
    <w:rsid w:val="00EA07BD"/>
    <w:rsid w:val="00EA1C86"/>
    <w:rsid w:val="00EA2271"/>
    <w:rsid w:val="00EA4B4B"/>
    <w:rsid w:val="00EB39E0"/>
    <w:rsid w:val="00EC31A0"/>
    <w:rsid w:val="00EC3765"/>
    <w:rsid w:val="00ED0818"/>
    <w:rsid w:val="00ED2F4B"/>
    <w:rsid w:val="00ED32E1"/>
    <w:rsid w:val="00ED3989"/>
    <w:rsid w:val="00EE25D4"/>
    <w:rsid w:val="00EE7AFE"/>
    <w:rsid w:val="00EF21B8"/>
    <w:rsid w:val="00EF23DF"/>
    <w:rsid w:val="00F214EF"/>
    <w:rsid w:val="00F23BAE"/>
    <w:rsid w:val="00F273A0"/>
    <w:rsid w:val="00F42089"/>
    <w:rsid w:val="00F435F0"/>
    <w:rsid w:val="00F56F12"/>
    <w:rsid w:val="00F570BC"/>
    <w:rsid w:val="00F6258A"/>
    <w:rsid w:val="00F653D1"/>
    <w:rsid w:val="00F7017F"/>
    <w:rsid w:val="00F703BB"/>
    <w:rsid w:val="00F82879"/>
    <w:rsid w:val="00F82ABA"/>
    <w:rsid w:val="00F94B6A"/>
    <w:rsid w:val="00F94CE8"/>
    <w:rsid w:val="00FA30DD"/>
    <w:rsid w:val="00FA545D"/>
    <w:rsid w:val="00FB75A4"/>
    <w:rsid w:val="00FC11C2"/>
    <w:rsid w:val="00FC2624"/>
    <w:rsid w:val="00FC48CB"/>
    <w:rsid w:val="00FC794B"/>
    <w:rsid w:val="00FD460D"/>
    <w:rsid w:val="00FD4FBB"/>
    <w:rsid w:val="00FD6244"/>
    <w:rsid w:val="00FE2553"/>
    <w:rsid w:val="00FE314A"/>
    <w:rsid w:val="00FE4B2F"/>
    <w:rsid w:val="00FE66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52FE3F6B-7D0E-44E3-8623-580F25B3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napToGrid w:val="0"/>
      <w:sz w:val="24"/>
      <w:szCs w:val="24"/>
      <w:lang w:val="sv-SE" w:eastAsia="en-GB"/>
    </w:rPr>
  </w:style>
  <w:style w:type="paragraph" w:styleId="Rubrik1">
    <w:name w:val="heading 1"/>
    <w:basedOn w:val="Normal"/>
    <w:next w:val="Text1"/>
    <w:qFormat/>
    <w:pPr>
      <w:keepNext/>
      <w:numPr>
        <w:numId w:val="23"/>
      </w:numPr>
      <w:spacing w:before="360"/>
      <w:outlineLvl w:val="0"/>
    </w:pPr>
    <w:rPr>
      <w:b/>
      <w:bCs/>
      <w:smallCaps/>
    </w:rPr>
  </w:style>
  <w:style w:type="paragraph" w:styleId="Rubrik2">
    <w:name w:val="heading 2"/>
    <w:basedOn w:val="Normal"/>
    <w:next w:val="Text2"/>
    <w:qFormat/>
    <w:pPr>
      <w:keepNext/>
      <w:numPr>
        <w:ilvl w:val="1"/>
        <w:numId w:val="23"/>
      </w:numPr>
      <w:outlineLvl w:val="1"/>
    </w:pPr>
    <w:rPr>
      <w:b/>
      <w:bCs/>
    </w:rPr>
  </w:style>
  <w:style w:type="paragraph" w:styleId="Rubrik3">
    <w:name w:val="heading 3"/>
    <w:basedOn w:val="Normal"/>
    <w:next w:val="Text3"/>
    <w:qFormat/>
    <w:pPr>
      <w:keepNext/>
      <w:numPr>
        <w:ilvl w:val="2"/>
        <w:numId w:val="23"/>
      </w:numPr>
      <w:outlineLvl w:val="2"/>
    </w:pPr>
    <w:rPr>
      <w:i/>
      <w:iCs/>
    </w:rPr>
  </w:style>
  <w:style w:type="paragraph" w:styleId="Rubrik4">
    <w:name w:val="heading 4"/>
    <w:basedOn w:val="Normal"/>
    <w:next w:val="Text4"/>
    <w:qFormat/>
    <w:pPr>
      <w:keepNext/>
      <w:numPr>
        <w:ilvl w:val="3"/>
        <w:numId w:val="23"/>
      </w:numPr>
      <w:outlineLvl w:val="3"/>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Text1">
    <w:name w:val="Text 1"/>
    <w:basedOn w:val="Normal"/>
    <w:link w:val="Marker1"/>
    <w:pPr>
      <w:ind w:left="850"/>
    </w:pPr>
  </w:style>
  <w:style w:type="character" w:customStyle="1" w:styleId="Text1Char">
    <w:name w:val="Text 1 Char"/>
    <w:basedOn w:val="Standardstycketeckensnitt"/>
    <w:rPr>
      <w:sz w:val="24"/>
      <w:szCs w:val="24"/>
      <w:lang w:val="fr-FR"/>
    </w:r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styleId="Sidhuvud">
    <w:name w:val="header"/>
    <w:basedOn w:val="Normal"/>
    <w:pPr>
      <w:tabs>
        <w:tab w:val="right" w:pos="9071"/>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styleId="Fotnotstext">
    <w:name w:val="footnote text"/>
    <w:basedOn w:val="Normal"/>
    <w:link w:val="FotnotstextChar"/>
    <w:semiHidden/>
    <w:pPr>
      <w:spacing w:before="0" w:after="0"/>
      <w:ind w:left="720" w:hanging="720"/>
    </w:pPr>
    <w:rPr>
      <w:sz w:val="20"/>
      <w:szCs w:val="20"/>
    </w:rPr>
  </w:style>
  <w:style w:type="character" w:customStyle="1" w:styleId="FootnoteTextChar">
    <w:name w:val="Footnote Text Char"/>
    <w:basedOn w:val="Standardstycketeckensnitt"/>
    <w:rPr>
      <w:lang w:val="fr-FR"/>
    </w:rPr>
  </w:style>
  <w:style w:type="paragraph" w:styleId="Punktlista">
    <w:name w:val="List Bullet"/>
    <w:basedOn w:val="Normal"/>
    <w:pPr>
      <w:numPr>
        <w:numId w:val="24"/>
      </w:numPr>
    </w:pPr>
  </w:style>
  <w:style w:type="paragraph" w:styleId="Punktlista2">
    <w:name w:val="List Bullet 2"/>
    <w:basedOn w:val="Normal"/>
    <w:pPr>
      <w:numPr>
        <w:numId w:val="26"/>
      </w:numPr>
    </w:pPr>
  </w:style>
  <w:style w:type="paragraph" w:styleId="Punktlista3">
    <w:name w:val="List Bullet 3"/>
    <w:basedOn w:val="Normal"/>
    <w:pPr>
      <w:numPr>
        <w:numId w:val="27"/>
      </w:numPr>
    </w:pPr>
  </w:style>
  <w:style w:type="paragraph" w:styleId="Punktlista4">
    <w:name w:val="List Bullet 4"/>
    <w:basedOn w:val="Normal"/>
    <w:pPr>
      <w:numPr>
        <w:numId w:val="28"/>
      </w:numPr>
    </w:pPr>
  </w:style>
  <w:style w:type="paragraph" w:styleId="Numreradlista">
    <w:name w:val="List Number"/>
    <w:basedOn w:val="Normal"/>
    <w:pPr>
      <w:numPr>
        <w:numId w:val="34"/>
      </w:numPr>
    </w:pPr>
  </w:style>
  <w:style w:type="paragraph" w:styleId="Numreradlista2">
    <w:name w:val="List Number 2"/>
    <w:basedOn w:val="Normal"/>
    <w:pPr>
      <w:numPr>
        <w:numId w:val="36"/>
      </w:numPr>
    </w:pPr>
  </w:style>
  <w:style w:type="paragraph" w:styleId="Numreradlista3">
    <w:name w:val="List Number 3"/>
    <w:basedOn w:val="Normal"/>
    <w:pPr>
      <w:numPr>
        <w:numId w:val="37"/>
      </w:numPr>
    </w:pPr>
  </w:style>
  <w:style w:type="paragraph" w:styleId="Numreradlista4">
    <w:name w:val="List Number 4"/>
    <w:basedOn w:val="Normal"/>
    <w:pPr>
      <w:numPr>
        <w:numId w:val="38"/>
      </w:numPr>
    </w:pPr>
  </w:style>
  <w:style w:type="paragraph" w:styleId="Innehll1">
    <w:name w:val="toc 1"/>
    <w:basedOn w:val="Normal"/>
    <w:next w:val="Normal"/>
    <w:link w:val="Innehll1Char"/>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link w:val="Innehll7Char"/>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rsid w:val="00CB3D7F"/>
    <w:pPr>
      <w:tabs>
        <w:tab w:val="center" w:pos="7285"/>
        <w:tab w:val="center" w:pos="10913"/>
        <w:tab w:val="right" w:pos="15137"/>
      </w:tabs>
      <w:spacing w:before="360" w:after="0"/>
      <w:ind w:left="-567" w:right="-567"/>
      <w:jc w:val="left"/>
    </w:pPr>
    <w:rPr>
      <w:snapToGrid/>
      <w:szCs w:val="20"/>
      <w:lang w:eastAsia="zh-CN"/>
    </w:rPr>
  </w:style>
  <w:style w:type="character" w:styleId="Fotnotsreferens">
    <w:name w:val="footnote reference"/>
    <w:basedOn w:val="Standardstycketeckensnitt"/>
    <w:semiHidden/>
    <w:rPr>
      <w:vertAlign w:val="superscript"/>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character" w:customStyle="1" w:styleId="Innehll1Char">
    <w:name w:val="Innehåll 1 Char"/>
    <w:basedOn w:val="Standardstycketeckensnitt"/>
    <w:link w:val="Innehll1"/>
    <w:rPr>
      <w:sz w:val="24"/>
      <w:szCs w:val="24"/>
      <w:lang w:val="fr-FR"/>
    </w:r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character" w:customStyle="1" w:styleId="Innehll7Char">
    <w:name w:val="Innehåll 7 Char"/>
    <w:basedOn w:val="Innehll1Char"/>
    <w:link w:val="Innehll7"/>
    <w:rPr>
      <w:sz w:val="24"/>
      <w:szCs w:val="24"/>
      <w:lang w:val="fr-FR"/>
    </w:r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2"/>
    <w:pPr>
      <w:numPr>
        <w:ilvl w:val="1"/>
        <w:numId w:val="22"/>
      </w:numPr>
    </w:pPr>
  </w:style>
  <w:style w:type="paragraph" w:customStyle="1" w:styleId="NumPar3">
    <w:name w:val="NumPar 3"/>
    <w:basedOn w:val="Normal"/>
    <w:next w:val="Text3"/>
    <w:pPr>
      <w:numPr>
        <w:ilvl w:val="2"/>
        <w:numId w:val="22"/>
      </w:numPr>
    </w:pPr>
  </w:style>
  <w:style w:type="paragraph" w:customStyle="1" w:styleId="NumPar4">
    <w:name w:val="NumPar 4"/>
    <w:basedOn w:val="Normal"/>
    <w:next w:val="Text4"/>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bCs/>
      <w:smallCaps/>
    </w:rPr>
  </w:style>
  <w:style w:type="paragraph" w:customStyle="1" w:styleId="ManualHeading2">
    <w:name w:val="Manual Heading 2"/>
    <w:basedOn w:val="Normal"/>
    <w:next w:val="Text2"/>
    <w:pPr>
      <w:keepNext/>
      <w:tabs>
        <w:tab w:val="left" w:pos="850"/>
      </w:tabs>
      <w:ind w:left="850" w:hanging="850"/>
      <w:outlineLvl w:val="1"/>
    </w:pPr>
    <w:rPr>
      <w:b/>
      <w:bCs/>
    </w:rPr>
  </w:style>
  <w:style w:type="paragraph" w:customStyle="1" w:styleId="ManualHeading3">
    <w:name w:val="Manual Heading 3"/>
    <w:basedOn w:val="Normal"/>
    <w:next w:val="Text3"/>
    <w:pPr>
      <w:keepNext/>
      <w:tabs>
        <w:tab w:val="left" w:pos="850"/>
      </w:tabs>
      <w:ind w:left="850" w:hanging="850"/>
      <w:outlineLvl w:val="2"/>
    </w:pPr>
    <w:rPr>
      <w:i/>
      <w:iCs/>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bCs/>
      <w:sz w:val="32"/>
      <w:szCs w:val="32"/>
    </w:rPr>
  </w:style>
  <w:style w:type="paragraph" w:customStyle="1" w:styleId="PartTitle">
    <w:name w:val="PartTitle"/>
    <w:basedOn w:val="Normal"/>
    <w:next w:val="ChapterTitle"/>
    <w:pPr>
      <w:keepNext/>
      <w:pageBreakBefore/>
      <w:spacing w:after="360"/>
      <w:jc w:val="center"/>
    </w:pPr>
    <w:rPr>
      <w:b/>
      <w:bCs/>
      <w:sz w:val="36"/>
      <w:szCs w:val="36"/>
    </w:rPr>
  </w:style>
  <w:style w:type="paragraph" w:customStyle="1" w:styleId="SectionTitle">
    <w:name w:val="SectionTitle"/>
    <w:basedOn w:val="Normal"/>
    <w:next w:val="Rubrik1"/>
    <w:pPr>
      <w:keepNext/>
      <w:spacing w:after="360"/>
      <w:jc w:val="center"/>
    </w:pPr>
    <w:rPr>
      <w:b/>
      <w:bCs/>
      <w:smallCaps/>
      <w:sz w:val="28"/>
      <w:szCs w:val="28"/>
    </w:rPr>
  </w:style>
  <w:style w:type="paragraph" w:customStyle="1" w:styleId="ListBullet1">
    <w:name w:val="List Bullet 1"/>
    <w:basedOn w:val="Normal"/>
    <w:pPr>
      <w:numPr>
        <w:numId w:val="25"/>
      </w:numPr>
    </w:pPr>
  </w:style>
  <w:style w:type="paragraph" w:customStyle="1" w:styleId="ListDash">
    <w:name w:val="List Dash"/>
    <w:basedOn w:val="Normal"/>
    <w:pPr>
      <w:numPr>
        <w:numId w:val="29"/>
      </w:numPr>
    </w:pPr>
  </w:style>
  <w:style w:type="paragraph" w:customStyle="1" w:styleId="ListDash1">
    <w:name w:val="List Dash 1"/>
    <w:basedOn w:val="Normal"/>
    <w:pPr>
      <w:numPr>
        <w:numId w:val="30"/>
      </w:numPr>
    </w:pPr>
  </w:style>
  <w:style w:type="paragraph" w:customStyle="1" w:styleId="ListDash2">
    <w:name w:val="List Dash 2"/>
    <w:basedOn w:val="Normal"/>
    <w:pPr>
      <w:numPr>
        <w:numId w:val="31"/>
      </w:numPr>
    </w:pPr>
  </w:style>
  <w:style w:type="paragraph" w:customStyle="1" w:styleId="ListDash3">
    <w:name w:val="List Dash 3"/>
    <w:basedOn w:val="Normal"/>
    <w:pPr>
      <w:numPr>
        <w:numId w:val="32"/>
      </w:numPr>
    </w:pPr>
  </w:style>
  <w:style w:type="paragraph" w:customStyle="1" w:styleId="ListDash4">
    <w:name w:val="List Dash 4"/>
    <w:basedOn w:val="Normal"/>
    <w:pPr>
      <w:numPr>
        <w:numId w:val="33"/>
      </w:numPr>
    </w:pPr>
  </w:style>
  <w:style w:type="paragraph" w:customStyle="1" w:styleId="ListNumber1">
    <w:name w:val="List Number 1"/>
    <w:basedOn w:val="Text1"/>
    <w:pPr>
      <w:numPr>
        <w:numId w:val="35"/>
      </w:numPr>
    </w:pPr>
  </w:style>
  <w:style w:type="paragraph" w:customStyle="1" w:styleId="ListNumberLevel2">
    <w:name w:val="List Number (Level 2)"/>
    <w:basedOn w:val="Normal"/>
    <w:pPr>
      <w:numPr>
        <w:ilvl w:val="1"/>
        <w:numId w:val="34"/>
      </w:numPr>
    </w:pPr>
  </w:style>
  <w:style w:type="paragraph" w:customStyle="1" w:styleId="ListNumber1Level2">
    <w:name w:val="List Number 1 (Level 2)"/>
    <w:basedOn w:val="Text1"/>
    <w:pPr>
      <w:numPr>
        <w:ilvl w:val="1"/>
        <w:numId w:val="35"/>
      </w:numPr>
    </w:pPr>
  </w:style>
  <w:style w:type="paragraph" w:customStyle="1" w:styleId="ListNumber2Level2">
    <w:name w:val="List Number 2 (Level 2)"/>
    <w:basedOn w:val="Text2"/>
    <w:pPr>
      <w:numPr>
        <w:ilvl w:val="1"/>
        <w:numId w:val="36"/>
      </w:numPr>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8"/>
      </w:numPr>
    </w:pPr>
  </w:style>
  <w:style w:type="paragraph" w:customStyle="1" w:styleId="ListNumberLevel3">
    <w:name w:val="List Number (Level 3)"/>
    <w:basedOn w:val="Normal"/>
    <w:pPr>
      <w:numPr>
        <w:ilvl w:val="2"/>
        <w:numId w:val="34"/>
      </w:numPr>
    </w:pPr>
  </w:style>
  <w:style w:type="paragraph" w:customStyle="1" w:styleId="ListNumber1Level3">
    <w:name w:val="List Number 1 (Level 3)"/>
    <w:basedOn w:val="Text1"/>
    <w:pPr>
      <w:numPr>
        <w:ilvl w:val="2"/>
        <w:numId w:val="35"/>
      </w:numPr>
    </w:pPr>
  </w:style>
  <w:style w:type="paragraph" w:customStyle="1" w:styleId="ListNumber2Level3">
    <w:name w:val="List Number 2 (Level 3)"/>
    <w:basedOn w:val="Text2"/>
    <w:pPr>
      <w:numPr>
        <w:ilvl w:val="2"/>
        <w:numId w:val="36"/>
      </w:numPr>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8"/>
      </w:numPr>
    </w:pPr>
  </w:style>
  <w:style w:type="paragraph" w:customStyle="1" w:styleId="ListNumberLevel4">
    <w:name w:val="List Number (Level 4)"/>
    <w:basedOn w:val="Normal"/>
    <w:pPr>
      <w:numPr>
        <w:ilvl w:val="3"/>
        <w:numId w:val="34"/>
      </w:numPr>
    </w:pPr>
  </w:style>
  <w:style w:type="paragraph" w:customStyle="1" w:styleId="ListNumber1Level4">
    <w:name w:val="List Number 1 (Level 4)"/>
    <w:basedOn w:val="Text1"/>
    <w:pPr>
      <w:numPr>
        <w:ilvl w:val="3"/>
        <w:numId w:val="35"/>
      </w:numPr>
    </w:pPr>
  </w:style>
  <w:style w:type="paragraph" w:customStyle="1" w:styleId="ListNumber2Level4">
    <w:name w:val="List Number 2 (Level 4)"/>
    <w:basedOn w:val="Text2"/>
    <w:pPr>
      <w:numPr>
        <w:ilvl w:val="3"/>
        <w:numId w:val="36"/>
      </w:numPr>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8"/>
      </w:numPr>
    </w:pPr>
  </w:style>
  <w:style w:type="paragraph" w:customStyle="1" w:styleId="TableTitle">
    <w:name w:val="Table Title"/>
    <w:basedOn w:val="Normal"/>
    <w:next w:val="Normal"/>
    <w:pPr>
      <w:jc w:val="center"/>
    </w:pPr>
    <w:rPr>
      <w:b/>
      <w:bCs/>
    </w:rPr>
  </w:style>
  <w:style w:type="character" w:customStyle="1" w:styleId="Marker">
    <w:name w:val="Marker"/>
    <w:basedOn w:val="Standardstycketeckensnitt"/>
    <w:rPr>
      <w:color w:val="0000FF"/>
    </w:rPr>
  </w:style>
  <w:style w:type="character" w:customStyle="1" w:styleId="Marker1">
    <w:name w:val="Marker1"/>
    <w:basedOn w:val="Standardstycketeckensnitt"/>
    <w:link w:val="Text1"/>
    <w:rPr>
      <w:color w:val="008000"/>
    </w:rPr>
  </w:style>
  <w:style w:type="character" w:customStyle="1" w:styleId="Marker2">
    <w:name w:val="Marker2"/>
    <w:basedOn w:val="Standardstycketeckensnitt"/>
    <w:rPr>
      <w:color w:val="FF0000"/>
    </w:rPr>
  </w:style>
  <w:style w:type="paragraph" w:customStyle="1" w:styleId="TOCHeading">
    <w:name w:val="TOC Heading"/>
    <w:basedOn w:val="Normal"/>
    <w:next w:val="Normal"/>
    <w:pPr>
      <w:spacing w:after="240"/>
      <w:jc w:val="center"/>
    </w:pPr>
    <w:rPr>
      <w:b/>
      <w:bCs/>
      <w:sz w:val="28"/>
      <w:szCs w:val="28"/>
    </w:rPr>
  </w:style>
  <w:style w:type="paragraph" w:customStyle="1" w:styleId="Annexetitreacte">
    <w:name w:val="Annexe titre (acte)"/>
    <w:basedOn w:val="Normal"/>
    <w:next w:val="Normal"/>
    <w:pPr>
      <w:jc w:val="center"/>
    </w:pPr>
    <w:rPr>
      <w:b/>
      <w:bCs/>
      <w:u w:val="single"/>
    </w:rPr>
  </w:style>
  <w:style w:type="paragraph" w:customStyle="1" w:styleId="Annexetitreexposglobal">
    <w:name w:val="Annexe titre (exposé global)"/>
    <w:basedOn w:val="Normal"/>
    <w:next w:val="Normal"/>
    <w:pPr>
      <w:jc w:val="center"/>
    </w:pPr>
    <w:rPr>
      <w:b/>
      <w:bCs/>
      <w:u w:val="single"/>
    </w:rPr>
  </w:style>
  <w:style w:type="paragraph" w:customStyle="1" w:styleId="Annexetitreexpos">
    <w:name w:val="Annexe titre (exposé)"/>
    <w:basedOn w:val="Normal"/>
    <w:next w:val="Normal"/>
    <w:pPr>
      <w:jc w:val="center"/>
    </w:pPr>
    <w:rPr>
      <w:b/>
      <w:bCs/>
      <w:u w:val="single"/>
    </w:rPr>
  </w:style>
  <w:style w:type="paragraph" w:customStyle="1" w:styleId="Annexetitrefichefinacte">
    <w:name w:val="Annexe titre (fiche fin. acte)"/>
    <w:basedOn w:val="Normal"/>
    <w:next w:val="Normal"/>
    <w:pPr>
      <w:jc w:val="center"/>
    </w:pPr>
    <w:rPr>
      <w:b/>
      <w:bCs/>
      <w:u w:val="single"/>
    </w:rPr>
  </w:style>
  <w:style w:type="paragraph" w:customStyle="1" w:styleId="Annexetitrefichefinglobale">
    <w:name w:val="Annexe titre (fiche fin. globale)"/>
    <w:basedOn w:val="Normal"/>
    <w:next w:val="Normal"/>
    <w:pPr>
      <w:jc w:val="center"/>
    </w:pPr>
    <w:rPr>
      <w:b/>
      <w:bCs/>
      <w:u w:val="single"/>
    </w:rPr>
  </w:style>
  <w:style w:type="paragraph" w:customStyle="1" w:styleId="Annexetitreglobale">
    <w:name w:val="Annexe titre (globale)"/>
    <w:basedOn w:val="Normal"/>
    <w:next w:val="Normal"/>
    <w:pPr>
      <w:jc w:val="center"/>
    </w:pPr>
    <w:rPr>
      <w:b/>
      <w:bCs/>
      <w:u w:val="single"/>
    </w:rPr>
  </w:style>
  <w:style w:type="paragraph" w:customStyle="1" w:styleId="Applicationdirecte">
    <w:name w:val="Application directe"/>
    <w:basedOn w:val="Normal"/>
    <w:next w:val="Fait"/>
    <w:pPr>
      <w:spacing w:before="480"/>
    </w:pPr>
  </w:style>
  <w:style w:type="paragraph" w:customStyle="1" w:styleId="Fait">
    <w:name w:val="Fait à"/>
    <w:basedOn w:val="Normal"/>
    <w:next w:val="Institutionquisigne"/>
    <w:pPr>
      <w:keepNext/>
      <w:spacing w:after="0"/>
    </w:pPr>
  </w:style>
  <w:style w:type="paragraph" w:customStyle="1" w:styleId="Institutionquisigne">
    <w:name w:val="Institution qui signe"/>
    <w:basedOn w:val="Normal"/>
    <w:next w:val="Personnequisigne"/>
    <w:pPr>
      <w:keepNext/>
      <w:tabs>
        <w:tab w:val="left" w:pos="4252"/>
      </w:tabs>
      <w:spacing w:before="720" w:after="0"/>
    </w:pPr>
    <w:rPr>
      <w:i/>
      <w:iCs/>
    </w:rPr>
  </w:style>
  <w:style w:type="paragraph" w:customStyle="1" w:styleId="Personnequisigne">
    <w:name w:val="Personne qui signe"/>
    <w:basedOn w:val="Normal"/>
    <w:next w:val="Institutionquisigne"/>
    <w:pPr>
      <w:tabs>
        <w:tab w:val="left" w:pos="4252"/>
      </w:tabs>
      <w:spacing w:before="0" w:after="0"/>
      <w:jc w:val="left"/>
    </w:pPr>
    <w:rPr>
      <w:i/>
      <w:iCs/>
    </w:r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Statut">
    <w:name w:val="Statut"/>
    <w:basedOn w:val="Normal"/>
    <w:next w:val="Typedudocument"/>
    <w:pPr>
      <w:spacing w:before="360" w:after="0"/>
      <w:jc w:val="center"/>
    </w:pPr>
  </w:style>
  <w:style w:type="paragraph" w:customStyle="1" w:styleId="Typedudocument">
    <w:name w:val="Type du document"/>
    <w:basedOn w:val="Normal"/>
    <w:next w:val="Datedadoption"/>
    <w:pPr>
      <w:spacing w:before="360" w:after="0"/>
      <w:jc w:val="center"/>
    </w:pPr>
    <w:rPr>
      <w:b/>
      <w:bCs/>
    </w:rPr>
  </w:style>
  <w:style w:type="paragraph" w:customStyle="1" w:styleId="Datedadoption">
    <w:name w:val="Date d'adoption"/>
    <w:basedOn w:val="Normal"/>
    <w:next w:val="Titreobjet"/>
    <w:pPr>
      <w:spacing w:before="360" w:after="0"/>
      <w:jc w:val="center"/>
    </w:pPr>
    <w:rPr>
      <w:b/>
      <w:bCs/>
    </w:rPr>
  </w:style>
  <w:style w:type="paragraph" w:customStyle="1" w:styleId="Titreobjet">
    <w:name w:val="Titre objet"/>
    <w:basedOn w:val="Normal"/>
    <w:next w:val="Sous-titreobjet"/>
    <w:pPr>
      <w:spacing w:before="360" w:after="360"/>
      <w:jc w:val="center"/>
    </w:pPr>
    <w:rPr>
      <w:b/>
      <w:bCs/>
    </w:rPr>
  </w:style>
  <w:style w:type="paragraph" w:customStyle="1" w:styleId="Sous-titreobjet">
    <w:name w:val="Sous-titre objet"/>
    <w:basedOn w:val="Normal"/>
    <w:pPr>
      <w:spacing w:before="0" w:after="0"/>
      <w:jc w:val="center"/>
    </w:pPr>
    <w:rPr>
      <w:b/>
      <w:bCs/>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Emission">
    <w:name w:val="Emission"/>
    <w:basedOn w:val="Normal"/>
    <w:next w:val="Rfrenceinstitutionelle"/>
    <w:pPr>
      <w:spacing w:before="0" w:after="0"/>
      <w:ind w:left="5103"/>
      <w:jc w:val="left"/>
    </w:pPr>
  </w:style>
  <w:style w:type="paragraph" w:customStyle="1" w:styleId="Rfrenceinstitutionelle">
    <w:name w:val="Référence institutionelle"/>
    <w:basedOn w:val="Normal"/>
    <w:next w:val="Statut"/>
    <w:pPr>
      <w:spacing w:before="0" w:after="240"/>
      <w:ind w:left="5103"/>
      <w:jc w:val="left"/>
    </w:pPr>
  </w:style>
  <w:style w:type="paragraph" w:customStyle="1" w:styleId="Exposdesmotifstitre">
    <w:name w:val="Exposé des motifs titre"/>
    <w:basedOn w:val="Normal"/>
    <w:next w:val="Normal"/>
    <w:pPr>
      <w:jc w:val="center"/>
    </w:pPr>
    <w:rPr>
      <w:b/>
      <w:bCs/>
      <w:u w:val="single"/>
    </w:rPr>
  </w:style>
  <w:style w:type="paragraph" w:customStyle="1" w:styleId="Exposdesmotifstitreglobal">
    <w:name w:val="Exposé des motifs titre (global)"/>
    <w:basedOn w:val="Normal"/>
    <w:next w:val="Normal"/>
    <w:pPr>
      <w:jc w:val="center"/>
    </w:pPr>
    <w:rPr>
      <w:b/>
      <w:bCs/>
      <w:u w:val="single"/>
    </w:rPr>
  </w:style>
  <w:style w:type="paragraph" w:customStyle="1" w:styleId="Formuledadoption">
    <w:name w:val="Formule d'adoption"/>
    <w:basedOn w:val="Normal"/>
    <w:next w:val="Titrearticle"/>
    <w:pPr>
      <w:keepNext/>
    </w:pPr>
  </w:style>
  <w:style w:type="paragraph" w:customStyle="1" w:styleId="Titrearticle">
    <w:name w:val="Titre article"/>
    <w:basedOn w:val="Normal"/>
    <w:next w:val="Normal"/>
    <w:pPr>
      <w:keepNext/>
      <w:spacing w:before="360"/>
      <w:jc w:val="center"/>
    </w:pPr>
    <w:rPr>
      <w:i/>
      <w:iCs/>
    </w:rPr>
  </w:style>
  <w:style w:type="paragraph" w:customStyle="1" w:styleId="Institutionquiagit">
    <w:name w:val="Institution qui agit"/>
    <w:basedOn w:val="Normal"/>
    <w:next w:val="Normal"/>
    <w:pPr>
      <w:keepNext/>
      <w:spacing w:before="600"/>
    </w:pPr>
  </w:style>
  <w:style w:type="paragraph" w:customStyle="1" w:styleId="Langue">
    <w:name w:val="Langue"/>
    <w:basedOn w:val="Normal"/>
    <w:next w:val="Rfrenceinterne"/>
    <w:pPr>
      <w:spacing w:before="0" w:after="600"/>
      <w:jc w:val="center"/>
    </w:pPr>
    <w:rPr>
      <w:b/>
      <w:bCs/>
      <w:caps/>
    </w:rPr>
  </w:style>
  <w:style w:type="paragraph" w:customStyle="1" w:styleId="Rfrenceinterne">
    <w:name w:val="Référence interne"/>
    <w:basedOn w:val="Normal"/>
    <w:next w:val="Nomdelinstitution"/>
    <w:pPr>
      <w:spacing w:before="0" w:after="600"/>
      <w:jc w:val="center"/>
    </w:pPr>
    <w:rPr>
      <w:b/>
      <w:bC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Langueoriginale">
    <w:name w:val="Langue originale"/>
    <w:basedOn w:val="Normal"/>
    <w:next w:val="Phrasefinale"/>
    <w:pPr>
      <w:spacing w:before="360"/>
      <w:jc w:val="center"/>
    </w:pPr>
    <w:rPr>
      <w:caps/>
    </w:rPr>
  </w:style>
  <w:style w:type="paragraph" w:customStyle="1" w:styleId="Phrasefinale">
    <w:name w:val="Phrase final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Prliminairetitre">
    <w:name w:val="Préliminaire titre"/>
    <w:basedOn w:val="Normal"/>
    <w:next w:val="Normal"/>
    <w:pPr>
      <w:spacing w:before="360" w:after="360"/>
      <w:jc w:val="center"/>
    </w:pPr>
    <w:rPr>
      <w:b/>
      <w:bCs/>
    </w:rPr>
  </w:style>
  <w:style w:type="paragraph" w:customStyle="1" w:styleId="Prliminairetype">
    <w:name w:val="Préliminaire type"/>
    <w:basedOn w:val="Normal"/>
    <w:next w:val="Normal"/>
    <w:pPr>
      <w:spacing w:before="360" w:after="0"/>
      <w:jc w:val="center"/>
    </w:pPr>
    <w:rPr>
      <w:b/>
      <w:bCs/>
    </w:r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Sous-titreobjetprliminaire">
    <w:name w:val="Sous-titre objet (préliminaire)"/>
    <w:basedOn w:val="Normal"/>
    <w:pPr>
      <w:spacing w:before="0" w:after="0"/>
      <w:jc w:val="center"/>
    </w:pPr>
    <w:rPr>
      <w:b/>
      <w:bCs/>
    </w:rPr>
  </w:style>
  <w:style w:type="paragraph" w:customStyle="1" w:styleId="Statutprliminaire">
    <w:name w:val="Statut (préliminaire)"/>
    <w:basedOn w:val="Normal"/>
    <w:next w:val="Normal"/>
    <w:pPr>
      <w:spacing w:before="360" w:after="0"/>
      <w:jc w:val="center"/>
    </w:pPr>
  </w:style>
  <w:style w:type="paragraph" w:customStyle="1" w:styleId="Titreobjetprliminaire">
    <w:name w:val="Titre objet (préliminaire)"/>
    <w:basedOn w:val="Normal"/>
    <w:next w:val="Normal"/>
    <w:pPr>
      <w:spacing w:before="360" w:after="360"/>
      <w:jc w:val="center"/>
    </w:pPr>
    <w:rPr>
      <w:b/>
      <w:bCs/>
    </w:rPr>
  </w:style>
  <w:style w:type="paragraph" w:customStyle="1" w:styleId="Typedudocumentprliminaire">
    <w:name w:val="Type du document (préliminaire)"/>
    <w:basedOn w:val="Normal"/>
    <w:next w:val="Normal"/>
    <w:pPr>
      <w:spacing w:before="360" w:after="0"/>
      <w:jc w:val="center"/>
    </w:pPr>
    <w:rPr>
      <w:b/>
      <w:bCs/>
    </w:rPr>
  </w:style>
  <w:style w:type="character" w:customStyle="1" w:styleId="Added">
    <w:name w:val="Added"/>
    <w:basedOn w:val="Standardstycketeckensnitt"/>
    <w:rPr>
      <w:b/>
      <w:bCs/>
      <w:u w:val="single"/>
    </w:rPr>
  </w:style>
  <w:style w:type="character" w:customStyle="1" w:styleId="Deleted">
    <w:name w:val="Deleted"/>
    <w:basedOn w:val="Standardstycketeckensnitt"/>
    <w:rPr>
      <w:strike/>
    </w:rPr>
  </w:style>
  <w:style w:type="paragraph" w:customStyle="1" w:styleId="Address">
    <w:name w:val="Address"/>
    <w:basedOn w:val="Normal"/>
    <w:next w:val="Normal"/>
    <w:pPr>
      <w:keepLines/>
      <w:spacing w:line="360" w:lineRule="auto"/>
      <w:ind w:left="3402"/>
      <w:jc w:val="left"/>
    </w:pPr>
  </w:style>
  <w:style w:type="paragraph" w:customStyle="1" w:styleId="Fichefinancirestandardtitre">
    <w:name w:val="Fiche financière (standard) titre"/>
    <w:basedOn w:val="Normal"/>
    <w:next w:val="Normal"/>
    <w:pPr>
      <w:jc w:val="center"/>
    </w:pPr>
    <w:rPr>
      <w:b/>
      <w:bCs/>
      <w:u w:val="single"/>
    </w:rPr>
  </w:style>
  <w:style w:type="paragraph" w:customStyle="1" w:styleId="Fichefinancirestandardtitreacte">
    <w:name w:val="Fiche financière (standard) titre (acte)"/>
    <w:basedOn w:val="Normal"/>
    <w:next w:val="Normal"/>
    <w:pPr>
      <w:jc w:val="center"/>
    </w:pPr>
    <w:rPr>
      <w:b/>
      <w:bCs/>
      <w:u w:val="single"/>
    </w:rPr>
  </w:style>
  <w:style w:type="paragraph" w:customStyle="1" w:styleId="Fichefinanciretravailtitre">
    <w:name w:val="Fiche financière (travail) titre"/>
    <w:basedOn w:val="Normal"/>
    <w:next w:val="Normal"/>
    <w:pPr>
      <w:jc w:val="center"/>
    </w:pPr>
    <w:rPr>
      <w:b/>
      <w:bCs/>
      <w:u w:val="single"/>
    </w:rPr>
  </w:style>
  <w:style w:type="paragraph" w:customStyle="1" w:styleId="Fichefinanciretravailtitreacte">
    <w:name w:val="Fiche financière (travail) titre (acte)"/>
    <w:basedOn w:val="Normal"/>
    <w:next w:val="Normal"/>
    <w:pPr>
      <w:jc w:val="center"/>
    </w:pPr>
    <w:rPr>
      <w:b/>
      <w:bCs/>
      <w:u w:val="single"/>
    </w:rPr>
  </w:style>
  <w:style w:type="paragraph" w:customStyle="1" w:styleId="Fichefinancireattributiontitre">
    <w:name w:val="Fiche financière (attribution) titre"/>
    <w:basedOn w:val="Normal"/>
    <w:next w:val="Normal"/>
    <w:pPr>
      <w:jc w:val="center"/>
    </w:pPr>
    <w:rPr>
      <w:b/>
      <w:bCs/>
      <w:u w:val="single"/>
    </w:rPr>
  </w:style>
  <w:style w:type="paragraph" w:customStyle="1" w:styleId="Fichefinancireattributiontitreacte">
    <w:name w:val="Fiche financière (attribution) titre (acte)"/>
    <w:basedOn w:val="Normal"/>
    <w:next w:val="Normal"/>
    <w:pPr>
      <w:jc w:val="center"/>
    </w:pPr>
    <w:rPr>
      <w:b/>
      <w:bCs/>
      <w:u w:val="single"/>
    </w:rPr>
  </w:style>
  <w:style w:type="paragraph" w:customStyle="1" w:styleId="Objetexterne">
    <w:name w:val="Objet externe"/>
    <w:basedOn w:val="Normal"/>
    <w:next w:val="Normal"/>
    <w:rPr>
      <w:i/>
      <w:iCs/>
      <w:caps/>
    </w:rPr>
  </w:style>
  <w:style w:type="paragraph" w:customStyle="1" w:styleId="FichedimpactPMEtitre">
    <w:name w:val="Fiche d'impact PME titre"/>
    <w:basedOn w:val="Normal"/>
    <w:next w:val="Normal"/>
    <w:pPr>
      <w:jc w:val="center"/>
    </w:pPr>
    <w:rPr>
      <w:b/>
      <w:bCs/>
    </w:rPr>
  </w:style>
  <w:style w:type="paragraph" w:customStyle="1" w:styleId="Fichefinanciretextetable">
    <w:name w:val="Fiche financière texte (table)"/>
    <w:basedOn w:val="Normal"/>
    <w:pPr>
      <w:spacing w:before="0" w:after="0"/>
      <w:jc w:val="left"/>
    </w:pPr>
    <w:rPr>
      <w:sz w:val="20"/>
      <w:szCs w:val="20"/>
    </w:rPr>
  </w:style>
  <w:style w:type="paragraph" w:customStyle="1" w:styleId="Fichefinanciretitre">
    <w:name w:val="Fiche financière titre"/>
    <w:basedOn w:val="Normal"/>
    <w:next w:val="Normal"/>
    <w:pPr>
      <w:jc w:val="center"/>
    </w:pPr>
    <w:rPr>
      <w:b/>
      <w:bCs/>
      <w:u w:val="single"/>
    </w:rPr>
  </w:style>
  <w:style w:type="paragraph" w:customStyle="1" w:styleId="Fichefinanciretitreactetable">
    <w:name w:val="Fiche financière titre (acte table)"/>
    <w:basedOn w:val="Normal"/>
    <w:next w:val="Normal"/>
    <w:pPr>
      <w:jc w:val="center"/>
    </w:pPr>
    <w:rPr>
      <w:b/>
      <w:bCs/>
      <w:sz w:val="40"/>
      <w:szCs w:val="40"/>
    </w:rPr>
  </w:style>
  <w:style w:type="paragraph" w:customStyle="1" w:styleId="Fichefinanciretitreacte">
    <w:name w:val="Fiche financière titre (acte)"/>
    <w:basedOn w:val="Normal"/>
    <w:next w:val="Normal"/>
    <w:pPr>
      <w:jc w:val="center"/>
    </w:pPr>
    <w:rPr>
      <w:b/>
      <w:bCs/>
      <w:u w:val="single"/>
    </w:rPr>
  </w:style>
  <w:style w:type="paragraph" w:customStyle="1" w:styleId="Fichefinanciretitretable">
    <w:name w:val="Fiche financière titre (table)"/>
    <w:basedOn w:val="Normal"/>
    <w:pPr>
      <w:jc w:val="center"/>
    </w:pPr>
    <w:rPr>
      <w:b/>
      <w:bCs/>
      <w:sz w:val="40"/>
      <w:szCs w:val="40"/>
    </w:rPr>
  </w:style>
  <w:style w:type="character" w:styleId="Sidnummer">
    <w:name w:val="page number"/>
    <w:basedOn w:val="Standardstycketeckensnitt"/>
  </w:style>
  <w:style w:type="paragraph" w:customStyle="1" w:styleId="NormalWeb8">
    <w:name w:val="Normal (Web)8"/>
    <w:basedOn w:val="Normal"/>
    <w:pPr>
      <w:spacing w:before="75" w:after="75"/>
      <w:ind w:left="225" w:right="225"/>
      <w:jc w:val="left"/>
    </w:pPr>
    <w:rPr>
      <w:sz w:val="22"/>
      <w:szCs w:val="22"/>
      <w:lang w:val="en-GB"/>
    </w:rPr>
  </w:style>
  <w:style w:type="character" w:styleId="Kommentarsreferens">
    <w:name w:val="annotation reference"/>
    <w:basedOn w:val="Standardstycketeckensnitt"/>
    <w:semiHidden/>
    <w:rPr>
      <w:sz w:val="16"/>
      <w:szCs w:val="16"/>
    </w:rPr>
  </w:style>
  <w:style w:type="table" w:styleId="Tabellrutnt">
    <w:name w:val="Table Grid"/>
    <w:basedOn w:val="Normaltabell"/>
    <w:pPr>
      <w:spacing w:before="120" w:after="120"/>
      <w:jc w:val="both"/>
    </w:pPr>
    <w:rPr>
      <w:snapToGrid w:val="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Pr>
      <w:color w:val="0000FF"/>
      <w:u w:val="single"/>
    </w:rPr>
  </w:style>
  <w:style w:type="character" w:customStyle="1" w:styleId="FotnotstextChar">
    <w:name w:val="Fotnotstext Char"/>
    <w:basedOn w:val="Standardstycketeckensnitt"/>
    <w:link w:val="Fotnotstext"/>
  </w:style>
  <w:style w:type="paragraph" w:styleId="Normalwebb">
    <w:name w:val="Normal (Web)"/>
    <w:basedOn w:val="Normal"/>
    <w:pPr>
      <w:spacing w:before="100" w:beforeAutospacing="1" w:after="100" w:afterAutospacing="1"/>
      <w:jc w:val="left"/>
    </w:pPr>
    <w:rPr>
      <w:lang w:val="en-GB"/>
    </w:rPr>
  </w:style>
  <w:style w:type="character" w:customStyle="1" w:styleId="description1">
    <w:name w:val="description1"/>
    <w:basedOn w:val="Standardstycketeckensnitt"/>
    <w:rPr>
      <w:rFonts w:ascii="Times New Roman" w:hAnsi="Times New Roman" w:cs="Times New Roman"/>
      <w:b/>
      <w:bCs/>
      <w:color w:val="auto"/>
      <w:sz w:val="20"/>
      <w:szCs w:val="20"/>
    </w:rPr>
  </w:style>
  <w:style w:type="paragraph" w:customStyle="1" w:styleId="Default">
    <w:name w:val="Default"/>
    <w:pPr>
      <w:autoSpaceDE w:val="0"/>
      <w:autoSpaceDN w:val="0"/>
      <w:adjustRightInd w:val="0"/>
    </w:pPr>
    <w:rPr>
      <w:snapToGrid w:val="0"/>
      <w:color w:val="000000"/>
      <w:sz w:val="24"/>
      <w:szCs w:val="24"/>
      <w:lang w:val="en-GB" w:eastAsia="en-GB"/>
    </w:rPr>
  </w:style>
  <w:style w:type="paragraph" w:customStyle="1" w:styleId="Visa">
    <w:name w:val="Visa"/>
    <w:basedOn w:val="Normal"/>
    <w:next w:val="Normal"/>
    <w:pPr>
      <w:autoSpaceDE w:val="0"/>
      <w:autoSpaceDN w:val="0"/>
      <w:adjustRightInd w:val="0"/>
      <w:spacing w:before="0" w:after="240"/>
      <w:jc w:val="left"/>
    </w:pPr>
    <w:rPr>
      <w:lang w:val="en-GB"/>
    </w:rPr>
  </w:style>
  <w:style w:type="character" w:customStyle="1" w:styleId="Hyperlink10">
    <w:name w:val="Hyperlink10"/>
    <w:basedOn w:val="Standardstycketeckensnitt"/>
    <w:rPr>
      <w:rFonts w:ascii="Times New Roman" w:hAnsi="Times New Roman" w:cs="Times New Roman"/>
      <w:color w:val="0000FF"/>
      <w:u w:val="single"/>
      <w:shd w:val="clear" w:color="auto" w:fill="auto"/>
    </w:rPr>
  </w:style>
  <w:style w:type="character" w:styleId="Stark">
    <w:name w:val="Strong"/>
    <w:basedOn w:val="Standardstycketeckensnitt"/>
    <w:qFormat/>
    <w:rPr>
      <w:b/>
      <w:bCs/>
    </w:rPr>
  </w:style>
  <w:style w:type="paragraph" w:customStyle="1" w:styleId="Action">
    <w:name w:val="Action"/>
    <w:basedOn w:val="Default"/>
    <w:next w:val="Default"/>
    <w:pPr>
      <w:spacing w:after="240"/>
    </w:pPr>
    <w:rPr>
      <w:color w:val="auto"/>
    </w:rPr>
  </w:style>
  <w:style w:type="character" w:styleId="AnvndHyperlnk">
    <w:name w:val="FollowedHyperlink"/>
    <w:basedOn w:val="Standardstycketeckensnitt"/>
    <w:rPr>
      <w:color w:val="auto"/>
      <w:u w:val="single"/>
    </w:rPr>
  </w:style>
  <w:style w:type="paragraph" w:customStyle="1" w:styleId="CoverNormal">
    <w:name w:val="CoverNormal"/>
    <w:basedOn w:val="Normal"/>
    <w:pPr>
      <w:widowControl w:val="0"/>
      <w:spacing w:before="0" w:after="0"/>
      <w:ind w:left="1418"/>
      <w:jc w:val="left"/>
    </w:pPr>
    <w:rPr>
      <w:lang w:val="en-GB"/>
    </w:rPr>
  </w:style>
  <w:style w:type="paragraph" w:styleId="Ballongtext">
    <w:name w:val="Balloon Text"/>
    <w:basedOn w:val="Normal"/>
    <w:semiHidden/>
    <w:rPr>
      <w:sz w:val="16"/>
      <w:szCs w:val="16"/>
      <w:lang w:val="en-GB"/>
    </w:rPr>
  </w:style>
  <w:style w:type="paragraph" w:styleId="Kommentarer">
    <w:name w:val="annotation text"/>
    <w:basedOn w:val="Normal"/>
    <w:semiHidden/>
    <w:rPr>
      <w:sz w:val="20"/>
      <w:szCs w:val="20"/>
      <w:lang w:val="en-GB"/>
    </w:rPr>
  </w:style>
  <w:style w:type="paragraph" w:customStyle="1" w:styleId="No">
    <w:name w:val="Noµ"/>
    <w:basedOn w:val="Text2"/>
    <w:pPr>
      <w:ind w:left="0"/>
    </w:pPr>
    <w:rPr>
      <w:lang w:val="en-GB"/>
    </w:rPr>
  </w:style>
  <w:style w:type="paragraph" w:styleId="Kommentarsmne">
    <w:name w:val="annotation subject"/>
    <w:basedOn w:val="Kommentarer"/>
    <w:next w:val="Kommentarer"/>
    <w:semiHidden/>
    <w:rPr>
      <w:b/>
      <w:bCs/>
      <w:lang w:val="fr-FR"/>
    </w:rPr>
  </w:style>
  <w:style w:type="character" w:customStyle="1" w:styleId="tw4winMark">
    <w:name w:val="tw4winMark"/>
    <w:rPr>
      <w:rFonts w:ascii="Times New Roman" w:hAnsi="Times New Roman" w:cs="Times New Roman"/>
      <w:vanish/>
      <w:color w:val="800080"/>
      <w:sz w:val="24"/>
      <w:szCs w:val="24"/>
      <w:vertAlign w:val="subscript"/>
    </w:rP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Dokumentversikt">
    <w:name w:val="Document Map"/>
    <w:basedOn w:val="Normal"/>
    <w:semiHidden/>
    <w:rsid w:val="00CB3D7F"/>
    <w:pPr>
      <w:shd w:val="clear" w:color="auto" w:fill="000080"/>
    </w:pPr>
    <w:rPr>
      <w:rFonts w:ascii="Tahoma" w:hAnsi="Tahoma" w:cs="Tahoma"/>
    </w:rPr>
  </w:style>
  <w:style w:type="paragraph" w:customStyle="1" w:styleId="EntInstit">
    <w:name w:val="EntInstit"/>
    <w:basedOn w:val="NormalConseil"/>
    <w:rsid w:val="00CB3D7F"/>
    <w:pPr>
      <w:jc w:val="right"/>
    </w:pPr>
    <w:rPr>
      <w:b/>
    </w:rPr>
  </w:style>
  <w:style w:type="paragraph" w:customStyle="1" w:styleId="NormalConseil">
    <w:name w:val="NormalConseil"/>
    <w:basedOn w:val="Normal"/>
    <w:rsid w:val="00CB3D7F"/>
    <w:pPr>
      <w:spacing w:before="0" w:after="0"/>
      <w:jc w:val="left"/>
    </w:pPr>
    <w:rPr>
      <w:snapToGrid/>
      <w:szCs w:val="20"/>
      <w:lang w:eastAsia="fr-BE"/>
    </w:rPr>
  </w:style>
  <w:style w:type="paragraph" w:customStyle="1" w:styleId="EntRefer">
    <w:name w:val="EntRefer"/>
    <w:basedOn w:val="NormalConseil"/>
    <w:rsid w:val="00CB3D7F"/>
    <w:rPr>
      <w:b/>
    </w:rPr>
  </w:style>
  <w:style w:type="paragraph" w:customStyle="1" w:styleId="EntEmet">
    <w:name w:val="EntEmet"/>
    <w:basedOn w:val="NormalConseil"/>
    <w:rsid w:val="00CB3D7F"/>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CB3D7F"/>
    <w:pPr>
      <w:spacing w:line="360" w:lineRule="auto"/>
    </w:pPr>
    <w:rPr>
      <w:b/>
    </w:rPr>
  </w:style>
  <w:style w:type="paragraph" w:customStyle="1" w:styleId="FooterConseil">
    <w:name w:val="FooterConseil"/>
    <w:basedOn w:val="NormalConseil"/>
    <w:rsid w:val="00CB3D7F"/>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CoverNoteSv.dot</Template>
  <TotalTime>0</TotalTime>
  <Pages>2</Pages>
  <Words>8347</Words>
  <Characters>50251</Characters>
  <Application>Microsoft Office Word</Application>
  <DocSecurity>4</DocSecurity>
  <Lines>1621</Lines>
  <Paragraphs>741</Paragraphs>
  <ScaleCrop>false</ScaleCrop>
  <HeadingPairs>
    <vt:vector size="2" baseType="variant">
      <vt:variant>
        <vt:lpstr>Title</vt:lpstr>
      </vt:variant>
      <vt:variant>
        <vt:i4>1</vt:i4>
      </vt:variant>
    </vt:vector>
  </HeadingPairs>
  <TitlesOfParts>
    <vt:vector size="1" baseType="lpstr">
      <vt:lpstr>FR</vt:lpstr>
    </vt:vector>
  </TitlesOfParts>
  <Manager/>
  <Company/>
  <LinksUpToDate>false</LinksUpToDate>
  <CharactersWithSpaces>57857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FR</dc:subject>
  <dc:creator>Riksdagen</dc:creator>
  <cp:keywords>Riksdagen</cp:keywords>
  <dc:description/>
  <cp:lastModifiedBy>Lars Brink</cp:lastModifiedBy>
  <cp:revision>2</cp:revision>
  <cp:lastPrinted>2005-11-08T14:50:00Z</cp:lastPrinted>
  <dcterms:created xsi:type="dcterms:W3CDTF">2025-12-16T23:04:00Z</dcterms:created>
  <dcterms:modified xsi:type="dcterms:W3CDTF">2025-12-16T23:04:00Z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5.4.1.9</vt:lpwstr>
  </property>
  <property fmtid="{D5CDD505-2E9C-101B-9397-08002B2CF9AE}" pid="5" name="Last edited using">
    <vt:lpwstr>LW 5.3, Build 20050728</vt:lpwstr>
  </property>
  <property fmtid="{D5CDD505-2E9C-101B-9397-08002B2CF9AE}" pid="6" name="Created using">
    <vt:lpwstr>LW 5.4, Build 20050819</vt:lpwstr>
  </property>
  <property fmtid="{D5CDD505-2E9C-101B-9397-08002B2CF9AE}" pid="7" name="_AdHocReviewCycleID">
    <vt:i4>-1444513696</vt:i4>
  </property>
  <property fmtid="{D5CDD505-2E9C-101B-9397-08002B2CF9AE}" pid="8" name="_EmailSubject">
    <vt:lpwstr>AEDIC - traductions Acte</vt:lpwstr>
  </property>
  <property fmtid="{D5CDD505-2E9C-101B-9397-08002B2CF9AE}" pid="9" name="_AuthorEmail">
    <vt:lpwstr>Elisa.SIMEONI@ext.cec.eu.int</vt:lpwstr>
  </property>
  <property fmtid="{D5CDD505-2E9C-101B-9397-08002B2CF9AE}" pid="10" name="_AuthorEmailDisplayName">
    <vt:lpwstr>SIMEONI Elisa (EAC-EXT)</vt:lpwstr>
  </property>
  <property fmtid="{D5CDD505-2E9C-101B-9397-08002B2CF9AE}" pid="11" name="_PreviousAdHocReviewCycleID">
    <vt:i4>120452767</vt:i4>
  </property>
  <property fmtid="{D5CDD505-2E9C-101B-9397-08002B2CF9AE}" pid="12" name="_ReviewingToolsShownOnce">
    <vt:lpwstr/>
  </property>
</Properties>
</file>