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883F0CE999049A29A4AC52F16975A48"/>
        </w:placeholder>
        <w:text/>
      </w:sdtPr>
      <w:sdtEndPr/>
      <w:sdtContent>
        <w:p w:rsidRPr="009B062B" w:rsidR="00AF30DD" w:rsidP="00DA28CE" w:rsidRDefault="00AF30DD" w14:paraId="2DC65BA5" w14:textId="77777777">
          <w:pPr>
            <w:pStyle w:val="Rubrik1"/>
            <w:spacing w:after="300"/>
          </w:pPr>
          <w:r w:rsidRPr="009B062B">
            <w:t>Förslag till riksdagsbeslut</w:t>
          </w:r>
        </w:p>
      </w:sdtContent>
    </w:sdt>
    <w:sdt>
      <w:sdtPr>
        <w:alias w:val="Yrkande 1"/>
        <w:tag w:val="44d49653-b565-4111-844d-922d918a7578"/>
        <w:id w:val="-559016183"/>
        <w:lock w:val="sdtLocked"/>
      </w:sdtPr>
      <w:sdtEndPr/>
      <w:sdtContent>
        <w:p w:rsidR="00DA4096" w:rsidRDefault="00EA5E36" w14:paraId="2DC65BA6" w14:textId="77777777">
          <w:pPr>
            <w:pStyle w:val="Frslagstext"/>
            <w:numPr>
              <w:ilvl w:val="0"/>
              <w:numId w:val="0"/>
            </w:numPr>
          </w:pPr>
          <w:r>
            <w:t>Riksdagen ställer sig bakom det som anförs i motionen om att ge polisen åtkomst till hälso- och sjukvårdsuppgifter i de fall det kan handla om krigs- eller terrorbrott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A6FC3D17E744658963DAA4B20A7A71C"/>
        </w:placeholder>
        <w:text/>
      </w:sdtPr>
      <w:sdtEndPr/>
      <w:sdtContent>
        <w:p w:rsidRPr="009B062B" w:rsidR="006D79C9" w:rsidP="00333E95" w:rsidRDefault="006D79C9" w14:paraId="2DC65BA7" w14:textId="77777777">
          <w:pPr>
            <w:pStyle w:val="Rubrik1"/>
          </w:pPr>
          <w:r>
            <w:t>Motivering</w:t>
          </w:r>
        </w:p>
      </w:sdtContent>
    </w:sdt>
    <w:p w:rsidR="00FD7084" w:rsidP="00133794" w:rsidRDefault="00FD7084" w14:paraId="2DC65BA8" w14:textId="70F53958">
      <w:pPr>
        <w:pStyle w:val="Normalutanindragellerluft"/>
      </w:pPr>
      <w:r>
        <w:t xml:space="preserve">Rättsväsendets förmåga att förebygga terrorbrott och radikalisering i samhället har de senaste åren kommit att bli en allt mer aktuell fråga </w:t>
      </w:r>
      <w:r w:rsidR="00C27746">
        <w:t>till</w:t>
      </w:r>
      <w:r>
        <w:t xml:space="preserve"> följd av det ökade terrorhotet och </w:t>
      </w:r>
      <w:r w:rsidR="00C27746">
        <w:t>till</w:t>
      </w:r>
      <w:r>
        <w:t xml:space="preserve"> följd av en allt mer omfattande radikalisering. För att hantera dessa problem önskar polisen se fler sekretess</w:t>
      </w:r>
      <w:r w:rsidR="00C27746">
        <w:t>brytande bestämmelser, så att</w:t>
      </w:r>
      <w:r>
        <w:t xml:space="preserve"> </w:t>
      </w:r>
      <w:r w:rsidR="00C27746">
        <w:t xml:space="preserve">myndigheter </w:t>
      </w:r>
      <w:r>
        <w:t>smidigt kan utbyta information utan att bryta mot lagen för att säkerställa vår trygghet.</w:t>
      </w:r>
    </w:p>
    <w:p w:rsidR="00133794" w:rsidP="00133794" w:rsidRDefault="00FD7084" w14:paraId="2DC65BAA" w14:textId="5DBFBC4B">
      <w:r>
        <w:t>Polisen hindras idag från att ta del av viktig information från hälso- och sjukvården, då känsliga uppgifter inte får röjas, även när exempelvis terroristbrott ska förebyggas eller förhindras. I takt med Islamiska statens frammarsch i Mellanöstern kunde vi höra rapporter om terrorister som återvänt till Sverige för att få sjukvård. Trots att sjukhuspersonal kunnat vittna om att patienten vårdas för skador som lär ha orsakats i krig har polisen av integritetsskäl inte haft någon möjlighet att ta del av uppgifterna. I de fall då patienten kan misstänkas för olika typer av brott (krigsbrott, terroristbrott eller medhjälp till terroristbrott) har polisens arbete försvårats avsevärt. Regeringen bör säkerställa att den typen av information framöver når polis och säkerhetstjänst för att på bästa sätt kunna lagföra brottslingar eller förhindra framtida brott.</w:t>
      </w:r>
    </w:p>
    <w:p w:rsidR="00133794" w:rsidRDefault="00133794" w14:paraId="1FA7621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sdt>
      <w:sdtPr>
        <w:rPr>
          <w:i/>
          <w:noProof/>
        </w:rPr>
        <w:alias w:val="CC_Underskrifter"/>
        <w:tag w:val="CC_Underskrifter"/>
        <w:id w:val="583496634"/>
        <w:lock w:val="sdtContentLocked"/>
        <w:placeholder>
          <w:docPart w:val="5149B7BDB2F74CA3AC5F20B0DCAD9E6B"/>
        </w:placeholder>
      </w:sdtPr>
      <w:sdtEndPr>
        <w:rPr>
          <w:i w:val="0"/>
          <w:noProof w:val="0"/>
        </w:rPr>
      </w:sdtEndPr>
      <w:sdtContent>
        <w:p w:rsidR="00685A48" w:rsidP="00685A48" w:rsidRDefault="00685A48" w14:paraId="2DC65BAC" w14:textId="77777777"/>
        <w:p w:rsidRPr="008E0FE2" w:rsidR="004801AC" w:rsidP="00685A48" w:rsidRDefault="00133794" w14:paraId="2DC65BA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Jennie Åfeldt (SD)</w:t>
            </w:r>
          </w:p>
        </w:tc>
        <w:tc>
          <w:tcPr>
            <w:tcW w:w="50" w:type="pct"/>
            <w:vAlign w:val="bottom"/>
          </w:tcPr>
          <w:p>
            <w:pPr>
              <w:pStyle w:val="Underskrifter"/>
              <w:spacing w:after="0"/>
            </w:pPr>
            <w:r>
              <w:t>Sara Seppälä (SD)</w:t>
            </w:r>
          </w:p>
        </w:tc>
      </w:tr>
    </w:tbl>
    <w:p w:rsidR="004C1D2E" w:rsidRDefault="004C1D2E" w14:paraId="2DC65BB4" w14:textId="77777777">
      <w:bookmarkStart w:name="_GoBack" w:id="1"/>
      <w:bookmarkEnd w:id="1"/>
    </w:p>
    <w:sectPr w:rsidR="004C1D2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65BB6" w14:textId="77777777" w:rsidR="00AD3217" w:rsidRDefault="00AD3217" w:rsidP="000C1CAD">
      <w:pPr>
        <w:spacing w:line="240" w:lineRule="auto"/>
      </w:pPr>
      <w:r>
        <w:separator/>
      </w:r>
    </w:p>
  </w:endnote>
  <w:endnote w:type="continuationSeparator" w:id="0">
    <w:p w14:paraId="2DC65BB7" w14:textId="77777777" w:rsidR="00AD3217" w:rsidRDefault="00AD32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65B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65BBD" w14:textId="0BFC201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3379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65BB4" w14:textId="77777777" w:rsidR="00AD3217" w:rsidRDefault="00AD3217" w:rsidP="000C1CAD">
      <w:pPr>
        <w:spacing w:line="240" w:lineRule="auto"/>
      </w:pPr>
      <w:r>
        <w:separator/>
      </w:r>
    </w:p>
  </w:footnote>
  <w:footnote w:type="continuationSeparator" w:id="0">
    <w:p w14:paraId="2DC65BB5" w14:textId="77777777" w:rsidR="00AD3217" w:rsidRDefault="00AD32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DC65B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C65BC7" wp14:anchorId="2DC65B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33794" w14:paraId="2DC65BCA" w14:textId="77777777">
                          <w:pPr>
                            <w:jc w:val="right"/>
                          </w:pPr>
                          <w:sdt>
                            <w:sdtPr>
                              <w:alias w:val="CC_Noformat_Partikod"/>
                              <w:tag w:val="CC_Noformat_Partikod"/>
                              <w:id w:val="-53464382"/>
                              <w:placeholder>
                                <w:docPart w:val="2B5B266A4A4B4CBFA30F72BDFCE00B03"/>
                              </w:placeholder>
                              <w:text/>
                            </w:sdtPr>
                            <w:sdtEndPr/>
                            <w:sdtContent>
                              <w:r w:rsidR="00FD7084">
                                <w:t>SD</w:t>
                              </w:r>
                            </w:sdtContent>
                          </w:sdt>
                          <w:sdt>
                            <w:sdtPr>
                              <w:alias w:val="CC_Noformat_Partinummer"/>
                              <w:tag w:val="CC_Noformat_Partinummer"/>
                              <w:id w:val="-1709555926"/>
                              <w:placeholder>
                                <w:docPart w:val="2A1E117E6BBE466E921BE1AF1446EAE8"/>
                              </w:placeholder>
                              <w:text/>
                            </w:sdtPr>
                            <w:sdtEndPr/>
                            <w:sdtContent>
                              <w:r w:rsidR="00685A48">
                                <w:t>223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C65B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33794" w14:paraId="2DC65BCA" w14:textId="77777777">
                    <w:pPr>
                      <w:jc w:val="right"/>
                    </w:pPr>
                    <w:sdt>
                      <w:sdtPr>
                        <w:alias w:val="CC_Noformat_Partikod"/>
                        <w:tag w:val="CC_Noformat_Partikod"/>
                        <w:id w:val="-53464382"/>
                        <w:placeholder>
                          <w:docPart w:val="2B5B266A4A4B4CBFA30F72BDFCE00B03"/>
                        </w:placeholder>
                        <w:text/>
                      </w:sdtPr>
                      <w:sdtEndPr/>
                      <w:sdtContent>
                        <w:r w:rsidR="00FD7084">
                          <w:t>SD</w:t>
                        </w:r>
                      </w:sdtContent>
                    </w:sdt>
                    <w:sdt>
                      <w:sdtPr>
                        <w:alias w:val="CC_Noformat_Partinummer"/>
                        <w:tag w:val="CC_Noformat_Partinummer"/>
                        <w:id w:val="-1709555926"/>
                        <w:placeholder>
                          <w:docPart w:val="2A1E117E6BBE466E921BE1AF1446EAE8"/>
                        </w:placeholder>
                        <w:text/>
                      </w:sdtPr>
                      <w:sdtEndPr/>
                      <w:sdtContent>
                        <w:r w:rsidR="00685A48">
                          <w:t>223</w:t>
                        </w:r>
                      </w:sdtContent>
                    </w:sdt>
                  </w:p>
                </w:txbxContent>
              </v:textbox>
              <w10:wrap anchorx="page"/>
            </v:shape>
          </w:pict>
        </mc:Fallback>
      </mc:AlternateContent>
    </w:r>
  </w:p>
  <w:p w:rsidRPr="00293C4F" w:rsidR="00262EA3" w:rsidP="00776B74" w:rsidRDefault="00262EA3" w14:paraId="2DC65B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DC65BBA" w14:textId="77777777">
    <w:pPr>
      <w:jc w:val="right"/>
    </w:pPr>
  </w:p>
  <w:p w:rsidR="00262EA3" w:rsidP="00776B74" w:rsidRDefault="00262EA3" w14:paraId="2DC65BB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33794" w14:paraId="2DC65BB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C65BC9" wp14:anchorId="2DC65B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33794" w14:paraId="2DC65BB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D7084">
          <w:t>SD</w:t>
        </w:r>
      </w:sdtContent>
    </w:sdt>
    <w:sdt>
      <w:sdtPr>
        <w:alias w:val="CC_Noformat_Partinummer"/>
        <w:tag w:val="CC_Noformat_Partinummer"/>
        <w:id w:val="-2014525982"/>
        <w:text/>
      </w:sdtPr>
      <w:sdtEndPr/>
      <w:sdtContent>
        <w:r w:rsidR="00685A48">
          <w:t>223</w:t>
        </w:r>
      </w:sdtContent>
    </w:sdt>
  </w:p>
  <w:p w:rsidRPr="008227B3" w:rsidR="00262EA3" w:rsidP="008227B3" w:rsidRDefault="00133794" w14:paraId="2DC65BC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33794" w14:paraId="2DC65BC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:441</w:t>
        </w:r>
      </w:sdtContent>
    </w:sdt>
  </w:p>
  <w:p w:rsidR="00262EA3" w:rsidP="00E03A3D" w:rsidRDefault="00133794" w14:paraId="2DC65BC2"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EA5E36" w14:paraId="2DC65BC3" w14:textId="3B68A37B">
        <w:pPr>
          <w:pStyle w:val="FSHRub2"/>
        </w:pPr>
        <w:r>
          <w:t>Rättsväsendets åtkomst till hälso- och sjukvårdsuppgifter rörande krigs- eller terrorbrott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2DC65BC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D70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24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794"/>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762"/>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0B0"/>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D2E"/>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48"/>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DD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3CF"/>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4DE5"/>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617"/>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217"/>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3FD9"/>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746"/>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7D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253"/>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096"/>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3657"/>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E36"/>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84"/>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C65BA4"/>
  <w15:chartTrackingRefBased/>
  <w15:docId w15:val="{3DAAFAAA-0C44-4A5D-9CA2-0781B77A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40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883F0CE999049A29A4AC52F16975A48"/>
        <w:category>
          <w:name w:val="Allmänt"/>
          <w:gallery w:val="placeholder"/>
        </w:category>
        <w:types>
          <w:type w:val="bbPlcHdr"/>
        </w:types>
        <w:behaviors>
          <w:behavior w:val="content"/>
        </w:behaviors>
        <w:guid w:val="{2E9388D6-3BC2-475D-914C-BCD150E3E275}"/>
      </w:docPartPr>
      <w:docPartBody>
        <w:p w:rsidR="00371F48" w:rsidRDefault="008571E9">
          <w:pPr>
            <w:pStyle w:val="E883F0CE999049A29A4AC52F16975A48"/>
          </w:pPr>
          <w:r w:rsidRPr="005A0A93">
            <w:rPr>
              <w:rStyle w:val="Platshllartext"/>
            </w:rPr>
            <w:t>Förslag till riksdagsbeslut</w:t>
          </w:r>
        </w:p>
      </w:docPartBody>
    </w:docPart>
    <w:docPart>
      <w:docPartPr>
        <w:name w:val="BA6FC3D17E744658963DAA4B20A7A71C"/>
        <w:category>
          <w:name w:val="Allmänt"/>
          <w:gallery w:val="placeholder"/>
        </w:category>
        <w:types>
          <w:type w:val="bbPlcHdr"/>
        </w:types>
        <w:behaviors>
          <w:behavior w:val="content"/>
        </w:behaviors>
        <w:guid w:val="{A9622953-67CA-41AA-8F12-693870B95CAE}"/>
      </w:docPartPr>
      <w:docPartBody>
        <w:p w:rsidR="00371F48" w:rsidRDefault="008571E9">
          <w:pPr>
            <w:pStyle w:val="BA6FC3D17E744658963DAA4B20A7A71C"/>
          </w:pPr>
          <w:r w:rsidRPr="005A0A93">
            <w:rPr>
              <w:rStyle w:val="Platshllartext"/>
            </w:rPr>
            <w:t>Motivering</w:t>
          </w:r>
        </w:p>
      </w:docPartBody>
    </w:docPart>
    <w:docPart>
      <w:docPartPr>
        <w:name w:val="2B5B266A4A4B4CBFA30F72BDFCE00B03"/>
        <w:category>
          <w:name w:val="Allmänt"/>
          <w:gallery w:val="placeholder"/>
        </w:category>
        <w:types>
          <w:type w:val="bbPlcHdr"/>
        </w:types>
        <w:behaviors>
          <w:behavior w:val="content"/>
        </w:behaviors>
        <w:guid w:val="{82A43DB3-5CF4-44D8-9995-2D2CF208BD90}"/>
      </w:docPartPr>
      <w:docPartBody>
        <w:p w:rsidR="00371F48" w:rsidRDefault="008571E9">
          <w:pPr>
            <w:pStyle w:val="2B5B266A4A4B4CBFA30F72BDFCE00B03"/>
          </w:pPr>
          <w:r>
            <w:rPr>
              <w:rStyle w:val="Platshllartext"/>
            </w:rPr>
            <w:t xml:space="preserve"> </w:t>
          </w:r>
        </w:p>
      </w:docPartBody>
    </w:docPart>
    <w:docPart>
      <w:docPartPr>
        <w:name w:val="2A1E117E6BBE466E921BE1AF1446EAE8"/>
        <w:category>
          <w:name w:val="Allmänt"/>
          <w:gallery w:val="placeholder"/>
        </w:category>
        <w:types>
          <w:type w:val="bbPlcHdr"/>
        </w:types>
        <w:behaviors>
          <w:behavior w:val="content"/>
        </w:behaviors>
        <w:guid w:val="{B6FC6B87-0123-4958-A00F-C56E6F9BEBC9}"/>
      </w:docPartPr>
      <w:docPartBody>
        <w:p w:rsidR="00371F48" w:rsidRDefault="008571E9">
          <w:pPr>
            <w:pStyle w:val="2A1E117E6BBE466E921BE1AF1446EAE8"/>
          </w:pPr>
          <w:r>
            <w:t xml:space="preserve"> </w:t>
          </w:r>
        </w:p>
      </w:docPartBody>
    </w:docPart>
    <w:docPart>
      <w:docPartPr>
        <w:name w:val="5149B7BDB2F74CA3AC5F20B0DCAD9E6B"/>
        <w:category>
          <w:name w:val="Allmänt"/>
          <w:gallery w:val="placeholder"/>
        </w:category>
        <w:types>
          <w:type w:val="bbPlcHdr"/>
        </w:types>
        <w:behaviors>
          <w:behavior w:val="content"/>
        </w:behaviors>
        <w:guid w:val="{357D2C28-88C2-475C-B195-DB5CDDFEF065}"/>
      </w:docPartPr>
      <w:docPartBody>
        <w:p w:rsidR="000527F3" w:rsidRDefault="000527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1E9"/>
    <w:rsid w:val="000527F3"/>
    <w:rsid w:val="00371F48"/>
    <w:rsid w:val="007705A3"/>
    <w:rsid w:val="00775C69"/>
    <w:rsid w:val="008571E9"/>
    <w:rsid w:val="00E657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83F0CE999049A29A4AC52F16975A48">
    <w:name w:val="E883F0CE999049A29A4AC52F16975A48"/>
  </w:style>
  <w:style w:type="paragraph" w:customStyle="1" w:styleId="C64AAAC7F91D4C3DB521D24CA3BA9847">
    <w:name w:val="C64AAAC7F91D4C3DB521D24CA3BA984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D96A98DBA5345B48F1F53FA249FB8B4">
    <w:name w:val="4D96A98DBA5345B48F1F53FA249FB8B4"/>
  </w:style>
  <w:style w:type="paragraph" w:customStyle="1" w:styleId="BA6FC3D17E744658963DAA4B20A7A71C">
    <w:name w:val="BA6FC3D17E744658963DAA4B20A7A71C"/>
  </w:style>
  <w:style w:type="paragraph" w:customStyle="1" w:styleId="3EE9ACC58C4D49E0856E55CCE1779CAE">
    <w:name w:val="3EE9ACC58C4D49E0856E55CCE1779CAE"/>
  </w:style>
  <w:style w:type="paragraph" w:customStyle="1" w:styleId="9DDF4580FF8246F4A15EBD58BA5A21A5">
    <w:name w:val="9DDF4580FF8246F4A15EBD58BA5A21A5"/>
  </w:style>
  <w:style w:type="paragraph" w:customStyle="1" w:styleId="2B5B266A4A4B4CBFA30F72BDFCE00B03">
    <w:name w:val="2B5B266A4A4B4CBFA30F72BDFCE00B03"/>
  </w:style>
  <w:style w:type="paragraph" w:customStyle="1" w:styleId="2A1E117E6BBE466E921BE1AF1446EAE8">
    <w:name w:val="2A1E117E6BBE466E921BE1AF1446EA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783AC9-37BC-44AD-BD19-5D25A641B579}"/>
</file>

<file path=customXml/itemProps2.xml><?xml version="1.0" encoding="utf-8"?>
<ds:datastoreItem xmlns:ds="http://schemas.openxmlformats.org/officeDocument/2006/customXml" ds:itemID="{98DE09E3-BDAA-4EF9-836E-AD3974FEB565}"/>
</file>

<file path=customXml/itemProps3.xml><?xml version="1.0" encoding="utf-8"?>
<ds:datastoreItem xmlns:ds="http://schemas.openxmlformats.org/officeDocument/2006/customXml" ds:itemID="{781F74F8-20F5-4E7F-9F50-25B597847FA0}"/>
</file>

<file path=docProps/app.xml><?xml version="1.0" encoding="utf-8"?>
<Properties xmlns="http://schemas.openxmlformats.org/officeDocument/2006/extended-properties" xmlns:vt="http://schemas.openxmlformats.org/officeDocument/2006/docPropsVTypes">
  <Template>Normal</Template>
  <TotalTime>6</TotalTime>
  <Pages>2</Pages>
  <Words>240</Words>
  <Characters>1373</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