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2" w:type="dxa"/>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FB2D4E" w:rsidRPr="00AB1CE4">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FB2D4E" w:rsidRPr="00AB1CE4" w:rsidRDefault="00AB1CE4" w:rsidP="00FB2D4E">
            <w:pPr>
              <w:pStyle w:val="EntLogo"/>
            </w:pPr>
            <w:r w:rsidRPr="00AB1CE4">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2D4E" w:rsidRPr="00AB1CE4">
        <w:tblPrEx>
          <w:tblCellMar>
            <w:top w:w="0" w:type="dxa"/>
            <w:left w:w="0" w:type="dxa"/>
            <w:bottom w:w="0" w:type="dxa"/>
            <w:right w:w="0" w:type="dxa"/>
          </w:tblCellMar>
        </w:tblPrEx>
        <w:trPr>
          <w:cantSplit/>
          <w:trHeight w:val="1120"/>
        </w:trPr>
        <w:tc>
          <w:tcPr>
            <w:tcW w:w="4821" w:type="dxa"/>
            <w:gridSpan w:val="2"/>
          </w:tcPr>
          <w:p w:rsidR="00FB2D4E" w:rsidRPr="00AB1CE4" w:rsidRDefault="00FB2D4E" w:rsidP="00FB2D4E">
            <w:pPr>
              <w:pStyle w:val="EntInstit"/>
            </w:pPr>
            <w:r w:rsidRPr="00AB1CE4">
              <w:t>COUNCIL OF</w:t>
            </w:r>
          </w:p>
          <w:p w:rsidR="00FB2D4E" w:rsidRPr="00AB1CE4" w:rsidRDefault="00FB2D4E" w:rsidP="00FB2D4E">
            <w:pPr>
              <w:pStyle w:val="EntInstit"/>
            </w:pPr>
            <w:r w:rsidRPr="00AB1CE4">
              <w:t>THE EUROPEAN UNION</w:t>
            </w:r>
          </w:p>
          <w:p w:rsidR="00FB2D4E" w:rsidRPr="00AB1CE4" w:rsidRDefault="00FB2D4E" w:rsidP="00FB2D4E">
            <w:pPr>
              <w:pStyle w:val="EntInstit"/>
            </w:pPr>
          </w:p>
          <w:p w:rsidR="00FB2D4E" w:rsidRPr="00AB1CE4" w:rsidRDefault="00FB2D4E" w:rsidP="00FB2D4E">
            <w:pPr>
              <w:pStyle w:val="EntInstit"/>
            </w:pPr>
          </w:p>
        </w:tc>
        <w:tc>
          <w:tcPr>
            <w:tcW w:w="1701" w:type="dxa"/>
          </w:tcPr>
          <w:p w:rsidR="00FB2D4E" w:rsidRPr="00AB1CE4" w:rsidRDefault="00FB2D4E" w:rsidP="00FB2D4E">
            <w:pPr>
              <w:jc w:val="right"/>
              <w:rPr>
                <w:b/>
              </w:rPr>
            </w:pPr>
          </w:p>
        </w:tc>
        <w:tc>
          <w:tcPr>
            <w:tcW w:w="4820" w:type="dxa"/>
            <w:gridSpan w:val="2"/>
          </w:tcPr>
          <w:p w:rsidR="00FB2D4E" w:rsidRPr="00AB1CE4" w:rsidRDefault="00FB2D4E" w:rsidP="00FB2D4E">
            <w:pPr>
              <w:pStyle w:val="EntRefer"/>
            </w:pPr>
            <w:bookmarkStart w:id="0" w:name="Lieu"/>
            <w:bookmarkEnd w:id="0"/>
            <w:r w:rsidRPr="00AB1CE4">
              <w:t xml:space="preserve">Brussels, </w:t>
            </w:r>
            <w:bookmarkStart w:id="1" w:name="Date"/>
            <w:bookmarkEnd w:id="1"/>
            <w:r w:rsidR="00DF55EF" w:rsidRPr="00AB1CE4">
              <w:t>22</w:t>
            </w:r>
            <w:r w:rsidRPr="00AB1CE4">
              <w:t xml:space="preserve"> May 2006 </w:t>
            </w:r>
            <w:bookmarkStart w:id="2" w:name="DateEntree"/>
            <w:bookmarkEnd w:id="2"/>
          </w:p>
          <w:p w:rsidR="00FB2D4E" w:rsidRPr="00AB1CE4" w:rsidRDefault="00FB2D4E" w:rsidP="00FB2D4E">
            <w:pPr>
              <w:pStyle w:val="EntRefer"/>
            </w:pPr>
            <w:bookmarkStart w:id="3" w:name="LangueOrig"/>
            <w:bookmarkEnd w:id="3"/>
          </w:p>
        </w:tc>
      </w:tr>
      <w:tr w:rsidR="00BF0BF3" w:rsidRPr="00AB1CE4">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BF0BF3" w:rsidRPr="00AB1CE4" w:rsidRDefault="00BF0BF3" w:rsidP="00E76B12">
            <w:pPr>
              <w:pStyle w:val="EntRefer"/>
              <w:pBdr>
                <w:top w:val="double" w:sz="4" w:space="4" w:color="auto"/>
                <w:left w:val="double" w:sz="4" w:space="0" w:color="auto"/>
                <w:bottom w:val="double" w:sz="4" w:space="4" w:color="auto"/>
                <w:right w:val="double" w:sz="4" w:space="0" w:color="auto"/>
              </w:pBdr>
              <w:jc w:val="center"/>
            </w:pPr>
            <w:r w:rsidRPr="00AB1CE4">
              <w:t>Interinstitutional File:</w:t>
            </w:r>
          </w:p>
          <w:p w:rsidR="00BF0BF3" w:rsidRPr="00AB1CE4" w:rsidRDefault="00BF0BF3" w:rsidP="00E76B12">
            <w:pPr>
              <w:pStyle w:val="EntRefer"/>
              <w:pBdr>
                <w:top w:val="double" w:sz="4" w:space="4" w:color="auto"/>
                <w:left w:val="double" w:sz="4" w:space="0" w:color="auto"/>
                <w:bottom w:val="double" w:sz="4" w:space="4" w:color="auto"/>
                <w:right w:val="double" w:sz="4" w:space="0" w:color="auto"/>
              </w:pBdr>
              <w:jc w:val="center"/>
            </w:pPr>
            <w:r w:rsidRPr="00AB1CE4">
              <w:t>2006/0077 (CNS)</w:t>
            </w:r>
          </w:p>
          <w:p w:rsidR="00BF0BF3" w:rsidRPr="00AB1CE4" w:rsidRDefault="00BF0BF3" w:rsidP="00E76B12">
            <w:pPr>
              <w:pStyle w:val="EntRefer"/>
              <w:jc w:val="center"/>
              <w:rPr>
                <w:highlight w:val="yellow"/>
              </w:rPr>
            </w:pPr>
          </w:p>
          <w:p w:rsidR="00BF0BF3" w:rsidRPr="00AB1CE4" w:rsidRDefault="00BF0BF3" w:rsidP="00E76B12">
            <w:pPr>
              <w:pStyle w:val="EntRefer"/>
              <w:jc w:val="center"/>
            </w:pPr>
          </w:p>
        </w:tc>
        <w:tc>
          <w:tcPr>
            <w:tcW w:w="1701" w:type="dxa"/>
            <w:vAlign w:val="center"/>
          </w:tcPr>
          <w:p w:rsidR="00BF0BF3" w:rsidRPr="00AB1CE4" w:rsidRDefault="00BF0BF3" w:rsidP="00E76B12">
            <w:pPr>
              <w:rPr>
                <w:b/>
              </w:rPr>
            </w:pPr>
          </w:p>
        </w:tc>
        <w:tc>
          <w:tcPr>
            <w:tcW w:w="3969" w:type="dxa"/>
          </w:tcPr>
          <w:p w:rsidR="00BF0BF3" w:rsidRPr="00AB1CE4" w:rsidRDefault="00BF0BF3" w:rsidP="00E76B12">
            <w:pPr>
              <w:pStyle w:val="EntRefer"/>
            </w:pPr>
            <w:r w:rsidRPr="00AB1CE4">
              <w:t>9666/06</w:t>
            </w:r>
          </w:p>
          <w:p w:rsidR="00BF0BF3" w:rsidRPr="00AB1CE4" w:rsidRDefault="00BF0BF3" w:rsidP="00E76B12">
            <w:pPr>
              <w:pStyle w:val="EntRefer"/>
            </w:pPr>
          </w:p>
          <w:p w:rsidR="00BF0BF3" w:rsidRPr="00AB1CE4" w:rsidRDefault="00BF0BF3" w:rsidP="00E76B12">
            <w:pPr>
              <w:pStyle w:val="EntRefer"/>
            </w:pPr>
          </w:p>
          <w:p w:rsidR="00BF0BF3" w:rsidRPr="00AB1CE4" w:rsidRDefault="00BF0BF3" w:rsidP="00DF55EF">
            <w:pPr>
              <w:pStyle w:val="EntRefer"/>
            </w:pPr>
          </w:p>
        </w:tc>
      </w:tr>
      <w:tr w:rsidR="00BF0BF3" w:rsidRPr="00AB1CE4">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BF0BF3" w:rsidRPr="00AB1CE4" w:rsidRDefault="00BF0BF3" w:rsidP="00E76B12">
            <w:pPr>
              <w:pStyle w:val="EntRefer"/>
            </w:pPr>
            <w:r w:rsidRPr="00AB1CE4">
              <w:t>UEM 110</w:t>
            </w:r>
          </w:p>
          <w:p w:rsidR="00BF0BF3" w:rsidRPr="00AB1CE4" w:rsidRDefault="00BF0BF3" w:rsidP="00E76B12">
            <w:pPr>
              <w:pStyle w:val="EntRefer"/>
            </w:pPr>
            <w:r w:rsidRPr="00AB1CE4">
              <w:t>ECOFIN 183</w:t>
            </w:r>
          </w:p>
        </w:tc>
      </w:tr>
    </w:tbl>
    <w:p w:rsidR="00FB2D4E" w:rsidRPr="00AB1CE4" w:rsidRDefault="00FB2D4E" w:rsidP="00FB2D4E">
      <w:pPr>
        <w:pStyle w:val="EntRefer"/>
      </w:pPr>
    </w:p>
    <w:p w:rsidR="00FB2D4E" w:rsidRPr="00AB1CE4" w:rsidRDefault="00FB2D4E" w:rsidP="00FB2D4E">
      <w:pPr>
        <w:pStyle w:val="EntRefer"/>
        <w:outlineLvl w:val="0"/>
      </w:pPr>
      <w:bookmarkStart w:id="4" w:name="txt_Prop"/>
      <w:r w:rsidRPr="00AB1CE4">
        <w:t>PROPOSAL</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FB2D4E" w:rsidRPr="00AB1CE4">
        <w:tblPrEx>
          <w:tblCellMar>
            <w:top w:w="0" w:type="dxa"/>
            <w:left w:w="0" w:type="dxa"/>
            <w:bottom w:w="0" w:type="dxa"/>
            <w:right w:w="0" w:type="dxa"/>
          </w:tblCellMar>
        </w:tblPrEx>
        <w:tc>
          <w:tcPr>
            <w:tcW w:w="1985" w:type="dxa"/>
            <w:tcBorders>
              <w:top w:val="single" w:sz="4" w:space="0" w:color="auto"/>
            </w:tcBorders>
          </w:tcPr>
          <w:p w:rsidR="00FB2D4E" w:rsidRPr="00AB1CE4" w:rsidRDefault="00FB2D4E" w:rsidP="00FB2D4E">
            <w:pPr>
              <w:pStyle w:val="EntEmet"/>
            </w:pPr>
            <w:r w:rsidRPr="00AB1CE4">
              <w:t>from:</w:t>
            </w:r>
          </w:p>
        </w:tc>
        <w:tc>
          <w:tcPr>
            <w:tcW w:w="7654" w:type="dxa"/>
            <w:tcBorders>
              <w:top w:val="single" w:sz="4" w:space="0" w:color="auto"/>
            </w:tcBorders>
          </w:tcPr>
          <w:p w:rsidR="00FB2D4E" w:rsidRPr="00AB1CE4" w:rsidRDefault="00BF0BF3" w:rsidP="00BF0BF3">
            <w:pPr>
              <w:pStyle w:val="EntEmet"/>
            </w:pPr>
            <w:r w:rsidRPr="00AB1CE4">
              <w:t>European Commission</w:t>
            </w:r>
          </w:p>
        </w:tc>
      </w:tr>
      <w:tr w:rsidR="00FB2D4E" w:rsidRPr="00AB1CE4">
        <w:tblPrEx>
          <w:tblCellMar>
            <w:top w:w="0" w:type="dxa"/>
            <w:left w:w="0" w:type="dxa"/>
            <w:bottom w:w="0" w:type="dxa"/>
            <w:right w:w="0" w:type="dxa"/>
          </w:tblCellMar>
        </w:tblPrEx>
        <w:tc>
          <w:tcPr>
            <w:tcW w:w="1985" w:type="dxa"/>
          </w:tcPr>
          <w:p w:rsidR="00FB2D4E" w:rsidRPr="00AB1CE4" w:rsidRDefault="00FB2D4E" w:rsidP="00FB2D4E">
            <w:pPr>
              <w:pStyle w:val="EntEmet"/>
            </w:pPr>
            <w:r w:rsidRPr="00AB1CE4">
              <w:t>dated:</w:t>
            </w:r>
          </w:p>
        </w:tc>
        <w:tc>
          <w:tcPr>
            <w:tcW w:w="7654" w:type="dxa"/>
          </w:tcPr>
          <w:p w:rsidR="00FB2D4E" w:rsidRPr="00AB1CE4" w:rsidRDefault="00BF0BF3" w:rsidP="00FB2D4E">
            <w:pPr>
              <w:pStyle w:val="EntEmet"/>
            </w:pPr>
            <w:r w:rsidRPr="00AB1CE4">
              <w:t>19 May 2006</w:t>
            </w:r>
          </w:p>
        </w:tc>
      </w:tr>
      <w:tr w:rsidR="00FB2D4E" w:rsidRPr="00AB1CE4">
        <w:tblPrEx>
          <w:tblCellMar>
            <w:top w:w="0" w:type="dxa"/>
            <w:left w:w="0" w:type="dxa"/>
            <w:bottom w:w="0" w:type="dxa"/>
            <w:right w:w="0" w:type="dxa"/>
          </w:tblCellMar>
        </w:tblPrEx>
        <w:tc>
          <w:tcPr>
            <w:tcW w:w="1985" w:type="dxa"/>
            <w:tcBorders>
              <w:top w:val="single" w:sz="4" w:space="0" w:color="auto"/>
              <w:bottom w:val="single" w:sz="4" w:space="0" w:color="auto"/>
            </w:tcBorders>
          </w:tcPr>
          <w:p w:rsidR="00FB2D4E" w:rsidRPr="00AB1CE4" w:rsidRDefault="00FB2D4E" w:rsidP="00FB2D4E">
            <w:pPr>
              <w:pStyle w:val="EntEmet"/>
            </w:pPr>
            <w:r w:rsidRPr="00AB1CE4">
              <w:t>Subject:</w:t>
            </w:r>
          </w:p>
        </w:tc>
        <w:tc>
          <w:tcPr>
            <w:tcW w:w="7654" w:type="dxa"/>
            <w:tcBorders>
              <w:top w:val="single" w:sz="4" w:space="0" w:color="auto"/>
              <w:bottom w:val="single" w:sz="4" w:space="0" w:color="auto"/>
            </w:tcBorders>
          </w:tcPr>
          <w:p w:rsidR="00FB2D4E" w:rsidRPr="00AB1CE4" w:rsidRDefault="00BF0BF3" w:rsidP="00FB2D4E">
            <w:pPr>
              <w:pStyle w:val="EntEmet"/>
            </w:pPr>
            <w:r w:rsidRPr="00AB1CE4">
              <w:t>Proposal for a Council Decision in accordance with Article 122(2) of the Treaty on the adoption by Slovenia of the single currency on 1 January 2007</w:t>
            </w:r>
          </w:p>
        </w:tc>
      </w:tr>
    </w:tbl>
    <w:p w:rsidR="00FB2D4E" w:rsidRPr="00AB1CE4" w:rsidRDefault="00FB2D4E" w:rsidP="00FB2D4E">
      <w:pPr>
        <w:pStyle w:val="NormalConseil"/>
      </w:pPr>
    </w:p>
    <w:p w:rsidR="00BF0BF3" w:rsidRPr="00AB1CE4" w:rsidRDefault="00BF0BF3" w:rsidP="00FB2D4E">
      <w:pPr>
        <w:pStyle w:val="NormalConseil"/>
      </w:pPr>
    </w:p>
    <w:p w:rsidR="00FB2D4E" w:rsidRPr="00AB1CE4" w:rsidRDefault="00FB2D4E" w:rsidP="00FB2D4E">
      <w:pPr>
        <w:pStyle w:val="NormalConseil"/>
      </w:pPr>
      <w:r w:rsidRPr="00AB1CE4">
        <w:t xml:space="preserve">Delegations will find attached a proposal from the Commission, submitted under a covering letter from </w:t>
      </w:r>
      <w:r w:rsidR="00BF0BF3" w:rsidRPr="00AB1CE4">
        <w:t>Mr Jordi AYET PUIGARNAU</w:t>
      </w:r>
      <w:r w:rsidR="00E76199" w:rsidRPr="00AB1CE4">
        <w:t xml:space="preserve">, Director, </w:t>
      </w:r>
      <w:r w:rsidRPr="00AB1CE4">
        <w:t>to Mr Javier SOLANA, Secretary-General/High Representative.</w:t>
      </w:r>
    </w:p>
    <w:p w:rsidR="00FB2D4E" w:rsidRPr="00AB1CE4" w:rsidRDefault="00FB2D4E" w:rsidP="00FB2D4E">
      <w:pPr>
        <w:pStyle w:val="NormalConseil"/>
      </w:pPr>
    </w:p>
    <w:p w:rsidR="00FB2D4E" w:rsidRPr="00AB1CE4" w:rsidRDefault="00FB2D4E" w:rsidP="00FB2D4E">
      <w:pPr>
        <w:pStyle w:val="NormalConseil"/>
      </w:pPr>
    </w:p>
    <w:p w:rsidR="00FB2D4E" w:rsidRPr="00AB1CE4" w:rsidRDefault="00FB2D4E" w:rsidP="00FB2D4E">
      <w:pPr>
        <w:pStyle w:val="NormalConseil"/>
        <w:jc w:val="center"/>
      </w:pPr>
      <w:r w:rsidRPr="00AB1CE4">
        <w:t>________________________</w:t>
      </w:r>
    </w:p>
    <w:p w:rsidR="00FB2D4E" w:rsidRPr="00AB1CE4" w:rsidRDefault="00FB2D4E" w:rsidP="00FB2D4E">
      <w:pPr>
        <w:pStyle w:val="NormalConseil"/>
      </w:pPr>
    </w:p>
    <w:p w:rsidR="00FB2D4E" w:rsidRPr="00AB1CE4" w:rsidRDefault="00FB2D4E" w:rsidP="00FB2D4E">
      <w:pPr>
        <w:pStyle w:val="NormalConseil"/>
      </w:pPr>
    </w:p>
    <w:p w:rsidR="00FB2D4E" w:rsidRPr="00AB1CE4" w:rsidRDefault="00FB2D4E" w:rsidP="00FB2D4E">
      <w:pPr>
        <w:pStyle w:val="NormalConseil"/>
        <w:outlineLvl w:val="0"/>
      </w:pPr>
      <w:r w:rsidRPr="00AB1CE4">
        <w:rPr>
          <w:u w:val="single"/>
        </w:rPr>
        <w:t>Encl.</w:t>
      </w:r>
      <w:r w:rsidRPr="00AB1CE4">
        <w:t xml:space="preserve">: </w:t>
      </w:r>
      <w:bookmarkStart w:id="5" w:name="pj_Prop"/>
      <w:bookmarkEnd w:id="5"/>
      <w:r w:rsidR="00BF0BF3" w:rsidRPr="00AB1CE4">
        <w:t>COM(2006) 225 final</w:t>
      </w:r>
    </w:p>
    <w:p w:rsidR="00FB2D4E" w:rsidRPr="00AB1CE4" w:rsidRDefault="00FB2D4E" w:rsidP="00FB2D4E">
      <w:pPr>
        <w:pStyle w:val="NormalConseil"/>
        <w:outlineLvl w:val="0"/>
      </w:pPr>
    </w:p>
    <w:p w:rsidR="00FB2D4E" w:rsidRPr="00AB1CE4" w:rsidRDefault="00FB2D4E" w:rsidP="00FB2D4E">
      <w:pPr>
        <w:pStyle w:val="NormalConseil"/>
      </w:pPr>
    </w:p>
    <w:bookmarkEnd w:id="4"/>
    <w:p w:rsidR="00FB2D4E" w:rsidRPr="00AB1CE4" w:rsidRDefault="00FB2D4E" w:rsidP="00FB2D4E">
      <w:pPr>
        <w:pStyle w:val="NormalConseil"/>
        <w:sectPr w:rsidR="00FB2D4E" w:rsidRPr="00AB1CE4">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379D4" w:rsidRPr="00AB1CE4">
        <w:tblPrEx>
          <w:tblCellMar>
            <w:top w:w="0" w:type="dxa"/>
            <w:left w:w="0" w:type="dxa"/>
            <w:bottom w:w="0" w:type="dxa"/>
            <w:right w:w="0" w:type="dxa"/>
          </w:tblCellMar>
        </w:tblPrEx>
        <w:trPr>
          <w:trHeight w:hRule="exact" w:val="1440"/>
        </w:trPr>
        <w:tc>
          <w:tcPr>
            <w:tcW w:w="1814" w:type="dxa"/>
          </w:tcPr>
          <w:p w:rsidR="00D379D4" w:rsidRPr="00AB1CE4" w:rsidRDefault="00AB1CE4" w:rsidP="00D379D4">
            <w:pPr>
              <w:pStyle w:val="Nomdelinstitution"/>
            </w:pPr>
            <w:r w:rsidRPr="00AB1CE4">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D379D4" w:rsidRPr="00AB1CE4" w:rsidRDefault="00D379D4" w:rsidP="00D379D4">
            <w:pPr>
              <w:pStyle w:val="Nomdelinstitution"/>
            </w:pPr>
            <w:r w:rsidRPr="00AB1CE4">
              <w:t>COMMISSION OF THE EUROPEAN COMMUNITIES</w:t>
            </w:r>
          </w:p>
        </w:tc>
      </w:tr>
    </w:tbl>
    <w:p w:rsidR="00D379D4" w:rsidRPr="00AB1CE4" w:rsidRDefault="00D379D4" w:rsidP="00D379D4">
      <w:pPr>
        <w:pStyle w:val="Emission"/>
      </w:pPr>
      <w:r w:rsidRPr="00AB1CE4">
        <w:t>Brussels, 16.5.2006</w:t>
      </w:r>
    </w:p>
    <w:p w:rsidR="00D379D4" w:rsidRPr="00AB1CE4" w:rsidRDefault="00D379D4" w:rsidP="00D379D4">
      <w:pPr>
        <w:pStyle w:val="Rfrenceinstitutionelle"/>
      </w:pPr>
      <w:r w:rsidRPr="00AB1CE4">
        <w:t>COM(2006) 225 final</w:t>
      </w:r>
    </w:p>
    <w:p w:rsidR="00D379D4" w:rsidRPr="00AB1CE4" w:rsidRDefault="00D379D4" w:rsidP="00D379D4">
      <w:pPr>
        <w:pStyle w:val="Rfrenceinterinstitutionelle"/>
      </w:pPr>
      <w:r w:rsidRPr="00AB1CE4">
        <w:t>2006/0077 (CNS)</w:t>
      </w:r>
    </w:p>
    <w:p w:rsidR="00D379D4" w:rsidRPr="00AB1CE4" w:rsidRDefault="00D379D4" w:rsidP="00D379D4">
      <w:pPr>
        <w:pStyle w:val="Confidentialit"/>
      </w:pPr>
      <w:r w:rsidRPr="00AB1CE4">
        <w:fldChar w:fldCharType="begin" w:fldLock="1"/>
      </w:r>
      <w:r w:rsidRPr="00AB1CE4">
        <w:instrText xml:space="preserve"> DOCPROPERTY "Classification" </w:instrText>
      </w:r>
      <w:r w:rsidRPr="00AB1CE4">
        <w:fldChar w:fldCharType="separate"/>
      </w:r>
      <w:r w:rsidR="00DF55EF" w:rsidRPr="00AB1CE4">
        <w:t xml:space="preserve"> </w:t>
      </w:r>
      <w:r w:rsidRPr="00AB1CE4">
        <w:fldChar w:fldCharType="end"/>
      </w:r>
    </w:p>
    <w:p w:rsidR="00D379D4" w:rsidRPr="00AB1CE4" w:rsidRDefault="00D379D4" w:rsidP="00FB2D4E">
      <w:pPr>
        <w:pStyle w:val="Statut"/>
        <w:outlineLvl w:val="0"/>
      </w:pPr>
      <w:r w:rsidRPr="00AB1CE4">
        <w:t>Proposal for a</w:t>
      </w:r>
    </w:p>
    <w:p w:rsidR="00D379D4" w:rsidRPr="00AB1CE4" w:rsidRDefault="00D379D4" w:rsidP="00D379D4">
      <w:pPr>
        <w:pStyle w:val="Typedudocument"/>
      </w:pPr>
      <w:r w:rsidRPr="00AB1CE4">
        <w:t>COUNCIL DECISION</w:t>
      </w:r>
    </w:p>
    <w:p w:rsidR="00D379D4" w:rsidRPr="00AB1CE4" w:rsidRDefault="00D379D4" w:rsidP="00D379D4">
      <w:pPr>
        <w:pStyle w:val="Titreobjet"/>
      </w:pPr>
      <w:r w:rsidRPr="00AB1CE4">
        <w:t>in accordance with Article 122(2) of the Treaty</w:t>
      </w:r>
      <w:r w:rsidRPr="00AB1CE4">
        <w:br/>
        <w:t>on the adoption by Slovenia of the single currency on 1 January 2007</w:t>
      </w:r>
    </w:p>
    <w:p w:rsidR="00D379D4" w:rsidRPr="00AB1CE4" w:rsidRDefault="00D379D4" w:rsidP="00D379D4">
      <w:pPr>
        <w:pStyle w:val="Phrasefinale"/>
      </w:pPr>
      <w:r w:rsidRPr="00AB1CE4">
        <w:t>(presented by the Commission)</w:t>
      </w:r>
    </w:p>
    <w:p w:rsidR="00C400F2" w:rsidRPr="00AB1CE4" w:rsidRDefault="00C400F2">
      <w:pPr>
        <w:sectPr w:rsidR="00C400F2" w:rsidRPr="00AB1CE4" w:rsidSect="00FB2D4E">
          <w:headerReference w:type="default" r:id="rId10"/>
          <w:footerReference w:type="default" r:id="rId11"/>
          <w:footerReference w:type="first" r:id="rId12"/>
          <w:pgSz w:w="11906" w:h="16838"/>
          <w:pgMar w:top="1134" w:right="1418" w:bottom="1134" w:left="1418" w:header="720" w:footer="720" w:gutter="0"/>
          <w:pgNumType w:start="1"/>
          <w:cols w:space="720"/>
          <w:docGrid w:linePitch="326"/>
        </w:sectPr>
      </w:pPr>
    </w:p>
    <w:p w:rsidR="00C400F2" w:rsidRPr="00AB1CE4" w:rsidRDefault="00C400F2" w:rsidP="00FB2D4E">
      <w:pPr>
        <w:pStyle w:val="Exposdesmotifstitreglobal"/>
        <w:outlineLvl w:val="0"/>
      </w:pPr>
      <w:r w:rsidRPr="00AB1CE4">
        <w:t>EXPLANATORY MEMORANDUM</w:t>
      </w:r>
    </w:p>
    <w:p w:rsidR="00C400F2" w:rsidRPr="00AB1CE4" w:rsidRDefault="00C400F2" w:rsidP="00AA29D8">
      <w:pPr>
        <w:jc w:val="center"/>
        <w:rPr>
          <w:b/>
        </w:rPr>
      </w:pPr>
      <w:r w:rsidRPr="00AB1CE4">
        <w:rPr>
          <w:b/>
        </w:rPr>
        <w:t xml:space="preserve">Commission proposal for a Council decision in accordance with </w:t>
      </w:r>
      <w:r w:rsidR="00D2016A" w:rsidRPr="00AB1CE4">
        <w:rPr>
          <w:b/>
        </w:rPr>
        <w:t>A</w:t>
      </w:r>
      <w:r w:rsidRPr="00AB1CE4">
        <w:rPr>
          <w:b/>
        </w:rPr>
        <w:t>rticle 122(2)</w:t>
      </w:r>
    </w:p>
    <w:p w:rsidR="00C400F2" w:rsidRPr="00AB1CE4" w:rsidRDefault="00C400F2">
      <w:r w:rsidRPr="00AB1CE4">
        <w:t>On 3 May 1998 the Council decided that Belgium, Germany, Spain, France, Ireland, Italy, Luxembourg, the Netherlands, Portugal, Austria and Finland fulfilled the necessary conditions for the adoption of the single currency on 1 January 1999. Denmark and the United Kingdom made use of their opt-out clauses and were not, therefore, assessed by the Council. Greece and Sweden were considered by the Council as Member States with a derogation.</w:t>
      </w:r>
      <w:r w:rsidR="008C52F9" w:rsidRPr="00AB1CE4">
        <w:t xml:space="preserve"> On 19 June 2000, the Council decided that Greece fulfilled the necessary conditions to adopt the euro on 1 January 2001. On 1 May 2004, </w:t>
      </w:r>
      <w:r w:rsidR="00AE021A" w:rsidRPr="00AB1CE4">
        <w:t xml:space="preserve">the </w:t>
      </w:r>
      <w:r w:rsidR="008C52F9" w:rsidRPr="00AB1CE4">
        <w:t xml:space="preserve">Czech Republic, </w:t>
      </w:r>
      <w:r w:rsidR="00012589" w:rsidRPr="00AB1CE4">
        <w:t>Estonia, Cyprus, Latvia, Lithuania, Hungary, Malta, Poland, Slovenia and Slovakia joined the E</w:t>
      </w:r>
      <w:r w:rsidR="00AE021A" w:rsidRPr="00AB1CE4">
        <w:t>uropean Union</w:t>
      </w:r>
      <w:r w:rsidR="00012589" w:rsidRPr="00AB1CE4">
        <w:t xml:space="preserve">. In accordance with Article 4 of the </w:t>
      </w:r>
      <w:r w:rsidR="00D2016A" w:rsidRPr="00AB1CE4">
        <w:t>Act</w:t>
      </w:r>
      <w:r w:rsidR="00012589" w:rsidRPr="00AB1CE4">
        <w:t xml:space="preserve"> of Accession, these countries are Member States with </w:t>
      </w:r>
      <w:r w:rsidR="001D4C6E" w:rsidRPr="00AB1CE4">
        <w:t xml:space="preserve">a </w:t>
      </w:r>
      <w:r w:rsidR="00012589" w:rsidRPr="00AB1CE4">
        <w:t>derogation.</w:t>
      </w:r>
    </w:p>
    <w:p w:rsidR="00C400F2" w:rsidRPr="00AB1CE4" w:rsidRDefault="00C400F2">
      <w:r w:rsidRPr="00AB1CE4">
        <w:t xml:space="preserve">Article 122(2) lays down the procedures for the abrogation of derogations. These procedures are to be initiated </w:t>
      </w:r>
      <w:r w:rsidR="00AE021A" w:rsidRPr="00AB1CE4">
        <w:t xml:space="preserve">at least </w:t>
      </w:r>
      <w:r w:rsidRPr="00AB1CE4">
        <w:t>once every two years or at the request of a Member State with a derogation. According to these procedures the Commission and the European Central Bank have to report to the Council in accordance with Article 121(1)</w:t>
      </w:r>
      <w:r w:rsidR="00212DF0" w:rsidRPr="00AB1CE4">
        <w:t xml:space="preserve"> </w:t>
      </w:r>
      <w:r w:rsidRPr="00AB1CE4">
        <w:t>on the progress made in the fulfilment by Member States with a derogation of their obligations regarding the achievement of economic and monetary union</w:t>
      </w:r>
      <w:r w:rsidR="00212DF0" w:rsidRPr="00AB1CE4">
        <w:t>.</w:t>
      </w:r>
      <w:r w:rsidR="00B17639" w:rsidRPr="00AB1CE4">
        <w:t xml:space="preserve"> </w:t>
      </w:r>
      <w:r w:rsidR="00212DF0" w:rsidRPr="00AB1CE4">
        <w:t>B</w:t>
      </w:r>
      <w:r w:rsidRPr="00AB1CE4">
        <w:t xml:space="preserve">ased on its own report and that of the ECB, the Commission </w:t>
      </w:r>
      <w:r w:rsidR="007670D5" w:rsidRPr="00AB1CE4">
        <w:t xml:space="preserve">can </w:t>
      </w:r>
      <w:r w:rsidRPr="00AB1CE4">
        <w:t>submit to the Council a proposal for a Council decision to abrogate the derogation of the Member States fulfilling the necessary conditions.</w:t>
      </w:r>
    </w:p>
    <w:p w:rsidR="00C31471" w:rsidRPr="00AB1CE4" w:rsidRDefault="00212DF0" w:rsidP="003F3CCC">
      <w:pPr>
        <w:rPr>
          <w:sz w:val="20"/>
        </w:rPr>
      </w:pPr>
      <w:r w:rsidRPr="00AB1CE4">
        <w:t>Since the last reports on the fulfilment of the conditions to adopt the single currency were presented in October 2004, the Member States with a derogation are due for re-examination in 2006</w:t>
      </w:r>
      <w:r w:rsidR="00286EFB" w:rsidRPr="00AB1CE4">
        <w:t xml:space="preserve">. </w:t>
      </w:r>
      <w:r w:rsidR="00C31471" w:rsidRPr="00AB1CE4">
        <w:rPr>
          <w:szCs w:val="24"/>
        </w:rPr>
        <w:t xml:space="preserve">In </w:t>
      </w:r>
      <w:r w:rsidR="00013A3E" w:rsidRPr="00AB1CE4">
        <w:rPr>
          <w:szCs w:val="24"/>
        </w:rPr>
        <w:t xml:space="preserve">early </w:t>
      </w:r>
      <w:r w:rsidR="00C31471" w:rsidRPr="00AB1CE4">
        <w:rPr>
          <w:szCs w:val="24"/>
        </w:rPr>
        <w:t xml:space="preserve">2006, </w:t>
      </w:r>
      <w:r w:rsidR="00013A3E" w:rsidRPr="00AB1CE4">
        <w:rPr>
          <w:szCs w:val="24"/>
        </w:rPr>
        <w:t>t</w:t>
      </w:r>
      <w:r w:rsidR="00C31471" w:rsidRPr="00AB1CE4">
        <w:rPr>
          <w:szCs w:val="24"/>
        </w:rPr>
        <w:t xml:space="preserve">he Commission and the ECB </w:t>
      </w:r>
      <w:r w:rsidR="00013A3E" w:rsidRPr="00AB1CE4">
        <w:rPr>
          <w:szCs w:val="24"/>
        </w:rPr>
        <w:t>agreed</w:t>
      </w:r>
      <w:r w:rsidR="00C31471" w:rsidRPr="00AB1CE4">
        <w:rPr>
          <w:szCs w:val="24"/>
        </w:rPr>
        <w:t xml:space="preserve"> to prepare a comprehensive report </w:t>
      </w:r>
      <w:r w:rsidR="00C31471" w:rsidRPr="00AB1CE4">
        <w:t>in</w:t>
      </w:r>
      <w:r w:rsidR="00C31471" w:rsidRPr="00AB1CE4">
        <w:rPr>
          <w:szCs w:val="24"/>
        </w:rPr>
        <w:t xml:space="preserve"> October 2006, assessing progress with convergence for all Member States with a derogation. On 2 March, Slovenia submitted </w:t>
      </w:r>
      <w:r w:rsidR="00B23E95" w:rsidRPr="00AB1CE4">
        <w:rPr>
          <w:szCs w:val="24"/>
        </w:rPr>
        <w:t xml:space="preserve">a </w:t>
      </w:r>
      <w:r w:rsidR="00C31471" w:rsidRPr="00AB1CE4">
        <w:rPr>
          <w:szCs w:val="24"/>
        </w:rPr>
        <w:t>request for an earlier convergence assessment, in order to have sufficient time for the final preparations to introduce the euro on 1 January 2007 in case the derogation were to be abrogated. As a response to th</w:t>
      </w:r>
      <w:r w:rsidR="00B23E95" w:rsidRPr="00AB1CE4">
        <w:rPr>
          <w:szCs w:val="24"/>
        </w:rPr>
        <w:t>is</w:t>
      </w:r>
      <w:r w:rsidR="00C31471" w:rsidRPr="00AB1CE4">
        <w:rPr>
          <w:szCs w:val="24"/>
        </w:rPr>
        <w:t xml:space="preserve"> request, the Commission and the ECB prepared convergence reports for </w:t>
      </w:r>
      <w:r w:rsidR="00B23E95" w:rsidRPr="00AB1CE4">
        <w:rPr>
          <w:szCs w:val="24"/>
        </w:rPr>
        <w:t>Slovenia</w:t>
      </w:r>
      <w:r w:rsidR="00C31471" w:rsidRPr="00AB1CE4">
        <w:rPr>
          <w:szCs w:val="24"/>
        </w:rPr>
        <w:t>.</w:t>
      </w:r>
    </w:p>
    <w:p w:rsidR="00C400F2" w:rsidRPr="00AB1CE4" w:rsidRDefault="00C400F2">
      <w:r w:rsidRPr="00AB1CE4">
        <w:t xml:space="preserve">The Commission convergence report </w:t>
      </w:r>
      <w:r w:rsidR="00013A3E" w:rsidRPr="00AB1CE4">
        <w:t xml:space="preserve">on Slovenia </w:t>
      </w:r>
      <w:r w:rsidR="00B23E95" w:rsidRPr="00AB1CE4">
        <w:t>was</w:t>
      </w:r>
      <w:r w:rsidRPr="00AB1CE4">
        <w:t xml:space="preserve"> adopted by the College on </w:t>
      </w:r>
      <w:r w:rsidR="00B47344" w:rsidRPr="00AB1CE4">
        <w:t>16 May 2006</w:t>
      </w:r>
      <w:r w:rsidRPr="00AB1CE4">
        <w:t xml:space="preserve">. The ECB has adopted its report </w:t>
      </w:r>
      <w:r w:rsidRPr="00AB1CE4">
        <w:rPr>
          <w:highlight w:val="yellow"/>
        </w:rPr>
        <w:t xml:space="preserve">on </w:t>
      </w:r>
      <w:r w:rsidR="009739E4" w:rsidRPr="00AB1CE4">
        <w:rPr>
          <w:highlight w:val="yellow"/>
        </w:rPr>
        <w:t>15 May</w:t>
      </w:r>
      <w:r w:rsidRPr="00AB1CE4">
        <w:t>. The reports include an examination of the compatibility between each Member State’s national legislation, including the statutes of its national central bank, and Articles 108 and 109 of the Treaty and the Statue of the ESCB. The reports also examine the achievement of a high degree of sustainable convergence by reference to the fulfilment by each Member State of the convergence criteria</w:t>
      </w:r>
      <w:r w:rsidR="00C13444" w:rsidRPr="00AB1CE4">
        <w:t xml:space="preserve"> and</w:t>
      </w:r>
      <w:r w:rsidRPr="00AB1CE4">
        <w:t xml:space="preserve"> take account of several other factors mentioned in the final sub-paragraph of Article 121(1).</w:t>
      </w:r>
    </w:p>
    <w:p w:rsidR="00C400F2" w:rsidRPr="00AB1CE4" w:rsidRDefault="00C400F2">
      <w:r w:rsidRPr="00AB1CE4">
        <w:t>In its convergence report</w:t>
      </w:r>
      <w:r w:rsidR="00B23E95" w:rsidRPr="00AB1CE4">
        <w:t xml:space="preserve">, </w:t>
      </w:r>
      <w:r w:rsidRPr="00AB1CE4">
        <w:t xml:space="preserve">the Commission concludes that a high degree of sustainable convergence has been achieved in </w:t>
      </w:r>
      <w:r w:rsidR="00013A3E" w:rsidRPr="00AB1CE4">
        <w:t>Slovenia</w:t>
      </w:r>
      <w:r w:rsidRPr="00AB1CE4">
        <w:t>.</w:t>
      </w:r>
    </w:p>
    <w:p w:rsidR="00C400F2" w:rsidRPr="00AB1CE4" w:rsidRDefault="00C400F2">
      <w:r w:rsidRPr="00AB1CE4">
        <w:t xml:space="preserve">On the basis of its report and that of the ECB, the Commission has adopted the attached proposal for a Council decision to abrogate the derogation of </w:t>
      </w:r>
      <w:r w:rsidR="00013A3E" w:rsidRPr="00AB1CE4">
        <w:t>Slovenia</w:t>
      </w:r>
      <w:r w:rsidRPr="00AB1CE4">
        <w:t xml:space="preserve"> with effect from 1 January 200</w:t>
      </w:r>
      <w:r w:rsidR="00013A3E" w:rsidRPr="00AB1CE4">
        <w:t>7</w:t>
      </w:r>
      <w:r w:rsidRPr="00AB1CE4">
        <w:t>.</w:t>
      </w:r>
    </w:p>
    <w:p w:rsidR="00C400F2" w:rsidRPr="00AB1CE4" w:rsidRDefault="00C400F2">
      <w:pPr>
        <w:sectPr w:rsidR="00C400F2" w:rsidRPr="00AB1CE4" w:rsidSect="00D379D4">
          <w:footerReference w:type="default" r:id="rId13"/>
          <w:footerReference w:type="first" r:id="rId14"/>
          <w:pgSz w:w="11906" w:h="16838"/>
          <w:pgMar w:top="1134" w:right="1418" w:bottom="1134" w:left="1418" w:header="720" w:footer="720" w:gutter="0"/>
          <w:cols w:space="720"/>
          <w:docGrid w:linePitch="326"/>
        </w:sectPr>
      </w:pPr>
    </w:p>
    <w:p w:rsidR="00D379D4" w:rsidRPr="00AB1CE4" w:rsidRDefault="00D379D4" w:rsidP="00D379D4">
      <w:pPr>
        <w:pStyle w:val="Rfrenceinterinstitutionelle"/>
      </w:pPr>
      <w:r w:rsidRPr="00AB1CE4">
        <w:t>2006/0077 (CNS)</w:t>
      </w:r>
    </w:p>
    <w:p w:rsidR="00C400F2" w:rsidRPr="00AB1CE4" w:rsidRDefault="00C400F2">
      <w:pPr>
        <w:pStyle w:val="Statut"/>
      </w:pPr>
      <w:r w:rsidRPr="00AB1CE4">
        <w:t>Proposal for a</w:t>
      </w:r>
    </w:p>
    <w:p w:rsidR="003F3CCC" w:rsidRPr="00AB1CE4" w:rsidRDefault="00C400F2">
      <w:pPr>
        <w:pStyle w:val="Typedudocument"/>
      </w:pPr>
      <w:r w:rsidRPr="00AB1CE4">
        <w:t>COUNCIL DECISION</w:t>
      </w:r>
    </w:p>
    <w:p w:rsidR="00C400F2" w:rsidRPr="00AB1CE4" w:rsidRDefault="00C400F2" w:rsidP="003F3CCC">
      <w:pPr>
        <w:pStyle w:val="Titreobjet"/>
      </w:pPr>
      <w:r w:rsidRPr="00AB1CE4">
        <w:t xml:space="preserve">in accordance with </w:t>
      </w:r>
      <w:r w:rsidR="00BC3ACD" w:rsidRPr="00AB1CE4">
        <w:t>A</w:t>
      </w:r>
      <w:r w:rsidRPr="00AB1CE4">
        <w:t>rticle 122(2) of the Treaty</w:t>
      </w:r>
      <w:r w:rsidR="003F3CCC" w:rsidRPr="00AB1CE4">
        <w:br/>
      </w:r>
      <w:r w:rsidR="00BC3ACD" w:rsidRPr="00AB1CE4">
        <w:t>on</w:t>
      </w:r>
      <w:r w:rsidRPr="00AB1CE4">
        <w:t xml:space="preserve"> the adoption by </w:t>
      </w:r>
      <w:r w:rsidR="00244FD9" w:rsidRPr="00AB1CE4">
        <w:t>Slovenia</w:t>
      </w:r>
      <w:r w:rsidRPr="00AB1CE4">
        <w:t xml:space="preserve"> of the single currency on 1</w:t>
      </w:r>
      <w:r w:rsidR="00BC3ACD" w:rsidRPr="00AB1CE4">
        <w:t xml:space="preserve"> January </w:t>
      </w:r>
      <w:r w:rsidRPr="00AB1CE4">
        <w:t>200</w:t>
      </w:r>
      <w:r w:rsidR="00244FD9" w:rsidRPr="00AB1CE4">
        <w:t>7</w:t>
      </w:r>
    </w:p>
    <w:p w:rsidR="00C400F2" w:rsidRPr="00AB1CE4" w:rsidRDefault="00C400F2" w:rsidP="00FB2D4E">
      <w:pPr>
        <w:pStyle w:val="Institutionquiagit"/>
        <w:outlineLvl w:val="0"/>
      </w:pPr>
      <w:r w:rsidRPr="00AB1CE4">
        <w:t>THE COUNCIL OF THE EUROPEAN UNION,</w:t>
      </w:r>
    </w:p>
    <w:p w:rsidR="00C400F2" w:rsidRPr="00AB1CE4" w:rsidRDefault="00C400F2" w:rsidP="00AA29D8">
      <w:r w:rsidRPr="00AB1CE4">
        <w:t>Having regard to the Treaty establishing the European Community, and in particular Article 122, paragraph 2 thereof,</w:t>
      </w:r>
    </w:p>
    <w:p w:rsidR="00C400F2" w:rsidRPr="00AB1CE4" w:rsidRDefault="00C400F2">
      <w:r w:rsidRPr="00AB1CE4">
        <w:t>Having regard to the proposal from the Commission,</w:t>
      </w:r>
    </w:p>
    <w:p w:rsidR="00C400F2" w:rsidRPr="00AB1CE4" w:rsidRDefault="00C400F2">
      <w:r w:rsidRPr="00AB1CE4">
        <w:t>Having regard to the report from the Commission</w:t>
      </w:r>
      <w:r w:rsidRPr="00AB1CE4">
        <w:rPr>
          <w:rStyle w:val="Fotnotsreferens"/>
        </w:rPr>
        <w:footnoteReference w:id="1"/>
      </w:r>
      <w:r w:rsidRPr="00AB1CE4">
        <w:t>,</w:t>
      </w:r>
    </w:p>
    <w:p w:rsidR="00C400F2" w:rsidRPr="00AB1CE4" w:rsidRDefault="00C400F2">
      <w:r w:rsidRPr="00AB1CE4">
        <w:t>Having regard to the report from the European Central Bank</w:t>
      </w:r>
      <w:r w:rsidRPr="00AB1CE4">
        <w:rPr>
          <w:rStyle w:val="Fotnotsreferens"/>
        </w:rPr>
        <w:footnoteReference w:id="2"/>
      </w:r>
      <w:r w:rsidRPr="00AB1CE4">
        <w:rPr>
          <w:i/>
        </w:rPr>
        <w:t>,</w:t>
      </w:r>
    </w:p>
    <w:p w:rsidR="00C400F2" w:rsidRPr="00AB1CE4" w:rsidRDefault="00C400F2">
      <w:r w:rsidRPr="00AB1CE4">
        <w:t>Having regard to the opinion of the European Parliament,</w:t>
      </w:r>
    </w:p>
    <w:p w:rsidR="00C400F2" w:rsidRPr="00AB1CE4" w:rsidRDefault="00C400F2">
      <w:r w:rsidRPr="00AB1CE4">
        <w:t>Having regard to the discussion of the Council, meeting in the composition of Heads of State or Government,</w:t>
      </w:r>
    </w:p>
    <w:p w:rsidR="000D6480" w:rsidRPr="00AB1CE4" w:rsidRDefault="000D6480">
      <w:r w:rsidRPr="00AB1CE4">
        <w:t>Whereas:</w:t>
      </w:r>
    </w:p>
    <w:p w:rsidR="00C400F2" w:rsidRPr="00AB1CE4" w:rsidRDefault="000D6480" w:rsidP="006E321F">
      <w:pPr>
        <w:pStyle w:val="Considrant"/>
      </w:pPr>
      <w:r w:rsidRPr="00AB1CE4">
        <w:t>T</w:t>
      </w:r>
      <w:r w:rsidR="00C400F2" w:rsidRPr="00AB1CE4">
        <w:t>he third stage of economic and monetary union (EMU) started on 1 January 1999</w:t>
      </w:r>
      <w:r w:rsidR="00D2016A" w:rsidRPr="00AB1CE4">
        <w:t>.</w:t>
      </w:r>
      <w:r w:rsidR="00C400F2" w:rsidRPr="00AB1CE4">
        <w:t xml:space="preserve"> </w:t>
      </w:r>
      <w:r w:rsidR="00D2016A" w:rsidRPr="00AB1CE4">
        <w:t>T</w:t>
      </w:r>
      <w:r w:rsidR="00C400F2" w:rsidRPr="00AB1CE4">
        <w:t>he Council, meeting in Brussels on 3 May 1998 in the composition of Heads of State or Government, decided that Belgium, Germany, Spain, France, Ireland, Italy, Luxembourg, the Netherlands, Austria, Portugal and Finland fulfilled the necessary conditions for adopting the single currency in 1 January 1999</w:t>
      </w:r>
      <w:r w:rsidR="004A788E" w:rsidRPr="00AB1CE4">
        <w:t>.</w:t>
      </w:r>
      <w:r w:rsidR="00C400F2" w:rsidRPr="00AB1CE4">
        <w:rPr>
          <w:rStyle w:val="Fotnotsreferens"/>
        </w:rPr>
        <w:footnoteReference w:id="3"/>
      </w:r>
    </w:p>
    <w:p w:rsidR="00BC3ACD" w:rsidRPr="00AB1CE4" w:rsidRDefault="00BC3ACD" w:rsidP="006E321F">
      <w:pPr>
        <w:pStyle w:val="Considrant"/>
      </w:pPr>
      <w:r w:rsidRPr="00AB1CE4">
        <w:t>The Council</w:t>
      </w:r>
      <w:r w:rsidR="00291988" w:rsidRPr="00AB1CE4">
        <w:t xml:space="preserve"> decided</w:t>
      </w:r>
      <w:r w:rsidRPr="00AB1CE4">
        <w:rPr>
          <w:szCs w:val="24"/>
        </w:rPr>
        <w:t xml:space="preserve"> on 19 June 2000</w:t>
      </w:r>
      <w:r w:rsidRPr="00AB1CE4">
        <w:t xml:space="preserve"> that Greece fulfilled the necessary conditions for adopting the single currency on 1 January 2001.</w:t>
      </w:r>
      <w:r w:rsidRPr="00AB1CE4">
        <w:rPr>
          <w:rStyle w:val="Fotnotsreferens"/>
        </w:rPr>
        <w:footnoteReference w:id="4"/>
      </w:r>
    </w:p>
    <w:p w:rsidR="00C400F2" w:rsidRPr="00AB1CE4" w:rsidRDefault="0089705C" w:rsidP="006E321F">
      <w:pPr>
        <w:pStyle w:val="Considrant"/>
      </w:pPr>
      <w:r w:rsidRPr="00AB1CE4">
        <w:rPr>
          <w:szCs w:val="24"/>
        </w:rPr>
        <w:t xml:space="preserve">In accordance with paragraph 1 of the Protocol on certain provisions relating to the United Kingdom of Great Britain and Northern Ireland annexed to the Treaty, the United Kingdom notified the Council that it did not intend to move to the third stage of EMU on 1 January 1999. </w:t>
      </w:r>
      <w:r w:rsidRPr="00AB1CE4">
        <w:t>This</w:t>
      </w:r>
      <w:r w:rsidRPr="00AB1CE4">
        <w:rPr>
          <w:szCs w:val="24"/>
        </w:rPr>
        <w:t xml:space="preserve"> notification has not been changed. In accordance with paragraph 1 of the Protocol on certain provisions relating to Denmark annexed to the Treaty and the Decision taken by the Heads of State or Government in Edinburgh in December 1992, Denmark has notified the Council that it will not participate in the third stage of EMU. Denmark has not requested that the procedure referred to in Article 122(2) of the Treaty be initiated.</w:t>
      </w:r>
    </w:p>
    <w:p w:rsidR="00C400F2" w:rsidRPr="00AB1CE4" w:rsidRDefault="0089705C" w:rsidP="006E321F">
      <w:pPr>
        <w:pStyle w:val="Considrant"/>
      </w:pPr>
      <w:r w:rsidRPr="00AB1CE4">
        <w:rPr>
          <w:szCs w:val="24"/>
        </w:rPr>
        <w:t xml:space="preserve">By virtue of Decision 1998/317/EC Sweden has a derogation as defined in Article 122 of the Treaty. </w:t>
      </w:r>
      <w:r w:rsidRPr="00AB1CE4">
        <w:t xml:space="preserve">In accordance with Article 4 of the </w:t>
      </w:r>
      <w:r w:rsidR="00D2016A" w:rsidRPr="00AB1CE4">
        <w:t>Act</w:t>
      </w:r>
      <w:r w:rsidRPr="00AB1CE4">
        <w:t xml:space="preserve"> of Accession</w:t>
      </w:r>
      <w:r w:rsidR="00342B11" w:rsidRPr="00AB1CE4">
        <w:rPr>
          <w:rStyle w:val="Fotnotsreferens"/>
        </w:rPr>
        <w:footnoteReference w:id="5"/>
      </w:r>
      <w:r w:rsidRPr="00AB1CE4">
        <w:t>,</w:t>
      </w:r>
      <w:r w:rsidR="00D54E07" w:rsidRPr="00AB1CE4">
        <w:t xml:space="preserve"> </w:t>
      </w:r>
      <w:r w:rsidRPr="00AB1CE4">
        <w:t xml:space="preserve">the </w:t>
      </w:r>
      <w:r w:rsidR="00C94943" w:rsidRPr="00AB1CE4">
        <w:t>Czech Republic, Estonia, Cyprus, Latvia, Lithuania, Hungary, Malta, Poland, Slovenia</w:t>
      </w:r>
      <w:r w:rsidRPr="00AB1CE4">
        <w:t xml:space="preserve"> and</w:t>
      </w:r>
      <w:r w:rsidR="00D54E07" w:rsidRPr="00AB1CE4">
        <w:t xml:space="preserve"> </w:t>
      </w:r>
      <w:r w:rsidR="00C94943" w:rsidRPr="00AB1CE4">
        <w:t>Slovakia</w:t>
      </w:r>
      <w:r w:rsidR="00D54E07" w:rsidRPr="00AB1CE4">
        <w:t xml:space="preserve"> </w:t>
      </w:r>
      <w:r w:rsidR="00C400F2" w:rsidRPr="00AB1CE4">
        <w:t>have a derogation as defin</w:t>
      </w:r>
      <w:r w:rsidR="00AE021A" w:rsidRPr="00AB1CE4">
        <w:t>ed in Article 122 of the Treaty.</w:t>
      </w:r>
    </w:p>
    <w:p w:rsidR="00C400F2" w:rsidRPr="00AB1CE4" w:rsidRDefault="0089705C" w:rsidP="006E321F">
      <w:pPr>
        <w:pStyle w:val="Considrant"/>
      </w:pPr>
      <w:r w:rsidRPr="00AB1CE4">
        <w:rPr>
          <w:szCs w:val="24"/>
        </w:rPr>
        <w:t xml:space="preserve">The European Central Bank (ECB) was established on 1 July 1998. The European Monetary </w:t>
      </w:r>
      <w:r w:rsidRPr="00AB1CE4">
        <w:t>System</w:t>
      </w:r>
      <w:r w:rsidRPr="00AB1CE4">
        <w:rPr>
          <w:szCs w:val="24"/>
        </w:rPr>
        <w:t xml:space="preserve"> has been replaced by an exchange rate mechanism, the setting-up of which was agreed by a </w:t>
      </w:r>
      <w:r w:rsidRPr="00AB1CE4">
        <w:t>resolution</w:t>
      </w:r>
      <w:r w:rsidRPr="00AB1CE4">
        <w:rPr>
          <w:szCs w:val="24"/>
        </w:rPr>
        <w:t xml:space="preserve"> of the European Council on the establishment of an exchange-rate mechanism in the third stage of economic and monetary union of 16 June 1997.</w:t>
      </w:r>
      <w:r w:rsidR="00C13444" w:rsidRPr="00AB1CE4">
        <w:rPr>
          <w:rStyle w:val="Fotnotsreferens"/>
          <w:szCs w:val="24"/>
        </w:rPr>
        <w:footnoteReference w:id="6"/>
      </w:r>
      <w:r w:rsidRPr="00AB1CE4">
        <w:rPr>
          <w:szCs w:val="24"/>
        </w:rPr>
        <w:t xml:space="preserve"> The procedures for an exchange-rate mechanism in stage three of economic and monetary union (ERM II) were laid down in the Agreement of 1</w:t>
      </w:r>
      <w:r w:rsidR="00D2016A" w:rsidRPr="00AB1CE4">
        <w:rPr>
          <w:szCs w:val="24"/>
        </w:rPr>
        <w:t> </w:t>
      </w:r>
      <w:r w:rsidRPr="00AB1CE4">
        <w:rPr>
          <w:szCs w:val="24"/>
        </w:rPr>
        <w:t>September 1998 between the ECB and the national central banks of the Member States outside the euro area laying down the operating procedures for an exchange rate mechanism in stage three of economic and monetary union</w:t>
      </w:r>
      <w:r w:rsidR="004A788E" w:rsidRPr="00AB1CE4">
        <w:rPr>
          <w:szCs w:val="24"/>
        </w:rPr>
        <w:t>.</w:t>
      </w:r>
      <w:r w:rsidR="00C400F2" w:rsidRPr="00AB1CE4">
        <w:rPr>
          <w:rStyle w:val="Fotnotsreferens"/>
        </w:rPr>
        <w:footnoteReference w:id="7"/>
      </w:r>
    </w:p>
    <w:p w:rsidR="00C400F2" w:rsidRPr="00AB1CE4" w:rsidRDefault="005058F6" w:rsidP="006E321F">
      <w:pPr>
        <w:pStyle w:val="Considrant"/>
      </w:pPr>
      <w:r w:rsidRPr="00AB1CE4">
        <w:rPr>
          <w:szCs w:val="24"/>
        </w:rPr>
        <w:t xml:space="preserve">Article 122(2) of the </w:t>
      </w:r>
      <w:r w:rsidRPr="00AB1CE4">
        <w:t>Treaty</w:t>
      </w:r>
      <w:r w:rsidRPr="00AB1CE4">
        <w:rPr>
          <w:szCs w:val="24"/>
        </w:rPr>
        <w:t xml:space="preserve"> lays down the procedures for abrogation of the derogation of the Member </w:t>
      </w:r>
      <w:r w:rsidRPr="00AB1CE4">
        <w:t>States</w:t>
      </w:r>
      <w:r w:rsidRPr="00AB1CE4">
        <w:rPr>
          <w:szCs w:val="24"/>
        </w:rPr>
        <w:t xml:space="preserve"> concerned. According to that Article at least once every two years, or at the request of a Member State with a derogation, the Commission and the ECB shall report to the Council in accordance with the procedure laid down in Article 121(1) of the Treat</w:t>
      </w:r>
      <w:r w:rsidR="00D71FBF" w:rsidRPr="00AB1CE4">
        <w:rPr>
          <w:szCs w:val="24"/>
        </w:rPr>
        <w:t>y. On</w:t>
      </w:r>
      <w:r w:rsidR="00244FD9" w:rsidRPr="00AB1CE4">
        <w:rPr>
          <w:szCs w:val="24"/>
        </w:rPr>
        <w:t xml:space="preserve"> 2 March </w:t>
      </w:r>
      <w:r w:rsidR="00197C0E" w:rsidRPr="00AB1CE4">
        <w:rPr>
          <w:szCs w:val="24"/>
        </w:rPr>
        <w:t>2006</w:t>
      </w:r>
      <w:r w:rsidR="00244FD9" w:rsidRPr="00AB1CE4">
        <w:rPr>
          <w:szCs w:val="24"/>
        </w:rPr>
        <w:t>, Slovenia</w:t>
      </w:r>
      <w:r w:rsidR="009063DF" w:rsidRPr="00AB1CE4">
        <w:rPr>
          <w:szCs w:val="24"/>
        </w:rPr>
        <w:t xml:space="preserve"> </w:t>
      </w:r>
      <w:r w:rsidR="00244FD9" w:rsidRPr="00AB1CE4">
        <w:rPr>
          <w:szCs w:val="24"/>
        </w:rPr>
        <w:t xml:space="preserve">submitted </w:t>
      </w:r>
      <w:r w:rsidR="00B23E95" w:rsidRPr="00AB1CE4">
        <w:rPr>
          <w:szCs w:val="24"/>
        </w:rPr>
        <w:t xml:space="preserve">a </w:t>
      </w:r>
      <w:r w:rsidR="00197C0E" w:rsidRPr="00AB1CE4">
        <w:rPr>
          <w:szCs w:val="24"/>
        </w:rPr>
        <w:t xml:space="preserve">formal </w:t>
      </w:r>
      <w:r w:rsidR="00244FD9" w:rsidRPr="00AB1CE4">
        <w:rPr>
          <w:szCs w:val="24"/>
        </w:rPr>
        <w:t>request for a convergence assessment.</w:t>
      </w:r>
      <w:r w:rsidR="004916F2" w:rsidRPr="00AB1CE4">
        <w:rPr>
          <w:szCs w:val="24"/>
        </w:rPr>
        <w:t xml:space="preserve"> </w:t>
      </w:r>
    </w:p>
    <w:p w:rsidR="005058F6" w:rsidRPr="00AB1CE4" w:rsidRDefault="005058F6" w:rsidP="006E321F">
      <w:pPr>
        <w:pStyle w:val="Considrant"/>
      </w:pPr>
      <w:r w:rsidRPr="00AB1CE4">
        <w:rPr>
          <w:szCs w:val="24"/>
        </w:rPr>
        <w:t xml:space="preserve">National legislation in the Member States including the statutes of national central banks shall as necessary be adapted with a view to ensuring compatibility with Articles 108 and 109 of </w:t>
      </w:r>
      <w:r w:rsidRPr="00AB1CE4">
        <w:t>the</w:t>
      </w:r>
      <w:r w:rsidRPr="00AB1CE4">
        <w:rPr>
          <w:szCs w:val="24"/>
        </w:rPr>
        <w:t xml:space="preserve"> Treaty and the Statute of the ESCB. The reports of the Commission and the ECB provide a detailed assessment of the compatibility of the legislation of</w:t>
      </w:r>
      <w:r w:rsidR="00D54E07" w:rsidRPr="00AB1CE4">
        <w:rPr>
          <w:szCs w:val="24"/>
        </w:rPr>
        <w:t xml:space="preserve"> </w:t>
      </w:r>
      <w:r w:rsidRPr="00AB1CE4">
        <w:t>Slovenia</w:t>
      </w:r>
      <w:r w:rsidR="00197C0E" w:rsidRPr="00AB1CE4">
        <w:rPr>
          <w:szCs w:val="24"/>
        </w:rPr>
        <w:t xml:space="preserve"> </w:t>
      </w:r>
      <w:r w:rsidRPr="00AB1CE4">
        <w:rPr>
          <w:szCs w:val="24"/>
        </w:rPr>
        <w:t>with Articles 108 and 109 of the Treaty and the Statute of the ESCB.</w:t>
      </w:r>
      <w:r w:rsidRPr="00AB1CE4" w:rsidDel="005058F6">
        <w:t xml:space="preserve"> </w:t>
      </w:r>
    </w:p>
    <w:p w:rsidR="00C400F2" w:rsidRPr="00AB1CE4" w:rsidRDefault="005058F6" w:rsidP="006E321F">
      <w:pPr>
        <w:pStyle w:val="Considrant"/>
      </w:pPr>
      <w:r w:rsidRPr="00AB1CE4">
        <w:rPr>
          <w:szCs w:val="24"/>
        </w:rPr>
        <w:t xml:space="preserve">According to Article 1 of the Protocol on the convergence criteria referred to in Article 121 of the Treaty establishing the European Community, the criterion on price stability referred to in the first indent of Article 121 (1) of the Treaty means that a Member State has a price performance that is sustainable and an average rate of inflation, observed over a period </w:t>
      </w:r>
      <w:r w:rsidRPr="00AB1CE4">
        <w:t>of</w:t>
      </w:r>
      <w:r w:rsidRPr="00AB1CE4">
        <w:rPr>
          <w:szCs w:val="24"/>
        </w:rPr>
        <w:t xml:space="preserve"> one year before the examination, that does not exceed by more than one and a half percentage points that of, at most, the three best performing Member States in terms of price stability. For the purpose of the criterion on price stability inflation will be measured by the harmonised indices of consumer prices (HICPs) defined in Council Regulation (EC) No 2494/95</w:t>
      </w:r>
      <w:r w:rsidR="004A788E" w:rsidRPr="00AB1CE4">
        <w:rPr>
          <w:szCs w:val="24"/>
        </w:rPr>
        <w:t>.</w:t>
      </w:r>
      <w:r w:rsidRPr="00AB1CE4">
        <w:rPr>
          <w:rStyle w:val="Fotnotsreferens"/>
          <w:szCs w:val="24"/>
        </w:rPr>
        <w:footnoteReference w:id="8"/>
      </w:r>
      <w:r w:rsidRPr="00AB1CE4">
        <w:rPr>
          <w:szCs w:val="24"/>
        </w:rPr>
        <w:t xml:space="preserve"> In order to assess the price stability criterion a Member State's inflation has been measured by the percentage change in the arithmetic average of 12 monthly indices relative to the arithmetic average of 12 monthly indices of the previous period. In the one year period ending in March 200</w:t>
      </w:r>
      <w:r w:rsidR="00197C0E" w:rsidRPr="00AB1CE4">
        <w:rPr>
          <w:szCs w:val="24"/>
        </w:rPr>
        <w:t>6,</w:t>
      </w:r>
      <w:r w:rsidRPr="00AB1CE4">
        <w:rPr>
          <w:szCs w:val="24"/>
        </w:rPr>
        <w:t xml:space="preserve"> the three best</w:t>
      </w:r>
      <w:r w:rsidR="00197C0E" w:rsidRPr="00AB1CE4">
        <w:rPr>
          <w:szCs w:val="24"/>
        </w:rPr>
        <w:t>-</w:t>
      </w:r>
      <w:r w:rsidRPr="00AB1CE4">
        <w:rPr>
          <w:szCs w:val="24"/>
        </w:rPr>
        <w:t>performing Member States in terms of price stability were</w:t>
      </w:r>
      <w:r w:rsidR="00B8287D" w:rsidRPr="00AB1CE4">
        <w:rPr>
          <w:szCs w:val="24"/>
        </w:rPr>
        <w:t xml:space="preserve"> </w:t>
      </w:r>
      <w:r w:rsidR="00197C0E" w:rsidRPr="00AB1CE4">
        <w:t>Sweden, Finland and Poland</w:t>
      </w:r>
      <w:r w:rsidRPr="00AB1CE4">
        <w:rPr>
          <w:szCs w:val="24"/>
        </w:rPr>
        <w:t>, with inflation rates of, respectively 0</w:t>
      </w:r>
      <w:r w:rsidR="00B718AD" w:rsidRPr="00AB1CE4">
        <w:rPr>
          <w:szCs w:val="24"/>
        </w:rPr>
        <w:t>.</w:t>
      </w:r>
      <w:r w:rsidRPr="00AB1CE4">
        <w:rPr>
          <w:szCs w:val="24"/>
        </w:rPr>
        <w:t xml:space="preserve">9 </w:t>
      </w:r>
      <w:r w:rsidR="00AE021A" w:rsidRPr="00AB1CE4">
        <w:rPr>
          <w:szCs w:val="24"/>
        </w:rPr>
        <w:t>percent,</w:t>
      </w:r>
      <w:r w:rsidRPr="00AB1CE4">
        <w:rPr>
          <w:szCs w:val="24"/>
        </w:rPr>
        <w:t xml:space="preserve"> </w:t>
      </w:r>
      <w:r w:rsidR="00197C0E" w:rsidRPr="00AB1CE4">
        <w:rPr>
          <w:szCs w:val="24"/>
        </w:rPr>
        <w:t>1</w:t>
      </w:r>
      <w:r w:rsidR="00B718AD" w:rsidRPr="00AB1CE4">
        <w:rPr>
          <w:szCs w:val="24"/>
        </w:rPr>
        <w:t>.</w:t>
      </w:r>
      <w:r w:rsidR="00197C0E" w:rsidRPr="00AB1CE4">
        <w:rPr>
          <w:szCs w:val="24"/>
        </w:rPr>
        <w:t>0</w:t>
      </w:r>
      <w:r w:rsidRPr="00AB1CE4">
        <w:rPr>
          <w:szCs w:val="24"/>
        </w:rPr>
        <w:t xml:space="preserve"> </w:t>
      </w:r>
      <w:r w:rsidR="00AE021A" w:rsidRPr="00AB1CE4">
        <w:rPr>
          <w:szCs w:val="24"/>
        </w:rPr>
        <w:t>percent</w:t>
      </w:r>
      <w:r w:rsidRPr="00AB1CE4">
        <w:rPr>
          <w:szCs w:val="24"/>
        </w:rPr>
        <w:t xml:space="preserve"> and </w:t>
      </w:r>
      <w:r w:rsidR="00197C0E" w:rsidRPr="00AB1CE4">
        <w:rPr>
          <w:szCs w:val="24"/>
        </w:rPr>
        <w:t>1.5</w:t>
      </w:r>
      <w:r w:rsidRPr="00AB1CE4">
        <w:rPr>
          <w:szCs w:val="24"/>
        </w:rPr>
        <w:t xml:space="preserve"> </w:t>
      </w:r>
      <w:r w:rsidR="00AE021A" w:rsidRPr="00AB1CE4">
        <w:rPr>
          <w:szCs w:val="24"/>
        </w:rPr>
        <w:t>percent</w:t>
      </w:r>
      <w:r w:rsidRPr="00AB1CE4">
        <w:rPr>
          <w:szCs w:val="24"/>
        </w:rPr>
        <w:t>. A reference value calculated as the simple arithmetic average of the inflation rates of the three best</w:t>
      </w:r>
      <w:r w:rsidR="00197C0E" w:rsidRPr="00AB1CE4">
        <w:rPr>
          <w:szCs w:val="24"/>
        </w:rPr>
        <w:t>-</w:t>
      </w:r>
      <w:r w:rsidRPr="00AB1CE4">
        <w:rPr>
          <w:szCs w:val="24"/>
        </w:rPr>
        <w:t xml:space="preserve">performing Member States in </w:t>
      </w:r>
      <w:r w:rsidR="00B17639" w:rsidRPr="00AB1CE4">
        <w:rPr>
          <w:szCs w:val="24"/>
        </w:rPr>
        <w:t>terms of price stability plus 1.5 </w:t>
      </w:r>
      <w:r w:rsidRPr="00AB1CE4">
        <w:rPr>
          <w:szCs w:val="24"/>
        </w:rPr>
        <w:t>percentage points was considered in the reports of the Commission and the ECB. On this basis, the reference value in the one year period ending in March 200</w:t>
      </w:r>
      <w:r w:rsidR="00197C0E" w:rsidRPr="00AB1CE4">
        <w:rPr>
          <w:szCs w:val="24"/>
        </w:rPr>
        <w:t>6</w:t>
      </w:r>
      <w:r w:rsidRPr="00AB1CE4">
        <w:rPr>
          <w:szCs w:val="24"/>
        </w:rPr>
        <w:t xml:space="preserve"> was 2</w:t>
      </w:r>
      <w:r w:rsidR="00B718AD" w:rsidRPr="00AB1CE4">
        <w:rPr>
          <w:szCs w:val="24"/>
        </w:rPr>
        <w:t>.</w:t>
      </w:r>
      <w:r w:rsidR="00197C0E" w:rsidRPr="00AB1CE4">
        <w:rPr>
          <w:szCs w:val="24"/>
        </w:rPr>
        <w:t>6</w:t>
      </w:r>
      <w:r w:rsidRPr="00AB1CE4">
        <w:rPr>
          <w:szCs w:val="24"/>
        </w:rPr>
        <w:t xml:space="preserve"> </w:t>
      </w:r>
      <w:r w:rsidR="00AE021A" w:rsidRPr="00AB1CE4">
        <w:rPr>
          <w:szCs w:val="24"/>
        </w:rPr>
        <w:t>percent</w:t>
      </w:r>
      <w:r w:rsidRPr="00AB1CE4">
        <w:rPr>
          <w:szCs w:val="24"/>
        </w:rPr>
        <w:t>.</w:t>
      </w:r>
    </w:p>
    <w:p w:rsidR="00B8287D" w:rsidRPr="00AB1CE4" w:rsidRDefault="00B8287D" w:rsidP="006E321F">
      <w:pPr>
        <w:pStyle w:val="Considrant"/>
      </w:pPr>
      <w:r w:rsidRPr="00AB1CE4">
        <w:t>According to Article 2 of the Protocol on the convergence criteria referred to in Article 121 of the Treaty establishing the European Community, the criterion on the government budgetary position referred to in the second indent of Article 121(1) of the Treaty shall mean that at the time of the examination the Member State is not the subject of a Council decision under Article 104(6) of the Treaty that an excessive deficit exists.</w:t>
      </w:r>
    </w:p>
    <w:p w:rsidR="00C400F2" w:rsidRPr="00AB1CE4" w:rsidRDefault="00B8287D" w:rsidP="006E321F">
      <w:pPr>
        <w:pStyle w:val="Considrant"/>
      </w:pPr>
      <w:r w:rsidRPr="00AB1CE4">
        <w:rPr>
          <w:szCs w:val="24"/>
        </w:rPr>
        <w:t xml:space="preserve">According to Article 3 of the Protocol on the convergence criteria referred to in Article 121 of the Treaty establishing the European Community, the criterion on participation in the exchange-rate mechanism of the European Monetary System referred to in the third indent of Article 121(1) of the Treaty means that a Member State has respected the normal fluctuation </w:t>
      </w:r>
      <w:r w:rsidRPr="00AB1CE4">
        <w:t>margins</w:t>
      </w:r>
      <w:r w:rsidRPr="00AB1CE4">
        <w:rPr>
          <w:szCs w:val="24"/>
        </w:rPr>
        <w:t xml:space="preserve"> </w:t>
      </w:r>
      <w:r w:rsidRPr="00AB1CE4">
        <w:t>provided</w:t>
      </w:r>
      <w:r w:rsidRPr="00AB1CE4">
        <w:rPr>
          <w:szCs w:val="24"/>
        </w:rPr>
        <w:t xml:space="preserve"> for by the exchange-rate mechanism (ERM) of the European Monetary System without severe tensions for at least the last two years before the examination. In particular, the Member State must not have devalued its </w:t>
      </w:r>
      <w:r w:rsidRPr="00AB1CE4">
        <w:rPr>
          <w:bCs/>
          <w:szCs w:val="24"/>
        </w:rPr>
        <w:t>currency</w:t>
      </w:r>
      <w:r w:rsidRPr="00AB1CE4">
        <w:rPr>
          <w:szCs w:val="24"/>
        </w:rPr>
        <w:t xml:space="preserve">'s bilateral central rate against any other Member State's </w:t>
      </w:r>
      <w:r w:rsidRPr="00AB1CE4">
        <w:rPr>
          <w:bCs/>
          <w:szCs w:val="24"/>
        </w:rPr>
        <w:t>currency</w:t>
      </w:r>
      <w:r w:rsidRPr="00AB1CE4">
        <w:rPr>
          <w:szCs w:val="24"/>
        </w:rPr>
        <w:t xml:space="preserve"> on its own initiative for the same period. Since 1 January 1999 the ERM II provides the framework for assessing the fulfilment of the exchange rate criterion. In assessing the fulfilment of this criterion in their reports, the Commission and the ECB have examined the two-year period ending in</w:t>
      </w:r>
      <w:r w:rsidR="00B17639" w:rsidRPr="00AB1CE4">
        <w:rPr>
          <w:szCs w:val="24"/>
        </w:rPr>
        <w:t xml:space="preserve"> </w:t>
      </w:r>
      <w:r w:rsidRPr="00AB1CE4">
        <w:rPr>
          <w:szCs w:val="24"/>
        </w:rPr>
        <w:t>April 2006.</w:t>
      </w:r>
    </w:p>
    <w:p w:rsidR="00C400F2" w:rsidRPr="00AB1CE4" w:rsidRDefault="00B8287D" w:rsidP="006E321F">
      <w:pPr>
        <w:pStyle w:val="Considrant"/>
      </w:pPr>
      <w:r w:rsidRPr="00AB1CE4">
        <w:rPr>
          <w:szCs w:val="24"/>
        </w:rPr>
        <w:t xml:space="preserve">According to Article 4 of the Protocol on the convergence criteria referred to in Article 121 of the Treaty establishing the European Community, the criterion on the convergence of interest rates referred to in the fourth indent of Article 121(1) of the Treaty means that, </w:t>
      </w:r>
      <w:r w:rsidRPr="00AB1CE4">
        <w:t>observed</w:t>
      </w:r>
      <w:r w:rsidRPr="00AB1CE4">
        <w:rPr>
          <w:szCs w:val="24"/>
        </w:rPr>
        <w:t xml:space="preserve"> over a period of one year before the examination, a Member State has had an average nominal long-term interest rate that does not exceed by more than two percentage points that of, at most, the three best performing Member States in terms of price stability. </w:t>
      </w:r>
      <w:r w:rsidRPr="00AB1CE4">
        <w:t>For</w:t>
      </w:r>
      <w:r w:rsidRPr="00AB1CE4">
        <w:rPr>
          <w:szCs w:val="24"/>
        </w:rPr>
        <w:t xml:space="preserve"> the purpose of the criteria on the convergence of interest rates, comparable interest rates on 10-year benchmark government bonds were used. In order to assess the fulfilment of the interest-rate criterion a reference value calculated as the simple arithmetic average of the nominal long-term interest rates of the three best performing Member States in terms of price stability plus two percentage points was considered in the reports of the Commission and the ECB. On this basis, the reference value in the one year period ending in March 200</w:t>
      </w:r>
      <w:r w:rsidR="009063DF" w:rsidRPr="00AB1CE4">
        <w:rPr>
          <w:szCs w:val="24"/>
        </w:rPr>
        <w:t>6</w:t>
      </w:r>
      <w:r w:rsidRPr="00AB1CE4">
        <w:rPr>
          <w:szCs w:val="24"/>
        </w:rPr>
        <w:t xml:space="preserve"> was </w:t>
      </w:r>
      <w:r w:rsidR="008C0D42" w:rsidRPr="00AB1CE4">
        <w:rPr>
          <w:szCs w:val="24"/>
        </w:rPr>
        <w:t>5</w:t>
      </w:r>
      <w:r w:rsidR="00B718AD" w:rsidRPr="00AB1CE4">
        <w:rPr>
          <w:szCs w:val="24"/>
        </w:rPr>
        <w:t>.</w:t>
      </w:r>
      <w:r w:rsidR="00AE021A" w:rsidRPr="00AB1CE4">
        <w:rPr>
          <w:szCs w:val="24"/>
        </w:rPr>
        <w:t>9</w:t>
      </w:r>
      <w:r w:rsidRPr="00AB1CE4">
        <w:rPr>
          <w:szCs w:val="24"/>
        </w:rPr>
        <w:t xml:space="preserve"> </w:t>
      </w:r>
      <w:r w:rsidR="00AE021A" w:rsidRPr="00AB1CE4">
        <w:rPr>
          <w:szCs w:val="24"/>
        </w:rPr>
        <w:t>percent</w:t>
      </w:r>
      <w:r w:rsidRPr="00AB1CE4">
        <w:rPr>
          <w:szCs w:val="24"/>
        </w:rPr>
        <w:t>.</w:t>
      </w:r>
    </w:p>
    <w:p w:rsidR="00C400F2" w:rsidRPr="00AB1CE4" w:rsidRDefault="00FE02D3" w:rsidP="006E321F">
      <w:pPr>
        <w:pStyle w:val="Considrant"/>
      </w:pPr>
      <w:r w:rsidRPr="00AB1CE4">
        <w:rPr>
          <w:szCs w:val="24"/>
        </w:rPr>
        <w:t xml:space="preserve">In accordance with Article 5 of the Protocol on the convergence criteria referred to in Article 121 of the Treaty </w:t>
      </w:r>
      <w:r w:rsidRPr="00AB1CE4">
        <w:t>establishing</w:t>
      </w:r>
      <w:r w:rsidRPr="00AB1CE4">
        <w:rPr>
          <w:szCs w:val="24"/>
        </w:rPr>
        <w:t xml:space="preserve"> the European Community, the data used in the current assessment of the fulfilment of the convergence criteria will be provided by the Commission. For the preparation of this proposal the Commission provided data. Budgetary data were </w:t>
      </w:r>
      <w:r w:rsidRPr="00AB1CE4">
        <w:t>provided</w:t>
      </w:r>
      <w:r w:rsidRPr="00AB1CE4">
        <w:rPr>
          <w:szCs w:val="24"/>
        </w:rPr>
        <w:t xml:space="preserve"> by the Commission after reporting by the Member States by 1 April 2006 in accordance with Council Regulation (EC) No 3605/93 of 22 November 1993 on the application of the Protocol on the excessive deficit procedure annexed to the Treaty establishing the European Community</w:t>
      </w:r>
      <w:r w:rsidR="004A788E" w:rsidRPr="00AB1CE4">
        <w:rPr>
          <w:szCs w:val="24"/>
        </w:rPr>
        <w:t>.</w:t>
      </w:r>
      <w:r w:rsidRPr="00AB1CE4">
        <w:rPr>
          <w:rStyle w:val="Fotnotsreferens"/>
          <w:szCs w:val="24"/>
        </w:rPr>
        <w:footnoteReference w:id="9"/>
      </w:r>
    </w:p>
    <w:p w:rsidR="00732572" w:rsidRPr="00AB1CE4" w:rsidRDefault="00732572" w:rsidP="006E321F">
      <w:pPr>
        <w:pStyle w:val="Considrant"/>
      </w:pPr>
      <w:r w:rsidRPr="00AB1CE4">
        <w:t>O</w:t>
      </w:r>
      <w:r w:rsidR="001F561B" w:rsidRPr="00AB1CE4">
        <w:rPr>
          <w:szCs w:val="24"/>
        </w:rPr>
        <w:t xml:space="preserve">n the basis of reports presented by the Commission and the ECB on the progress made in the fulfilment by </w:t>
      </w:r>
      <w:r w:rsidR="008D4327" w:rsidRPr="00AB1CE4">
        <w:t>Slovenia</w:t>
      </w:r>
      <w:r w:rsidR="008D4327" w:rsidRPr="00AB1CE4">
        <w:rPr>
          <w:szCs w:val="24"/>
        </w:rPr>
        <w:t xml:space="preserve"> </w:t>
      </w:r>
      <w:r w:rsidR="001F561B" w:rsidRPr="00AB1CE4">
        <w:rPr>
          <w:szCs w:val="24"/>
        </w:rPr>
        <w:t xml:space="preserve">of </w:t>
      </w:r>
      <w:r w:rsidR="00B23E95" w:rsidRPr="00AB1CE4">
        <w:rPr>
          <w:szCs w:val="24"/>
        </w:rPr>
        <w:t>its</w:t>
      </w:r>
      <w:r w:rsidR="001F561B" w:rsidRPr="00AB1CE4">
        <w:rPr>
          <w:szCs w:val="24"/>
        </w:rPr>
        <w:t xml:space="preserve"> obligations regarding the achievement of </w:t>
      </w:r>
      <w:r w:rsidR="00AE021A" w:rsidRPr="00AB1CE4">
        <w:rPr>
          <w:szCs w:val="24"/>
        </w:rPr>
        <w:t>economic and monetary</w:t>
      </w:r>
      <w:r w:rsidR="00342B11" w:rsidRPr="00AB1CE4">
        <w:rPr>
          <w:szCs w:val="24"/>
        </w:rPr>
        <w:t xml:space="preserve"> union</w:t>
      </w:r>
      <w:r w:rsidR="001F561B" w:rsidRPr="00AB1CE4">
        <w:rPr>
          <w:szCs w:val="24"/>
        </w:rPr>
        <w:t>, the Co</w:t>
      </w:r>
      <w:r w:rsidRPr="00AB1CE4">
        <w:rPr>
          <w:szCs w:val="24"/>
        </w:rPr>
        <w:t>mmission concludes that:</w:t>
      </w:r>
    </w:p>
    <w:p w:rsidR="003F3CCC" w:rsidRPr="00AB1CE4" w:rsidRDefault="003F3CCC" w:rsidP="003F3CCC">
      <w:pPr>
        <w:pStyle w:val="Text1"/>
      </w:pPr>
      <w:r w:rsidRPr="00AB1CE4">
        <w:t xml:space="preserve">In Slovenia, national legislation, including the </w:t>
      </w:r>
      <w:r w:rsidR="00342B11" w:rsidRPr="00AB1CE4">
        <w:t>S</w:t>
      </w:r>
      <w:r w:rsidRPr="00AB1CE4">
        <w:t>tatute of the national central bank, is compatible with Articles 108 and 109 of the Treaty and the Statute of the ESCB</w:t>
      </w:r>
      <w:r w:rsidR="00342B11" w:rsidRPr="00AB1CE4">
        <w:t>.</w:t>
      </w:r>
    </w:p>
    <w:p w:rsidR="00C400F2" w:rsidRPr="00AB1CE4" w:rsidRDefault="00C400F2" w:rsidP="00384B27">
      <w:pPr>
        <w:pStyle w:val="Text1"/>
      </w:pPr>
      <w:r w:rsidRPr="00AB1CE4">
        <w:rPr>
          <w:szCs w:val="24"/>
        </w:rPr>
        <w:t>Regarding</w:t>
      </w:r>
      <w:r w:rsidRPr="00AB1CE4">
        <w:t xml:space="preserve"> the fulfilment by </w:t>
      </w:r>
      <w:r w:rsidR="00B718AD" w:rsidRPr="00AB1CE4">
        <w:t>Slovenia</w:t>
      </w:r>
      <w:r w:rsidRPr="00AB1CE4">
        <w:t xml:space="preserve"> of the convergence criteria mentioned in the four indents of Article 122 (1) of the Treaty:</w:t>
      </w:r>
    </w:p>
    <w:p w:rsidR="00C400F2" w:rsidRPr="00AB1CE4" w:rsidRDefault="00C400F2" w:rsidP="00B72936">
      <w:pPr>
        <w:pStyle w:val="Tiret1"/>
      </w:pPr>
      <w:r w:rsidRPr="00AB1CE4">
        <w:t xml:space="preserve">the average inflation rate in </w:t>
      </w:r>
      <w:r w:rsidR="00B718AD" w:rsidRPr="00AB1CE4">
        <w:t xml:space="preserve">Slovenia </w:t>
      </w:r>
      <w:r w:rsidRPr="00AB1CE4">
        <w:t>in the year ending March 200</w:t>
      </w:r>
      <w:r w:rsidR="00B718AD" w:rsidRPr="00AB1CE4">
        <w:t>6</w:t>
      </w:r>
      <w:r w:rsidRPr="00AB1CE4">
        <w:t xml:space="preserve"> stood at 2.</w:t>
      </w:r>
      <w:r w:rsidR="00B718AD" w:rsidRPr="00AB1CE4">
        <w:t>3</w:t>
      </w:r>
      <w:r w:rsidR="00AE021A" w:rsidRPr="00AB1CE4">
        <w:t xml:space="preserve"> percent,</w:t>
      </w:r>
      <w:r w:rsidRPr="00AB1CE4">
        <w:t xml:space="preserve"> which is below the reference value</w:t>
      </w:r>
      <w:r w:rsidR="002263A8" w:rsidRPr="00AB1CE4">
        <w:t xml:space="preserve"> and is likely to continue to do so in the months ahead</w:t>
      </w:r>
      <w:r w:rsidRPr="00AB1CE4">
        <w:t>;</w:t>
      </w:r>
    </w:p>
    <w:p w:rsidR="00C400F2" w:rsidRPr="00AB1CE4" w:rsidRDefault="00B718AD" w:rsidP="00B72936">
      <w:pPr>
        <w:pStyle w:val="Tiret1"/>
      </w:pPr>
      <w:r w:rsidRPr="00AB1CE4">
        <w:t>Slovenia</w:t>
      </w:r>
      <w:r w:rsidR="005A70EB" w:rsidRPr="00AB1CE4">
        <w:t xml:space="preserve"> </w:t>
      </w:r>
      <w:r w:rsidR="00C400F2" w:rsidRPr="00AB1CE4">
        <w:t>is not the subject of a Council Decision on the existence of an excessive government deficit;</w:t>
      </w:r>
    </w:p>
    <w:p w:rsidR="00C400F2" w:rsidRPr="00AB1CE4" w:rsidRDefault="00B718AD" w:rsidP="00906693">
      <w:pPr>
        <w:pStyle w:val="Tiret1"/>
      </w:pPr>
      <w:r w:rsidRPr="00AB1CE4">
        <w:t>Slovenia</w:t>
      </w:r>
      <w:r w:rsidR="00C400F2" w:rsidRPr="00AB1CE4">
        <w:t xml:space="preserve"> has been a member of ERM II </w:t>
      </w:r>
      <w:r w:rsidR="005A205B" w:rsidRPr="00AB1CE4">
        <w:t>since 28 June 2004</w:t>
      </w:r>
      <w:r w:rsidR="00C400F2" w:rsidRPr="00AB1CE4">
        <w:t>; in th</w:t>
      </w:r>
      <w:r w:rsidR="005A205B" w:rsidRPr="00AB1CE4">
        <w:t>e two-year period ending April 2006</w:t>
      </w:r>
      <w:r w:rsidR="00C400F2" w:rsidRPr="00AB1CE4">
        <w:t xml:space="preserve"> the </w:t>
      </w:r>
      <w:r w:rsidRPr="00AB1CE4">
        <w:t xml:space="preserve">Slovenian tolar (SIT) </w:t>
      </w:r>
      <w:r w:rsidR="00C400F2" w:rsidRPr="00AB1CE4">
        <w:t xml:space="preserve">has not been subject to severe tensions and </w:t>
      </w:r>
      <w:r w:rsidRPr="00AB1CE4">
        <w:t>Slovenia</w:t>
      </w:r>
      <w:r w:rsidR="00C400F2" w:rsidRPr="00AB1CE4">
        <w:t xml:space="preserve"> has not devalued, on its own initiative, the </w:t>
      </w:r>
      <w:r w:rsidR="00B17639" w:rsidRPr="00AB1CE4">
        <w:t xml:space="preserve">SIT bilateral </w:t>
      </w:r>
      <w:r w:rsidR="00C400F2" w:rsidRPr="00AB1CE4">
        <w:t xml:space="preserve">central rate against </w:t>
      </w:r>
      <w:r w:rsidR="005A205B" w:rsidRPr="00AB1CE4">
        <w:t xml:space="preserve">the </w:t>
      </w:r>
      <w:r w:rsidR="005A70EB" w:rsidRPr="00AB1CE4">
        <w:t>euro</w:t>
      </w:r>
      <w:r w:rsidR="00C400F2" w:rsidRPr="00AB1CE4">
        <w:t>;</w:t>
      </w:r>
    </w:p>
    <w:p w:rsidR="00C400F2" w:rsidRPr="00AB1CE4" w:rsidRDefault="00C400F2" w:rsidP="00906693">
      <w:pPr>
        <w:pStyle w:val="Tiret1"/>
      </w:pPr>
      <w:r w:rsidRPr="00AB1CE4">
        <w:t>in the year ending March 200</w:t>
      </w:r>
      <w:r w:rsidR="00B718AD" w:rsidRPr="00AB1CE4">
        <w:t>6</w:t>
      </w:r>
      <w:r w:rsidRPr="00AB1CE4">
        <w:t xml:space="preserve"> the long</w:t>
      </w:r>
      <w:r w:rsidRPr="00AB1CE4">
        <w:noBreakHyphen/>
        <w:t xml:space="preserve">term interest rate in </w:t>
      </w:r>
      <w:r w:rsidR="00B718AD" w:rsidRPr="00AB1CE4">
        <w:t xml:space="preserve">Slovenia </w:t>
      </w:r>
      <w:r w:rsidRPr="00AB1CE4">
        <w:t xml:space="preserve">was, on average, </w:t>
      </w:r>
      <w:r w:rsidR="00B718AD" w:rsidRPr="00AB1CE4">
        <w:t>3.8</w:t>
      </w:r>
      <w:r w:rsidR="00AE021A" w:rsidRPr="00AB1CE4">
        <w:t xml:space="preserve"> percent</w:t>
      </w:r>
      <w:r w:rsidRPr="00AB1CE4">
        <w:t xml:space="preserve"> which is below the reference value</w:t>
      </w:r>
      <w:r w:rsidR="00342B11" w:rsidRPr="00AB1CE4">
        <w:t>.</w:t>
      </w:r>
    </w:p>
    <w:p w:rsidR="00C400F2" w:rsidRPr="00AB1CE4" w:rsidRDefault="00B718AD" w:rsidP="00384B27">
      <w:pPr>
        <w:pStyle w:val="Text1"/>
      </w:pPr>
      <w:r w:rsidRPr="00AB1CE4">
        <w:t>Slovenia</w:t>
      </w:r>
      <w:r w:rsidR="00C400F2" w:rsidRPr="00AB1CE4">
        <w:t xml:space="preserve"> has achieved a high degree of sustainable convergence by reference to </w:t>
      </w:r>
      <w:r w:rsidR="004A788E" w:rsidRPr="00AB1CE4">
        <w:t>these</w:t>
      </w:r>
      <w:r w:rsidR="00C400F2" w:rsidRPr="00AB1CE4">
        <w:t xml:space="preserve"> </w:t>
      </w:r>
      <w:r w:rsidR="00C400F2" w:rsidRPr="00AB1CE4">
        <w:rPr>
          <w:szCs w:val="24"/>
        </w:rPr>
        <w:t>criteria</w:t>
      </w:r>
      <w:r w:rsidR="00C400F2" w:rsidRPr="00AB1CE4">
        <w:t>.</w:t>
      </w:r>
    </w:p>
    <w:p w:rsidR="00BC3ACD" w:rsidRPr="00AB1CE4" w:rsidRDefault="00BC3ACD" w:rsidP="004F047F">
      <w:pPr>
        <w:pStyle w:val="Text1"/>
      </w:pPr>
      <w:r w:rsidRPr="00AB1CE4">
        <w:t xml:space="preserve">Consequently, Slovenia fulfils the necessary conditions for the adoption of </w:t>
      </w:r>
      <w:r w:rsidR="00FF68E4" w:rsidRPr="00AB1CE4">
        <w:t>the</w:t>
      </w:r>
      <w:r w:rsidRPr="00AB1CE4">
        <w:t xml:space="preserve"> single currency.</w:t>
      </w:r>
    </w:p>
    <w:p w:rsidR="00C400F2" w:rsidRPr="00AB1CE4" w:rsidRDefault="00023B88" w:rsidP="00D2016A">
      <w:pPr>
        <w:pStyle w:val="Considrant"/>
      </w:pPr>
      <w:r w:rsidRPr="00AB1CE4">
        <w:t>T</w:t>
      </w:r>
      <w:r w:rsidR="00C400F2" w:rsidRPr="00AB1CE4">
        <w:t xml:space="preserve">he Council, acting by qualified majority on a proposal by the Commission, shall decide </w:t>
      </w:r>
      <w:r w:rsidR="00C400F2" w:rsidRPr="00AB1CE4">
        <w:rPr>
          <w:szCs w:val="24"/>
        </w:rPr>
        <w:t>which</w:t>
      </w:r>
      <w:r w:rsidR="00C400F2" w:rsidRPr="00AB1CE4">
        <w:t xml:space="preserve"> Member States with a derogation fulfil the necessary conditions for the adoption of the single currency and abrogate the derogations of the Member States concerned</w:t>
      </w:r>
      <w:r w:rsidR="00A41BD1" w:rsidRPr="00AB1CE4">
        <w:t>.</w:t>
      </w:r>
    </w:p>
    <w:p w:rsidR="00C400F2" w:rsidRPr="00AB1CE4" w:rsidRDefault="00C400F2" w:rsidP="00FB2D4E">
      <w:pPr>
        <w:pStyle w:val="Formuledadoption"/>
        <w:outlineLvl w:val="0"/>
      </w:pPr>
      <w:r w:rsidRPr="00AB1CE4">
        <w:t xml:space="preserve">HAS ADOPTED THIS DECISION: </w:t>
      </w:r>
    </w:p>
    <w:p w:rsidR="00C400F2" w:rsidRPr="00AB1CE4" w:rsidRDefault="00C400F2" w:rsidP="00FB2D4E">
      <w:pPr>
        <w:pStyle w:val="Titrearticle"/>
        <w:outlineLvl w:val="0"/>
      </w:pPr>
      <w:r w:rsidRPr="00AB1CE4">
        <w:t>Article 1</w:t>
      </w:r>
    </w:p>
    <w:p w:rsidR="00C400F2" w:rsidRPr="00AB1CE4" w:rsidRDefault="00A41BD1">
      <w:r w:rsidRPr="00AB1CE4">
        <w:t>Slovenia</w:t>
      </w:r>
      <w:r w:rsidR="00C400F2" w:rsidRPr="00AB1CE4">
        <w:t xml:space="preserve"> fulfils the necessary conditions for the adoption of the single currency. The derogation </w:t>
      </w:r>
      <w:r w:rsidR="00BC3ACD" w:rsidRPr="00AB1CE4">
        <w:t>in favour of Slovenia referred to in Article 4 of the</w:t>
      </w:r>
      <w:r w:rsidR="00BC3ACD" w:rsidRPr="00AB1CE4" w:rsidDel="00BC3ACD">
        <w:t xml:space="preserve"> </w:t>
      </w:r>
      <w:r w:rsidR="00D2016A" w:rsidRPr="00AB1CE4">
        <w:t>Act of Accession</w:t>
      </w:r>
      <w:r w:rsidR="00C400F2" w:rsidRPr="00AB1CE4">
        <w:t xml:space="preserve"> is abrogated with effect from 1 January 200</w:t>
      </w:r>
      <w:r w:rsidRPr="00AB1CE4">
        <w:t>7</w:t>
      </w:r>
      <w:r w:rsidR="00C400F2" w:rsidRPr="00AB1CE4">
        <w:t>.</w:t>
      </w:r>
    </w:p>
    <w:p w:rsidR="00C400F2" w:rsidRPr="00AB1CE4" w:rsidRDefault="00C400F2" w:rsidP="00FB2D4E">
      <w:pPr>
        <w:pStyle w:val="Titrearticle"/>
        <w:outlineLvl w:val="0"/>
      </w:pPr>
      <w:r w:rsidRPr="00AB1CE4">
        <w:t>Article 2</w:t>
      </w:r>
    </w:p>
    <w:p w:rsidR="00C400F2" w:rsidRPr="00AB1CE4" w:rsidRDefault="00C400F2">
      <w:r w:rsidRPr="00AB1CE4">
        <w:t>This Decision is addressed to the Member States.</w:t>
      </w:r>
    </w:p>
    <w:p w:rsidR="00C400F2" w:rsidRPr="00AB1CE4" w:rsidRDefault="00C400F2" w:rsidP="00FB2D4E">
      <w:pPr>
        <w:pStyle w:val="Titrearticle"/>
        <w:outlineLvl w:val="0"/>
      </w:pPr>
      <w:r w:rsidRPr="00AB1CE4">
        <w:t>Article 3</w:t>
      </w:r>
    </w:p>
    <w:p w:rsidR="00C400F2" w:rsidRPr="00AB1CE4" w:rsidRDefault="00C400F2">
      <w:r w:rsidRPr="00AB1CE4">
        <w:t xml:space="preserve">This Decision shall be published in the </w:t>
      </w:r>
      <w:r w:rsidRPr="00AB1CE4">
        <w:rPr>
          <w:i/>
        </w:rPr>
        <w:t xml:space="preserve">Official Journal of the European </w:t>
      </w:r>
      <w:r w:rsidR="004F047F" w:rsidRPr="00AB1CE4">
        <w:rPr>
          <w:i/>
        </w:rPr>
        <w:t>Union</w:t>
      </w:r>
      <w:r w:rsidRPr="00AB1CE4">
        <w:t>.</w:t>
      </w:r>
    </w:p>
    <w:p w:rsidR="00C400F2" w:rsidRPr="00AB1CE4" w:rsidRDefault="00C400F2" w:rsidP="00FB2D4E">
      <w:pPr>
        <w:pStyle w:val="Fait"/>
        <w:outlineLvl w:val="0"/>
      </w:pPr>
      <w:r w:rsidRPr="00AB1CE4">
        <w:t xml:space="preserve">Done at </w:t>
      </w:r>
    </w:p>
    <w:p w:rsidR="00C400F2" w:rsidRPr="00AB1CE4" w:rsidRDefault="00C400F2">
      <w:pPr>
        <w:pStyle w:val="Institutionquisigne"/>
      </w:pPr>
      <w:r w:rsidRPr="00AB1CE4">
        <w:tab/>
        <w:t>For the Council</w:t>
      </w:r>
    </w:p>
    <w:p w:rsidR="00C400F2" w:rsidRPr="00AB1CE4" w:rsidRDefault="00C400F2">
      <w:pPr>
        <w:pStyle w:val="Personnequisigne"/>
      </w:pPr>
      <w:r w:rsidRPr="00AB1CE4">
        <w:tab/>
        <w:t>The President</w:t>
      </w:r>
      <w:r w:rsidRPr="00AB1CE4">
        <w:br/>
      </w:r>
      <w:r w:rsidRPr="00AB1CE4">
        <w:tab/>
      </w:r>
    </w:p>
    <w:sectPr w:rsidR="00C400F2" w:rsidRPr="00AB1CE4" w:rsidSect="00D379D4">
      <w:pgSz w:w="11906" w:h="16838"/>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BCC" w:rsidRPr="00AB1CE4" w:rsidRDefault="00E02BCC">
      <w:r w:rsidRPr="00AB1CE4">
        <w:separator/>
      </w:r>
    </w:p>
  </w:endnote>
  <w:endnote w:type="continuationSeparator" w:id="0">
    <w:p w:rsidR="00E02BCC" w:rsidRPr="00AB1CE4" w:rsidRDefault="00E02BCC">
      <w:r w:rsidRPr="00AB1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AB1CE4" w:rsidRDefault="00FB2D4E">
    <w:pPr>
      <w:pStyle w:val="FooterConseil"/>
      <w:pBdr>
        <w:bottom w:val="single" w:sz="4" w:space="1" w:color="auto"/>
      </w:pBdr>
      <w:spacing w:after="60"/>
    </w:pPr>
  </w:p>
  <w:p w:rsidR="00FB2D4E" w:rsidRPr="00AB1CE4" w:rsidRDefault="00FB2D4E">
    <w:pPr>
      <w:pStyle w:val="FooterConseil"/>
    </w:pPr>
    <w:bookmarkStart w:id="6" w:name="CoteFooter"/>
    <w:bookmarkEnd w:id="6"/>
    <w:r w:rsidRPr="00AB1CE4">
      <w:t xml:space="preserve">9666/06 </w:t>
    </w:r>
    <w:r w:rsidRPr="00AB1CE4">
      <w:tab/>
    </w:r>
    <w:r w:rsidRPr="00AB1CE4">
      <w:tab/>
    </w:r>
    <w:bookmarkStart w:id="7" w:name="Init"/>
    <w:bookmarkEnd w:id="7"/>
    <w:r w:rsidRPr="00AB1CE4">
      <w:t>KG/jmc</w:t>
    </w:r>
    <w:r w:rsidRPr="00AB1CE4">
      <w:tab/>
    </w:r>
    <w:r w:rsidRPr="00AB1CE4">
      <w:fldChar w:fldCharType="begin" w:fldLock="1"/>
    </w:r>
    <w:r w:rsidRPr="00AB1CE4">
      <w:instrText xml:space="preserve"> PAGE </w:instrText>
    </w:r>
    <w:r w:rsidRPr="00AB1CE4">
      <w:fldChar w:fldCharType="separate"/>
    </w:r>
    <w:r w:rsidR="00DF55EF" w:rsidRPr="00AB1CE4">
      <w:t>1</w:t>
    </w:r>
    <w:r w:rsidRPr="00AB1CE4">
      <w:fldChar w:fldCharType="end"/>
    </w:r>
  </w:p>
  <w:p w:rsidR="00FB2D4E" w:rsidRPr="00AB1CE4" w:rsidRDefault="00FB2D4E">
    <w:pPr>
      <w:pStyle w:val="FooterConseil"/>
      <w:tabs>
        <w:tab w:val="clear" w:pos="7371"/>
      </w:tabs>
      <w:spacing w:line="280" w:lineRule="exact"/>
      <w:rPr>
        <w:position w:val="-4"/>
      </w:rPr>
    </w:pPr>
    <w:r w:rsidRPr="00AB1CE4">
      <w:tab/>
    </w:r>
    <w:bookmarkStart w:id="8" w:name="DG"/>
    <w:bookmarkEnd w:id="8"/>
    <w:r w:rsidRPr="00AB1CE4">
      <w:t>DG G I</w:t>
    </w:r>
    <w:r w:rsidRPr="00AB1CE4">
      <w:tab/>
    </w:r>
    <w:bookmarkStart w:id="9" w:name="FooterCoteSec"/>
    <w:r w:rsidRPr="00AB1CE4">
      <w:rPr>
        <w:b/>
        <w:position w:val="-4"/>
        <w:sz w:val="36"/>
      </w:rPr>
      <w:t xml:space="preserve"> </w:t>
    </w:r>
    <w:bookmarkEnd w:id="9"/>
    <w:r w:rsidRPr="00AB1CE4">
      <w:rPr>
        <w:position w:val="-4"/>
      </w:rPr>
      <w:t> </w:t>
    </w:r>
    <w:bookmarkStart w:id="10" w:name="Langue"/>
    <w:r w:rsidRPr="00AB1CE4">
      <w:rPr>
        <w:b/>
        <w:position w:val="-4"/>
        <w:sz w:val="36"/>
      </w:rPr>
      <w:t>EN</w:t>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AB1CE4" w:rsidRDefault="00FB2D4E" w:rsidP="00D379D4">
    <w:pPr>
      <w:pStyle w:val="Sidfot"/>
      <w:rPr>
        <w:rFonts w:ascii="Arial" w:hAnsi="Arial" w:cs="Arial"/>
        <w:b/>
        <w:sz w:val="48"/>
      </w:rPr>
    </w:pPr>
    <w:r w:rsidRPr="00AB1CE4">
      <w:rPr>
        <w:rFonts w:ascii="Arial" w:hAnsi="Arial" w:cs="Arial"/>
        <w:b/>
        <w:sz w:val="48"/>
      </w:rPr>
      <w:t>EN</w:t>
    </w:r>
    <w:r w:rsidRPr="00AB1CE4">
      <w:rPr>
        <w:rFonts w:ascii="Arial" w:hAnsi="Arial" w:cs="Arial"/>
        <w:b/>
        <w:sz w:val="48"/>
      </w:rPr>
      <w:tab/>
    </w:r>
    <w:r w:rsidRPr="00AB1CE4">
      <w:rPr>
        <w:rFonts w:ascii="Arial" w:hAnsi="Arial" w:cs="Arial"/>
        <w:b/>
        <w:sz w:val="48"/>
      </w:rPr>
      <w:tab/>
    </w:r>
    <w:fldSimple w:instr=" DOCPROPERTY &quot;Classification&quot; \* MERGEFORMAT " w:fldLock="1">
      <w:r w:rsidR="00DF55EF" w:rsidRPr="00AB1CE4">
        <w:t xml:space="preserve"> </w:t>
      </w:r>
    </w:fldSimple>
    <w:r w:rsidRPr="00AB1CE4">
      <w:tab/>
    </w:r>
    <w:r w:rsidRPr="00AB1CE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D379D4" w:rsidRDefault="00FB2D4E" w:rsidP="00D379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AB1CE4" w:rsidRDefault="00FB2D4E" w:rsidP="00D379D4">
    <w:pPr>
      <w:pStyle w:val="Sidfot"/>
      <w:rPr>
        <w:rFonts w:ascii="Arial" w:hAnsi="Arial" w:cs="Arial"/>
        <w:b/>
        <w:sz w:val="48"/>
      </w:rPr>
    </w:pPr>
    <w:r w:rsidRPr="00AB1CE4">
      <w:rPr>
        <w:rFonts w:ascii="Arial" w:hAnsi="Arial" w:cs="Arial"/>
        <w:b/>
        <w:sz w:val="48"/>
      </w:rPr>
      <w:t>EN</w:t>
    </w:r>
    <w:r w:rsidRPr="00AB1CE4">
      <w:rPr>
        <w:rFonts w:ascii="Arial" w:hAnsi="Arial" w:cs="Arial"/>
        <w:b/>
        <w:sz w:val="48"/>
      </w:rPr>
      <w:tab/>
    </w:r>
    <w:r w:rsidRPr="00AB1CE4">
      <w:fldChar w:fldCharType="begin" w:fldLock="1"/>
    </w:r>
    <w:r w:rsidRPr="00AB1CE4">
      <w:instrText xml:space="preserve"> PAGE  \* MERGEFORMAT </w:instrText>
    </w:r>
    <w:r w:rsidRPr="00AB1CE4">
      <w:fldChar w:fldCharType="separate"/>
    </w:r>
    <w:r w:rsidR="00DF55EF" w:rsidRPr="00AB1CE4">
      <w:t>7</w:t>
    </w:r>
    <w:r w:rsidRPr="00AB1CE4">
      <w:fldChar w:fldCharType="end"/>
    </w:r>
    <w:r w:rsidRPr="00AB1CE4">
      <w:tab/>
    </w:r>
    <w:fldSimple w:instr=" DOCPROPERTY &quot;Classification&quot; \* MERGEFORMAT " w:fldLock="1">
      <w:r w:rsidR="00DF55EF" w:rsidRPr="00AB1CE4">
        <w:t xml:space="preserve"> </w:t>
      </w:r>
    </w:fldSimple>
    <w:r w:rsidRPr="00AB1CE4">
      <w:tab/>
    </w:r>
    <w:r w:rsidRPr="00AB1CE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D379D4" w:rsidRDefault="00FB2D4E" w:rsidP="00D37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BCC" w:rsidRPr="00AB1CE4" w:rsidRDefault="00E02BCC">
      <w:r w:rsidRPr="00AB1CE4">
        <w:separator/>
      </w:r>
    </w:p>
  </w:footnote>
  <w:footnote w:type="continuationSeparator" w:id="0">
    <w:p w:rsidR="00E02BCC" w:rsidRPr="00AB1CE4" w:rsidRDefault="00E02BCC">
      <w:r w:rsidRPr="00AB1CE4">
        <w:continuationSeparator/>
      </w:r>
    </w:p>
  </w:footnote>
  <w:footnote w:id="1">
    <w:p w:rsidR="00FB2D4E" w:rsidRPr="00AB1CE4" w:rsidRDefault="00FB2D4E" w:rsidP="00B17639">
      <w:pPr>
        <w:pStyle w:val="Fotnotstext"/>
      </w:pPr>
      <w:r w:rsidRPr="00AB1CE4">
        <w:rPr>
          <w:rStyle w:val="Fotnotsreferens"/>
        </w:rPr>
        <w:footnoteRef/>
      </w:r>
      <w:r w:rsidRPr="00AB1CE4">
        <w:tab/>
      </w:r>
      <w:r w:rsidRPr="00AB1CE4">
        <w:rPr>
          <w:highlight w:val="yellow"/>
        </w:rPr>
        <w:t>COM (….)</w:t>
      </w:r>
    </w:p>
  </w:footnote>
  <w:footnote w:id="2">
    <w:p w:rsidR="00FB2D4E" w:rsidRPr="00AB1CE4" w:rsidRDefault="00FB2D4E">
      <w:pPr>
        <w:pStyle w:val="Fotnotstext"/>
      </w:pPr>
      <w:r w:rsidRPr="00AB1CE4">
        <w:rPr>
          <w:rStyle w:val="Fotnotsreferens"/>
          <w:highlight w:val="yellow"/>
        </w:rPr>
        <w:footnoteRef/>
      </w:r>
      <w:r w:rsidRPr="00AB1CE4">
        <w:tab/>
      </w:r>
    </w:p>
  </w:footnote>
  <w:footnote w:id="3">
    <w:p w:rsidR="00FB2D4E" w:rsidRPr="00AB1CE4" w:rsidRDefault="00FB2D4E">
      <w:pPr>
        <w:pStyle w:val="Fotnotstext"/>
      </w:pPr>
      <w:r w:rsidRPr="00AB1CE4">
        <w:rPr>
          <w:rStyle w:val="Fotnotsreferens"/>
        </w:rPr>
        <w:footnoteRef/>
      </w:r>
      <w:r w:rsidRPr="00AB1CE4">
        <w:tab/>
        <w:t>Council Decision 1998/317/EC of 3 May 1998 (OJ L 139, 11.5.1998, p.30).</w:t>
      </w:r>
    </w:p>
  </w:footnote>
  <w:footnote w:id="4">
    <w:p w:rsidR="00FB2D4E" w:rsidRPr="00AB1CE4" w:rsidRDefault="00FB2D4E" w:rsidP="00BC3ACD">
      <w:pPr>
        <w:pStyle w:val="Fotnotstext"/>
      </w:pPr>
      <w:r w:rsidRPr="00AB1CE4">
        <w:rPr>
          <w:rStyle w:val="Fotnotsreferens"/>
        </w:rPr>
        <w:footnoteRef/>
      </w:r>
      <w:r w:rsidRPr="00AB1CE4">
        <w:tab/>
        <w:t>Council Decision 2000/427/EC of 19 June 2000 (OJ L 167 of 7.7.2000, p.19).</w:t>
      </w:r>
    </w:p>
  </w:footnote>
  <w:footnote w:id="5">
    <w:p w:rsidR="00FB2D4E" w:rsidRPr="00AB1CE4" w:rsidRDefault="00FB2D4E">
      <w:pPr>
        <w:pStyle w:val="Fotnotstext"/>
      </w:pPr>
      <w:r w:rsidRPr="00AB1CE4">
        <w:rPr>
          <w:rStyle w:val="Fotnotsreferens"/>
        </w:rPr>
        <w:footnoteRef/>
      </w:r>
      <w:r w:rsidRPr="00AB1CE4">
        <w:tab/>
        <w:t>OJ L 236, 23.9.2003, p. 33.</w:t>
      </w:r>
    </w:p>
  </w:footnote>
  <w:footnote w:id="6">
    <w:p w:rsidR="00FB2D4E" w:rsidRPr="00AB1CE4" w:rsidRDefault="00FB2D4E" w:rsidP="00C13444">
      <w:pPr>
        <w:pStyle w:val="Fotnotstext"/>
      </w:pPr>
      <w:r w:rsidRPr="00AB1CE4">
        <w:rPr>
          <w:rStyle w:val="Fotnotsreferens"/>
        </w:rPr>
        <w:footnoteRef/>
      </w:r>
      <w:r w:rsidRPr="00AB1CE4">
        <w:tab/>
        <w:t>OJ C 236, 2.8.1997, p. 5.</w:t>
      </w:r>
    </w:p>
  </w:footnote>
  <w:footnote w:id="7">
    <w:p w:rsidR="00FB2D4E" w:rsidRPr="00AB1CE4" w:rsidRDefault="00FB2D4E">
      <w:pPr>
        <w:pStyle w:val="Fotnotstext"/>
      </w:pPr>
      <w:r w:rsidRPr="00AB1CE4">
        <w:rPr>
          <w:rStyle w:val="Fotnotsreferens"/>
        </w:rPr>
        <w:footnoteRef/>
      </w:r>
      <w:r w:rsidRPr="00AB1CE4">
        <w:tab/>
        <w:t>OJ C 345, 13.11.1998, p.6 as amended by the Agreement of 14 September 2000 (OJ C 362, 16.12.2000, p. 11).</w:t>
      </w:r>
    </w:p>
  </w:footnote>
  <w:footnote w:id="8">
    <w:p w:rsidR="00FB2D4E" w:rsidRPr="00AB1CE4" w:rsidRDefault="00FB2D4E" w:rsidP="00D54E07">
      <w:pPr>
        <w:pStyle w:val="Fotnotstext"/>
      </w:pPr>
      <w:r w:rsidRPr="00AB1CE4">
        <w:rPr>
          <w:rStyle w:val="Fotnotsreferens"/>
        </w:rPr>
        <w:footnoteRef/>
      </w:r>
      <w:r w:rsidRPr="00AB1CE4">
        <w:tab/>
        <w:t>Council Regulation (EC) No 2494/95 of 23 October 1995 concerning harmonised indices of consumer prices (OJ L 257, 27.10.1995, p. 1) as amended by Regulation (EC) No 1882/2003 of the European Parliament and the Council No 1882/2003 (OJ L 284, 31.10.2003, p. 1).</w:t>
      </w:r>
    </w:p>
  </w:footnote>
  <w:footnote w:id="9">
    <w:p w:rsidR="00FB2D4E" w:rsidRPr="00AB1CE4" w:rsidRDefault="00FB2D4E" w:rsidP="00906693">
      <w:pPr>
        <w:pStyle w:val="Fotnotstext"/>
      </w:pPr>
      <w:r w:rsidRPr="00AB1CE4">
        <w:rPr>
          <w:rStyle w:val="Fotnotsreferens"/>
        </w:rPr>
        <w:footnoteRef/>
      </w:r>
      <w:r w:rsidRPr="00AB1CE4">
        <w:tab/>
        <w:t>OJ L 332, 31.12.1993, p. 7. Regulation as last amended by Council Regulation (EC) No 2103/2005 (OJ L 337, 22.12.2005,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4E" w:rsidRPr="00D379D4" w:rsidRDefault="00FB2D4E" w:rsidP="00D379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EFD2481"/>
    <w:multiLevelType w:val="multilevel"/>
    <w:tmpl w:val="BBAADA64"/>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B32F07"/>
    <w:multiLevelType w:val="multilevel"/>
    <w:tmpl w:val="6734C01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59361D7"/>
    <w:multiLevelType w:val="singleLevel"/>
    <w:tmpl w:val="CBF86BB2"/>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3" w15:restartNumberingAfterBreak="0">
    <w:nsid w:val="1E346EC6"/>
    <w:multiLevelType w:val="singleLevel"/>
    <w:tmpl w:val="EAA2D466"/>
    <w:name w:val="List Bullet"/>
    <w:lvl w:ilvl="0">
      <w:start w:val="1"/>
      <w:numFmt w:val="bullet"/>
      <w:lvlRestart w:val="0"/>
      <w:pStyle w:val="Punktlista"/>
      <w:lvlText w:val=""/>
      <w:lvlJc w:val="left"/>
      <w:pPr>
        <w:tabs>
          <w:tab w:val="num" w:pos="283"/>
        </w:tabs>
        <w:ind w:left="283" w:hanging="283"/>
      </w:pPr>
      <w:rPr>
        <w:rFonts w:ascii="Symbol" w:hAnsi="Symbol"/>
      </w:rPr>
    </w:lvl>
  </w:abstractNum>
  <w:abstractNum w:abstractNumId="4" w15:restartNumberingAfterBreak="0">
    <w:nsid w:val="2733065B"/>
    <w:multiLevelType w:val="singleLevel"/>
    <w:tmpl w:val="51A0C2B8"/>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5" w15:restartNumberingAfterBreak="0">
    <w:nsid w:val="305F6EE0"/>
    <w:multiLevelType w:val="singleLevel"/>
    <w:tmpl w:val="4B6018F6"/>
    <w:lvl w:ilvl="0">
      <w:start w:val="1"/>
      <w:numFmt w:val="decimal"/>
      <w:lvlRestart w:val="0"/>
      <w:pStyle w:val="Considrant"/>
      <w:lvlText w:val="(%1)"/>
      <w:lvlJc w:val="left"/>
      <w:pPr>
        <w:tabs>
          <w:tab w:val="num" w:pos="709"/>
        </w:tabs>
        <w:ind w:left="709" w:hanging="709"/>
      </w:pPr>
    </w:lvl>
  </w:abstractNum>
  <w:abstractNum w:abstractNumId="6" w15:restartNumberingAfterBreak="0">
    <w:nsid w:val="40E72584"/>
    <w:multiLevelType w:val="multilevel"/>
    <w:tmpl w:val="A4B8AD78"/>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2E10EC"/>
    <w:multiLevelType w:val="singleLevel"/>
    <w:tmpl w:val="8648E354"/>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8" w15:restartNumberingAfterBreak="0">
    <w:nsid w:val="43D4693B"/>
    <w:multiLevelType w:val="multilevel"/>
    <w:tmpl w:val="EEE2FA1A"/>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5C02279"/>
    <w:multiLevelType w:val="singleLevel"/>
    <w:tmpl w:val="EBAEF04A"/>
    <w:name w:val="Tiret 2"/>
    <w:lvl w:ilvl="0">
      <w:start w:val="1"/>
      <w:numFmt w:val="bullet"/>
      <w:lvlRestart w:val="0"/>
      <w:pStyle w:val="Tiret2"/>
      <w:lvlText w:val="–"/>
      <w:lvlJc w:val="left"/>
      <w:pPr>
        <w:tabs>
          <w:tab w:val="num" w:pos="1984"/>
        </w:tabs>
        <w:ind w:left="1984" w:hanging="567"/>
      </w:pPr>
    </w:lvl>
  </w:abstractNum>
  <w:abstractNum w:abstractNumId="10" w15:restartNumberingAfterBreak="0">
    <w:nsid w:val="489956A0"/>
    <w:multiLevelType w:val="singleLevel"/>
    <w:tmpl w:val="6520E3F6"/>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4C6F0385"/>
    <w:multiLevelType w:val="singleLevel"/>
    <w:tmpl w:val="5D5AB896"/>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4E945993"/>
    <w:multiLevelType w:val="singleLevel"/>
    <w:tmpl w:val="286E58FA"/>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13" w15:restartNumberingAfterBreak="0">
    <w:nsid w:val="6D0E0429"/>
    <w:multiLevelType w:val="multilevel"/>
    <w:tmpl w:val="28B89D12"/>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F4B4EDC"/>
    <w:multiLevelType w:val="singleLevel"/>
    <w:tmpl w:val="14F4473E"/>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5" w15:restartNumberingAfterBreak="0">
    <w:nsid w:val="72DA713D"/>
    <w:multiLevelType w:val="singleLevel"/>
    <w:tmpl w:val="933A8986"/>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73B83116"/>
    <w:multiLevelType w:val="singleLevel"/>
    <w:tmpl w:val="C818BC58"/>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7" w15:restartNumberingAfterBreak="0">
    <w:nsid w:val="742A4FC9"/>
    <w:multiLevelType w:val="multilevel"/>
    <w:tmpl w:val="F5C052DE"/>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44D6F2F"/>
    <w:multiLevelType w:val="singleLevel"/>
    <w:tmpl w:val="F94A0F7A"/>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19" w15:restartNumberingAfterBreak="0">
    <w:nsid w:val="74CA3D43"/>
    <w:multiLevelType w:val="multilevel"/>
    <w:tmpl w:val="EFE4A31E"/>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0A79D1"/>
    <w:multiLevelType w:val="singleLevel"/>
    <w:tmpl w:val="C7A22D12"/>
    <w:name w:val="Tiret 1"/>
    <w:lvl w:ilvl="0">
      <w:start w:val="1"/>
      <w:numFmt w:val="bullet"/>
      <w:lvlRestart w:val="0"/>
      <w:pStyle w:val="Tiret1"/>
      <w:lvlText w:val="–"/>
      <w:lvlJc w:val="left"/>
      <w:pPr>
        <w:tabs>
          <w:tab w:val="num" w:pos="1417"/>
        </w:tabs>
        <w:ind w:left="1417" w:hanging="567"/>
      </w:pPr>
    </w:lvl>
  </w:abstractNum>
  <w:abstractNum w:abstractNumId="21" w15:restartNumberingAfterBreak="0">
    <w:nsid w:val="7C0A4D02"/>
    <w:multiLevelType w:val="singleLevel"/>
    <w:tmpl w:val="FF865FDC"/>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7CB17551"/>
    <w:multiLevelType w:val="singleLevel"/>
    <w:tmpl w:val="C8863DE8"/>
    <w:name w:val="List Bullet 4"/>
    <w:lvl w:ilvl="0">
      <w:start w:val="1"/>
      <w:numFmt w:val="bullet"/>
      <w:lvlRestart w:val="0"/>
      <w:pStyle w:val="Punktlista4"/>
      <w:lvlText w:val=""/>
      <w:lvlJc w:val="left"/>
      <w:pPr>
        <w:tabs>
          <w:tab w:val="num" w:pos="1134"/>
        </w:tabs>
        <w:ind w:left="1134" w:hanging="283"/>
      </w:pPr>
      <w:rPr>
        <w:rFonts w:ascii="Symbol" w:hAnsi="Symbol"/>
      </w:rPr>
    </w:lvl>
  </w:abstractNum>
  <w:num w:numId="1" w16cid:durableId="641690334">
    <w:abstractNumId w:val="10"/>
  </w:num>
  <w:num w:numId="2" w16cid:durableId="84613403">
    <w:abstractNumId w:val="20"/>
  </w:num>
  <w:num w:numId="3" w16cid:durableId="1158686701">
    <w:abstractNumId w:val="9"/>
  </w:num>
  <w:num w:numId="4" w16cid:durableId="1919825383">
    <w:abstractNumId w:val="21"/>
  </w:num>
  <w:num w:numId="5" w16cid:durableId="796220453">
    <w:abstractNumId w:val="15"/>
  </w:num>
  <w:num w:numId="6" w16cid:durableId="1029531118">
    <w:abstractNumId w:val="6"/>
  </w:num>
  <w:num w:numId="7" w16cid:durableId="844982735">
    <w:abstractNumId w:val="8"/>
  </w:num>
  <w:num w:numId="8" w16cid:durableId="1985042490">
    <w:abstractNumId w:val="3"/>
  </w:num>
  <w:num w:numId="9" w16cid:durableId="1913395273">
    <w:abstractNumId w:val="18"/>
  </w:num>
  <w:num w:numId="10" w16cid:durableId="1710954614">
    <w:abstractNumId w:val="2"/>
  </w:num>
  <w:num w:numId="11" w16cid:durableId="479687082">
    <w:abstractNumId w:val="16"/>
  </w:num>
  <w:num w:numId="12" w16cid:durableId="1421609736">
    <w:abstractNumId w:val="22"/>
  </w:num>
  <w:num w:numId="13" w16cid:durableId="1900480598">
    <w:abstractNumId w:val="4"/>
  </w:num>
  <w:num w:numId="14" w16cid:durableId="26763441">
    <w:abstractNumId w:val="12"/>
  </w:num>
  <w:num w:numId="15" w16cid:durableId="587618585">
    <w:abstractNumId w:val="14"/>
  </w:num>
  <w:num w:numId="16" w16cid:durableId="1819880439">
    <w:abstractNumId w:val="7"/>
  </w:num>
  <w:num w:numId="17" w16cid:durableId="1448819544">
    <w:abstractNumId w:val="11"/>
  </w:num>
  <w:num w:numId="18" w16cid:durableId="1476213724">
    <w:abstractNumId w:val="13"/>
  </w:num>
  <w:num w:numId="19" w16cid:durableId="368796656">
    <w:abstractNumId w:val="1"/>
  </w:num>
  <w:num w:numId="20" w16cid:durableId="1012924909">
    <w:abstractNumId w:val="19"/>
  </w:num>
  <w:num w:numId="21" w16cid:durableId="314189144">
    <w:abstractNumId w:val="0"/>
  </w:num>
  <w:num w:numId="22" w16cid:durableId="1739085717">
    <w:abstractNumId w:val="17"/>
  </w:num>
  <w:num w:numId="23" w16cid:durableId="1137336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M"/>
  </w:docVars>
  <w:rsids>
    <w:rsidRoot w:val="00C400F2"/>
    <w:rsid w:val="00012589"/>
    <w:rsid w:val="00013A3E"/>
    <w:rsid w:val="00023B88"/>
    <w:rsid w:val="000343ED"/>
    <w:rsid w:val="00050752"/>
    <w:rsid w:val="00052662"/>
    <w:rsid w:val="00082030"/>
    <w:rsid w:val="0009207C"/>
    <w:rsid w:val="000952C0"/>
    <w:rsid w:val="000D6480"/>
    <w:rsid w:val="000E16BB"/>
    <w:rsid w:val="00107065"/>
    <w:rsid w:val="00111734"/>
    <w:rsid w:val="00197C0E"/>
    <w:rsid w:val="001B336C"/>
    <w:rsid w:val="001D4C6E"/>
    <w:rsid w:val="001F153F"/>
    <w:rsid w:val="001F561B"/>
    <w:rsid w:val="00212DF0"/>
    <w:rsid w:val="002263A8"/>
    <w:rsid w:val="002354DC"/>
    <w:rsid w:val="00244FD9"/>
    <w:rsid w:val="00286EFB"/>
    <w:rsid w:val="00291988"/>
    <w:rsid w:val="00307BF7"/>
    <w:rsid w:val="00335AE2"/>
    <w:rsid w:val="00342B11"/>
    <w:rsid w:val="00384B27"/>
    <w:rsid w:val="00385DF8"/>
    <w:rsid w:val="00394516"/>
    <w:rsid w:val="003B3DBD"/>
    <w:rsid w:val="003B5166"/>
    <w:rsid w:val="003C0DDC"/>
    <w:rsid w:val="003E1779"/>
    <w:rsid w:val="003F3CCC"/>
    <w:rsid w:val="004321F4"/>
    <w:rsid w:val="004916F2"/>
    <w:rsid w:val="004A788E"/>
    <w:rsid w:val="004E7929"/>
    <w:rsid w:val="004F047F"/>
    <w:rsid w:val="005058F6"/>
    <w:rsid w:val="00506A13"/>
    <w:rsid w:val="005204E6"/>
    <w:rsid w:val="00527D22"/>
    <w:rsid w:val="005319C7"/>
    <w:rsid w:val="0057433B"/>
    <w:rsid w:val="005A205B"/>
    <w:rsid w:val="005A70EB"/>
    <w:rsid w:val="005C1937"/>
    <w:rsid w:val="0064028A"/>
    <w:rsid w:val="006563AE"/>
    <w:rsid w:val="00664439"/>
    <w:rsid w:val="006A30C8"/>
    <w:rsid w:val="006E321F"/>
    <w:rsid w:val="0071545F"/>
    <w:rsid w:val="00732572"/>
    <w:rsid w:val="00762655"/>
    <w:rsid w:val="007670D5"/>
    <w:rsid w:val="008203DD"/>
    <w:rsid w:val="00841D0C"/>
    <w:rsid w:val="0085076C"/>
    <w:rsid w:val="00855622"/>
    <w:rsid w:val="00871AE2"/>
    <w:rsid w:val="008749C3"/>
    <w:rsid w:val="0089705C"/>
    <w:rsid w:val="008A4CBB"/>
    <w:rsid w:val="008B35AC"/>
    <w:rsid w:val="008C0D42"/>
    <w:rsid w:val="008C52F9"/>
    <w:rsid w:val="008D4327"/>
    <w:rsid w:val="009063DF"/>
    <w:rsid w:val="00906693"/>
    <w:rsid w:val="00922EE4"/>
    <w:rsid w:val="00923EA7"/>
    <w:rsid w:val="009404AA"/>
    <w:rsid w:val="0094535B"/>
    <w:rsid w:val="009739E4"/>
    <w:rsid w:val="00975811"/>
    <w:rsid w:val="009C1B16"/>
    <w:rsid w:val="009C6514"/>
    <w:rsid w:val="009D3CE9"/>
    <w:rsid w:val="009E313E"/>
    <w:rsid w:val="00A37529"/>
    <w:rsid w:val="00A41BD1"/>
    <w:rsid w:val="00A443F0"/>
    <w:rsid w:val="00A853FF"/>
    <w:rsid w:val="00AA1851"/>
    <w:rsid w:val="00AA29D8"/>
    <w:rsid w:val="00AB1CE4"/>
    <w:rsid w:val="00AE021A"/>
    <w:rsid w:val="00B14683"/>
    <w:rsid w:val="00B16136"/>
    <w:rsid w:val="00B17639"/>
    <w:rsid w:val="00B23E95"/>
    <w:rsid w:val="00B47344"/>
    <w:rsid w:val="00B718AD"/>
    <w:rsid w:val="00B72936"/>
    <w:rsid w:val="00B8287D"/>
    <w:rsid w:val="00BC3ACD"/>
    <w:rsid w:val="00BF0BF3"/>
    <w:rsid w:val="00BF4CC8"/>
    <w:rsid w:val="00C13444"/>
    <w:rsid w:val="00C31471"/>
    <w:rsid w:val="00C400F2"/>
    <w:rsid w:val="00C608CE"/>
    <w:rsid w:val="00C6324B"/>
    <w:rsid w:val="00C9225B"/>
    <w:rsid w:val="00C94002"/>
    <w:rsid w:val="00C94943"/>
    <w:rsid w:val="00D13E00"/>
    <w:rsid w:val="00D14901"/>
    <w:rsid w:val="00D2016A"/>
    <w:rsid w:val="00D379D4"/>
    <w:rsid w:val="00D54E07"/>
    <w:rsid w:val="00D71FBF"/>
    <w:rsid w:val="00D8410A"/>
    <w:rsid w:val="00D8694A"/>
    <w:rsid w:val="00DC475A"/>
    <w:rsid w:val="00DF55EF"/>
    <w:rsid w:val="00E00170"/>
    <w:rsid w:val="00E02BCC"/>
    <w:rsid w:val="00E4280C"/>
    <w:rsid w:val="00E4547C"/>
    <w:rsid w:val="00E65019"/>
    <w:rsid w:val="00E76199"/>
    <w:rsid w:val="00E76B12"/>
    <w:rsid w:val="00EB179B"/>
    <w:rsid w:val="00F14CC3"/>
    <w:rsid w:val="00F21FE9"/>
    <w:rsid w:val="00F4073E"/>
    <w:rsid w:val="00F4102F"/>
    <w:rsid w:val="00F97FC0"/>
    <w:rsid w:val="00FA59C3"/>
    <w:rsid w:val="00FB2D4E"/>
    <w:rsid w:val="00FE02D3"/>
    <w:rsid w:val="00FF68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C184DA41-7B0E-43FF-B3EC-D94442C8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F7"/>
    <w:pPr>
      <w:spacing w:before="120" w:after="120"/>
      <w:jc w:val="both"/>
    </w:pPr>
    <w:rPr>
      <w:sz w:val="24"/>
      <w:lang w:val="sv-SE" w:eastAsia="zh-CN"/>
    </w:rPr>
  </w:style>
  <w:style w:type="paragraph" w:styleId="Rubrik1">
    <w:name w:val="heading 1"/>
    <w:basedOn w:val="Normal"/>
    <w:next w:val="Text1"/>
    <w:qFormat/>
    <w:rsid w:val="00307BF7"/>
    <w:pPr>
      <w:keepNext/>
      <w:numPr>
        <w:numId w:val="7"/>
      </w:numPr>
      <w:spacing w:before="360"/>
      <w:outlineLvl w:val="0"/>
    </w:pPr>
    <w:rPr>
      <w:b/>
      <w:smallCaps/>
    </w:rPr>
  </w:style>
  <w:style w:type="paragraph" w:styleId="Rubrik2">
    <w:name w:val="heading 2"/>
    <w:basedOn w:val="Normal"/>
    <w:next w:val="Text2"/>
    <w:qFormat/>
    <w:rsid w:val="00307BF7"/>
    <w:pPr>
      <w:keepNext/>
      <w:numPr>
        <w:ilvl w:val="1"/>
        <w:numId w:val="7"/>
      </w:numPr>
      <w:outlineLvl w:val="1"/>
    </w:pPr>
    <w:rPr>
      <w:b/>
    </w:rPr>
  </w:style>
  <w:style w:type="paragraph" w:styleId="Rubrik3">
    <w:name w:val="heading 3"/>
    <w:basedOn w:val="Normal"/>
    <w:next w:val="Text3"/>
    <w:qFormat/>
    <w:rsid w:val="00307BF7"/>
    <w:pPr>
      <w:keepNext/>
      <w:numPr>
        <w:ilvl w:val="2"/>
        <w:numId w:val="7"/>
      </w:numPr>
      <w:outlineLvl w:val="2"/>
    </w:pPr>
    <w:rPr>
      <w:i/>
    </w:rPr>
  </w:style>
  <w:style w:type="paragraph" w:styleId="Rubrik4">
    <w:name w:val="heading 4"/>
    <w:basedOn w:val="Normal"/>
    <w:next w:val="Text4"/>
    <w:qFormat/>
    <w:rsid w:val="00307BF7"/>
    <w:pPr>
      <w:keepNext/>
      <w:numPr>
        <w:ilvl w:val="3"/>
        <w:numId w:val="7"/>
      </w:numPr>
      <w:outlineLvl w:val="3"/>
    </w:pPr>
  </w:style>
  <w:style w:type="paragraph" w:styleId="Rubrik5">
    <w:name w:val="heading 5"/>
    <w:basedOn w:val="Normal"/>
    <w:next w:val="Normal"/>
    <w:qFormat/>
    <w:pPr>
      <w:spacing w:before="240" w:after="60"/>
      <w:outlineLvl w:val="4"/>
    </w:pPr>
    <w:rPr>
      <w:rFonts w:ascii="Arial" w:hAnsi="Arial"/>
      <w:sz w:val="22"/>
    </w:rPr>
  </w:style>
  <w:style w:type="paragraph" w:styleId="Rubrik6">
    <w:name w:val="heading 6"/>
    <w:basedOn w:val="Normal"/>
    <w:next w:val="Normal"/>
    <w:qFormat/>
    <w:pPr>
      <w:spacing w:before="240" w:after="60"/>
      <w:outlineLvl w:val="5"/>
    </w:pPr>
    <w:rPr>
      <w:rFonts w:ascii="Arial" w:hAnsi="Arial"/>
      <w:i/>
      <w:sz w:val="22"/>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i/>
      <w:sz w:val="18"/>
    </w:rPr>
  </w:style>
  <w:style w:type="character" w:default="1" w:styleId="Standardstycketeckensnitt">
    <w:name w:val="Default Paragraph Font"/>
    <w:aliases w:val=" Char1"/>
    <w:link w:val="2"/>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rsid w:val="00307BF7"/>
    <w:pPr>
      <w:ind w:left="850"/>
    </w:pPr>
  </w:style>
  <w:style w:type="paragraph" w:customStyle="1" w:styleId="Text2">
    <w:name w:val="Text 2"/>
    <w:basedOn w:val="Normal"/>
    <w:rsid w:val="00307BF7"/>
    <w:pPr>
      <w:ind w:left="850"/>
    </w:pPr>
  </w:style>
  <w:style w:type="paragraph" w:customStyle="1" w:styleId="Text3">
    <w:name w:val="Text 3"/>
    <w:basedOn w:val="Normal"/>
    <w:rsid w:val="00307BF7"/>
    <w:pPr>
      <w:ind w:left="850"/>
    </w:pPr>
  </w:style>
  <w:style w:type="paragraph" w:customStyle="1" w:styleId="Text4">
    <w:name w:val="Text 4"/>
    <w:basedOn w:val="Normal"/>
    <w:rsid w:val="00307BF7"/>
    <w:pPr>
      <w:ind w:left="850"/>
    </w:pPr>
  </w:style>
  <w:style w:type="paragraph" w:customStyle="1" w:styleId="Annexetitreacte">
    <w:name w:val="Annexe titre (acte)"/>
    <w:basedOn w:val="Normal"/>
    <w:next w:val="Normal"/>
    <w:rsid w:val="00307BF7"/>
    <w:pPr>
      <w:jc w:val="center"/>
    </w:pPr>
    <w:rPr>
      <w:b/>
      <w:u w:val="single"/>
    </w:rPr>
  </w:style>
  <w:style w:type="paragraph" w:customStyle="1" w:styleId="Annexetitreexposglobal">
    <w:name w:val="Annexe titre (exposé global)"/>
    <w:basedOn w:val="Normal"/>
    <w:next w:val="Normal"/>
    <w:rsid w:val="00307BF7"/>
    <w:pPr>
      <w:jc w:val="center"/>
    </w:pPr>
    <w:rPr>
      <w:b/>
      <w:u w:val="single"/>
    </w:rPr>
  </w:style>
  <w:style w:type="paragraph" w:customStyle="1" w:styleId="Annexetitreexpos">
    <w:name w:val="Annexe titre (exposé)"/>
    <w:basedOn w:val="Normal"/>
    <w:next w:val="Normal"/>
    <w:rsid w:val="00307BF7"/>
    <w:pPr>
      <w:jc w:val="center"/>
    </w:pPr>
    <w:rPr>
      <w:b/>
      <w:u w:val="single"/>
    </w:rPr>
  </w:style>
  <w:style w:type="paragraph" w:customStyle="1" w:styleId="Annexetitrefichefinacte">
    <w:name w:val="Annexe titre (fiche fin. acte)"/>
    <w:basedOn w:val="Normal"/>
    <w:next w:val="Normal"/>
    <w:rsid w:val="00307BF7"/>
    <w:pPr>
      <w:jc w:val="center"/>
    </w:pPr>
    <w:rPr>
      <w:b/>
      <w:u w:val="single"/>
    </w:rPr>
  </w:style>
  <w:style w:type="paragraph" w:customStyle="1" w:styleId="Annexetitrefichefinglobale">
    <w:name w:val="Annexe titre (fiche fin. globale)"/>
    <w:basedOn w:val="Normal"/>
    <w:next w:val="Normal"/>
    <w:rsid w:val="00307BF7"/>
    <w:pPr>
      <w:jc w:val="center"/>
    </w:pPr>
    <w:rPr>
      <w:b/>
      <w:u w:val="single"/>
    </w:rPr>
  </w:style>
  <w:style w:type="paragraph" w:customStyle="1" w:styleId="Annexetitreglobale">
    <w:name w:val="Annexe titre (globale)"/>
    <w:basedOn w:val="Normal"/>
    <w:next w:val="Normal"/>
    <w:rsid w:val="00307BF7"/>
    <w:pPr>
      <w:jc w:val="center"/>
    </w:pPr>
    <w:rPr>
      <w:b/>
      <w:u w:val="single"/>
    </w:rPr>
  </w:style>
  <w:style w:type="paragraph" w:customStyle="1" w:styleId="Applicationdirecte">
    <w:name w:val="Application directe"/>
    <w:basedOn w:val="Normal"/>
    <w:next w:val="Fait"/>
    <w:rsid w:val="00307BF7"/>
    <w:pPr>
      <w:spacing w:before="480"/>
    </w:pPr>
  </w:style>
  <w:style w:type="paragraph" w:customStyle="1" w:styleId="Fait">
    <w:name w:val="Fait à"/>
    <w:basedOn w:val="Normal"/>
    <w:next w:val="Institutionquisigne"/>
    <w:rsid w:val="00307BF7"/>
    <w:pPr>
      <w:keepNext/>
      <w:spacing w:after="0"/>
    </w:pPr>
  </w:style>
  <w:style w:type="paragraph" w:customStyle="1" w:styleId="Institutionquisigne">
    <w:name w:val="Institution qui signe"/>
    <w:basedOn w:val="Normal"/>
    <w:next w:val="Personnequisigne"/>
    <w:rsid w:val="00307BF7"/>
    <w:pPr>
      <w:keepNext/>
      <w:tabs>
        <w:tab w:val="left" w:pos="4252"/>
      </w:tabs>
      <w:spacing w:before="720" w:after="0"/>
    </w:pPr>
    <w:rPr>
      <w:i/>
    </w:rPr>
  </w:style>
  <w:style w:type="paragraph" w:customStyle="1" w:styleId="Personnequisigne">
    <w:name w:val="Personne qui signe"/>
    <w:basedOn w:val="Normal"/>
    <w:next w:val="Institutionquisigne"/>
    <w:rsid w:val="00307BF7"/>
    <w:pPr>
      <w:tabs>
        <w:tab w:val="left" w:pos="4252"/>
      </w:tabs>
      <w:spacing w:before="0" w:after="0"/>
      <w:jc w:val="left"/>
    </w:pPr>
    <w:rPr>
      <w:i/>
    </w:rPr>
  </w:style>
  <w:style w:type="paragraph" w:styleId="Beskrivning">
    <w:name w:val="caption"/>
    <w:basedOn w:val="Normal"/>
    <w:next w:val="Normal"/>
    <w:qFormat/>
    <w:rPr>
      <w:b/>
    </w:rPr>
  </w:style>
  <w:style w:type="paragraph" w:customStyle="1" w:styleId="ChapterTitle">
    <w:name w:val="ChapterTitle"/>
    <w:basedOn w:val="Normal"/>
    <w:next w:val="Normal"/>
    <w:rsid w:val="00307BF7"/>
    <w:pPr>
      <w:keepNext/>
      <w:spacing w:after="360"/>
      <w:jc w:val="center"/>
    </w:pPr>
    <w:rPr>
      <w:b/>
      <w:sz w:val="32"/>
    </w:rPr>
  </w:style>
  <w:style w:type="character" w:styleId="Kommentarsreferens">
    <w:name w:val="annotation reference"/>
    <w:basedOn w:val="Standardstycketeckensnitt"/>
    <w:semiHidden/>
    <w:rPr>
      <w:sz w:val="16"/>
    </w:rPr>
  </w:style>
  <w:style w:type="paragraph" w:styleId="Kommentarer">
    <w:name w:val="annotation text"/>
    <w:basedOn w:val="Normal"/>
    <w:semiHidden/>
    <w:rPr>
      <w:sz w:val="20"/>
    </w:rPr>
  </w:style>
  <w:style w:type="paragraph" w:customStyle="1" w:styleId="Confidence">
    <w:name w:val="Confidence"/>
    <w:basedOn w:val="Normal"/>
    <w:next w:val="Normal"/>
    <w:rsid w:val="00307BF7"/>
    <w:pPr>
      <w:spacing w:before="360"/>
      <w:jc w:val="center"/>
    </w:pPr>
  </w:style>
  <w:style w:type="paragraph" w:customStyle="1" w:styleId="Corrigendum">
    <w:name w:val="Corrigendum"/>
    <w:basedOn w:val="Normal"/>
    <w:next w:val="Normal"/>
    <w:rsid w:val="00307BF7"/>
    <w:pPr>
      <w:spacing w:before="0" w:after="240"/>
      <w:jc w:val="left"/>
    </w:pPr>
  </w:style>
  <w:style w:type="paragraph" w:customStyle="1" w:styleId="Emission">
    <w:name w:val="Emission"/>
    <w:basedOn w:val="Normal"/>
    <w:next w:val="Rfrenceinstitutionelle"/>
    <w:rsid w:val="00307BF7"/>
    <w:pPr>
      <w:spacing w:before="0" w:after="0"/>
      <w:ind w:left="5103"/>
      <w:jc w:val="left"/>
    </w:pPr>
  </w:style>
  <w:style w:type="paragraph" w:customStyle="1" w:styleId="Rfrenceinstitutionelle">
    <w:name w:val="Référence institutionelle"/>
    <w:basedOn w:val="Normal"/>
    <w:next w:val="Statut"/>
    <w:rsid w:val="00307BF7"/>
    <w:pPr>
      <w:spacing w:before="0" w:after="240"/>
      <w:ind w:left="5103"/>
      <w:jc w:val="left"/>
    </w:pPr>
  </w:style>
  <w:style w:type="paragraph" w:customStyle="1" w:styleId="Statut">
    <w:name w:val="Statut"/>
    <w:basedOn w:val="Normal"/>
    <w:next w:val="Typedudocument"/>
    <w:rsid w:val="00307BF7"/>
    <w:pPr>
      <w:spacing w:before="360" w:after="0"/>
      <w:jc w:val="center"/>
    </w:pPr>
  </w:style>
  <w:style w:type="paragraph" w:customStyle="1" w:styleId="Typedudocument">
    <w:name w:val="Type du document"/>
    <w:basedOn w:val="Normal"/>
    <w:next w:val="Datedadoption"/>
    <w:rsid w:val="00307BF7"/>
    <w:pPr>
      <w:spacing w:before="360" w:after="0"/>
      <w:jc w:val="center"/>
    </w:pPr>
    <w:rPr>
      <w:b/>
    </w:rPr>
  </w:style>
  <w:style w:type="paragraph" w:customStyle="1" w:styleId="Datedadoption">
    <w:name w:val="Date d'adoption"/>
    <w:basedOn w:val="Normal"/>
    <w:next w:val="Titreobjet"/>
    <w:rsid w:val="00307BF7"/>
    <w:pPr>
      <w:spacing w:before="360" w:after="0"/>
      <w:jc w:val="center"/>
    </w:pPr>
    <w:rPr>
      <w:b/>
    </w:rPr>
  </w:style>
  <w:style w:type="paragraph" w:customStyle="1" w:styleId="Titreobjet">
    <w:name w:val="Titre objet"/>
    <w:basedOn w:val="Normal"/>
    <w:next w:val="Sous-titreobjet"/>
    <w:rsid w:val="00307BF7"/>
    <w:pPr>
      <w:spacing w:before="360" w:after="360"/>
      <w:jc w:val="center"/>
    </w:pPr>
    <w:rPr>
      <w:b/>
    </w:rPr>
  </w:style>
  <w:style w:type="paragraph" w:customStyle="1" w:styleId="Sous-titreobjet">
    <w:name w:val="Sous-titre objet"/>
    <w:basedOn w:val="Normal"/>
    <w:rsid w:val="00307BF7"/>
    <w:pPr>
      <w:spacing w:before="0" w:after="0"/>
      <w:jc w:val="center"/>
    </w:pPr>
    <w:rPr>
      <w:b/>
    </w:rPr>
  </w:style>
  <w:style w:type="paragraph" w:customStyle="1" w:styleId="Exposdesmotifstitre">
    <w:name w:val="Exposé des motifs titre"/>
    <w:basedOn w:val="Normal"/>
    <w:next w:val="Normal"/>
    <w:rsid w:val="00307BF7"/>
    <w:pPr>
      <w:jc w:val="center"/>
    </w:pPr>
    <w:rPr>
      <w:b/>
      <w:u w:val="single"/>
    </w:rPr>
  </w:style>
  <w:style w:type="paragraph" w:customStyle="1" w:styleId="Exposdesmotifstitreglobal">
    <w:name w:val="Exposé des motifs titre (global)"/>
    <w:basedOn w:val="Normal"/>
    <w:next w:val="Normal"/>
    <w:rsid w:val="00307BF7"/>
    <w:pPr>
      <w:jc w:val="center"/>
    </w:pPr>
    <w:rPr>
      <w:b/>
      <w:u w:val="single"/>
    </w:rPr>
  </w:style>
  <w:style w:type="paragraph" w:customStyle="1" w:styleId="FichedimpactPMEtitre">
    <w:name w:val="Fiche d'impact PME titre"/>
    <w:basedOn w:val="Normal"/>
    <w:next w:val="Normal"/>
    <w:rsid w:val="00307BF7"/>
    <w:pPr>
      <w:jc w:val="center"/>
    </w:pPr>
    <w:rPr>
      <w:b/>
    </w:rPr>
  </w:style>
  <w:style w:type="paragraph" w:customStyle="1" w:styleId="Fichefinanciretextetable">
    <w:name w:val="Fiche financière texte (table)"/>
    <w:basedOn w:val="Normal"/>
    <w:rsid w:val="00307BF7"/>
    <w:pPr>
      <w:spacing w:before="0" w:after="0"/>
      <w:jc w:val="left"/>
    </w:pPr>
    <w:rPr>
      <w:sz w:val="20"/>
    </w:rPr>
  </w:style>
  <w:style w:type="paragraph" w:customStyle="1" w:styleId="Fichefinanciretitre">
    <w:name w:val="Fiche financière titre"/>
    <w:basedOn w:val="Normal"/>
    <w:next w:val="Normal"/>
    <w:rsid w:val="00307BF7"/>
    <w:pPr>
      <w:jc w:val="center"/>
    </w:pPr>
    <w:rPr>
      <w:b/>
      <w:u w:val="single"/>
    </w:rPr>
  </w:style>
  <w:style w:type="paragraph" w:customStyle="1" w:styleId="Fichefinanciretitreactetable">
    <w:name w:val="Fiche financière titre (acte table)"/>
    <w:basedOn w:val="Normal"/>
    <w:next w:val="Normal"/>
    <w:rsid w:val="00307BF7"/>
    <w:pPr>
      <w:jc w:val="center"/>
    </w:pPr>
    <w:rPr>
      <w:b/>
      <w:sz w:val="40"/>
    </w:rPr>
  </w:style>
  <w:style w:type="paragraph" w:customStyle="1" w:styleId="Fichefinanciretitreacte">
    <w:name w:val="Fiche financière titre (acte)"/>
    <w:basedOn w:val="Normal"/>
    <w:next w:val="Normal"/>
    <w:rsid w:val="00307BF7"/>
    <w:pPr>
      <w:jc w:val="center"/>
    </w:pPr>
    <w:rPr>
      <w:b/>
      <w:u w:val="single"/>
    </w:rPr>
  </w:style>
  <w:style w:type="paragraph" w:customStyle="1" w:styleId="Fichefinanciretitretable">
    <w:name w:val="Fiche financière titre (table)"/>
    <w:basedOn w:val="Normal"/>
    <w:rsid w:val="00307BF7"/>
    <w:pPr>
      <w:jc w:val="center"/>
    </w:pPr>
    <w:rPr>
      <w:b/>
      <w:sz w:val="40"/>
    </w:rPr>
  </w:style>
  <w:style w:type="paragraph" w:styleId="Sidfot">
    <w:name w:val="footer"/>
    <w:basedOn w:val="Normal"/>
    <w:rsid w:val="00307BF7"/>
    <w:pPr>
      <w:tabs>
        <w:tab w:val="center" w:pos="4535"/>
        <w:tab w:val="right" w:pos="9071"/>
        <w:tab w:val="right" w:pos="9921"/>
      </w:tabs>
      <w:spacing w:before="360" w:after="0"/>
      <w:ind w:left="-850" w:right="-850"/>
      <w:jc w:val="left"/>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rsid w:val="00307BF7"/>
    <w:pPr>
      <w:spacing w:before="0" w:after="0"/>
      <w:ind w:left="720" w:hanging="720"/>
    </w:pPr>
    <w:rPr>
      <w:sz w:val="20"/>
    </w:rPr>
  </w:style>
  <w:style w:type="paragraph" w:customStyle="1" w:styleId="Formuledadoption">
    <w:name w:val="Formule d'adoption"/>
    <w:basedOn w:val="Normal"/>
    <w:next w:val="Titrearticle"/>
    <w:rsid w:val="00307BF7"/>
    <w:pPr>
      <w:keepNext/>
    </w:pPr>
  </w:style>
  <w:style w:type="paragraph" w:customStyle="1" w:styleId="Titrearticle">
    <w:name w:val="Titre article"/>
    <w:basedOn w:val="Normal"/>
    <w:next w:val="Normal"/>
    <w:rsid w:val="00307BF7"/>
    <w:pPr>
      <w:keepNext/>
      <w:spacing w:before="360"/>
      <w:jc w:val="center"/>
    </w:pPr>
    <w:rPr>
      <w:i/>
    </w:rPr>
  </w:style>
  <w:style w:type="paragraph" w:styleId="Sidhuvud">
    <w:name w:val="header"/>
    <w:basedOn w:val="Normal"/>
    <w:rsid w:val="00307BF7"/>
    <w:pPr>
      <w:tabs>
        <w:tab w:val="right" w:pos="9071"/>
      </w:tabs>
    </w:pPr>
  </w:style>
  <w:style w:type="paragraph" w:customStyle="1" w:styleId="Institutionquiagit">
    <w:name w:val="Institution qui agit"/>
    <w:basedOn w:val="Normal"/>
    <w:next w:val="Normal"/>
    <w:rsid w:val="00307BF7"/>
    <w:pPr>
      <w:keepNext/>
      <w:spacing w:before="600"/>
    </w:pPr>
  </w:style>
  <w:style w:type="paragraph" w:customStyle="1" w:styleId="Langue">
    <w:name w:val="Langue"/>
    <w:basedOn w:val="Normal"/>
    <w:next w:val="Rfrenceinterne"/>
    <w:rsid w:val="00307BF7"/>
    <w:pPr>
      <w:spacing w:before="0" w:after="600"/>
      <w:jc w:val="center"/>
    </w:pPr>
    <w:rPr>
      <w:b/>
      <w:caps/>
    </w:rPr>
  </w:style>
  <w:style w:type="paragraph" w:customStyle="1" w:styleId="Rfrenceinterne">
    <w:name w:val="Référence interne"/>
    <w:basedOn w:val="Normal"/>
    <w:next w:val="Nomdelinstitution"/>
    <w:rsid w:val="00307BF7"/>
    <w:pPr>
      <w:spacing w:before="0" w:after="600"/>
      <w:jc w:val="center"/>
    </w:pPr>
    <w:rPr>
      <w:b/>
    </w:rPr>
  </w:style>
  <w:style w:type="paragraph" w:customStyle="1" w:styleId="Nomdelinstitution">
    <w:name w:val="Nom de l'institution"/>
    <w:basedOn w:val="Normal"/>
    <w:next w:val="Emission"/>
    <w:rsid w:val="00307BF7"/>
    <w:pPr>
      <w:spacing w:before="0" w:after="0"/>
      <w:jc w:val="left"/>
    </w:pPr>
    <w:rPr>
      <w:rFonts w:ascii="Arial" w:hAnsi="Arial"/>
    </w:rPr>
  </w:style>
  <w:style w:type="paragraph" w:customStyle="1" w:styleId="Langueoriginale">
    <w:name w:val="Langue originale"/>
    <w:basedOn w:val="Normal"/>
    <w:next w:val="Phrasefinale"/>
    <w:rsid w:val="00307BF7"/>
    <w:pPr>
      <w:spacing w:before="360"/>
      <w:jc w:val="center"/>
    </w:pPr>
    <w:rPr>
      <w:caps/>
    </w:rPr>
  </w:style>
  <w:style w:type="paragraph" w:customStyle="1" w:styleId="Phrasefinale">
    <w:name w:val="Phrase finale"/>
    <w:basedOn w:val="Normal"/>
    <w:next w:val="Normal"/>
    <w:rsid w:val="00307BF7"/>
    <w:pPr>
      <w:spacing w:before="360" w:after="0"/>
      <w:jc w:val="center"/>
    </w:pPr>
  </w:style>
  <w:style w:type="paragraph" w:customStyle="1" w:styleId="ManualHeading1">
    <w:name w:val="Manual Heading 1"/>
    <w:basedOn w:val="Normal"/>
    <w:next w:val="Text1"/>
    <w:rsid w:val="00307BF7"/>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307BF7"/>
    <w:pPr>
      <w:keepNext/>
      <w:tabs>
        <w:tab w:val="left" w:pos="850"/>
      </w:tabs>
      <w:ind w:left="850" w:hanging="850"/>
      <w:outlineLvl w:val="1"/>
    </w:pPr>
    <w:rPr>
      <w:b/>
    </w:rPr>
  </w:style>
  <w:style w:type="paragraph" w:customStyle="1" w:styleId="ManualHeading3">
    <w:name w:val="Manual Heading 3"/>
    <w:basedOn w:val="Normal"/>
    <w:next w:val="Text3"/>
    <w:rsid w:val="00307BF7"/>
    <w:pPr>
      <w:keepNext/>
      <w:tabs>
        <w:tab w:val="left" w:pos="850"/>
      </w:tabs>
      <w:ind w:left="850" w:hanging="850"/>
      <w:outlineLvl w:val="2"/>
    </w:pPr>
    <w:rPr>
      <w:i/>
    </w:rPr>
  </w:style>
  <w:style w:type="paragraph" w:customStyle="1" w:styleId="ManualHeading4">
    <w:name w:val="Manual Heading 4"/>
    <w:basedOn w:val="Normal"/>
    <w:next w:val="Text4"/>
    <w:rsid w:val="00307BF7"/>
    <w:pPr>
      <w:keepNext/>
      <w:tabs>
        <w:tab w:val="left" w:pos="850"/>
      </w:tabs>
      <w:ind w:left="850" w:hanging="850"/>
      <w:outlineLvl w:val="3"/>
    </w:pPr>
  </w:style>
  <w:style w:type="paragraph" w:customStyle="1" w:styleId="ManualNumPar1">
    <w:name w:val="Manual NumPar 1"/>
    <w:basedOn w:val="Normal"/>
    <w:next w:val="Text1"/>
    <w:rsid w:val="00307BF7"/>
    <w:pPr>
      <w:ind w:left="850" w:hanging="850"/>
    </w:pPr>
  </w:style>
  <w:style w:type="paragraph" w:customStyle="1" w:styleId="ManualNumPar2">
    <w:name w:val="Manual NumPar 2"/>
    <w:basedOn w:val="Normal"/>
    <w:next w:val="Text2"/>
    <w:rsid w:val="00307BF7"/>
    <w:pPr>
      <w:ind w:left="850" w:hanging="850"/>
    </w:pPr>
  </w:style>
  <w:style w:type="paragraph" w:customStyle="1" w:styleId="ManualNumPar3">
    <w:name w:val="Manual NumPar 3"/>
    <w:basedOn w:val="Normal"/>
    <w:next w:val="Text3"/>
    <w:rsid w:val="00307BF7"/>
    <w:pPr>
      <w:ind w:left="850" w:hanging="850"/>
    </w:pPr>
  </w:style>
  <w:style w:type="paragraph" w:customStyle="1" w:styleId="ManualNumPar4">
    <w:name w:val="Manual NumPar 4"/>
    <w:basedOn w:val="Normal"/>
    <w:next w:val="Text4"/>
    <w:rsid w:val="00307BF7"/>
    <w:pPr>
      <w:ind w:left="850" w:hanging="850"/>
    </w:pPr>
  </w:style>
  <w:style w:type="character" w:customStyle="1" w:styleId="Marker">
    <w:name w:val="Marker"/>
    <w:basedOn w:val="Standardstycketeckensnitt"/>
    <w:rsid w:val="00307BF7"/>
    <w:rPr>
      <w:color w:val="0000FF"/>
      <w:lang w:val="en-GB"/>
    </w:rPr>
  </w:style>
  <w:style w:type="paragraph" w:customStyle="1" w:styleId="NormalCentered">
    <w:name w:val="Normal Centered"/>
    <w:basedOn w:val="Normal"/>
    <w:rsid w:val="00307BF7"/>
    <w:pPr>
      <w:jc w:val="center"/>
    </w:pPr>
  </w:style>
  <w:style w:type="paragraph" w:customStyle="1" w:styleId="NormalLeft">
    <w:name w:val="Normal Left"/>
    <w:basedOn w:val="Normal"/>
    <w:rsid w:val="00307BF7"/>
    <w:pPr>
      <w:jc w:val="left"/>
    </w:pPr>
  </w:style>
  <w:style w:type="paragraph" w:customStyle="1" w:styleId="NormalRight">
    <w:name w:val="Normal Right"/>
    <w:basedOn w:val="Normal"/>
    <w:rsid w:val="00307BF7"/>
    <w:pPr>
      <w:jc w:val="right"/>
    </w:pPr>
  </w:style>
  <w:style w:type="paragraph" w:customStyle="1" w:styleId="NumPar1">
    <w:name w:val="NumPar 1"/>
    <w:basedOn w:val="Normal"/>
    <w:next w:val="Text1"/>
    <w:rsid w:val="00307BF7"/>
    <w:pPr>
      <w:numPr>
        <w:numId w:val="6"/>
      </w:numPr>
    </w:pPr>
  </w:style>
  <w:style w:type="paragraph" w:customStyle="1" w:styleId="NumPar2">
    <w:name w:val="NumPar 2"/>
    <w:basedOn w:val="Normal"/>
    <w:next w:val="Text2"/>
    <w:rsid w:val="00307BF7"/>
    <w:pPr>
      <w:numPr>
        <w:ilvl w:val="1"/>
        <w:numId w:val="6"/>
      </w:numPr>
    </w:pPr>
  </w:style>
  <w:style w:type="paragraph" w:customStyle="1" w:styleId="NumPar3">
    <w:name w:val="NumPar 3"/>
    <w:basedOn w:val="Normal"/>
    <w:next w:val="Text3"/>
    <w:rsid w:val="00307BF7"/>
    <w:pPr>
      <w:numPr>
        <w:ilvl w:val="2"/>
        <w:numId w:val="6"/>
      </w:numPr>
    </w:pPr>
  </w:style>
  <w:style w:type="paragraph" w:customStyle="1" w:styleId="NumPar4">
    <w:name w:val="NumPar 4"/>
    <w:basedOn w:val="Normal"/>
    <w:next w:val="Text4"/>
    <w:rsid w:val="00307BF7"/>
    <w:pPr>
      <w:numPr>
        <w:ilvl w:val="3"/>
        <w:numId w:val="6"/>
      </w:numPr>
    </w:pPr>
  </w:style>
  <w:style w:type="paragraph" w:customStyle="1" w:styleId="Objetexterne">
    <w:name w:val="Objet externe"/>
    <w:basedOn w:val="Normal"/>
    <w:next w:val="Normal"/>
    <w:rsid w:val="00307BF7"/>
    <w:rPr>
      <w:i/>
      <w:caps/>
    </w:rPr>
  </w:style>
  <w:style w:type="character" w:styleId="Sidnummer">
    <w:name w:val="page number"/>
    <w:basedOn w:val="Standardstycketeckensnitt"/>
  </w:style>
  <w:style w:type="paragraph" w:customStyle="1" w:styleId="PartTitle">
    <w:name w:val="PartTitle"/>
    <w:basedOn w:val="Normal"/>
    <w:next w:val="ChapterTitle"/>
    <w:rsid w:val="00307BF7"/>
    <w:pPr>
      <w:keepNext/>
      <w:pageBreakBefore/>
      <w:spacing w:after="360"/>
      <w:jc w:val="center"/>
    </w:pPr>
    <w:rPr>
      <w:b/>
      <w:sz w:val="36"/>
    </w:rPr>
  </w:style>
  <w:style w:type="paragraph" w:customStyle="1" w:styleId="Point0">
    <w:name w:val="Point 0"/>
    <w:basedOn w:val="Normal"/>
    <w:rsid w:val="00307BF7"/>
    <w:pPr>
      <w:ind w:left="850" w:hanging="850"/>
    </w:pPr>
  </w:style>
  <w:style w:type="paragraph" w:customStyle="1" w:styleId="Point1">
    <w:name w:val="Point 1"/>
    <w:basedOn w:val="Normal"/>
    <w:rsid w:val="00307BF7"/>
    <w:pPr>
      <w:ind w:left="1417" w:hanging="567"/>
    </w:pPr>
  </w:style>
  <w:style w:type="paragraph" w:customStyle="1" w:styleId="Point2">
    <w:name w:val="Point 2"/>
    <w:basedOn w:val="Normal"/>
    <w:rsid w:val="00307BF7"/>
    <w:pPr>
      <w:ind w:left="1984" w:hanging="567"/>
    </w:pPr>
  </w:style>
  <w:style w:type="paragraph" w:customStyle="1" w:styleId="Point3">
    <w:name w:val="Point 3"/>
    <w:basedOn w:val="Normal"/>
    <w:rsid w:val="00307BF7"/>
    <w:pPr>
      <w:ind w:left="2551" w:hanging="567"/>
    </w:pPr>
  </w:style>
  <w:style w:type="paragraph" w:customStyle="1" w:styleId="Point4">
    <w:name w:val="Point 4"/>
    <w:basedOn w:val="Normal"/>
    <w:rsid w:val="00307BF7"/>
    <w:pPr>
      <w:ind w:left="3118" w:hanging="567"/>
    </w:pPr>
  </w:style>
  <w:style w:type="paragraph" w:customStyle="1" w:styleId="PointDouble0">
    <w:name w:val="PointDouble 0"/>
    <w:basedOn w:val="Normal"/>
    <w:rsid w:val="00307BF7"/>
    <w:pPr>
      <w:tabs>
        <w:tab w:val="left" w:pos="850"/>
      </w:tabs>
      <w:ind w:left="1417" w:hanging="1417"/>
    </w:pPr>
  </w:style>
  <w:style w:type="paragraph" w:customStyle="1" w:styleId="PointDouble1">
    <w:name w:val="PointDouble 1"/>
    <w:basedOn w:val="Normal"/>
    <w:rsid w:val="00307BF7"/>
    <w:pPr>
      <w:tabs>
        <w:tab w:val="left" w:pos="1417"/>
      </w:tabs>
      <w:ind w:left="1984" w:hanging="1134"/>
    </w:pPr>
  </w:style>
  <w:style w:type="paragraph" w:customStyle="1" w:styleId="PointDouble2">
    <w:name w:val="PointDouble 2"/>
    <w:basedOn w:val="Normal"/>
    <w:rsid w:val="00307BF7"/>
    <w:pPr>
      <w:tabs>
        <w:tab w:val="left" w:pos="1984"/>
      </w:tabs>
      <w:ind w:left="2551" w:hanging="1134"/>
    </w:pPr>
  </w:style>
  <w:style w:type="paragraph" w:customStyle="1" w:styleId="PointDouble3">
    <w:name w:val="PointDouble 3"/>
    <w:basedOn w:val="Normal"/>
    <w:rsid w:val="00307BF7"/>
    <w:pPr>
      <w:tabs>
        <w:tab w:val="left" w:pos="2551"/>
      </w:tabs>
      <w:ind w:left="3118" w:hanging="1134"/>
    </w:pPr>
  </w:style>
  <w:style w:type="paragraph" w:customStyle="1" w:styleId="PointDouble4">
    <w:name w:val="PointDouble 4"/>
    <w:basedOn w:val="Normal"/>
    <w:rsid w:val="00307BF7"/>
    <w:pPr>
      <w:tabs>
        <w:tab w:val="left" w:pos="3118"/>
      </w:tabs>
      <w:ind w:left="3685" w:hanging="1134"/>
    </w:pPr>
  </w:style>
  <w:style w:type="paragraph" w:customStyle="1" w:styleId="PointTriple0">
    <w:name w:val="PointTriple 0"/>
    <w:basedOn w:val="Normal"/>
    <w:rsid w:val="00307BF7"/>
    <w:pPr>
      <w:tabs>
        <w:tab w:val="left" w:pos="850"/>
        <w:tab w:val="left" w:pos="1417"/>
      </w:tabs>
      <w:ind w:left="1984" w:hanging="1984"/>
    </w:pPr>
  </w:style>
  <w:style w:type="paragraph" w:customStyle="1" w:styleId="PointTriple1">
    <w:name w:val="PointTriple 1"/>
    <w:basedOn w:val="Normal"/>
    <w:rsid w:val="00307BF7"/>
    <w:pPr>
      <w:tabs>
        <w:tab w:val="left" w:pos="1417"/>
        <w:tab w:val="left" w:pos="1984"/>
      </w:tabs>
      <w:ind w:left="2551" w:hanging="1701"/>
    </w:pPr>
  </w:style>
  <w:style w:type="paragraph" w:customStyle="1" w:styleId="PointTriple2">
    <w:name w:val="PointTriple 2"/>
    <w:basedOn w:val="Normal"/>
    <w:rsid w:val="00307BF7"/>
    <w:pPr>
      <w:tabs>
        <w:tab w:val="left" w:pos="1984"/>
        <w:tab w:val="left" w:pos="2551"/>
      </w:tabs>
      <w:ind w:left="3118" w:hanging="1701"/>
    </w:pPr>
  </w:style>
  <w:style w:type="paragraph" w:customStyle="1" w:styleId="PointTriple3">
    <w:name w:val="PointTriple 3"/>
    <w:basedOn w:val="Normal"/>
    <w:rsid w:val="00307BF7"/>
    <w:pPr>
      <w:tabs>
        <w:tab w:val="left" w:pos="2551"/>
        <w:tab w:val="left" w:pos="3118"/>
      </w:tabs>
      <w:ind w:left="3685" w:hanging="1701"/>
    </w:pPr>
  </w:style>
  <w:style w:type="paragraph" w:customStyle="1" w:styleId="PointTriple4">
    <w:name w:val="PointTriple 4"/>
    <w:basedOn w:val="Normal"/>
    <w:rsid w:val="00307BF7"/>
    <w:pPr>
      <w:tabs>
        <w:tab w:val="left" w:pos="3118"/>
        <w:tab w:val="left" w:pos="3685"/>
      </w:tabs>
      <w:ind w:left="4252" w:hanging="1701"/>
    </w:pPr>
  </w:style>
  <w:style w:type="paragraph" w:customStyle="1" w:styleId="Prliminairetitre">
    <w:name w:val="Préliminaire titre"/>
    <w:basedOn w:val="Normal"/>
    <w:next w:val="Normal"/>
    <w:rsid w:val="00307BF7"/>
    <w:pPr>
      <w:spacing w:before="360" w:after="360"/>
      <w:jc w:val="center"/>
    </w:pPr>
    <w:rPr>
      <w:b/>
    </w:rPr>
  </w:style>
  <w:style w:type="paragraph" w:customStyle="1" w:styleId="Prliminairetype">
    <w:name w:val="Préliminaire type"/>
    <w:basedOn w:val="Normal"/>
    <w:next w:val="Normal"/>
    <w:rsid w:val="00307BF7"/>
    <w:pPr>
      <w:spacing w:before="360" w:after="0"/>
      <w:jc w:val="center"/>
    </w:pPr>
    <w:rPr>
      <w:b/>
    </w:rPr>
  </w:style>
  <w:style w:type="paragraph" w:customStyle="1" w:styleId="QuotedNumPar">
    <w:name w:val="Quoted NumPar"/>
    <w:basedOn w:val="Normal"/>
    <w:rsid w:val="00307BF7"/>
    <w:pPr>
      <w:ind w:left="1417" w:hanging="567"/>
    </w:pPr>
  </w:style>
  <w:style w:type="paragraph" w:customStyle="1" w:styleId="QuotedText">
    <w:name w:val="Quoted Text"/>
    <w:basedOn w:val="Normal"/>
    <w:rsid w:val="00307BF7"/>
    <w:pPr>
      <w:ind w:left="1417"/>
    </w:pPr>
  </w:style>
  <w:style w:type="paragraph" w:customStyle="1" w:styleId="Rfrenceinterinstitutionelle">
    <w:name w:val="Référence interinstitutionelle"/>
    <w:basedOn w:val="Normal"/>
    <w:next w:val="Statut"/>
    <w:rsid w:val="00307BF7"/>
    <w:pPr>
      <w:spacing w:before="0" w:after="0"/>
      <w:ind w:left="5103"/>
      <w:jc w:val="left"/>
    </w:pPr>
  </w:style>
  <w:style w:type="paragraph" w:customStyle="1" w:styleId="SectionTitle">
    <w:name w:val="SectionTitle"/>
    <w:basedOn w:val="Normal"/>
    <w:next w:val="Rubrik1"/>
    <w:rsid w:val="00307BF7"/>
    <w:pPr>
      <w:keepNext/>
      <w:spacing w:after="360"/>
      <w:jc w:val="center"/>
    </w:pPr>
    <w:rPr>
      <w:b/>
      <w:smallCaps/>
      <w:sz w:val="28"/>
    </w:rPr>
  </w:style>
  <w:style w:type="paragraph" w:customStyle="1" w:styleId="TableTitle">
    <w:name w:val="Table Title"/>
    <w:basedOn w:val="Normal"/>
    <w:next w:val="Normal"/>
    <w:rsid w:val="00307BF7"/>
    <w:pPr>
      <w:jc w:val="center"/>
    </w:pPr>
    <w:rPr>
      <w:b/>
    </w:rPr>
  </w:style>
  <w:style w:type="paragraph" w:customStyle="1" w:styleId="Tiret0">
    <w:name w:val="Tiret 0"/>
    <w:basedOn w:val="Point0"/>
    <w:rsid w:val="00307BF7"/>
    <w:pPr>
      <w:numPr>
        <w:numId w:val="1"/>
      </w:numPr>
    </w:pPr>
  </w:style>
  <w:style w:type="paragraph" w:customStyle="1" w:styleId="Tiret1">
    <w:name w:val="Tiret 1"/>
    <w:basedOn w:val="Point1"/>
    <w:rsid w:val="00307BF7"/>
    <w:pPr>
      <w:numPr>
        <w:numId w:val="2"/>
      </w:numPr>
    </w:pPr>
  </w:style>
  <w:style w:type="paragraph" w:customStyle="1" w:styleId="Tiret2">
    <w:name w:val="Tiret 2"/>
    <w:basedOn w:val="Point2"/>
    <w:rsid w:val="00307BF7"/>
    <w:pPr>
      <w:numPr>
        <w:numId w:val="3"/>
      </w:numPr>
    </w:pPr>
  </w:style>
  <w:style w:type="paragraph" w:customStyle="1" w:styleId="Tiret3">
    <w:name w:val="Tiret 3"/>
    <w:basedOn w:val="Point3"/>
    <w:rsid w:val="00307BF7"/>
    <w:pPr>
      <w:numPr>
        <w:numId w:val="4"/>
      </w:numPr>
    </w:pPr>
  </w:style>
  <w:style w:type="paragraph" w:customStyle="1" w:styleId="Tiret4">
    <w:name w:val="Tiret 4"/>
    <w:basedOn w:val="Point4"/>
    <w:rsid w:val="00307BF7"/>
    <w:pPr>
      <w:numPr>
        <w:numId w:val="5"/>
      </w:numPr>
    </w:pPr>
  </w:style>
  <w:style w:type="paragraph" w:styleId="Citatfrteckningsrubrik">
    <w:name w:val="toa heading"/>
    <w:basedOn w:val="Normal"/>
    <w:next w:val="Normal"/>
    <w:semiHidden/>
    <w:rPr>
      <w:rFonts w:ascii="Arial" w:hAnsi="Arial"/>
      <w:b/>
    </w:rPr>
  </w:style>
  <w:style w:type="paragraph" w:styleId="Innehll1">
    <w:name w:val="toc 1"/>
    <w:basedOn w:val="Normal"/>
    <w:next w:val="Normal"/>
    <w:semiHidden/>
    <w:rsid w:val="00307BF7"/>
    <w:pPr>
      <w:tabs>
        <w:tab w:val="right" w:leader="dot" w:pos="9071"/>
      </w:tabs>
      <w:spacing w:before="60"/>
      <w:ind w:left="850" w:hanging="850"/>
      <w:jc w:val="left"/>
    </w:pPr>
  </w:style>
  <w:style w:type="paragraph" w:styleId="Innehll2">
    <w:name w:val="toc 2"/>
    <w:basedOn w:val="Normal"/>
    <w:next w:val="Normal"/>
    <w:semiHidden/>
    <w:rsid w:val="00307BF7"/>
    <w:pPr>
      <w:tabs>
        <w:tab w:val="right" w:leader="dot" w:pos="9071"/>
      </w:tabs>
      <w:spacing w:before="60"/>
      <w:ind w:left="850" w:hanging="850"/>
      <w:jc w:val="left"/>
    </w:pPr>
  </w:style>
  <w:style w:type="paragraph" w:styleId="Innehll3">
    <w:name w:val="toc 3"/>
    <w:basedOn w:val="Normal"/>
    <w:next w:val="Normal"/>
    <w:semiHidden/>
    <w:rsid w:val="00307BF7"/>
    <w:pPr>
      <w:tabs>
        <w:tab w:val="right" w:leader="dot" w:pos="9071"/>
      </w:tabs>
      <w:spacing w:before="60"/>
      <w:ind w:left="850" w:hanging="850"/>
      <w:jc w:val="left"/>
    </w:pPr>
  </w:style>
  <w:style w:type="paragraph" w:styleId="Innehll4">
    <w:name w:val="toc 4"/>
    <w:basedOn w:val="Normal"/>
    <w:next w:val="Normal"/>
    <w:semiHidden/>
    <w:rsid w:val="00307BF7"/>
    <w:pPr>
      <w:tabs>
        <w:tab w:val="right" w:leader="dot" w:pos="9071"/>
      </w:tabs>
      <w:spacing w:before="60"/>
      <w:ind w:left="850" w:hanging="850"/>
      <w:jc w:val="left"/>
    </w:pPr>
  </w:style>
  <w:style w:type="paragraph" w:styleId="Innehll5">
    <w:name w:val="toc 5"/>
    <w:basedOn w:val="Normal"/>
    <w:next w:val="Normal"/>
    <w:semiHidden/>
    <w:rsid w:val="00307BF7"/>
    <w:pPr>
      <w:tabs>
        <w:tab w:val="right" w:leader="dot" w:pos="9071"/>
      </w:tabs>
      <w:spacing w:before="300"/>
      <w:jc w:val="left"/>
    </w:pPr>
  </w:style>
  <w:style w:type="paragraph" w:styleId="Innehll6">
    <w:name w:val="toc 6"/>
    <w:basedOn w:val="Normal"/>
    <w:next w:val="Normal"/>
    <w:semiHidden/>
    <w:rsid w:val="00307BF7"/>
    <w:pPr>
      <w:tabs>
        <w:tab w:val="right" w:leader="dot" w:pos="9071"/>
      </w:tabs>
      <w:spacing w:before="240"/>
      <w:jc w:val="left"/>
    </w:pPr>
  </w:style>
  <w:style w:type="paragraph" w:styleId="Innehll7">
    <w:name w:val="toc 7"/>
    <w:basedOn w:val="Normal"/>
    <w:next w:val="Normal"/>
    <w:semiHidden/>
    <w:rsid w:val="00307BF7"/>
    <w:pPr>
      <w:tabs>
        <w:tab w:val="right" w:leader="dot" w:pos="9071"/>
      </w:tabs>
      <w:spacing w:before="180"/>
      <w:jc w:val="left"/>
    </w:pPr>
  </w:style>
  <w:style w:type="paragraph" w:styleId="Innehll8">
    <w:name w:val="toc 8"/>
    <w:basedOn w:val="Normal"/>
    <w:next w:val="Normal"/>
    <w:semiHidden/>
    <w:rsid w:val="00307BF7"/>
    <w:pPr>
      <w:tabs>
        <w:tab w:val="right" w:leader="dot" w:pos="9071"/>
      </w:tabs>
      <w:jc w:val="left"/>
    </w:pPr>
  </w:style>
  <w:style w:type="paragraph" w:styleId="Innehll9">
    <w:name w:val="toc 9"/>
    <w:basedOn w:val="Normal"/>
    <w:next w:val="Normal"/>
    <w:semiHidden/>
    <w:rsid w:val="00307BF7"/>
    <w:pPr>
      <w:tabs>
        <w:tab w:val="right" w:leader="dot" w:pos="9071"/>
      </w:tabs>
    </w:pPr>
  </w:style>
  <w:style w:type="paragraph" w:customStyle="1" w:styleId="TOCHeading">
    <w:name w:val="TOC Heading"/>
    <w:basedOn w:val="Normal"/>
    <w:next w:val="Normal"/>
    <w:rsid w:val="00307BF7"/>
    <w:pPr>
      <w:spacing w:after="240"/>
      <w:jc w:val="center"/>
    </w:pPr>
    <w:rPr>
      <w:b/>
      <w:sz w:val="28"/>
    </w:rPr>
  </w:style>
  <w:style w:type="paragraph" w:customStyle="1" w:styleId="Considrant">
    <w:name w:val="Considérant"/>
    <w:basedOn w:val="Normal"/>
    <w:rsid w:val="00307BF7"/>
    <w:pPr>
      <w:numPr>
        <w:numId w:val="23"/>
      </w:numPr>
    </w:pPr>
  </w:style>
  <w:style w:type="paragraph" w:customStyle="1" w:styleId="Confidentialit">
    <w:name w:val="Confidentialité"/>
    <w:basedOn w:val="Normal"/>
    <w:next w:val="Statut"/>
    <w:rsid w:val="00307BF7"/>
    <w:pPr>
      <w:spacing w:before="240" w:after="240"/>
      <w:ind w:left="5103"/>
    </w:pPr>
    <w:rPr>
      <w:u w:val="single"/>
    </w:rPr>
  </w:style>
  <w:style w:type="paragraph" w:customStyle="1" w:styleId="ManualConsidrant">
    <w:name w:val="Manual Considérant"/>
    <w:basedOn w:val="Normal"/>
    <w:link w:val="ManualConsidrantChar"/>
    <w:rsid w:val="00307BF7"/>
    <w:pPr>
      <w:ind w:left="709" w:hanging="709"/>
    </w:pPr>
  </w:style>
  <w:style w:type="paragraph" w:customStyle="1" w:styleId="FooterLandscape">
    <w:name w:val="FooterLandscape"/>
    <w:basedOn w:val="Normal"/>
    <w:rsid w:val="00B47344"/>
    <w:pPr>
      <w:tabs>
        <w:tab w:val="center" w:pos="7285"/>
        <w:tab w:val="center" w:pos="10913"/>
        <w:tab w:val="right" w:pos="15137"/>
      </w:tabs>
      <w:spacing w:before="360" w:after="0"/>
      <w:ind w:left="-567" w:right="-567"/>
      <w:jc w:val="left"/>
    </w:pPr>
  </w:style>
  <w:style w:type="paragraph" w:customStyle="1" w:styleId="Communicationtitre">
    <w:name w:val="Communication titre"/>
    <w:basedOn w:val="Normal"/>
    <w:next w:val="Normal"/>
    <w:pPr>
      <w:jc w:val="center"/>
    </w:pPr>
    <w:rPr>
      <w:b/>
      <w:u w:val="single"/>
    </w:rPr>
  </w:style>
  <w:style w:type="paragraph" w:styleId="Normalwebb">
    <w:name w:val="Normal (Web)"/>
    <w:basedOn w:val="Normal"/>
    <w:rsid w:val="00B8287D"/>
    <w:pPr>
      <w:spacing w:before="150" w:after="150"/>
      <w:ind w:left="675" w:right="525"/>
      <w:jc w:val="left"/>
    </w:pPr>
    <w:rPr>
      <w:sz w:val="19"/>
      <w:szCs w:val="19"/>
    </w:rPr>
  </w:style>
  <w:style w:type="paragraph" w:styleId="Punktlista">
    <w:name w:val="List Bullet"/>
    <w:basedOn w:val="Normal"/>
    <w:rsid w:val="00307BF7"/>
    <w:pPr>
      <w:numPr>
        <w:numId w:val="8"/>
      </w:numPr>
    </w:pPr>
  </w:style>
  <w:style w:type="paragraph" w:customStyle="1" w:styleId="ListBullet1">
    <w:name w:val="List Bullet 1"/>
    <w:basedOn w:val="Normal"/>
    <w:rsid w:val="00307BF7"/>
    <w:pPr>
      <w:numPr>
        <w:numId w:val="9"/>
      </w:numPr>
    </w:pPr>
  </w:style>
  <w:style w:type="paragraph" w:styleId="Punktlista2">
    <w:name w:val="List Bullet 2"/>
    <w:basedOn w:val="Normal"/>
    <w:rsid w:val="00307BF7"/>
    <w:pPr>
      <w:numPr>
        <w:numId w:val="10"/>
      </w:numPr>
    </w:pPr>
  </w:style>
  <w:style w:type="paragraph" w:styleId="Punktlista3">
    <w:name w:val="List Bullet 3"/>
    <w:basedOn w:val="Normal"/>
    <w:rsid w:val="00307BF7"/>
    <w:pPr>
      <w:numPr>
        <w:numId w:val="11"/>
      </w:numPr>
    </w:pPr>
  </w:style>
  <w:style w:type="paragraph" w:styleId="Punktlista4">
    <w:name w:val="List Bullet 4"/>
    <w:basedOn w:val="Normal"/>
    <w:rsid w:val="00307BF7"/>
    <w:pPr>
      <w:numPr>
        <w:numId w:val="12"/>
      </w:numPr>
    </w:pPr>
  </w:style>
  <w:style w:type="paragraph" w:customStyle="1" w:styleId="ListDash">
    <w:name w:val="List Dash"/>
    <w:basedOn w:val="Normal"/>
    <w:rsid w:val="00307BF7"/>
    <w:pPr>
      <w:numPr>
        <w:numId w:val="13"/>
      </w:numPr>
    </w:pPr>
  </w:style>
  <w:style w:type="paragraph" w:customStyle="1" w:styleId="ListDash1">
    <w:name w:val="List Dash 1"/>
    <w:basedOn w:val="Normal"/>
    <w:rsid w:val="00307BF7"/>
    <w:pPr>
      <w:numPr>
        <w:numId w:val="14"/>
      </w:numPr>
    </w:pPr>
  </w:style>
  <w:style w:type="paragraph" w:customStyle="1" w:styleId="ListDash2">
    <w:name w:val="List Dash 2"/>
    <w:basedOn w:val="Normal"/>
    <w:rsid w:val="00307BF7"/>
    <w:pPr>
      <w:numPr>
        <w:numId w:val="15"/>
      </w:numPr>
    </w:pPr>
  </w:style>
  <w:style w:type="paragraph" w:customStyle="1" w:styleId="ListDash3">
    <w:name w:val="List Dash 3"/>
    <w:basedOn w:val="Normal"/>
    <w:rsid w:val="00307BF7"/>
    <w:pPr>
      <w:numPr>
        <w:numId w:val="16"/>
      </w:numPr>
    </w:pPr>
  </w:style>
  <w:style w:type="paragraph" w:customStyle="1" w:styleId="ListDash4">
    <w:name w:val="List Dash 4"/>
    <w:basedOn w:val="Normal"/>
    <w:rsid w:val="00307BF7"/>
    <w:pPr>
      <w:numPr>
        <w:numId w:val="17"/>
      </w:numPr>
    </w:pPr>
  </w:style>
  <w:style w:type="paragraph" w:styleId="Numreradlista">
    <w:name w:val="List Number"/>
    <w:basedOn w:val="Normal"/>
    <w:rsid w:val="00307BF7"/>
    <w:pPr>
      <w:numPr>
        <w:numId w:val="18"/>
      </w:numPr>
    </w:pPr>
  </w:style>
  <w:style w:type="paragraph" w:customStyle="1" w:styleId="ListNumber1">
    <w:name w:val="List Number 1"/>
    <w:basedOn w:val="Text1"/>
    <w:rsid w:val="00307BF7"/>
    <w:pPr>
      <w:numPr>
        <w:numId w:val="19"/>
      </w:numPr>
    </w:pPr>
  </w:style>
  <w:style w:type="paragraph" w:styleId="Numreradlista2">
    <w:name w:val="List Number 2"/>
    <w:basedOn w:val="Normal"/>
    <w:rsid w:val="00307BF7"/>
    <w:pPr>
      <w:numPr>
        <w:numId w:val="20"/>
      </w:numPr>
    </w:pPr>
  </w:style>
  <w:style w:type="paragraph" w:styleId="Numreradlista3">
    <w:name w:val="List Number 3"/>
    <w:basedOn w:val="Normal"/>
    <w:rsid w:val="00307BF7"/>
    <w:pPr>
      <w:numPr>
        <w:numId w:val="21"/>
      </w:numPr>
    </w:pPr>
  </w:style>
  <w:style w:type="paragraph" w:styleId="Numreradlista4">
    <w:name w:val="List Number 4"/>
    <w:basedOn w:val="Normal"/>
    <w:rsid w:val="00307BF7"/>
    <w:pPr>
      <w:numPr>
        <w:numId w:val="22"/>
      </w:numPr>
    </w:pPr>
  </w:style>
  <w:style w:type="paragraph" w:customStyle="1" w:styleId="ListNumberLevel2">
    <w:name w:val="List Number (Level 2)"/>
    <w:basedOn w:val="Normal"/>
    <w:rsid w:val="00307BF7"/>
    <w:pPr>
      <w:numPr>
        <w:ilvl w:val="1"/>
        <w:numId w:val="18"/>
      </w:numPr>
    </w:pPr>
  </w:style>
  <w:style w:type="paragraph" w:customStyle="1" w:styleId="ListNumber1Level2">
    <w:name w:val="List Number 1 (Level 2)"/>
    <w:basedOn w:val="Text1"/>
    <w:rsid w:val="00307BF7"/>
    <w:pPr>
      <w:numPr>
        <w:ilvl w:val="1"/>
        <w:numId w:val="19"/>
      </w:numPr>
    </w:pPr>
  </w:style>
  <w:style w:type="paragraph" w:customStyle="1" w:styleId="ListNumber2Level2">
    <w:name w:val="List Number 2 (Level 2)"/>
    <w:basedOn w:val="Text2"/>
    <w:rsid w:val="00307BF7"/>
    <w:pPr>
      <w:numPr>
        <w:ilvl w:val="1"/>
        <w:numId w:val="20"/>
      </w:numPr>
    </w:pPr>
  </w:style>
  <w:style w:type="paragraph" w:customStyle="1" w:styleId="ListNumber3Level2">
    <w:name w:val="List Number 3 (Level 2)"/>
    <w:basedOn w:val="Text3"/>
    <w:rsid w:val="00307BF7"/>
    <w:pPr>
      <w:numPr>
        <w:ilvl w:val="1"/>
        <w:numId w:val="21"/>
      </w:numPr>
    </w:pPr>
  </w:style>
  <w:style w:type="paragraph" w:customStyle="1" w:styleId="ListNumber4Level2">
    <w:name w:val="List Number 4 (Level 2)"/>
    <w:basedOn w:val="Text4"/>
    <w:rsid w:val="00307BF7"/>
    <w:pPr>
      <w:numPr>
        <w:ilvl w:val="1"/>
        <w:numId w:val="22"/>
      </w:numPr>
    </w:pPr>
  </w:style>
  <w:style w:type="paragraph" w:customStyle="1" w:styleId="ListNumberLevel3">
    <w:name w:val="List Number (Level 3)"/>
    <w:basedOn w:val="Normal"/>
    <w:rsid w:val="00307BF7"/>
    <w:pPr>
      <w:numPr>
        <w:ilvl w:val="2"/>
        <w:numId w:val="18"/>
      </w:numPr>
    </w:pPr>
  </w:style>
  <w:style w:type="paragraph" w:customStyle="1" w:styleId="ListNumber1Level3">
    <w:name w:val="List Number 1 (Level 3)"/>
    <w:basedOn w:val="Text1"/>
    <w:rsid w:val="00307BF7"/>
    <w:pPr>
      <w:numPr>
        <w:ilvl w:val="2"/>
        <w:numId w:val="19"/>
      </w:numPr>
    </w:pPr>
  </w:style>
  <w:style w:type="paragraph" w:customStyle="1" w:styleId="ListNumber2Level3">
    <w:name w:val="List Number 2 (Level 3)"/>
    <w:basedOn w:val="Text2"/>
    <w:rsid w:val="00307BF7"/>
    <w:pPr>
      <w:numPr>
        <w:ilvl w:val="2"/>
        <w:numId w:val="20"/>
      </w:numPr>
    </w:pPr>
  </w:style>
  <w:style w:type="paragraph" w:customStyle="1" w:styleId="ListNumber3Level3">
    <w:name w:val="List Number 3 (Level 3)"/>
    <w:basedOn w:val="Text3"/>
    <w:rsid w:val="00307BF7"/>
    <w:pPr>
      <w:numPr>
        <w:ilvl w:val="2"/>
        <w:numId w:val="21"/>
      </w:numPr>
    </w:pPr>
  </w:style>
  <w:style w:type="paragraph" w:customStyle="1" w:styleId="ListNumber4Level3">
    <w:name w:val="List Number 4 (Level 3)"/>
    <w:basedOn w:val="Text4"/>
    <w:rsid w:val="00307BF7"/>
    <w:pPr>
      <w:numPr>
        <w:ilvl w:val="2"/>
        <w:numId w:val="22"/>
      </w:numPr>
    </w:pPr>
  </w:style>
  <w:style w:type="paragraph" w:customStyle="1" w:styleId="ListNumberLevel4">
    <w:name w:val="List Number (Level 4)"/>
    <w:basedOn w:val="Normal"/>
    <w:rsid w:val="00307BF7"/>
    <w:pPr>
      <w:numPr>
        <w:ilvl w:val="3"/>
        <w:numId w:val="18"/>
      </w:numPr>
    </w:pPr>
  </w:style>
  <w:style w:type="paragraph" w:customStyle="1" w:styleId="ListNumber1Level4">
    <w:name w:val="List Number 1 (Level 4)"/>
    <w:basedOn w:val="Text1"/>
    <w:rsid w:val="00307BF7"/>
    <w:pPr>
      <w:numPr>
        <w:ilvl w:val="3"/>
        <w:numId w:val="19"/>
      </w:numPr>
    </w:pPr>
  </w:style>
  <w:style w:type="paragraph" w:customStyle="1" w:styleId="ListNumber2Level4">
    <w:name w:val="List Number 2 (Level 4)"/>
    <w:basedOn w:val="Text2"/>
    <w:rsid w:val="00307BF7"/>
    <w:pPr>
      <w:numPr>
        <w:ilvl w:val="3"/>
        <w:numId w:val="20"/>
      </w:numPr>
    </w:pPr>
  </w:style>
  <w:style w:type="paragraph" w:customStyle="1" w:styleId="ListNumber3Level4">
    <w:name w:val="List Number 3 (Level 4)"/>
    <w:basedOn w:val="Text3"/>
    <w:rsid w:val="00307BF7"/>
    <w:pPr>
      <w:numPr>
        <w:ilvl w:val="3"/>
        <w:numId w:val="21"/>
      </w:numPr>
    </w:pPr>
  </w:style>
  <w:style w:type="paragraph" w:customStyle="1" w:styleId="ListNumber4Level4">
    <w:name w:val="List Number 4 (Level 4)"/>
    <w:basedOn w:val="Text4"/>
    <w:rsid w:val="00307BF7"/>
    <w:pPr>
      <w:numPr>
        <w:ilvl w:val="3"/>
        <w:numId w:val="22"/>
      </w:numPr>
    </w:pPr>
  </w:style>
  <w:style w:type="paragraph" w:customStyle="1" w:styleId="HeaderLandscape">
    <w:name w:val="HeaderLandscape"/>
    <w:basedOn w:val="Normal"/>
    <w:rsid w:val="00307BF7"/>
    <w:pPr>
      <w:tabs>
        <w:tab w:val="right" w:pos="14003"/>
      </w:tabs>
    </w:pPr>
  </w:style>
  <w:style w:type="character" w:customStyle="1" w:styleId="Marker1">
    <w:name w:val="Marker1"/>
    <w:basedOn w:val="Standardstycketeckensnitt"/>
    <w:rsid w:val="00307BF7"/>
    <w:rPr>
      <w:color w:val="008000"/>
      <w:lang w:val="en-GB"/>
    </w:rPr>
  </w:style>
  <w:style w:type="character" w:customStyle="1" w:styleId="Marker2">
    <w:name w:val="Marker2"/>
    <w:basedOn w:val="Standardstycketeckensnitt"/>
    <w:rsid w:val="00307BF7"/>
    <w:rPr>
      <w:color w:val="FF0000"/>
      <w:lang w:val="en-GB"/>
    </w:rPr>
  </w:style>
  <w:style w:type="paragraph" w:customStyle="1" w:styleId="Address">
    <w:name w:val="Address"/>
    <w:basedOn w:val="Normal"/>
    <w:next w:val="Normal"/>
    <w:rsid w:val="00307BF7"/>
    <w:pPr>
      <w:keepLines/>
      <w:spacing w:line="360" w:lineRule="auto"/>
      <w:ind w:left="3402"/>
      <w:jc w:val="left"/>
    </w:pPr>
  </w:style>
  <w:style w:type="paragraph" w:customStyle="1" w:styleId="Avertissementtitre">
    <w:name w:val="Avertissement titre"/>
    <w:basedOn w:val="Normal"/>
    <w:next w:val="Normal"/>
    <w:rsid w:val="00307BF7"/>
    <w:pPr>
      <w:keepNext/>
      <w:spacing w:before="480"/>
    </w:pPr>
    <w:rPr>
      <w:u w:val="single"/>
    </w:rPr>
  </w:style>
  <w:style w:type="paragraph" w:customStyle="1" w:styleId="Rfrenceinterinstitutionelleprliminaire">
    <w:name w:val="Référence interinstitutionelle (préliminaire)"/>
    <w:basedOn w:val="Normal"/>
    <w:next w:val="Normal"/>
    <w:rsid w:val="00307BF7"/>
    <w:pPr>
      <w:spacing w:before="0" w:after="0"/>
      <w:ind w:left="5103"/>
      <w:jc w:val="left"/>
    </w:pPr>
  </w:style>
  <w:style w:type="paragraph" w:customStyle="1" w:styleId="Sous-titreobjetprliminaire">
    <w:name w:val="Sous-titre objet (préliminaire)"/>
    <w:basedOn w:val="Normal"/>
    <w:rsid w:val="00307BF7"/>
    <w:pPr>
      <w:spacing w:before="0" w:after="0"/>
      <w:jc w:val="center"/>
    </w:pPr>
    <w:rPr>
      <w:b/>
    </w:rPr>
  </w:style>
  <w:style w:type="paragraph" w:customStyle="1" w:styleId="Statutprliminaire">
    <w:name w:val="Statut (préliminaire)"/>
    <w:basedOn w:val="Normal"/>
    <w:next w:val="Normal"/>
    <w:rsid w:val="00307BF7"/>
    <w:pPr>
      <w:spacing w:before="360" w:after="0"/>
      <w:jc w:val="center"/>
    </w:pPr>
  </w:style>
  <w:style w:type="paragraph" w:customStyle="1" w:styleId="Titreobjetprliminaire">
    <w:name w:val="Titre objet (préliminaire)"/>
    <w:basedOn w:val="Normal"/>
    <w:next w:val="Normal"/>
    <w:rsid w:val="00307BF7"/>
    <w:pPr>
      <w:spacing w:before="360" w:after="360"/>
      <w:jc w:val="center"/>
    </w:pPr>
    <w:rPr>
      <w:b/>
    </w:rPr>
  </w:style>
  <w:style w:type="paragraph" w:customStyle="1" w:styleId="Typedudocumentprliminaire">
    <w:name w:val="Type du document (préliminaire)"/>
    <w:basedOn w:val="Normal"/>
    <w:next w:val="Normal"/>
    <w:rsid w:val="00307BF7"/>
    <w:pPr>
      <w:spacing w:before="360" w:after="0"/>
      <w:jc w:val="center"/>
    </w:pPr>
    <w:rPr>
      <w:b/>
    </w:rPr>
  </w:style>
  <w:style w:type="character" w:customStyle="1" w:styleId="Added">
    <w:name w:val="Added"/>
    <w:basedOn w:val="Standardstycketeckensnitt"/>
    <w:rsid w:val="00307BF7"/>
    <w:rPr>
      <w:b/>
      <w:u w:val="single"/>
      <w:lang w:val="en-GB"/>
    </w:rPr>
  </w:style>
  <w:style w:type="character" w:customStyle="1" w:styleId="Deleted">
    <w:name w:val="Deleted"/>
    <w:basedOn w:val="Standardstycketeckensnitt"/>
    <w:rsid w:val="00307BF7"/>
    <w:rPr>
      <w:strike/>
      <w:lang w:val="en-GB"/>
    </w:rPr>
  </w:style>
  <w:style w:type="paragraph" w:customStyle="1" w:styleId="Fichefinancirestandardtitre">
    <w:name w:val="Fiche financière (standard) titre"/>
    <w:basedOn w:val="Normal"/>
    <w:next w:val="Normal"/>
    <w:rsid w:val="00B47344"/>
    <w:pPr>
      <w:jc w:val="center"/>
    </w:pPr>
    <w:rPr>
      <w:b/>
      <w:u w:val="single"/>
    </w:rPr>
  </w:style>
  <w:style w:type="paragraph" w:customStyle="1" w:styleId="Fichefinancirestandardtitreacte">
    <w:name w:val="Fiche financière (standard) titre (acte)"/>
    <w:basedOn w:val="Normal"/>
    <w:next w:val="Normal"/>
    <w:rsid w:val="00B47344"/>
    <w:pPr>
      <w:jc w:val="center"/>
    </w:pPr>
    <w:rPr>
      <w:b/>
      <w:u w:val="single"/>
    </w:rPr>
  </w:style>
  <w:style w:type="paragraph" w:customStyle="1" w:styleId="Fichefinanciretravailtitre">
    <w:name w:val="Fiche financière (travail) titre"/>
    <w:basedOn w:val="Normal"/>
    <w:next w:val="Normal"/>
    <w:rsid w:val="00B47344"/>
    <w:pPr>
      <w:jc w:val="center"/>
    </w:pPr>
    <w:rPr>
      <w:b/>
      <w:u w:val="single"/>
    </w:rPr>
  </w:style>
  <w:style w:type="paragraph" w:customStyle="1" w:styleId="Fichefinanciretravailtitreacte">
    <w:name w:val="Fiche financière (travail) titre (acte)"/>
    <w:basedOn w:val="Normal"/>
    <w:next w:val="Normal"/>
    <w:rsid w:val="00B47344"/>
    <w:pPr>
      <w:jc w:val="center"/>
    </w:pPr>
    <w:rPr>
      <w:b/>
      <w:u w:val="single"/>
    </w:rPr>
  </w:style>
  <w:style w:type="paragraph" w:customStyle="1" w:styleId="Fichefinancireattributiontitre">
    <w:name w:val="Fiche financière (attribution) titre"/>
    <w:basedOn w:val="Normal"/>
    <w:next w:val="Normal"/>
    <w:rsid w:val="00B47344"/>
    <w:pPr>
      <w:jc w:val="center"/>
    </w:pPr>
    <w:rPr>
      <w:b/>
      <w:u w:val="single"/>
    </w:rPr>
  </w:style>
  <w:style w:type="paragraph" w:customStyle="1" w:styleId="Fichefinancireattributiontitreacte">
    <w:name w:val="Fiche financière (attribution) titre (acte)"/>
    <w:basedOn w:val="Normal"/>
    <w:next w:val="Normal"/>
    <w:rsid w:val="00B47344"/>
    <w:pPr>
      <w:jc w:val="center"/>
    </w:pPr>
    <w:rPr>
      <w:b/>
      <w:u w:val="single"/>
    </w:rPr>
  </w:style>
  <w:style w:type="paragraph" w:customStyle="1" w:styleId="2">
    <w:name w:val="2"/>
    <w:basedOn w:val="Normal"/>
    <w:link w:val="Standardstycketeckensnitt"/>
    <w:rsid w:val="00C31471"/>
    <w:pPr>
      <w:spacing w:before="0" w:after="160" w:line="240" w:lineRule="exact"/>
      <w:jc w:val="left"/>
    </w:pPr>
    <w:rPr>
      <w:rFonts w:ascii="Tahoma" w:hAnsi="Tahoma"/>
      <w:sz w:val="20"/>
      <w:lang w:val="en-US" w:eastAsia="en-US"/>
    </w:rPr>
  </w:style>
  <w:style w:type="character" w:customStyle="1" w:styleId="ManualConsidrantChar">
    <w:name w:val="Manual Considérant Char"/>
    <w:basedOn w:val="Standardstycketeckensnitt"/>
    <w:link w:val="ManualConsidrant"/>
    <w:rsid w:val="00B14683"/>
    <w:rPr>
      <w:sz w:val="24"/>
      <w:lang w:val="en-GB" w:eastAsia="zh-CN" w:bidi="ar-SA"/>
    </w:rPr>
  </w:style>
  <w:style w:type="paragraph" w:styleId="Ballongtext">
    <w:name w:val="Balloon Text"/>
    <w:basedOn w:val="Normal"/>
    <w:semiHidden/>
    <w:rsid w:val="00D54E07"/>
    <w:rPr>
      <w:rFonts w:ascii="Tahoma" w:hAnsi="Tahoma" w:cs="Tahoma"/>
      <w:sz w:val="16"/>
      <w:szCs w:val="16"/>
    </w:rPr>
  </w:style>
  <w:style w:type="paragraph" w:styleId="Kommentarsmne">
    <w:name w:val="annotation subject"/>
    <w:basedOn w:val="Kommentarer"/>
    <w:next w:val="Kommentarer"/>
    <w:semiHidden/>
    <w:rsid w:val="00D54E07"/>
    <w:rPr>
      <w:b/>
      <w:bCs/>
    </w:rPr>
  </w:style>
  <w:style w:type="character" w:styleId="Hyperlnk">
    <w:name w:val="Hyperlink"/>
    <w:basedOn w:val="Standardstycketeckensnitt"/>
    <w:rsid w:val="00D54E07"/>
    <w:rPr>
      <w:color w:val="0000FF"/>
      <w:u w:val="single"/>
    </w:rPr>
  </w:style>
  <w:style w:type="paragraph" w:customStyle="1" w:styleId="Char1CharChar">
    <w:name w:val="Char1 Char Char"/>
    <w:basedOn w:val="Normal"/>
    <w:next w:val="Normal"/>
    <w:rsid w:val="009C6514"/>
    <w:pPr>
      <w:spacing w:before="360" w:after="0"/>
      <w:jc w:val="center"/>
    </w:pPr>
    <w:rPr>
      <w:b/>
      <w:bCs/>
      <w:snapToGrid w:val="0"/>
      <w:szCs w:val="24"/>
      <w:lang w:val="fr-FR" w:eastAsia="en-GB"/>
    </w:rPr>
  </w:style>
  <w:style w:type="paragraph" w:styleId="Dokumentversikt">
    <w:name w:val="Document Map"/>
    <w:basedOn w:val="Normal"/>
    <w:semiHidden/>
    <w:rsid w:val="00FB2D4E"/>
    <w:pPr>
      <w:shd w:val="clear" w:color="auto" w:fill="000080"/>
    </w:pPr>
    <w:rPr>
      <w:rFonts w:ascii="Tahoma" w:hAnsi="Tahoma" w:cs="Tahoma"/>
    </w:rPr>
  </w:style>
  <w:style w:type="paragraph" w:customStyle="1" w:styleId="EntInstit">
    <w:name w:val="EntInstit"/>
    <w:basedOn w:val="NormalConseil"/>
    <w:rsid w:val="00FB2D4E"/>
    <w:pPr>
      <w:jc w:val="right"/>
    </w:pPr>
    <w:rPr>
      <w:b/>
    </w:rPr>
  </w:style>
  <w:style w:type="paragraph" w:customStyle="1" w:styleId="NormalConseil">
    <w:name w:val="NormalConseil"/>
    <w:basedOn w:val="Normal"/>
    <w:rsid w:val="00FB2D4E"/>
    <w:pPr>
      <w:spacing w:before="0" w:after="0"/>
      <w:jc w:val="left"/>
    </w:pPr>
    <w:rPr>
      <w:lang w:eastAsia="fr-BE"/>
    </w:rPr>
  </w:style>
  <w:style w:type="paragraph" w:customStyle="1" w:styleId="EntRefer">
    <w:name w:val="EntRefer"/>
    <w:basedOn w:val="NormalConseil"/>
    <w:rsid w:val="00FB2D4E"/>
    <w:rPr>
      <w:b/>
    </w:rPr>
  </w:style>
  <w:style w:type="paragraph" w:customStyle="1" w:styleId="EntEmet">
    <w:name w:val="EntEmet"/>
    <w:basedOn w:val="NormalConseil"/>
    <w:rsid w:val="00FB2D4E"/>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FB2D4E"/>
    <w:pPr>
      <w:spacing w:line="360" w:lineRule="auto"/>
    </w:pPr>
    <w:rPr>
      <w:b/>
    </w:rPr>
  </w:style>
  <w:style w:type="paragraph" w:customStyle="1" w:styleId="FooterConseil">
    <w:name w:val="FooterConseil"/>
    <w:basedOn w:val="NormalConseil"/>
    <w:rsid w:val="00FB2D4E"/>
    <w:pPr>
      <w:tabs>
        <w:tab w:val="center" w:pos="4820"/>
        <w:tab w:val="center" w:pos="7371"/>
        <w:tab w:val="right" w:pos="9639"/>
      </w:tabs>
    </w:pPr>
  </w:style>
  <w:style w:type="paragraph" w:customStyle="1" w:styleId="1">
    <w:name w:val="1"/>
    <w:basedOn w:val="Normal"/>
    <w:rsid w:val="00FB2D4E"/>
    <w:pPr>
      <w:spacing w:before="0" w:after="160" w:line="240" w:lineRule="exact"/>
      <w:jc w:val="lef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En28.3.06.doc"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CoverNoteEn28.3.06.doc</Template>
  <TotalTime>0</TotalTime>
  <Pages>2</Pages>
  <Words>2415</Words>
  <Characters>12341</Characters>
  <Application>Microsoft Office Word</Application>
  <DocSecurity>4</DocSecurity>
  <Lines>251</Lines>
  <Paragraphs>92</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cp:lastModifiedBy>Lars Brink</cp:lastModifiedBy>
  <cp:revision>2</cp:revision>
  <cp:lastPrinted>2006-05-22T08:27:00Z</cp:lastPrinted>
  <dcterms:created xsi:type="dcterms:W3CDTF">2025-12-16T23:12:00Z</dcterms:created>
  <dcterms:modified xsi:type="dcterms:W3CDTF">2025-12-16T23:12:00Z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Last edited using">
    <vt:lpwstr>LW 5.4, Build 20051126</vt:lpwstr>
  </property>
  <property fmtid="{D5CDD505-2E9C-101B-9397-08002B2CF9AE}" pid="4" name="Category">
    <vt:lpwstr>COM/SEC</vt:lpwstr>
  </property>
  <property fmtid="{D5CDD505-2E9C-101B-9397-08002B2CF9AE}" pid="5" name="Created using">
    <vt:lpwstr>LW 4.0, Build 990708</vt:lpwstr>
  </property>
</Properties>
</file>