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7C172A">
        <w:tblPrEx>
          <w:tblCellMar>
            <w:top w:w="0" w:type="dxa"/>
            <w:bottom w:w="0" w:type="dxa"/>
          </w:tblCellMar>
        </w:tblPrEx>
        <w:tc>
          <w:tcPr>
            <w:tcW w:w="2268" w:type="dxa"/>
          </w:tcPr>
          <w:p w:rsidR="002D45BA" w:rsidRPr="007C172A" w:rsidRDefault="002D45BA">
            <w:pPr>
              <w:framePr w:w="4400" w:h="1644" w:wrap="notBeside" w:vAnchor="page" w:hAnchor="page" w:x="6573" w:y="721"/>
              <w:rPr>
                <w:rFonts w:ascii="TradeGothic" w:hAnsi="TradeGothic"/>
                <w:i/>
                <w:sz w:val="18"/>
              </w:rPr>
            </w:pPr>
          </w:p>
        </w:tc>
        <w:tc>
          <w:tcPr>
            <w:tcW w:w="2347" w:type="dxa"/>
            <w:gridSpan w:val="2"/>
          </w:tcPr>
          <w:p w:rsidR="002D45BA" w:rsidRPr="007C172A" w:rsidRDefault="002D45BA">
            <w:pPr>
              <w:framePr w:w="4400" w:h="1644" w:wrap="notBeside" w:vAnchor="page" w:hAnchor="page" w:x="6573" w:y="721"/>
              <w:rPr>
                <w:rFonts w:ascii="TradeGothic" w:hAnsi="TradeGothic"/>
                <w:i/>
                <w:sz w:val="18"/>
              </w:rPr>
            </w:pPr>
          </w:p>
        </w:tc>
      </w:tr>
      <w:tr w:rsidR="00000000" w:rsidRPr="007C172A">
        <w:tblPrEx>
          <w:tblCellMar>
            <w:top w:w="0" w:type="dxa"/>
            <w:bottom w:w="0" w:type="dxa"/>
          </w:tblCellMar>
        </w:tblPrEx>
        <w:tc>
          <w:tcPr>
            <w:tcW w:w="2268" w:type="dxa"/>
          </w:tcPr>
          <w:p w:rsidR="002D45BA" w:rsidRPr="007C172A" w:rsidRDefault="002D45BA">
            <w:pPr>
              <w:framePr w:w="4400" w:h="1644" w:wrap="notBeside" w:vAnchor="page" w:hAnchor="page" w:x="6573" w:y="721"/>
              <w:rPr>
                <w:rFonts w:ascii="TradeGothic" w:hAnsi="TradeGothic"/>
                <w:b/>
                <w:sz w:val="22"/>
              </w:rPr>
            </w:pPr>
            <w:r w:rsidRPr="007C172A">
              <w:rPr>
                <w:rFonts w:ascii="TradeGothic" w:hAnsi="TradeGothic"/>
                <w:b/>
                <w:sz w:val="22"/>
              </w:rPr>
              <w:t>PM</w:t>
            </w:r>
          </w:p>
        </w:tc>
        <w:tc>
          <w:tcPr>
            <w:tcW w:w="2347" w:type="dxa"/>
            <w:gridSpan w:val="2"/>
          </w:tcPr>
          <w:p w:rsidR="002D45BA" w:rsidRPr="007C172A" w:rsidRDefault="002D45BA">
            <w:pPr>
              <w:framePr w:w="4400" w:h="1644" w:wrap="notBeside" w:vAnchor="page" w:hAnchor="page" w:x="6573" w:y="721"/>
              <w:rPr>
                <w:rFonts w:ascii="TradeGothic" w:hAnsi="TradeGothic"/>
                <w:bCs/>
                <w:sz w:val="22"/>
              </w:rPr>
            </w:pPr>
            <w:r w:rsidRPr="007C172A">
              <w:rPr>
                <w:rFonts w:ascii="TradeGothic" w:hAnsi="TradeGothic"/>
                <w:bCs/>
                <w:sz w:val="22"/>
              </w:rPr>
              <w:t>Fi2006/6176</w:t>
            </w:r>
          </w:p>
        </w:tc>
      </w:tr>
      <w:tr w:rsidR="00000000" w:rsidRPr="007C172A">
        <w:tblPrEx>
          <w:tblCellMar>
            <w:top w:w="0" w:type="dxa"/>
            <w:bottom w:w="0" w:type="dxa"/>
          </w:tblCellMar>
        </w:tblPrEx>
        <w:tc>
          <w:tcPr>
            <w:tcW w:w="3402" w:type="dxa"/>
            <w:gridSpan w:val="2"/>
          </w:tcPr>
          <w:p w:rsidR="002D45BA" w:rsidRPr="007C172A" w:rsidRDefault="002D45BA">
            <w:pPr>
              <w:framePr w:w="4400" w:h="1644" w:wrap="notBeside" w:vAnchor="page" w:hAnchor="page" w:x="6573" w:y="721"/>
            </w:pPr>
          </w:p>
        </w:tc>
        <w:tc>
          <w:tcPr>
            <w:tcW w:w="1213" w:type="dxa"/>
          </w:tcPr>
          <w:p w:rsidR="002D45BA" w:rsidRPr="007C172A" w:rsidRDefault="002D45BA">
            <w:pPr>
              <w:framePr w:w="4400" w:h="1644" w:wrap="notBeside" w:vAnchor="page" w:hAnchor="page" w:x="6573" w:y="721"/>
            </w:pPr>
          </w:p>
        </w:tc>
      </w:tr>
      <w:tr w:rsidR="00000000" w:rsidRPr="007C172A">
        <w:tblPrEx>
          <w:tblCellMar>
            <w:top w:w="0" w:type="dxa"/>
            <w:bottom w:w="0" w:type="dxa"/>
          </w:tblCellMar>
        </w:tblPrEx>
        <w:tc>
          <w:tcPr>
            <w:tcW w:w="2268" w:type="dxa"/>
          </w:tcPr>
          <w:p w:rsidR="002D45BA" w:rsidRPr="007C172A" w:rsidRDefault="002D45BA">
            <w:pPr>
              <w:framePr w:w="4400" w:h="1644" w:wrap="notBeside" w:vAnchor="page" w:hAnchor="page" w:x="6573" w:y="721"/>
            </w:pPr>
            <w:r w:rsidRPr="007C172A">
              <w:t>2006-11-13</w:t>
            </w:r>
          </w:p>
        </w:tc>
        <w:tc>
          <w:tcPr>
            <w:tcW w:w="2347" w:type="dxa"/>
            <w:gridSpan w:val="2"/>
          </w:tcPr>
          <w:p w:rsidR="002D45BA" w:rsidRPr="007C172A" w:rsidRDefault="002D45BA">
            <w:pPr>
              <w:framePr w:w="4400" w:h="1644" w:wrap="notBeside" w:vAnchor="page" w:hAnchor="page" w:x="6573" w:y="721"/>
            </w:pPr>
          </w:p>
        </w:tc>
      </w:tr>
      <w:tr w:rsidR="00000000" w:rsidRPr="007C172A">
        <w:tblPrEx>
          <w:tblCellMar>
            <w:top w:w="0" w:type="dxa"/>
            <w:bottom w:w="0" w:type="dxa"/>
          </w:tblCellMar>
        </w:tblPrEx>
        <w:tc>
          <w:tcPr>
            <w:tcW w:w="2268" w:type="dxa"/>
          </w:tcPr>
          <w:p w:rsidR="002D45BA" w:rsidRPr="007C172A" w:rsidRDefault="002D45BA">
            <w:pPr>
              <w:framePr w:w="4400" w:h="1644" w:wrap="notBeside" w:vAnchor="page" w:hAnchor="page" w:x="6573" w:y="721"/>
            </w:pPr>
          </w:p>
        </w:tc>
        <w:tc>
          <w:tcPr>
            <w:tcW w:w="2347" w:type="dxa"/>
            <w:gridSpan w:val="2"/>
          </w:tcPr>
          <w:p w:rsidR="002D45BA" w:rsidRPr="007C172A" w:rsidRDefault="002D45B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
                <w:i w:val="0"/>
                <w:sz w:val="22"/>
              </w:rPr>
            </w:pPr>
            <w:r w:rsidRPr="007C172A">
              <w:rPr>
                <w:b/>
                <w:i w:val="0"/>
                <w:sz w:val="22"/>
              </w:rPr>
              <w:t>Finansdepartementet</w:t>
            </w: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r w:rsidRPr="007C172A">
              <w:rPr>
                <w:bCs/>
                <w:iCs/>
              </w:rPr>
              <w:t>Budgetavdelningen</w:t>
            </w: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r w:rsidRPr="007C172A">
              <w:rPr>
                <w:bCs/>
                <w:iCs/>
              </w:rPr>
              <w:t>EU-budgetenheten</w:t>
            </w: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p>
        </w:tc>
      </w:tr>
      <w:tr w:rsidR="00000000" w:rsidRPr="007C172A">
        <w:tblPrEx>
          <w:tblCellMar>
            <w:top w:w="0" w:type="dxa"/>
            <w:bottom w:w="0" w:type="dxa"/>
          </w:tblCellMar>
        </w:tblPrEx>
        <w:trPr>
          <w:trHeight w:val="284"/>
        </w:trPr>
        <w:tc>
          <w:tcPr>
            <w:tcW w:w="4911" w:type="dxa"/>
          </w:tcPr>
          <w:p w:rsidR="002D45BA" w:rsidRPr="007C172A" w:rsidRDefault="002D45BA">
            <w:pPr>
              <w:pStyle w:val="Avsndare"/>
              <w:framePr w:h="2483" w:wrap="notBeside" w:x="1504"/>
              <w:rPr>
                <w:bCs/>
                <w:iCs/>
              </w:rPr>
            </w:pPr>
          </w:p>
        </w:tc>
      </w:tr>
    </w:tbl>
    <w:p w:rsidR="002D45BA" w:rsidRPr="007C172A" w:rsidRDefault="002D45BA">
      <w:pPr>
        <w:framePr w:w="4400" w:h="2523" w:wrap="notBeside" w:vAnchor="page" w:hAnchor="page" w:x="6453" w:y="2445"/>
        <w:ind w:left="142"/>
      </w:pPr>
      <w:r w:rsidRPr="007C172A">
        <w:t>EU-nämnden</w:t>
      </w:r>
    </w:p>
    <w:p w:rsidR="002D45BA" w:rsidRPr="007C172A" w:rsidRDefault="002D45BA">
      <w:pPr>
        <w:framePr w:w="4400" w:h="2523" w:wrap="notBeside" w:vAnchor="page" w:hAnchor="page" w:x="6453" w:y="2445"/>
        <w:ind w:left="142"/>
      </w:pPr>
    </w:p>
    <w:p w:rsidR="002D45BA" w:rsidRPr="007C172A" w:rsidRDefault="002D45BA">
      <w:pPr>
        <w:framePr w:w="4400" w:h="2523" w:wrap="notBeside" w:vAnchor="page" w:hAnchor="page" w:x="6453" w:y="2445"/>
        <w:ind w:left="142"/>
      </w:pPr>
      <w:r w:rsidRPr="007C172A">
        <w:t>Inför Ekofinrådet den 21 november 2007</w:t>
      </w:r>
    </w:p>
    <w:p w:rsidR="002D45BA" w:rsidRPr="007C172A" w:rsidRDefault="002D45BA">
      <w:pPr>
        <w:framePr w:w="4400" w:h="2523" w:wrap="notBeside" w:vAnchor="page" w:hAnchor="page" w:x="6453" w:y="2445"/>
        <w:ind w:left="142"/>
      </w:pPr>
    </w:p>
    <w:p w:rsidR="002D45BA" w:rsidRPr="007C172A" w:rsidRDefault="002D45BA">
      <w:pPr>
        <w:framePr w:w="4400" w:h="2523" w:wrap="notBeside" w:vAnchor="page" w:hAnchor="page" w:x="6453" w:y="2445"/>
        <w:ind w:left="142"/>
        <w:rPr>
          <w:i/>
          <w:iCs/>
        </w:rPr>
      </w:pPr>
    </w:p>
    <w:p w:rsidR="002D45BA" w:rsidRPr="007C172A" w:rsidRDefault="002D45BA">
      <w:pPr>
        <w:pStyle w:val="RKrubrik"/>
        <w:pBdr>
          <w:bottom w:val="single" w:sz="4" w:space="1" w:color="000000"/>
        </w:pBdr>
        <w:spacing w:before="0" w:after="0"/>
      </w:pPr>
      <w:r w:rsidRPr="007C172A">
        <w:t>Rådets andra läsning av EU:s budget för 2007</w:t>
      </w:r>
    </w:p>
    <w:p w:rsidR="002D45BA" w:rsidRPr="007C172A" w:rsidRDefault="002D45BA">
      <w:pPr>
        <w:pStyle w:val="RKrubrik"/>
      </w:pPr>
      <w:r w:rsidRPr="007C172A">
        <w:t>EU:s budgetprocess</w:t>
      </w:r>
    </w:p>
    <w:p w:rsidR="002D45BA" w:rsidRPr="007C172A" w:rsidRDefault="002D45BA">
      <w:pPr>
        <w:pStyle w:val="RKnormal"/>
        <w:numPr>
          <w:ilvl w:val="0"/>
          <w:numId w:val="1"/>
        </w:numPr>
      </w:pPr>
      <w:r w:rsidRPr="007C172A">
        <w:t>Kommissionen (KOM) fattade beslut om sitt budgetförslag för 2007 den 3 maj i år.</w:t>
      </w:r>
    </w:p>
    <w:p w:rsidR="002D45BA" w:rsidRPr="007C172A" w:rsidRDefault="002D45BA">
      <w:pPr>
        <w:pStyle w:val="RKnormal"/>
        <w:numPr>
          <w:ilvl w:val="0"/>
          <w:numId w:val="1"/>
        </w:numPr>
      </w:pPr>
      <w:r w:rsidRPr="007C172A">
        <w:t>Den 14 juli genomförde Ekofin rådets första läsning av KOM:s förslag. I samband med Ekofinmötet skedde ett förlikningsmöte med Europaparlamentet (EP).</w:t>
      </w:r>
    </w:p>
    <w:p w:rsidR="002D45BA" w:rsidRPr="007C172A" w:rsidRDefault="002D45BA">
      <w:pPr>
        <w:pStyle w:val="RKnormal"/>
        <w:numPr>
          <w:ilvl w:val="0"/>
          <w:numId w:val="1"/>
        </w:numPr>
      </w:pPr>
      <w:r w:rsidRPr="007C172A">
        <w:t xml:space="preserve">Den 26 oktober genomförde EP sin första läsning av rådets förslag. </w:t>
      </w:r>
    </w:p>
    <w:p w:rsidR="002D45BA" w:rsidRPr="007C172A" w:rsidRDefault="002D45BA">
      <w:pPr>
        <w:pStyle w:val="RKnormal"/>
        <w:numPr>
          <w:ilvl w:val="0"/>
          <w:numId w:val="1"/>
        </w:numPr>
      </w:pPr>
      <w:r w:rsidRPr="007C172A">
        <w:t xml:space="preserve">Den 21 november genomför Ekofin rådets andra läsning av budgetförslaget. </w:t>
      </w:r>
    </w:p>
    <w:p w:rsidR="002D45BA" w:rsidRPr="007C172A" w:rsidRDefault="002D45BA">
      <w:pPr>
        <w:pStyle w:val="RKnormal"/>
        <w:numPr>
          <w:ilvl w:val="0"/>
          <w:numId w:val="1"/>
        </w:numPr>
      </w:pPr>
      <w:r w:rsidRPr="007C172A">
        <w:t xml:space="preserve">EP genomför sin andra läsning av budgeten den 14 december och fastställer därmed budgeten för 2007. </w:t>
      </w:r>
    </w:p>
    <w:p w:rsidR="002D45BA" w:rsidRPr="007C172A" w:rsidRDefault="002D45BA">
      <w:pPr>
        <w:pStyle w:val="RKnormal"/>
      </w:pPr>
    </w:p>
    <w:p w:rsidR="002D45BA" w:rsidRPr="007C172A" w:rsidRDefault="002D45BA">
      <w:pPr>
        <w:pStyle w:val="RKnormal"/>
      </w:pPr>
      <w:r w:rsidRPr="007C172A">
        <w:t>KOM ska enligt fördraget presentera ett preliminärt budgetförslag. På basis av detta fastställer rådet budgetförslaget genom kvalificerad majoritet. EP kan sedan anta ändringar av budgetförslaget i sin första läsning. Rådet kan i sin andra läsning modifiera parlamentets ändringar och/eller godkänna parlamentets ändringsförslag och skicka tillbaka budgetförslaget för en andra läsning i parlamentet. Eftersom rådet beslutar om s.k. obligatoriska utgifter – framför allt jordbrukspolitiken – är dessa beslutade i</w:t>
      </w:r>
      <w:r w:rsidRPr="007C172A">
        <w:t xml:space="preserve"> samband med rådets andra läsning medan parlamentet slår fast övriga utgifter i sin andra läsning. </w:t>
      </w:r>
    </w:p>
    <w:p w:rsidR="002D45BA" w:rsidRPr="007C172A" w:rsidRDefault="002D45BA">
      <w:pPr>
        <w:pStyle w:val="RKrubrik"/>
      </w:pPr>
      <w:r w:rsidRPr="007C172A">
        <w:t>Kommissionens preliminära budgetförslag för 2007</w:t>
      </w:r>
    </w:p>
    <w:p w:rsidR="002D45BA" w:rsidRPr="007C172A" w:rsidRDefault="002D45BA">
      <w:pPr>
        <w:spacing w:before="120" w:line="240" w:lineRule="atLeast"/>
        <w:jc w:val="both"/>
        <w:rPr>
          <w:color w:val="000000"/>
        </w:rPr>
      </w:pPr>
      <w:r w:rsidRPr="007C172A">
        <w:t xml:space="preserve">KOM:s förslag till budget innebär en ökning av åtagandeanslagen jämfört med budgeten för 2006 med 4,6 % till 126,8 miljarder euro och betalningsanslagen med 3,9% till 116,4 miljarder euro. </w:t>
      </w:r>
    </w:p>
    <w:p w:rsidR="002D45BA" w:rsidRPr="007C172A" w:rsidRDefault="002D45BA">
      <w:pPr>
        <w:pStyle w:val="RKrubrik"/>
      </w:pPr>
      <w:r w:rsidRPr="007C172A">
        <w:t>Rådets första läsning</w:t>
      </w:r>
    </w:p>
    <w:p w:rsidR="002D45BA" w:rsidRPr="007C172A" w:rsidRDefault="002D45BA">
      <w:pPr>
        <w:pStyle w:val="RKnormal"/>
      </w:pPr>
      <w:r w:rsidRPr="007C172A">
        <w:t>Rådets första läsning resulterade i ett kompromissförslag som antogs vid budgetekofin den 14 juli i år. Kompromissförslaget innebär en minskning gentemot KOM:s förslag med 1025 miljoner euro för åtaganden och 1762 miljoner euro för betalningarna. Kompromiss</w:t>
      </w:r>
      <w:r w:rsidRPr="007C172A">
        <w:softHyphen/>
        <w:t xml:space="preserve">förslaget skulle innebära en minskning av den svenska avgiften till EU med 428 miljoner kronor 2007. </w:t>
      </w:r>
    </w:p>
    <w:p w:rsidR="002D45BA" w:rsidRPr="007C172A" w:rsidRDefault="002D45BA">
      <w:pPr>
        <w:pStyle w:val="RKnormal"/>
      </w:pPr>
    </w:p>
    <w:p w:rsidR="002D45BA" w:rsidRPr="007C172A" w:rsidRDefault="002D45BA">
      <w:pPr>
        <w:pStyle w:val="RKnormal"/>
      </w:pPr>
      <w:r w:rsidRPr="007C172A">
        <w:t>Ett principiellt viktigt resultatet  var rådets förslag att minska administrationen. Hälften av samtliga vakanser vid institutionerna som uppstår pga. pension ska enligt förslaget inte återtillsättas. För 2007 innebär det 200 tjänster (exklusive EP bidrag) och avsikten är att detta ska bli en princip framöver. Dessutom ska KOM redovisa hur ytterligare 500 tjänster ska kunna tas bort fram till 2010 med anledning av färre program under perioden 2007-2013. Rådet får minskat anslag med 0,56 % eller 3,3 miljoner</w:t>
      </w:r>
      <w:r w:rsidRPr="007C172A">
        <w:t xml:space="preserve"> euro jämfört med år 2006.</w:t>
      </w:r>
    </w:p>
    <w:p w:rsidR="002D45BA" w:rsidRPr="007C172A" w:rsidRDefault="002D45BA">
      <w:pPr>
        <w:pStyle w:val="RKrubrik"/>
      </w:pPr>
      <w:r w:rsidRPr="007C172A">
        <w:t>Europaparlamentets första läsning</w:t>
      </w:r>
    </w:p>
    <w:p w:rsidR="002D45BA" w:rsidRPr="007C172A" w:rsidRDefault="002D45BA">
      <w:pPr>
        <w:pStyle w:val="RKnormal"/>
      </w:pPr>
      <w:r w:rsidRPr="007C172A">
        <w:t xml:space="preserve">Resultatet av EP:s behandling av budgeten för 2007 innebär i korthet att betalningsnivån ökar kraftigt. Totalt föreslår EP en ökning av betalningsnivån för 2007 med ca 7,4 miljarder euro jämfört med rådets kompromissförslag från första läsningen. Det är framför allt jordbruksutgifterna och strukturfonderna som ökar mest. </w:t>
      </w:r>
    </w:p>
    <w:p w:rsidR="002D45BA" w:rsidRPr="007C172A" w:rsidRDefault="002D45BA">
      <w:pPr>
        <w:pStyle w:val="RKnormal"/>
      </w:pPr>
    </w:p>
    <w:p w:rsidR="002D45BA" w:rsidRPr="007C172A" w:rsidRDefault="002D45BA">
      <w:pPr>
        <w:pStyle w:val="RKnormal"/>
      </w:pPr>
      <w:r w:rsidRPr="007C172A">
        <w:t>Vad gäller kostnader för administrationen, tillbakavisar parlamentet rådets förslag till neddragningar på kommissionens administrativa budget. Parlamentet föreslår vidare en ökning för rubrik 4 ”EU som global partner” men föreslår samtidigt en halvering av anslagen för den gemensamma utrikes- och säkerhetspolitiken, GUSP.</w:t>
      </w:r>
    </w:p>
    <w:p w:rsidR="002D45BA" w:rsidRPr="007C172A" w:rsidRDefault="002D45BA">
      <w:pPr>
        <w:pStyle w:val="RKnormal"/>
      </w:pPr>
    </w:p>
    <w:p w:rsidR="002D45BA" w:rsidRPr="007C172A" w:rsidRDefault="002D45BA">
      <w:pPr>
        <w:pStyle w:val="RKnormal"/>
      </w:pPr>
      <w:r w:rsidRPr="007C172A">
        <w:t>Tabellen nedan sammanfattar KOM:s förslag samt rådets och EP:s första läsning.</w:t>
      </w:r>
    </w:p>
    <w:p w:rsidR="002D45BA" w:rsidRPr="007C172A" w:rsidRDefault="002D45BA">
      <w:pPr>
        <w:pStyle w:val="RKnormal"/>
      </w:pPr>
    </w:p>
    <w:tbl>
      <w:tblPr>
        <w:tblW w:w="8280" w:type="dxa"/>
        <w:tblCellMar>
          <w:left w:w="0" w:type="dxa"/>
          <w:right w:w="0" w:type="dxa"/>
        </w:tblCellMar>
        <w:tblLook w:val="0000" w:firstRow="0" w:lastRow="0" w:firstColumn="0" w:lastColumn="0" w:noHBand="0" w:noVBand="0"/>
      </w:tblPr>
      <w:tblGrid>
        <w:gridCol w:w="1600"/>
        <w:gridCol w:w="880"/>
        <w:gridCol w:w="800"/>
        <w:gridCol w:w="820"/>
        <w:gridCol w:w="880"/>
        <w:gridCol w:w="840"/>
        <w:gridCol w:w="800"/>
        <w:gridCol w:w="820"/>
        <w:gridCol w:w="840"/>
      </w:tblGrid>
      <w:tr w:rsidR="00000000" w:rsidRPr="007C172A">
        <w:trPr>
          <w:trHeight w:val="255"/>
        </w:trPr>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1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KOM förslag</w:t>
            </w:r>
          </w:p>
        </w:tc>
        <w:tc>
          <w:tcPr>
            <w:tcW w:w="17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Rådets 1:a läsning</w:t>
            </w:r>
          </w:p>
        </w:tc>
        <w:tc>
          <w:tcPr>
            <w:tcW w:w="1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EP 1:a läsning</w:t>
            </w:r>
          </w:p>
        </w:tc>
        <w:tc>
          <w:tcPr>
            <w:tcW w:w="166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EP marg till FP</w:t>
            </w:r>
            <w:r w:rsidRPr="007C172A">
              <w:rPr>
                <w:rFonts w:ascii="Arial" w:hAnsi="Arial" w:cs="Arial"/>
                <w:sz w:val="20"/>
              </w:rPr>
              <w:sym w:font="Symbol" w:char="F02A"/>
            </w:r>
          </w:p>
        </w:tc>
      </w:tr>
      <w:tr w:rsidR="00000000" w:rsidRPr="007C172A">
        <w:trPr>
          <w:trHeight w:val="510"/>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Utgiftsrubriker</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Åtag-anslag</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Betaln-anslag</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Åtag-anslag</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Betaln-anslag</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Åtag-anslag</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Betaln-anslag</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Åtag-anslag</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Betaln-anslag</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Konkurrenskraft</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8796</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6944</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8782</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6768</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8837</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9541</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80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70"/>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Sammanhållning</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45487</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37790</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45487</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37365</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45487</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39899</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Naturresurser</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57218</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55683</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56471</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54896</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57606</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56155</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745</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Frihet, säkerhet</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571</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427</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562</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619</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477</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17</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Medborgarskap</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603</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680</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587</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648</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615</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708</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21</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Global partner</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6703</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7447</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6358</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7262</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6534</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7834</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44</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Administration</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6954</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6954</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6830</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6830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6956</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6956</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159</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Kompensationer</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445</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445</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445</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445</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445</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445</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sz w:val="20"/>
              </w:rPr>
            </w:pPr>
            <w:r w:rsidRPr="007C172A">
              <w:rPr>
                <w:rFonts w:ascii="Arial" w:hAnsi="Arial" w:cs="Arial"/>
                <w:sz w:val="20"/>
              </w:rPr>
              <w:t>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sz w:val="20"/>
              </w:rPr>
            </w:pPr>
            <w:r w:rsidRPr="007C172A">
              <w:rPr>
                <w:rFonts w:ascii="Arial" w:hAnsi="Arial" w:cs="Arial"/>
                <w:sz w:val="20"/>
              </w:rPr>
              <w:t> </w:t>
            </w:r>
          </w:p>
        </w:tc>
      </w:tr>
      <w:tr w:rsidR="00000000" w:rsidRPr="007C172A">
        <w:trPr>
          <w:trHeight w:val="255"/>
        </w:trPr>
        <w:tc>
          <w:tcPr>
            <w:tcW w:w="1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rPr>
                <w:rFonts w:ascii="Arial" w:eastAsia="Arial Unicode MS" w:hAnsi="Arial" w:cs="Arial"/>
                <w:b/>
                <w:bCs/>
                <w:i/>
                <w:iCs/>
                <w:sz w:val="20"/>
              </w:rPr>
            </w:pPr>
            <w:r w:rsidRPr="007C172A">
              <w:rPr>
                <w:rFonts w:ascii="Arial" w:hAnsi="Arial" w:cs="Arial"/>
                <w:b/>
                <w:bCs/>
                <w:i/>
                <w:iCs/>
                <w:sz w:val="20"/>
              </w:rPr>
              <w:t>Totalt</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126776</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116370</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125756</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114613</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127335</w:t>
            </w:r>
          </w:p>
        </w:tc>
        <w:tc>
          <w:tcPr>
            <w:tcW w:w="80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122016</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1067</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2D45BA" w:rsidRPr="007C172A" w:rsidRDefault="002D45BA">
            <w:pPr>
              <w:jc w:val="right"/>
              <w:rPr>
                <w:rFonts w:ascii="Arial" w:eastAsia="Arial Unicode MS" w:hAnsi="Arial" w:cs="Arial"/>
                <w:b/>
                <w:bCs/>
                <w:i/>
                <w:iCs/>
                <w:sz w:val="20"/>
              </w:rPr>
            </w:pPr>
            <w:r w:rsidRPr="007C172A">
              <w:rPr>
                <w:rFonts w:ascii="Arial" w:hAnsi="Arial" w:cs="Arial"/>
                <w:b/>
                <w:bCs/>
                <w:i/>
                <w:iCs/>
                <w:sz w:val="20"/>
              </w:rPr>
              <w:t>1850</w:t>
            </w:r>
          </w:p>
        </w:tc>
      </w:tr>
    </w:tbl>
    <w:p w:rsidR="002D45BA" w:rsidRPr="007C172A" w:rsidRDefault="002D45BA">
      <w:pPr>
        <w:pStyle w:val="RKnormal"/>
        <w:rPr>
          <w:sz w:val="20"/>
        </w:rPr>
      </w:pPr>
      <w:r w:rsidRPr="007C172A">
        <w:rPr>
          <w:sz w:val="20"/>
        </w:rPr>
        <w:sym w:font="Symbol" w:char="F02A"/>
      </w:r>
      <w:r w:rsidRPr="007C172A">
        <w:rPr>
          <w:sz w:val="20"/>
        </w:rPr>
        <w:t xml:space="preserve"> FP – Den fleråriga budgetramen 2007-2013</w:t>
      </w:r>
    </w:p>
    <w:p w:rsidR="002D45BA" w:rsidRPr="007C172A" w:rsidRDefault="002D45BA">
      <w:pPr>
        <w:pStyle w:val="RKrubrik"/>
      </w:pPr>
      <w:r w:rsidRPr="007C172A">
        <w:t>Rådets andra läsning av budgeten för 2007</w:t>
      </w:r>
    </w:p>
    <w:p w:rsidR="002D45BA" w:rsidRPr="007C172A" w:rsidRDefault="002D45BA">
      <w:pPr>
        <w:pStyle w:val="RKnormal"/>
      </w:pPr>
      <w:r w:rsidRPr="007C172A">
        <w:t xml:space="preserve">Budgetkommittén har i sin behandling av rådets andra läsning arbetat efter principerna att taken i den fleråriga budgetramen 2007-2013 ska respekteras och att ökningstakten i betalningsanslagen ska begränsas i linje med den budgetdisciplin många medlemsstater måste upprätthålla på nationell nivå. Det kompromissförslag som nu arbetas fram i budgetkommittén innebär huvudsakligen en återgång till rådets första läsning med undantag för rubrik 2 som avser utgifterna för jordbrukspolitiken. Rådet förhandlar här </w:t>
      </w:r>
      <w:r w:rsidRPr="007C172A">
        <w:t xml:space="preserve">om en ytterligare neddragning i förhållande till första läsningen för att tillgodose reviderade utgiftsprognoser som tyder på minskade utgiftsbehov för jordbrukspolitiken under 2007. </w:t>
      </w:r>
    </w:p>
    <w:p w:rsidR="002D45BA" w:rsidRPr="007C172A" w:rsidRDefault="002D45BA">
      <w:pPr>
        <w:pStyle w:val="RKrubrik"/>
      </w:pPr>
      <w:r w:rsidRPr="007C172A">
        <w:t>Övriga frågor på Ekofinrådets dagordning</w:t>
      </w:r>
    </w:p>
    <w:p w:rsidR="002D45BA" w:rsidRPr="007C172A" w:rsidRDefault="002D45BA">
      <w:pPr>
        <w:pStyle w:val="RKnormal"/>
        <w:rPr>
          <w:b/>
          <w:bCs/>
        </w:rPr>
      </w:pPr>
      <w:r w:rsidRPr="007C172A">
        <w:rPr>
          <w:b/>
          <w:bCs/>
        </w:rPr>
        <w:t>Förslag till ändringsbudget nr 6 för 2006</w:t>
      </w:r>
    </w:p>
    <w:p w:rsidR="002D45BA" w:rsidRPr="007C172A" w:rsidRDefault="002D45BA">
      <w:pPr>
        <w:pStyle w:val="RKnormal"/>
      </w:pPr>
      <w:r w:rsidRPr="007C172A">
        <w:t>Ändringsbudget 6 avser revidering av prognosen för egna medel samt minskade utgifter med 3 960 miljoner euro.</w:t>
      </w:r>
    </w:p>
    <w:p w:rsidR="002D45BA" w:rsidRPr="007C172A" w:rsidRDefault="002D45BA">
      <w:pPr>
        <w:pStyle w:val="RKnormal"/>
      </w:pPr>
    </w:p>
    <w:p w:rsidR="002D45BA" w:rsidRPr="007C172A" w:rsidRDefault="002D45BA">
      <w:pPr>
        <w:pStyle w:val="RKnormal"/>
        <w:rPr>
          <w:b/>
          <w:bCs/>
        </w:rPr>
      </w:pPr>
      <w:r w:rsidRPr="007C172A">
        <w:rPr>
          <w:b/>
          <w:bCs/>
        </w:rPr>
        <w:t>Förslag till ändringsskrivelse nr 3 till 2007 års allmänna budget</w:t>
      </w:r>
    </w:p>
    <w:p w:rsidR="002D45BA" w:rsidRPr="007C172A" w:rsidRDefault="002D45BA">
      <w:pPr>
        <w:pStyle w:val="RKnormal"/>
      </w:pPr>
      <w:r w:rsidRPr="007C172A">
        <w:t>I ändringsskrivelsen reviderar kommissionen prognoser för jordbruksutgifter under 2007 i förhållande till kommissionens preliminära budgetförslag i maj. Skrivelsen innebär en nedrevidering av jordbruksutgifterna med sammanlagt 852 miljoner euro.</w:t>
      </w:r>
    </w:p>
    <w:p w:rsidR="002D45BA" w:rsidRPr="007C172A" w:rsidRDefault="002D45BA">
      <w:pPr>
        <w:pStyle w:val="RKnormal"/>
      </w:pPr>
    </w:p>
    <w:p w:rsidR="002D45BA" w:rsidRPr="007C172A" w:rsidRDefault="002D45BA">
      <w:pPr>
        <w:pStyle w:val="RKnormal"/>
      </w:pPr>
      <w:r w:rsidRPr="007C172A">
        <w:rPr>
          <w:b/>
          <w:bCs/>
        </w:rPr>
        <w:t>Diskussion med Europaparlamentet avseende revideringar i budgetförordningen</w:t>
      </w:r>
    </w:p>
    <w:p w:rsidR="002D45BA" w:rsidRPr="007C172A" w:rsidRDefault="002D45BA">
      <w:pPr>
        <w:pStyle w:val="RKnormal"/>
      </w:pPr>
      <w:r w:rsidRPr="007C172A">
        <w:t xml:space="preserve">Den gällande budgetförordningen antogs enhälligt av rådet i juni 2002 och trädde i kraft den 1 januari 2003. I samband med antagandet bifogade KOM ett uttalande som innebar att KOM åtog sig att senast den 1 januari 2006 sammanställa en rapport om tillämpningen av den nya budgetförordningen samt vid behov lägga fram lämpliga förslag till revidering. KOM presenterade sin rapport och sitt förslag till revidering av budgetförordningen den 8 juli 2005. </w:t>
      </w:r>
    </w:p>
    <w:p w:rsidR="002D45BA" w:rsidRPr="007C172A" w:rsidRDefault="002D45BA">
      <w:pPr>
        <w:pStyle w:val="RKnormal"/>
      </w:pPr>
    </w:p>
    <w:p w:rsidR="002D45BA" w:rsidRPr="007C172A" w:rsidRDefault="002D45BA">
      <w:pPr>
        <w:pStyle w:val="RKnormal"/>
      </w:pPr>
      <w:r w:rsidRPr="007C172A">
        <w:t>Målsättningen är att nå enighet om en reviderad budgetförordning som kan träda i kraft den 1 januari 2007, samtidigt som den fleråriga budgetramen för perioden 2007-2013.</w:t>
      </w:r>
    </w:p>
    <w:p w:rsidR="002D45BA" w:rsidRPr="007C172A" w:rsidRDefault="002D45BA">
      <w:pPr>
        <w:pStyle w:val="RKnormal"/>
      </w:pPr>
    </w:p>
    <w:p w:rsidR="002D45BA" w:rsidRPr="007C172A" w:rsidRDefault="002D45BA">
      <w:pPr>
        <w:pStyle w:val="RKnormal"/>
      </w:pPr>
      <w:r w:rsidRPr="007C172A">
        <w:t xml:space="preserve">Rådet beslutar om budgetförordning med enhällighet fram till den 1 januari 2007 då det övergår till beslut med kvalificerad majoritet i enlighet med fördraget, artikel 279. EP har egentligen inget medbeslutande men i samband med förhandlingarna om den fleråriga budgetramen antogs en deklaration med innebörden att EP kommer att få vara med och bestämma genom ett samrådsförfarande. </w:t>
      </w:r>
    </w:p>
    <w:p w:rsidR="002D45BA" w:rsidRPr="007C172A" w:rsidRDefault="002D45BA">
      <w:pPr>
        <w:pStyle w:val="RKnormal"/>
      </w:pPr>
    </w:p>
    <w:p w:rsidR="002D45BA" w:rsidRPr="007C172A" w:rsidRDefault="002D45BA">
      <w:pPr>
        <w:pStyle w:val="RKnormal"/>
      </w:pPr>
      <w:r w:rsidRPr="007C172A">
        <w:t>Ändringarna är av övergripande natur i syfte att förenkla och förtydliga regelverket.</w:t>
      </w:r>
    </w:p>
    <w:p w:rsidR="002D45BA" w:rsidRPr="007C172A" w:rsidRDefault="002D45BA">
      <w:pPr>
        <w:pStyle w:val="RKnormal"/>
      </w:pPr>
    </w:p>
    <w:sectPr w:rsidR="002D45BA" w:rsidRPr="007C172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5BA" w:rsidRPr="007C172A" w:rsidRDefault="002D45BA">
      <w:pPr>
        <w:spacing w:line="240" w:lineRule="auto"/>
      </w:pPr>
      <w:r w:rsidRPr="007C172A">
        <w:separator/>
      </w:r>
    </w:p>
  </w:endnote>
  <w:endnote w:type="continuationSeparator" w:id="0">
    <w:p w:rsidR="002D45BA" w:rsidRPr="007C172A" w:rsidRDefault="002D45BA">
      <w:pPr>
        <w:spacing w:line="240" w:lineRule="auto"/>
      </w:pPr>
      <w:r w:rsidRPr="007C1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5BA" w:rsidRPr="007C172A" w:rsidRDefault="002D45BA">
      <w:pPr>
        <w:spacing w:line="240" w:lineRule="auto"/>
      </w:pPr>
      <w:r w:rsidRPr="007C172A">
        <w:separator/>
      </w:r>
    </w:p>
  </w:footnote>
  <w:footnote w:type="continuationSeparator" w:id="0">
    <w:p w:rsidR="002D45BA" w:rsidRPr="007C172A" w:rsidRDefault="002D45BA">
      <w:pPr>
        <w:spacing w:line="240" w:lineRule="auto"/>
      </w:pPr>
      <w:r w:rsidRPr="007C17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5BA" w:rsidRPr="007C172A" w:rsidRDefault="002D45BA">
    <w:pPr>
      <w:pStyle w:val="Sidhuvud"/>
      <w:framePr w:wrap="around" w:vAnchor="text" w:hAnchor="margin" w:xAlign="right" w:y="1"/>
      <w:rPr>
        <w:rStyle w:val="Sidnummer"/>
      </w:rPr>
    </w:pPr>
    <w:r w:rsidRPr="007C172A">
      <w:rPr>
        <w:rStyle w:val="Sidnummer"/>
      </w:rPr>
      <w:fldChar w:fldCharType="begin" w:fldLock="1"/>
    </w:r>
    <w:r w:rsidRPr="007C172A">
      <w:rPr>
        <w:rStyle w:val="Sidnummer"/>
      </w:rPr>
      <w:instrText xml:space="preserve">PAGE  </w:instrText>
    </w:r>
    <w:r w:rsidRPr="007C172A">
      <w:rPr>
        <w:rStyle w:val="Sidnummer"/>
      </w:rPr>
      <w:fldChar w:fldCharType="separate"/>
    </w:r>
    <w:r w:rsidRPr="007C172A">
      <w:rPr>
        <w:rStyle w:val="Sidnummer"/>
      </w:rPr>
      <w:t>4</w:t>
    </w:r>
    <w:r w:rsidRPr="007C17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C172A">
      <w:tblPrEx>
        <w:tblCellMar>
          <w:top w:w="0" w:type="dxa"/>
          <w:bottom w:w="0" w:type="dxa"/>
        </w:tblCellMar>
      </w:tblPrEx>
      <w:trPr>
        <w:cantSplit/>
      </w:trPr>
      <w:tc>
        <w:tcPr>
          <w:tcW w:w="3119" w:type="dxa"/>
        </w:tcPr>
        <w:p w:rsidR="002D45BA" w:rsidRPr="007C172A" w:rsidRDefault="002D45BA">
          <w:pPr>
            <w:pStyle w:val="Sidhuvud"/>
            <w:spacing w:line="200" w:lineRule="atLeast"/>
            <w:ind w:right="357"/>
            <w:rPr>
              <w:rFonts w:ascii="TradeGothic" w:hAnsi="TradeGothic"/>
              <w:b/>
              <w:bCs/>
              <w:sz w:val="16"/>
            </w:rPr>
          </w:pPr>
        </w:p>
      </w:tc>
      <w:tc>
        <w:tcPr>
          <w:tcW w:w="4111" w:type="dxa"/>
          <w:tcMar>
            <w:left w:w="567" w:type="dxa"/>
          </w:tcMar>
        </w:tcPr>
        <w:p w:rsidR="002D45BA" w:rsidRPr="007C172A" w:rsidRDefault="002D45BA">
          <w:pPr>
            <w:pStyle w:val="Sidhuvud"/>
            <w:ind w:right="360"/>
          </w:pPr>
        </w:p>
      </w:tc>
      <w:tc>
        <w:tcPr>
          <w:tcW w:w="1525" w:type="dxa"/>
        </w:tcPr>
        <w:p w:rsidR="002D45BA" w:rsidRPr="007C172A" w:rsidRDefault="002D45BA">
          <w:pPr>
            <w:pStyle w:val="Sidhuvud"/>
            <w:ind w:right="360"/>
          </w:pPr>
        </w:p>
      </w:tc>
    </w:tr>
  </w:tbl>
  <w:p w:rsidR="002D45BA" w:rsidRPr="007C172A" w:rsidRDefault="002D45B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5BA" w:rsidRPr="007C172A" w:rsidRDefault="002D45BA">
    <w:pPr>
      <w:pStyle w:val="Sidhuvud"/>
      <w:framePr w:wrap="around" w:vAnchor="text" w:hAnchor="margin" w:xAlign="right" w:y="1"/>
      <w:rPr>
        <w:rStyle w:val="Sidnummer"/>
      </w:rPr>
    </w:pPr>
    <w:r w:rsidRPr="007C172A">
      <w:rPr>
        <w:rStyle w:val="Sidnummer"/>
      </w:rPr>
      <w:fldChar w:fldCharType="begin" w:fldLock="1"/>
    </w:r>
    <w:r w:rsidRPr="007C172A">
      <w:rPr>
        <w:rStyle w:val="Sidnummer"/>
      </w:rPr>
      <w:instrText xml:space="preserve">PAGE  </w:instrText>
    </w:r>
    <w:r w:rsidRPr="007C172A">
      <w:rPr>
        <w:rStyle w:val="Sidnummer"/>
      </w:rPr>
      <w:fldChar w:fldCharType="separate"/>
    </w:r>
    <w:r w:rsidRPr="007C172A">
      <w:rPr>
        <w:rStyle w:val="Sidnummer"/>
      </w:rPr>
      <w:t>3</w:t>
    </w:r>
    <w:r w:rsidRPr="007C17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C172A">
      <w:tblPrEx>
        <w:tblCellMar>
          <w:top w:w="0" w:type="dxa"/>
          <w:bottom w:w="0" w:type="dxa"/>
        </w:tblCellMar>
      </w:tblPrEx>
      <w:trPr>
        <w:cantSplit/>
      </w:trPr>
      <w:tc>
        <w:tcPr>
          <w:tcW w:w="3119" w:type="dxa"/>
        </w:tcPr>
        <w:p w:rsidR="002D45BA" w:rsidRPr="007C172A" w:rsidRDefault="002D45BA">
          <w:pPr>
            <w:pStyle w:val="Sidhuvud"/>
            <w:spacing w:line="200" w:lineRule="atLeast"/>
            <w:ind w:right="357"/>
            <w:rPr>
              <w:rFonts w:ascii="TradeGothic" w:hAnsi="TradeGothic"/>
              <w:b/>
              <w:bCs/>
              <w:sz w:val="16"/>
            </w:rPr>
          </w:pPr>
        </w:p>
      </w:tc>
      <w:tc>
        <w:tcPr>
          <w:tcW w:w="4111" w:type="dxa"/>
          <w:tcMar>
            <w:left w:w="567" w:type="dxa"/>
          </w:tcMar>
        </w:tcPr>
        <w:p w:rsidR="002D45BA" w:rsidRPr="007C172A" w:rsidRDefault="002D45BA">
          <w:pPr>
            <w:pStyle w:val="Sidhuvud"/>
            <w:ind w:right="360"/>
          </w:pPr>
        </w:p>
      </w:tc>
      <w:tc>
        <w:tcPr>
          <w:tcW w:w="1525" w:type="dxa"/>
        </w:tcPr>
        <w:p w:rsidR="002D45BA" w:rsidRPr="007C172A" w:rsidRDefault="002D45BA">
          <w:pPr>
            <w:pStyle w:val="Sidhuvud"/>
            <w:ind w:right="360"/>
          </w:pPr>
        </w:p>
      </w:tc>
    </w:tr>
  </w:tbl>
  <w:p w:rsidR="002D45BA" w:rsidRPr="007C172A" w:rsidRDefault="002D45B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5BA" w:rsidRPr="007C172A" w:rsidRDefault="007C172A">
    <w:pPr>
      <w:framePr w:w="2948" w:h="1321" w:hRule="exact" w:wrap="notBeside" w:vAnchor="page" w:hAnchor="page" w:x="1362" w:y="653"/>
    </w:pPr>
    <w:r w:rsidRPr="007C172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D45BA" w:rsidRPr="007C172A" w:rsidRDefault="002D45BA">
    <w:pPr>
      <w:pStyle w:val="RKrubrik"/>
      <w:keepNext w:val="0"/>
      <w:tabs>
        <w:tab w:val="clear" w:pos="1134"/>
        <w:tab w:val="clear" w:pos="2835"/>
      </w:tabs>
      <w:spacing w:before="0" w:after="0" w:line="320" w:lineRule="atLeast"/>
      <w:rPr>
        <w:bCs/>
      </w:rPr>
    </w:pPr>
  </w:p>
  <w:p w:rsidR="002D45BA" w:rsidRPr="007C172A" w:rsidRDefault="002D45BA">
    <w:pPr>
      <w:rPr>
        <w:rFonts w:ascii="TradeGothic" w:hAnsi="TradeGothic"/>
        <w:b/>
        <w:bCs/>
        <w:spacing w:val="12"/>
        <w:sz w:val="22"/>
      </w:rPr>
    </w:pPr>
  </w:p>
  <w:p w:rsidR="002D45BA" w:rsidRPr="007C172A" w:rsidRDefault="002D45BA">
    <w:pPr>
      <w:pStyle w:val="RKrubrik"/>
      <w:keepNext w:val="0"/>
      <w:tabs>
        <w:tab w:val="clear" w:pos="1134"/>
        <w:tab w:val="clear" w:pos="2835"/>
      </w:tabs>
      <w:spacing w:before="0" w:after="0" w:line="320" w:lineRule="atLeast"/>
      <w:rPr>
        <w:bCs/>
      </w:rPr>
    </w:pPr>
  </w:p>
  <w:p w:rsidR="002D45BA" w:rsidRPr="007C172A" w:rsidRDefault="002D45B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480E9C"/>
    <w:lvl w:ilvl="0">
      <w:numFmt w:val="decimal"/>
      <w:lvlText w:val="*"/>
      <w:lvlJc w:val="left"/>
    </w:lvl>
  </w:abstractNum>
  <w:abstractNum w:abstractNumId="1" w15:restartNumberingAfterBreak="0">
    <w:nsid w:val="186918E8"/>
    <w:multiLevelType w:val="hybridMultilevel"/>
    <w:tmpl w:val="89F2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254CA0"/>
    <w:multiLevelType w:val="hybridMultilevel"/>
    <w:tmpl w:val="DA1294C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2B31FD"/>
    <w:multiLevelType w:val="hybridMultilevel"/>
    <w:tmpl w:val="F1CC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6265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66516587">
    <w:abstractNumId w:val="1"/>
  </w:num>
  <w:num w:numId="3" w16cid:durableId="273363405">
    <w:abstractNumId w:val="3"/>
  </w:num>
  <w:num w:numId="4" w16cid:durableId="85905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990814"/>
    <w:rsid w:val="002D45BA"/>
    <w:rsid w:val="007C172A"/>
    <w:rsid w:val="009908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6C7A7-0BE8-42E7-A7E3-38060B00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906</Words>
  <Characters>5483</Characters>
  <Application>Microsoft Office Word</Application>
  <DocSecurity>4</DocSecurity>
  <Lines>261</Lines>
  <Paragraphs>145</Paragraphs>
  <ScaleCrop>false</ScaleCrop>
  <HeadingPairs>
    <vt:vector size="2" baseType="variant">
      <vt:variant>
        <vt:lpstr>Titel</vt:lpstr>
      </vt:variant>
      <vt:variant>
        <vt:i4>1</vt:i4>
      </vt:variant>
    </vt:vector>
  </HeadingPairs>
  <TitlesOfParts>
    <vt:vector size="1" baseType="lpstr">
      <vt:lpstr>Rådets första läsning av EU:s budget för 2006</vt:lpstr>
    </vt:vector>
  </TitlesOfParts>
  <Company>Regeringskansliet</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första läsning av EU:s budget för 2006</dc:title>
  <dc:subject>Rådets första läsning av EU:s budget för 2006</dc:subject>
  <dc:creator>Riksdagen</dc:creator>
  <cp:keywords>Riksdagen</cp:keywords>
  <dc:description/>
  <cp:lastModifiedBy>Lars Brink</cp:lastModifiedBy>
  <cp:revision>2</cp:revision>
  <cp:lastPrinted>2006-11-10T10:08:00Z</cp:lastPrinted>
  <dcterms:created xsi:type="dcterms:W3CDTF">2025-12-17T03:57:00Z</dcterms:created>
  <dcterms:modified xsi:type="dcterms:W3CDTF">2025-12-17T03:57:00Z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