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rsidTr="00315917">
        <w:trPr>
          <w:cantSplit/>
          <w:trHeight w:val="346"/>
        </w:trPr>
        <w:tc>
          <w:tcPr>
            <w:tcW w:w="1985" w:type="dxa"/>
          </w:tcPr>
          <w:p w:rsidR="0096348C" w:rsidRDefault="00C07F65" w:rsidP="0096348C">
            <w:pPr>
              <w:rPr>
                <w:b/>
              </w:rPr>
            </w:pPr>
            <w:r>
              <w:rPr>
                <w:b/>
              </w:rPr>
              <w:t xml:space="preserve">Protokoll </w:t>
            </w:r>
          </w:p>
        </w:tc>
        <w:tc>
          <w:tcPr>
            <w:tcW w:w="6237" w:type="dxa"/>
          </w:tcPr>
          <w:p w:rsidR="0096348C" w:rsidRDefault="00F5222B" w:rsidP="00E97AED">
            <w:pPr>
              <w:ind w:right="-269"/>
              <w:rPr>
                <w:b/>
              </w:rPr>
            </w:pPr>
            <w:r>
              <w:rPr>
                <w:b/>
              </w:rPr>
              <w:t>Utskottssammanträde 20</w:t>
            </w:r>
            <w:r w:rsidR="00914E3E">
              <w:rPr>
                <w:b/>
              </w:rPr>
              <w:t>21</w:t>
            </w:r>
            <w:r>
              <w:rPr>
                <w:b/>
              </w:rPr>
              <w:t>/</w:t>
            </w:r>
            <w:r w:rsidR="00917732">
              <w:rPr>
                <w:b/>
              </w:rPr>
              <w:t>2</w:t>
            </w:r>
            <w:r w:rsidR="00914E3E">
              <w:rPr>
                <w:b/>
              </w:rPr>
              <w:t>2</w:t>
            </w:r>
            <w:r w:rsidR="00C07F65">
              <w:rPr>
                <w:b/>
              </w:rPr>
              <w:t>:</w:t>
            </w:r>
            <w:r w:rsidR="001A083A">
              <w:rPr>
                <w:b/>
              </w:rPr>
              <w:t>12</w:t>
            </w:r>
          </w:p>
          <w:p w:rsidR="0096348C" w:rsidRDefault="0096348C" w:rsidP="00E97AED">
            <w:pPr>
              <w:ind w:right="-269"/>
              <w:rPr>
                <w:b/>
              </w:rPr>
            </w:pPr>
          </w:p>
        </w:tc>
      </w:tr>
      <w:tr w:rsidR="0096348C" w:rsidTr="00103F5F">
        <w:tc>
          <w:tcPr>
            <w:tcW w:w="1985" w:type="dxa"/>
          </w:tcPr>
          <w:p w:rsidR="0096348C" w:rsidRDefault="00C07F65" w:rsidP="0096348C">
            <w:r>
              <w:t>Datum</w:t>
            </w:r>
          </w:p>
        </w:tc>
        <w:tc>
          <w:tcPr>
            <w:tcW w:w="6237" w:type="dxa"/>
          </w:tcPr>
          <w:p w:rsidR="008035C8" w:rsidRDefault="00A257B8" w:rsidP="00AF3CA6">
            <w:pPr>
              <w:ind w:right="355"/>
            </w:pPr>
            <w:r>
              <w:t>20</w:t>
            </w:r>
            <w:r w:rsidR="00CF36BC">
              <w:t>2</w:t>
            </w:r>
            <w:r w:rsidR="00914E3E">
              <w:t>1</w:t>
            </w:r>
            <w:r>
              <w:t>-</w:t>
            </w:r>
            <w:r w:rsidR="001A083A">
              <w:t>10-28</w:t>
            </w:r>
          </w:p>
        </w:tc>
      </w:tr>
      <w:tr w:rsidR="0096348C" w:rsidTr="00103F5F">
        <w:tc>
          <w:tcPr>
            <w:tcW w:w="1985" w:type="dxa"/>
          </w:tcPr>
          <w:p w:rsidR="0096348C" w:rsidRDefault="00C07F65" w:rsidP="0096348C">
            <w:r>
              <w:t>Tid</w:t>
            </w:r>
          </w:p>
        </w:tc>
        <w:tc>
          <w:tcPr>
            <w:tcW w:w="6237" w:type="dxa"/>
          </w:tcPr>
          <w:p w:rsidR="0096348C" w:rsidRDefault="00111135" w:rsidP="00AF3CA6">
            <w:pPr>
              <w:ind w:right="-269"/>
            </w:pPr>
            <w:r>
              <w:t xml:space="preserve">kl. </w:t>
            </w:r>
            <w:r w:rsidR="0094094F">
              <w:t>10.30</w:t>
            </w:r>
            <w:r w:rsidR="004D59EC">
              <w:t>-11.43</w:t>
            </w:r>
          </w:p>
        </w:tc>
      </w:tr>
      <w:tr w:rsidR="0096348C" w:rsidTr="00103F5F">
        <w:tc>
          <w:tcPr>
            <w:tcW w:w="1985" w:type="dxa"/>
          </w:tcPr>
          <w:p w:rsidR="0096348C" w:rsidRDefault="00C07F65" w:rsidP="0096348C">
            <w:r>
              <w:t>Närvarande</w:t>
            </w:r>
          </w:p>
        </w:tc>
        <w:tc>
          <w:tcPr>
            <w:tcW w:w="6237" w:type="dxa"/>
          </w:tcPr>
          <w:p w:rsidR="0096348C" w:rsidRDefault="0096348C" w:rsidP="00E97AED">
            <w:pPr>
              <w:ind w:right="-269"/>
            </w:pPr>
            <w:r>
              <w:t>Se bilaga 1</w:t>
            </w:r>
          </w:p>
          <w:p w:rsidR="003C0E60" w:rsidRDefault="003C0E60" w:rsidP="00E97AED">
            <w:pPr>
              <w:ind w:right="-269"/>
            </w:pPr>
          </w:p>
        </w:tc>
      </w:tr>
    </w:tbl>
    <w:p w:rsidR="00315917" w:rsidRDefault="00315917"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639"/>
        <w:gridCol w:w="7655"/>
      </w:tblGrid>
      <w:tr w:rsidR="00EB3944" w:rsidTr="00F86A58">
        <w:tc>
          <w:tcPr>
            <w:tcW w:w="639" w:type="dxa"/>
          </w:tcPr>
          <w:p w:rsidR="00EB3944" w:rsidRDefault="00EB3944" w:rsidP="00EF57E7">
            <w:pPr>
              <w:tabs>
                <w:tab w:val="left" w:pos="1701"/>
              </w:tabs>
              <w:rPr>
                <w:b/>
                <w:snapToGrid w:val="0"/>
              </w:rPr>
            </w:pPr>
            <w:r>
              <w:rPr>
                <w:b/>
                <w:snapToGrid w:val="0"/>
              </w:rPr>
              <w:t>§ 1</w:t>
            </w:r>
          </w:p>
        </w:tc>
        <w:tc>
          <w:tcPr>
            <w:tcW w:w="7655" w:type="dxa"/>
          </w:tcPr>
          <w:p w:rsidR="00993B90" w:rsidRDefault="00993B90" w:rsidP="00993B90">
            <w:pPr>
              <w:outlineLvl w:val="0"/>
            </w:pPr>
            <w:r w:rsidRPr="00993B90">
              <w:rPr>
                <w:b/>
                <w:bCs/>
              </w:rPr>
              <w:t>EU:s årsbudget 2022</w:t>
            </w:r>
            <w:r w:rsidRPr="00993B90">
              <w:rPr>
                <w:b/>
                <w:bCs/>
              </w:rPr>
              <w:br/>
            </w:r>
            <w:r w:rsidR="00E44786">
              <w:t>Utskottet överlade med s</w:t>
            </w:r>
            <w:r w:rsidRPr="00993B90">
              <w:t>tatssekreterare Max Elger</w:t>
            </w:r>
            <w:r w:rsidR="00E44786">
              <w:t xml:space="preserve"> om </w:t>
            </w:r>
            <w:r w:rsidR="00F86A58">
              <w:t xml:space="preserve">kommissionens förslag till </w:t>
            </w:r>
            <w:r w:rsidR="00E44786">
              <w:t xml:space="preserve">EU:s årsbudget </w:t>
            </w:r>
            <w:r w:rsidR="00F86A58">
              <w:t xml:space="preserve">för 2022. </w:t>
            </w:r>
          </w:p>
          <w:p w:rsidR="00F86A58" w:rsidRDefault="00F86A58" w:rsidP="00F86A58">
            <w:pPr>
              <w:outlineLvl w:val="0"/>
              <w:rPr>
                <w:rFonts w:eastAsiaTheme="minorHAnsi"/>
                <w:color w:val="000000"/>
                <w:szCs w:val="24"/>
                <w:lang w:eastAsia="en-US"/>
              </w:rPr>
            </w:pPr>
          </w:p>
          <w:p w:rsidR="00F86A58" w:rsidRDefault="00F86A58" w:rsidP="00F86A58">
            <w:pPr>
              <w:outlineLvl w:val="0"/>
              <w:rPr>
                <w:b/>
              </w:rPr>
            </w:pPr>
            <w:r>
              <w:rPr>
                <w:rFonts w:eastAsiaTheme="minorHAnsi"/>
                <w:color w:val="000000"/>
                <w:szCs w:val="24"/>
                <w:lang w:eastAsia="en-US"/>
              </w:rPr>
              <w:t>Statssekreteraren deltog på distans.</w:t>
            </w:r>
          </w:p>
          <w:p w:rsidR="00F86A58" w:rsidRDefault="00F86A58" w:rsidP="00F86A58">
            <w:pPr>
              <w:outlineLvl w:val="0"/>
              <w:rPr>
                <w:rFonts w:eastAsiaTheme="minorHAnsi"/>
                <w:color w:val="000000"/>
                <w:szCs w:val="24"/>
                <w:lang w:eastAsia="en-US"/>
              </w:rPr>
            </w:pPr>
          </w:p>
          <w:p w:rsidR="00F86A58" w:rsidRPr="00F23F38" w:rsidRDefault="00F86A58" w:rsidP="00F86A58">
            <w:pPr>
              <w:outlineLvl w:val="0"/>
              <w:rPr>
                <w:rFonts w:eastAsiaTheme="minorHAnsi"/>
                <w:color w:val="000000"/>
                <w:szCs w:val="24"/>
                <w:lang w:eastAsia="en-US"/>
              </w:rPr>
            </w:pPr>
            <w:r w:rsidRPr="00F23F38">
              <w:rPr>
                <w:rFonts w:eastAsiaTheme="minorHAnsi"/>
                <w:color w:val="000000"/>
                <w:szCs w:val="24"/>
                <w:lang w:eastAsia="en-US"/>
              </w:rPr>
              <w:t xml:space="preserve">Underlaget utgjordes </w:t>
            </w:r>
            <w:r>
              <w:rPr>
                <w:rFonts w:eastAsiaTheme="minorHAnsi"/>
                <w:color w:val="000000"/>
                <w:szCs w:val="24"/>
                <w:lang w:eastAsia="en-US"/>
              </w:rPr>
              <w:t xml:space="preserve">av </w:t>
            </w:r>
            <w:r w:rsidRPr="00F23F38">
              <w:rPr>
                <w:rFonts w:eastAsiaTheme="minorHAnsi"/>
                <w:color w:val="000000"/>
                <w:szCs w:val="24"/>
                <w:lang w:eastAsia="en-US"/>
              </w:rPr>
              <w:t xml:space="preserve">Regeringskansliets </w:t>
            </w:r>
            <w:r>
              <w:rPr>
                <w:rFonts w:eastAsiaTheme="minorHAnsi"/>
                <w:color w:val="000000"/>
                <w:szCs w:val="24"/>
                <w:lang w:eastAsia="en-US"/>
              </w:rPr>
              <w:t xml:space="preserve">PM (dnr. </w:t>
            </w:r>
            <w:proofErr w:type="gramStart"/>
            <w:r w:rsidR="0073455D">
              <w:t>463-2021</w:t>
            </w:r>
            <w:proofErr w:type="gramEnd"/>
            <w:r w:rsidR="0073455D">
              <w:t>/22</w:t>
            </w:r>
            <w:r>
              <w:rPr>
                <w:rFonts w:eastAsiaTheme="minorHAnsi"/>
                <w:color w:val="000000"/>
                <w:szCs w:val="24"/>
                <w:lang w:eastAsia="en-US"/>
              </w:rPr>
              <w:t>)</w:t>
            </w:r>
            <w:r w:rsidR="00B619A8">
              <w:rPr>
                <w:rFonts w:eastAsiaTheme="minorHAnsi"/>
                <w:color w:val="000000"/>
                <w:szCs w:val="24"/>
                <w:lang w:eastAsia="en-US"/>
              </w:rPr>
              <w:t>.</w:t>
            </w:r>
          </w:p>
          <w:p w:rsidR="00F86A58" w:rsidRDefault="00F86A58" w:rsidP="00F86A58">
            <w:pPr>
              <w:outlineLvl w:val="0"/>
              <w:rPr>
                <w:bCs/>
                <w:szCs w:val="24"/>
              </w:rPr>
            </w:pPr>
            <w:r>
              <w:rPr>
                <w:rFonts w:eastAsiaTheme="minorHAnsi"/>
                <w:color w:val="000000"/>
                <w:szCs w:val="24"/>
                <w:lang w:eastAsia="en-US"/>
              </w:rPr>
              <w:t>Statssekreteraren</w:t>
            </w:r>
            <w:r w:rsidRPr="00542CC6">
              <w:rPr>
                <w:bCs/>
                <w:szCs w:val="24"/>
              </w:rPr>
              <w:t xml:space="preserve"> redogjorde för regeringens ståndpunkt i enlighet med </w:t>
            </w:r>
            <w:r>
              <w:rPr>
                <w:bCs/>
                <w:szCs w:val="24"/>
              </w:rPr>
              <w:t>promemorian</w:t>
            </w:r>
            <w:r w:rsidRPr="00542CC6">
              <w:rPr>
                <w:bCs/>
                <w:szCs w:val="24"/>
              </w:rPr>
              <w:t xml:space="preserve">: </w:t>
            </w:r>
          </w:p>
          <w:p w:rsidR="00F86A58" w:rsidRDefault="00F86A58" w:rsidP="00F86A58">
            <w:pPr>
              <w:overflowPunct w:val="0"/>
              <w:autoSpaceDE w:val="0"/>
              <w:autoSpaceDN w:val="0"/>
              <w:adjustRightInd w:val="0"/>
              <w:ind w:left="499"/>
              <w:textAlignment w:val="baseline"/>
            </w:pPr>
            <w:r w:rsidRPr="009D0A68">
              <w:t xml:space="preserve">Sverige verkar för en effektiv och återhållsam budgetpolitik inom EU, i enlighet med prop. 1994/95:40. Målet innebär att regeringen ska verka för en kostnadseffektiv användning av EU:s medel och att </w:t>
            </w:r>
            <w:proofErr w:type="spellStart"/>
            <w:r w:rsidRPr="009D0A68">
              <w:t>närhets</w:t>
            </w:r>
            <w:r>
              <w:t>-</w:t>
            </w:r>
            <w:r w:rsidRPr="009D0A68">
              <w:t>principen</w:t>
            </w:r>
            <w:proofErr w:type="spellEnd"/>
            <w:r w:rsidRPr="009D0A68">
              <w:t xml:space="preserve"> ska tillämpas på budgetområdet. Det innebär också strikt budgetdisciplin, d.v.s. att verka för en begränsning av EU:s utgifter inom budgetramen och därmed den svenska avgiften till EU. Det överg</w:t>
            </w:r>
            <w:r>
              <w:t>ripande målet i arbetet med 2022</w:t>
            </w:r>
            <w:r w:rsidRPr="009D0A68">
              <w:t xml:space="preserve"> års EU-budget är därmed, liksom tidigare år, att nå en så restriktiv budget som mö</w:t>
            </w:r>
            <w:r>
              <w:t>jligt som med god marginal ryms</w:t>
            </w:r>
            <w:r w:rsidRPr="009D0A68">
              <w:t xml:space="preserve"> inom de beslutade taken i den fleråriga budgetramen för åren 20</w:t>
            </w:r>
            <w:r>
              <w:t>21</w:t>
            </w:r>
            <w:r w:rsidRPr="009D0A68">
              <w:t xml:space="preserve">–2027. </w:t>
            </w:r>
          </w:p>
          <w:p w:rsidR="00F86A58" w:rsidRDefault="00F86A58" w:rsidP="00F86A58">
            <w:pPr>
              <w:overflowPunct w:val="0"/>
              <w:autoSpaceDE w:val="0"/>
              <w:autoSpaceDN w:val="0"/>
              <w:adjustRightInd w:val="0"/>
              <w:ind w:left="499"/>
              <w:textAlignment w:val="baseline"/>
            </w:pPr>
          </w:p>
          <w:p w:rsidR="00F86A58" w:rsidRDefault="00F86A58" w:rsidP="00F86A58">
            <w:pPr>
              <w:overflowPunct w:val="0"/>
              <w:autoSpaceDE w:val="0"/>
              <w:autoSpaceDN w:val="0"/>
              <w:adjustRightInd w:val="0"/>
              <w:ind w:left="499"/>
              <w:textAlignment w:val="baseline"/>
            </w:pPr>
            <w:r w:rsidRPr="009D0A68">
              <w:t>Regeringen kommer vid behandlingen av årsbudget</w:t>
            </w:r>
            <w:r>
              <w:t xml:space="preserve">en </w:t>
            </w:r>
            <w:r w:rsidRPr="009D0A68">
              <w:t>verka för budget</w:t>
            </w:r>
            <w:r>
              <w:t>-</w:t>
            </w:r>
            <w:r w:rsidRPr="009D0A68">
              <w:t>disciplin och respekt för taken i den fleråriga budgetramen, att års</w:t>
            </w:r>
            <w:r>
              <w:t>-</w:t>
            </w:r>
            <w:r w:rsidRPr="009D0A68">
              <w:t>budgeten beslutas med tillräckliga marginaler upp till taken för såväl åtaganden som betalningar</w:t>
            </w:r>
            <w:r>
              <w:t xml:space="preserve">. </w:t>
            </w:r>
            <w:r w:rsidRPr="009D0A68">
              <w:t xml:space="preserve"> </w:t>
            </w:r>
            <w:r>
              <w:t>Otillräckliga marginaler riskerar att leda till krav på utnyttjande av särskilda instrument som leder till utgifter utöver budgetramen. Det lämnar heller inga möjligheter att omhänderta och finansiera oförutsedda händelser inom ram, vilket kan</w:t>
            </w:r>
            <w:r w:rsidRPr="009D0A68">
              <w:t xml:space="preserve"> riskera att öka den svenska EU-avgiften. </w:t>
            </w:r>
          </w:p>
          <w:p w:rsidR="00F86A58" w:rsidRDefault="00F86A58" w:rsidP="00F86A58">
            <w:pPr>
              <w:overflowPunct w:val="0"/>
              <w:autoSpaceDE w:val="0"/>
              <w:autoSpaceDN w:val="0"/>
              <w:adjustRightInd w:val="0"/>
              <w:ind w:left="499"/>
              <w:textAlignment w:val="baseline"/>
            </w:pPr>
          </w:p>
          <w:p w:rsidR="00F86A58" w:rsidRPr="004722AC" w:rsidRDefault="00F86A58" w:rsidP="00F86A58">
            <w:pPr>
              <w:overflowPunct w:val="0"/>
              <w:autoSpaceDE w:val="0"/>
              <w:autoSpaceDN w:val="0"/>
              <w:adjustRightInd w:val="0"/>
              <w:textAlignment w:val="baseline"/>
            </w:pPr>
            <w:r>
              <w:t>Ordföranden konstaterade att det fanns stöd för den redovisade ståndpunkten.</w:t>
            </w:r>
          </w:p>
          <w:p w:rsidR="00EB3944" w:rsidRDefault="00EB3944" w:rsidP="0094094F">
            <w:pPr>
              <w:outlineLvl w:val="0"/>
              <w:rPr>
                <w:b/>
              </w:rPr>
            </w:pPr>
          </w:p>
        </w:tc>
      </w:tr>
      <w:tr w:rsidR="00993B90" w:rsidTr="00F86A58">
        <w:tc>
          <w:tcPr>
            <w:tcW w:w="639" w:type="dxa"/>
          </w:tcPr>
          <w:p w:rsidR="00993B90" w:rsidRDefault="00993B90" w:rsidP="00EF57E7">
            <w:pPr>
              <w:tabs>
                <w:tab w:val="left" w:pos="1701"/>
              </w:tabs>
              <w:rPr>
                <w:b/>
                <w:snapToGrid w:val="0"/>
              </w:rPr>
            </w:pPr>
            <w:r>
              <w:rPr>
                <w:b/>
                <w:snapToGrid w:val="0"/>
              </w:rPr>
              <w:t>§ 2</w:t>
            </w:r>
          </w:p>
        </w:tc>
        <w:tc>
          <w:tcPr>
            <w:tcW w:w="7655" w:type="dxa"/>
          </w:tcPr>
          <w:p w:rsidR="00993B90" w:rsidRPr="00993B90" w:rsidRDefault="00993B90" w:rsidP="00993B90">
            <w:pPr>
              <w:outlineLvl w:val="0"/>
              <w:rPr>
                <w:b/>
                <w:bCs/>
              </w:rPr>
            </w:pPr>
            <w:r w:rsidRPr="00993B90">
              <w:rPr>
                <w:b/>
                <w:bCs/>
              </w:rPr>
              <w:t>Solvens II</w:t>
            </w:r>
          </w:p>
          <w:p w:rsidR="00461A27" w:rsidRPr="00F86A58" w:rsidRDefault="00F86A58" w:rsidP="00F86A58">
            <w:pPr>
              <w:outlineLvl w:val="0"/>
            </w:pPr>
            <w:r>
              <w:t>Utskottet överlade med s</w:t>
            </w:r>
            <w:r w:rsidRPr="00993B90">
              <w:t xml:space="preserve">tatssekreterare </w:t>
            </w:r>
            <w:r>
              <w:t>Ulf Holm om ä</w:t>
            </w:r>
            <w:r w:rsidR="00B619A8" w:rsidRPr="00F86A58">
              <w:t>ndringar av EU:s tillsynsregler för försäkringsföretag och förslag om ett nytt krishanterings</w:t>
            </w:r>
            <w:r>
              <w:t>-</w:t>
            </w:r>
            <w:r w:rsidR="00B619A8" w:rsidRPr="00F86A58">
              <w:t>ramverk, Solvens II-paketet</w:t>
            </w:r>
            <w:r>
              <w:t>.</w:t>
            </w:r>
          </w:p>
          <w:p w:rsidR="00993B90" w:rsidRDefault="00993B90" w:rsidP="00993B90">
            <w:pPr>
              <w:outlineLvl w:val="0"/>
            </w:pPr>
          </w:p>
          <w:p w:rsidR="00F86A58" w:rsidRPr="00F23F38" w:rsidRDefault="00F86A58" w:rsidP="00F86A58">
            <w:pPr>
              <w:outlineLvl w:val="0"/>
              <w:rPr>
                <w:rFonts w:eastAsiaTheme="minorHAnsi"/>
                <w:color w:val="000000"/>
                <w:szCs w:val="24"/>
                <w:lang w:eastAsia="en-US"/>
              </w:rPr>
            </w:pPr>
            <w:r w:rsidRPr="00F23F38">
              <w:rPr>
                <w:rFonts w:eastAsiaTheme="minorHAnsi"/>
                <w:color w:val="000000"/>
                <w:szCs w:val="24"/>
                <w:lang w:eastAsia="en-US"/>
              </w:rPr>
              <w:t xml:space="preserve">Underlaget utgjordes </w:t>
            </w:r>
            <w:r>
              <w:rPr>
                <w:rFonts w:eastAsiaTheme="minorHAnsi"/>
                <w:color w:val="000000"/>
                <w:szCs w:val="24"/>
                <w:lang w:eastAsia="en-US"/>
              </w:rPr>
              <w:t xml:space="preserve">av </w:t>
            </w:r>
            <w:r w:rsidRPr="00F23F38">
              <w:rPr>
                <w:rFonts w:eastAsiaTheme="minorHAnsi"/>
                <w:color w:val="000000"/>
                <w:szCs w:val="24"/>
                <w:lang w:eastAsia="en-US"/>
              </w:rPr>
              <w:t xml:space="preserve">Regeringskansliets </w:t>
            </w:r>
            <w:r>
              <w:rPr>
                <w:rFonts w:eastAsiaTheme="minorHAnsi"/>
                <w:color w:val="000000"/>
                <w:szCs w:val="24"/>
                <w:lang w:eastAsia="en-US"/>
              </w:rPr>
              <w:t xml:space="preserve">PM (dnr. </w:t>
            </w:r>
            <w:r w:rsidR="0073455D">
              <w:t>463-2021/22</w:t>
            </w:r>
            <w:r w:rsidR="0073455D">
              <w:rPr>
                <w:rFonts w:eastAsiaTheme="minorHAnsi"/>
                <w:color w:val="000000"/>
                <w:szCs w:val="24"/>
                <w:lang w:eastAsia="en-US"/>
              </w:rPr>
              <w:t>).</w:t>
            </w:r>
          </w:p>
          <w:p w:rsidR="00F86A58" w:rsidRPr="00F86A58" w:rsidRDefault="00F86A58" w:rsidP="00993B90">
            <w:pPr>
              <w:outlineLvl w:val="0"/>
              <w:rPr>
                <w:bCs/>
                <w:szCs w:val="24"/>
              </w:rPr>
            </w:pPr>
            <w:r>
              <w:rPr>
                <w:rFonts w:eastAsiaTheme="minorHAnsi"/>
                <w:color w:val="000000"/>
                <w:szCs w:val="24"/>
                <w:lang w:eastAsia="en-US"/>
              </w:rPr>
              <w:t>Statssekreteraren</w:t>
            </w:r>
            <w:r w:rsidRPr="00542CC6">
              <w:rPr>
                <w:bCs/>
                <w:szCs w:val="24"/>
              </w:rPr>
              <w:t xml:space="preserve"> redogjorde för regeringens ståndpunkt i enlighet med </w:t>
            </w:r>
            <w:r>
              <w:rPr>
                <w:bCs/>
                <w:szCs w:val="24"/>
              </w:rPr>
              <w:t>promemorian</w:t>
            </w:r>
            <w:r w:rsidRPr="00542CC6">
              <w:rPr>
                <w:bCs/>
                <w:szCs w:val="24"/>
              </w:rPr>
              <w:t xml:space="preserve">: </w:t>
            </w:r>
          </w:p>
          <w:p w:rsidR="00F86A58" w:rsidRPr="00F86A58" w:rsidRDefault="00F86A58" w:rsidP="00F86A58">
            <w:pPr>
              <w:ind w:left="357"/>
              <w:outlineLvl w:val="0"/>
              <w:rPr>
                <w:bCs/>
                <w:szCs w:val="24"/>
              </w:rPr>
            </w:pPr>
            <w:r w:rsidRPr="00F86A58">
              <w:rPr>
                <w:bCs/>
                <w:szCs w:val="24"/>
              </w:rPr>
              <w:t>Regeringen är positiv till ambitionen att stärka konsumentskyddet ytterligare för EU:s försäkringstagare.</w:t>
            </w:r>
          </w:p>
          <w:p w:rsidR="00F86A58" w:rsidRDefault="00F86A58" w:rsidP="00F86A58">
            <w:pPr>
              <w:ind w:left="357"/>
              <w:outlineLvl w:val="0"/>
              <w:rPr>
                <w:bCs/>
                <w:szCs w:val="24"/>
              </w:rPr>
            </w:pPr>
            <w:r w:rsidRPr="00F86A58">
              <w:rPr>
                <w:bCs/>
                <w:szCs w:val="24"/>
              </w:rPr>
              <w:t xml:space="preserve">När det gäller ändringsdirektivet vill regeringen framhålla följande. Mot bakgrund av den omfattande mängd reglering som införts de senaste åren </w:t>
            </w:r>
            <w:r w:rsidRPr="00F86A58">
              <w:rPr>
                <w:bCs/>
                <w:szCs w:val="24"/>
              </w:rPr>
              <w:lastRenderedPageBreak/>
              <w:t xml:space="preserve">anser regeringen att det är motiverat att se över och verka för att öka proportionaliteten och minska den administrativa bördan i regelverket. </w:t>
            </w:r>
          </w:p>
          <w:p w:rsidR="00F86A58" w:rsidRDefault="00F86A58" w:rsidP="00F86A58">
            <w:pPr>
              <w:ind w:left="357"/>
              <w:outlineLvl w:val="0"/>
              <w:rPr>
                <w:bCs/>
                <w:szCs w:val="24"/>
              </w:rPr>
            </w:pPr>
          </w:p>
          <w:p w:rsidR="00F86A58" w:rsidRPr="00F86A58" w:rsidRDefault="00F86A58" w:rsidP="00F86A58">
            <w:pPr>
              <w:ind w:left="357"/>
              <w:outlineLvl w:val="0"/>
              <w:rPr>
                <w:bCs/>
                <w:szCs w:val="24"/>
              </w:rPr>
            </w:pPr>
            <w:r w:rsidRPr="00F86A58">
              <w:rPr>
                <w:bCs/>
                <w:szCs w:val="24"/>
              </w:rPr>
              <w:t>Eventuella justeringar av det befintliga regelverket i syfte att bidra till återhämtningen av ekonomin bör övervägas noggrant. Det är viktigt att förändringar av regelverket inte leder till en ökad riskbenägenhet som riskerar att medföra att försäkringssektorns stabilitet och motståndskraft försvagas.</w:t>
            </w:r>
          </w:p>
          <w:p w:rsidR="00F86A58" w:rsidRDefault="00F86A58" w:rsidP="00F86A58">
            <w:pPr>
              <w:ind w:left="357"/>
              <w:outlineLvl w:val="0"/>
              <w:rPr>
                <w:bCs/>
                <w:szCs w:val="24"/>
              </w:rPr>
            </w:pPr>
          </w:p>
          <w:p w:rsidR="00F86A58" w:rsidRDefault="00F86A58" w:rsidP="00F86A58">
            <w:pPr>
              <w:ind w:left="357"/>
              <w:outlineLvl w:val="0"/>
              <w:rPr>
                <w:bCs/>
                <w:szCs w:val="24"/>
              </w:rPr>
            </w:pPr>
            <w:r w:rsidRPr="00F86A58">
              <w:rPr>
                <w:bCs/>
                <w:szCs w:val="24"/>
              </w:rPr>
              <w:t xml:space="preserve">Den finansiella sektorn har en viktig roll för omställningen till en hållbar ekonomi genom att styra kapital till mer hållbara investeringar. Regeringen har varit pådrivande och aktivt verkat för att EU ska inkludera hållbarhetsaspekter i sitt arbete med att utveckla de finansiella marknaderna. </w:t>
            </w:r>
          </w:p>
          <w:p w:rsidR="00F86A58" w:rsidRDefault="00F86A58" w:rsidP="00F86A58">
            <w:pPr>
              <w:ind w:left="357"/>
              <w:outlineLvl w:val="0"/>
              <w:rPr>
                <w:bCs/>
                <w:szCs w:val="24"/>
              </w:rPr>
            </w:pPr>
          </w:p>
          <w:p w:rsidR="00F86A58" w:rsidRPr="00F86A58" w:rsidRDefault="00F86A58" w:rsidP="00F86A58">
            <w:pPr>
              <w:ind w:left="357"/>
              <w:outlineLvl w:val="0"/>
              <w:rPr>
                <w:bCs/>
                <w:szCs w:val="24"/>
              </w:rPr>
            </w:pPr>
            <w:r w:rsidRPr="00F86A58">
              <w:rPr>
                <w:bCs/>
                <w:szCs w:val="24"/>
              </w:rPr>
              <w:t xml:space="preserve">Försäkringsföretagens långsiktiga investeringar utgör en viktig del i omställningen till en hållbar ekonomi. Regeringen ser därför positivt på att </w:t>
            </w:r>
            <w:proofErr w:type="spellStart"/>
            <w:r w:rsidRPr="00F86A58">
              <w:rPr>
                <w:bCs/>
                <w:szCs w:val="24"/>
              </w:rPr>
              <w:t>Eiopa</w:t>
            </w:r>
            <w:proofErr w:type="spellEnd"/>
            <w:r w:rsidRPr="00F86A58">
              <w:rPr>
                <w:bCs/>
                <w:szCs w:val="24"/>
              </w:rPr>
              <w:t xml:space="preserve"> ges mandat att analysera hur omställningen kan påskyndas och att denna analys och eventuella förslag ska överlämnas till kommissionen i närtid. Vidare anser regeringen att Solvens II-regelverket ska ligga i linje med andra rättsakter som främjar hållbarhet och den gröna omställningen.</w:t>
            </w:r>
          </w:p>
          <w:p w:rsidR="00F86A58" w:rsidRDefault="00F86A58" w:rsidP="00993B90">
            <w:pPr>
              <w:outlineLvl w:val="0"/>
              <w:rPr>
                <w:b/>
              </w:rPr>
            </w:pPr>
          </w:p>
          <w:p w:rsidR="00F86A58" w:rsidRPr="00F86A58" w:rsidRDefault="00F86A58" w:rsidP="00F86A58">
            <w:pPr>
              <w:overflowPunct w:val="0"/>
              <w:autoSpaceDE w:val="0"/>
              <w:autoSpaceDN w:val="0"/>
              <w:adjustRightInd w:val="0"/>
              <w:textAlignment w:val="baseline"/>
            </w:pPr>
            <w:r>
              <w:t>Ordföranden konstaterade att det fanns stöd för den redovisade ståndpunkten.</w:t>
            </w:r>
          </w:p>
          <w:p w:rsidR="00F86A58" w:rsidRDefault="00F86A58" w:rsidP="00993B90">
            <w:pPr>
              <w:outlineLvl w:val="0"/>
              <w:rPr>
                <w:b/>
              </w:rPr>
            </w:pPr>
          </w:p>
        </w:tc>
      </w:tr>
      <w:tr w:rsidR="00C15B79" w:rsidTr="00F86A58">
        <w:tc>
          <w:tcPr>
            <w:tcW w:w="639" w:type="dxa"/>
          </w:tcPr>
          <w:p w:rsidR="00C15B79" w:rsidRDefault="00993B90" w:rsidP="00EF57E7">
            <w:pPr>
              <w:tabs>
                <w:tab w:val="left" w:pos="1701"/>
              </w:tabs>
              <w:rPr>
                <w:b/>
                <w:snapToGrid w:val="0"/>
              </w:rPr>
            </w:pPr>
            <w:r>
              <w:rPr>
                <w:b/>
                <w:snapToGrid w:val="0"/>
              </w:rPr>
              <w:lastRenderedPageBreak/>
              <w:t>§ 3</w:t>
            </w:r>
          </w:p>
        </w:tc>
        <w:tc>
          <w:tcPr>
            <w:tcW w:w="7655" w:type="dxa"/>
          </w:tcPr>
          <w:p w:rsidR="00993B90" w:rsidRPr="00993B90" w:rsidRDefault="00993B90" w:rsidP="00993B90">
            <w:pPr>
              <w:outlineLvl w:val="0"/>
            </w:pPr>
            <w:r w:rsidRPr="00993B90">
              <w:rPr>
                <w:b/>
                <w:bCs/>
              </w:rPr>
              <w:t>Förändringar i förordningen om värdepapperscentraler (CSDR)</w:t>
            </w:r>
          </w:p>
          <w:p w:rsidR="00993B90" w:rsidRPr="00993B90" w:rsidRDefault="00993B90" w:rsidP="00993B90">
            <w:pPr>
              <w:outlineLvl w:val="0"/>
            </w:pPr>
            <w:r w:rsidRPr="00993B90">
              <w:t>Statssekreterare Ulf Holm</w:t>
            </w:r>
            <w:r>
              <w:t xml:space="preserve"> informerade utskottet </w:t>
            </w:r>
            <w:r w:rsidR="00F86A58" w:rsidRPr="00F86A58">
              <w:t xml:space="preserve">om </w:t>
            </w:r>
            <w:r w:rsidR="00F86A58">
              <w:t xml:space="preserve">kommissionens </w:t>
            </w:r>
            <w:r w:rsidR="00F86A58" w:rsidRPr="00F86A58">
              <w:t xml:space="preserve">förslag </w:t>
            </w:r>
            <w:r w:rsidR="00F86A58">
              <w:t xml:space="preserve">till </w:t>
            </w:r>
            <w:r w:rsidR="00F86A58" w:rsidRPr="00F86A58">
              <w:t>ändring i förordningen om värdepapperscentraler</w:t>
            </w:r>
            <w:r w:rsidR="00F86A58">
              <w:t xml:space="preserve"> </w:t>
            </w:r>
            <w:r>
              <w:t>och svarade på ledamöternas frågor.</w:t>
            </w:r>
          </w:p>
          <w:p w:rsidR="007B7C03" w:rsidRDefault="007B7C03" w:rsidP="00342BB1">
            <w:pPr>
              <w:outlineLvl w:val="0"/>
              <w:rPr>
                <w:b/>
              </w:rPr>
            </w:pPr>
          </w:p>
        </w:tc>
      </w:tr>
      <w:tr w:rsidR="00C15B79" w:rsidTr="00F86A58">
        <w:tc>
          <w:tcPr>
            <w:tcW w:w="639" w:type="dxa"/>
          </w:tcPr>
          <w:p w:rsidR="00C15B79" w:rsidRDefault="00993B90" w:rsidP="00EF57E7">
            <w:pPr>
              <w:tabs>
                <w:tab w:val="left" w:pos="1701"/>
              </w:tabs>
              <w:rPr>
                <w:b/>
                <w:snapToGrid w:val="0"/>
              </w:rPr>
            </w:pPr>
            <w:r>
              <w:rPr>
                <w:b/>
                <w:snapToGrid w:val="0"/>
              </w:rPr>
              <w:t>§ 4</w:t>
            </w:r>
          </w:p>
        </w:tc>
        <w:tc>
          <w:tcPr>
            <w:tcW w:w="7655" w:type="dxa"/>
          </w:tcPr>
          <w:p w:rsidR="00D021DB" w:rsidRDefault="00AD47F5" w:rsidP="00D021DB">
            <w:pPr>
              <w:widowControl/>
              <w:autoSpaceDE w:val="0"/>
              <w:autoSpaceDN w:val="0"/>
              <w:adjustRightInd w:val="0"/>
              <w:rPr>
                <w:b/>
                <w:color w:val="000000"/>
                <w:szCs w:val="24"/>
              </w:rPr>
            </w:pPr>
            <w:r w:rsidRPr="00AD47F5">
              <w:rPr>
                <w:b/>
                <w:color w:val="000000"/>
                <w:szCs w:val="24"/>
              </w:rPr>
              <w:t>Justering</w:t>
            </w:r>
            <w:r w:rsidR="000C726F">
              <w:rPr>
                <w:b/>
                <w:color w:val="000000"/>
                <w:szCs w:val="24"/>
              </w:rPr>
              <w:t xml:space="preserve"> av protokoll</w:t>
            </w:r>
            <w:r w:rsidR="00993B90">
              <w:rPr>
                <w:b/>
                <w:color w:val="000000"/>
                <w:szCs w:val="24"/>
              </w:rPr>
              <w:br/>
            </w:r>
            <w:r w:rsidR="00993B90" w:rsidRPr="00993B90">
              <w:rPr>
                <w:color w:val="000000"/>
                <w:szCs w:val="24"/>
              </w:rPr>
              <w:t>Utskottet justerade protokoll nr. 2021:11</w:t>
            </w:r>
            <w:r w:rsidR="003D0228">
              <w:rPr>
                <w:color w:val="000000"/>
                <w:szCs w:val="24"/>
              </w:rPr>
              <w:t>.</w:t>
            </w:r>
          </w:p>
          <w:p w:rsidR="007B7C03" w:rsidRPr="00AD47F5" w:rsidRDefault="007B7C03" w:rsidP="00D021DB">
            <w:pPr>
              <w:widowControl/>
              <w:autoSpaceDE w:val="0"/>
              <w:autoSpaceDN w:val="0"/>
              <w:adjustRightInd w:val="0"/>
              <w:rPr>
                <w:b/>
                <w:color w:val="000000"/>
                <w:szCs w:val="24"/>
              </w:rPr>
            </w:pPr>
          </w:p>
        </w:tc>
      </w:tr>
      <w:tr w:rsidR="00993B90" w:rsidTr="00F86A58">
        <w:tc>
          <w:tcPr>
            <w:tcW w:w="639" w:type="dxa"/>
          </w:tcPr>
          <w:p w:rsidR="00993B90" w:rsidRDefault="00993B90" w:rsidP="00993B90">
            <w:pPr>
              <w:tabs>
                <w:tab w:val="left" w:pos="1701"/>
              </w:tabs>
              <w:rPr>
                <w:b/>
                <w:snapToGrid w:val="0"/>
              </w:rPr>
            </w:pPr>
            <w:r>
              <w:rPr>
                <w:b/>
                <w:snapToGrid w:val="0"/>
              </w:rPr>
              <w:t>§ 5</w:t>
            </w:r>
          </w:p>
        </w:tc>
        <w:tc>
          <w:tcPr>
            <w:tcW w:w="7655" w:type="dxa"/>
          </w:tcPr>
          <w:p w:rsidR="00993B90" w:rsidRDefault="00993B90" w:rsidP="00993B90">
            <w:pPr>
              <w:outlineLvl w:val="0"/>
              <w:rPr>
                <w:b/>
              </w:rPr>
            </w:pPr>
            <w:r>
              <w:rPr>
                <w:b/>
              </w:rPr>
              <w:t>Anmälningar</w:t>
            </w:r>
          </w:p>
          <w:p w:rsidR="00E44786" w:rsidRDefault="00E44786" w:rsidP="00E44786">
            <w:pPr>
              <w:pStyle w:val="Liststycke"/>
              <w:numPr>
                <w:ilvl w:val="0"/>
                <w:numId w:val="10"/>
              </w:numPr>
            </w:pPr>
            <w:r>
              <w:t xml:space="preserve">Utskottet beslutade att kalla företrädare för Riksbanken till sammanträdet den 23 november för information om dels Riksbankens syn på förslaget till ny riksbankslag, dels bankens hantering av ledande befattningshavares innehav av finansiella instrument. </w:t>
            </w:r>
          </w:p>
          <w:p w:rsidR="00E44786" w:rsidRDefault="00E44786" w:rsidP="00E44786">
            <w:pPr>
              <w:pStyle w:val="Liststycke"/>
            </w:pPr>
          </w:p>
          <w:p w:rsidR="00E44786" w:rsidRPr="00E44786" w:rsidRDefault="00E44786" w:rsidP="00E44786">
            <w:pPr>
              <w:pStyle w:val="Liststycke"/>
              <w:numPr>
                <w:ilvl w:val="0"/>
                <w:numId w:val="10"/>
              </w:numPr>
              <w:rPr>
                <w:sz w:val="22"/>
              </w:rPr>
            </w:pPr>
            <w:r>
              <w:t xml:space="preserve">Utskottet beslutade att kalla även riksbanksfullmäktiges ordförande och vice ordförande till sammanträdet den 23 november under punkten hantering av ledande befattningshavares finansiella innehav. </w:t>
            </w:r>
          </w:p>
          <w:p w:rsidR="00E44786" w:rsidRPr="00E44786" w:rsidRDefault="00E44786" w:rsidP="00E44786">
            <w:pPr>
              <w:pStyle w:val="Liststycke"/>
              <w:rPr>
                <w:sz w:val="22"/>
              </w:rPr>
            </w:pPr>
          </w:p>
          <w:p w:rsidR="00E44786" w:rsidRPr="00F86A58" w:rsidRDefault="00226F2A" w:rsidP="00E44786">
            <w:pPr>
              <w:pStyle w:val="Liststycke"/>
              <w:numPr>
                <w:ilvl w:val="0"/>
                <w:numId w:val="10"/>
              </w:numPr>
              <w:rPr>
                <w:rStyle w:val="Hyperlnk"/>
                <w:color w:val="auto"/>
                <w:sz w:val="22"/>
                <w:u w:val="none"/>
              </w:rPr>
            </w:pPr>
            <w:hyperlink r:id="rId8" w:history="1">
              <w:r w:rsidR="00E44786" w:rsidRPr="00E44786">
                <w:rPr>
                  <w:rStyle w:val="Hyperlnk"/>
                  <w:rFonts w:eastAsiaTheme="minorHAnsi"/>
                  <w:color w:val="auto"/>
                  <w:szCs w:val="24"/>
                  <w:u w:val="none"/>
                  <w:lang w:eastAsia="en-US"/>
                </w:rPr>
                <w:t>Rapport från Internationella valutafondens och Världsbanksgruppens årsmöten i Washington D.C., 11–15 oktober 2021</w:t>
              </w:r>
            </w:hyperlink>
            <w:r w:rsidR="00E44786">
              <w:rPr>
                <w:rStyle w:val="Hyperlnk"/>
                <w:rFonts w:eastAsiaTheme="minorHAnsi"/>
                <w:color w:val="auto"/>
                <w:szCs w:val="24"/>
                <w:u w:val="none"/>
                <w:lang w:eastAsia="en-US"/>
              </w:rPr>
              <w:t xml:space="preserve"> har delats till ledamöterna</w:t>
            </w:r>
            <w:r w:rsidR="00F86A58">
              <w:rPr>
                <w:rStyle w:val="Hyperlnk"/>
                <w:rFonts w:eastAsiaTheme="minorHAnsi"/>
                <w:color w:val="auto"/>
                <w:szCs w:val="24"/>
                <w:u w:val="none"/>
                <w:lang w:eastAsia="en-US"/>
              </w:rPr>
              <w:t>.</w:t>
            </w:r>
          </w:p>
          <w:p w:rsidR="00E44786" w:rsidRPr="00E44786" w:rsidRDefault="00226F2A" w:rsidP="00E44786">
            <w:pPr>
              <w:rPr>
                <w:rStyle w:val="Hyperlnk"/>
                <w:color w:val="auto"/>
                <w:sz w:val="22"/>
                <w:u w:val="none"/>
              </w:rPr>
            </w:pPr>
            <w:hyperlink r:id="rId9" w:history="1"/>
          </w:p>
          <w:p w:rsidR="00E44786" w:rsidRPr="00F86A58" w:rsidRDefault="00E44786" w:rsidP="00E44786">
            <w:pPr>
              <w:pStyle w:val="Liststycke"/>
              <w:numPr>
                <w:ilvl w:val="0"/>
                <w:numId w:val="10"/>
              </w:numPr>
              <w:rPr>
                <w:sz w:val="22"/>
              </w:rPr>
            </w:pPr>
            <w:r w:rsidRPr="00E44786">
              <w:rPr>
                <w:rFonts w:eastAsiaTheme="minorHAnsi"/>
                <w:color w:val="000000"/>
                <w:szCs w:val="24"/>
                <w:lang w:eastAsia="en-US"/>
              </w:rPr>
              <w:t xml:space="preserve">Inkommen skrivelse från Hiv-Sverige (dnr. </w:t>
            </w:r>
            <w:proofErr w:type="gramStart"/>
            <w:r w:rsidRPr="00E44786">
              <w:rPr>
                <w:rFonts w:eastAsiaTheme="minorHAnsi"/>
                <w:color w:val="000000"/>
                <w:szCs w:val="24"/>
                <w:lang w:eastAsia="en-US"/>
              </w:rPr>
              <w:t>404-2021</w:t>
            </w:r>
            <w:proofErr w:type="gramEnd"/>
            <w:r w:rsidRPr="00E44786">
              <w:rPr>
                <w:rFonts w:eastAsiaTheme="minorHAnsi"/>
                <w:color w:val="000000"/>
                <w:szCs w:val="24"/>
                <w:lang w:eastAsia="en-US"/>
              </w:rPr>
              <w:t>/22)</w:t>
            </w:r>
          </w:p>
          <w:p w:rsidR="00F86A58" w:rsidRDefault="00F86A58" w:rsidP="00F86A58">
            <w:pPr>
              <w:rPr>
                <w:sz w:val="22"/>
              </w:rPr>
            </w:pPr>
          </w:p>
          <w:p w:rsidR="00F86A58" w:rsidRPr="00315917" w:rsidRDefault="00F86A58" w:rsidP="00F86A58">
            <w:pPr>
              <w:pStyle w:val="Liststycke"/>
              <w:numPr>
                <w:ilvl w:val="0"/>
                <w:numId w:val="10"/>
              </w:numPr>
              <w:rPr>
                <w:szCs w:val="24"/>
              </w:rPr>
            </w:pPr>
            <w:r w:rsidRPr="00315917">
              <w:rPr>
                <w:szCs w:val="24"/>
              </w:rPr>
              <w:t xml:space="preserve">Utskottet </w:t>
            </w:r>
            <w:r w:rsidR="00B619A8">
              <w:rPr>
                <w:szCs w:val="24"/>
              </w:rPr>
              <w:t>medgav</w:t>
            </w:r>
            <w:r w:rsidRPr="00315917">
              <w:rPr>
                <w:szCs w:val="24"/>
              </w:rPr>
              <w:t xml:space="preserve"> att Mikael Pyka från skatteutskottets kansli får närvara </w:t>
            </w:r>
            <w:r w:rsidR="00B619A8">
              <w:rPr>
                <w:szCs w:val="24"/>
              </w:rPr>
              <w:t xml:space="preserve">fortsättningsvis </w:t>
            </w:r>
            <w:r w:rsidRPr="00315917">
              <w:rPr>
                <w:szCs w:val="24"/>
              </w:rPr>
              <w:t xml:space="preserve">vid </w:t>
            </w:r>
            <w:r w:rsidR="00B619A8">
              <w:rPr>
                <w:szCs w:val="24"/>
              </w:rPr>
              <w:t>sammanträdespunkter som rör</w:t>
            </w:r>
            <w:r w:rsidRPr="00315917">
              <w:rPr>
                <w:szCs w:val="24"/>
              </w:rPr>
              <w:t xml:space="preserve"> betänkande 2021/</w:t>
            </w:r>
            <w:proofErr w:type="gramStart"/>
            <w:r w:rsidRPr="00315917">
              <w:rPr>
                <w:szCs w:val="24"/>
              </w:rPr>
              <w:t>22:FiU</w:t>
            </w:r>
            <w:proofErr w:type="gramEnd"/>
            <w:r w:rsidRPr="00315917">
              <w:rPr>
                <w:szCs w:val="24"/>
              </w:rPr>
              <w:t xml:space="preserve">1. </w:t>
            </w:r>
          </w:p>
          <w:p w:rsidR="00993B90" w:rsidRPr="00E44786" w:rsidRDefault="00993B90" w:rsidP="00F86A58">
            <w:pPr>
              <w:pStyle w:val="Liststycke"/>
              <w:rPr>
                <w:sz w:val="22"/>
              </w:rPr>
            </w:pPr>
          </w:p>
        </w:tc>
      </w:tr>
      <w:tr w:rsidR="00C15B79" w:rsidTr="00F86A58">
        <w:tc>
          <w:tcPr>
            <w:tcW w:w="639" w:type="dxa"/>
          </w:tcPr>
          <w:p w:rsidR="00C15B79" w:rsidRDefault="00C15B79" w:rsidP="00EF57E7">
            <w:pPr>
              <w:tabs>
                <w:tab w:val="left" w:pos="1701"/>
              </w:tabs>
              <w:rPr>
                <w:b/>
                <w:snapToGrid w:val="0"/>
              </w:rPr>
            </w:pPr>
            <w:r>
              <w:rPr>
                <w:b/>
                <w:snapToGrid w:val="0"/>
              </w:rPr>
              <w:lastRenderedPageBreak/>
              <w:t xml:space="preserve">§ </w:t>
            </w:r>
            <w:r w:rsidR="00993B90">
              <w:rPr>
                <w:b/>
                <w:snapToGrid w:val="0"/>
              </w:rPr>
              <w:t>6</w:t>
            </w:r>
          </w:p>
          <w:p w:rsidR="00E44786" w:rsidRDefault="00E44786" w:rsidP="00EF57E7">
            <w:pPr>
              <w:tabs>
                <w:tab w:val="left" w:pos="1701"/>
              </w:tabs>
              <w:rPr>
                <w:b/>
                <w:snapToGrid w:val="0"/>
              </w:rPr>
            </w:pPr>
          </w:p>
        </w:tc>
        <w:tc>
          <w:tcPr>
            <w:tcW w:w="7655" w:type="dxa"/>
          </w:tcPr>
          <w:p w:rsidR="00993B90" w:rsidRPr="00993B90" w:rsidRDefault="00993B90" w:rsidP="00993B90">
            <w:pPr>
              <w:widowControl/>
              <w:autoSpaceDE w:val="0"/>
              <w:autoSpaceDN w:val="0"/>
              <w:adjustRightInd w:val="0"/>
              <w:rPr>
                <w:b/>
                <w:bCs/>
                <w:color w:val="000000"/>
                <w:szCs w:val="24"/>
              </w:rPr>
            </w:pPr>
            <w:r w:rsidRPr="00993B90">
              <w:rPr>
                <w:b/>
                <w:bCs/>
                <w:color w:val="000000"/>
                <w:szCs w:val="24"/>
              </w:rPr>
              <w:t>Riksrevisionens rapport om administrationen i statliga myndigheter (FiU12)</w:t>
            </w:r>
          </w:p>
          <w:p w:rsidR="00993B90" w:rsidRDefault="00993B90" w:rsidP="00993B90">
            <w:pPr>
              <w:widowControl/>
              <w:autoSpaceDE w:val="0"/>
              <w:autoSpaceDN w:val="0"/>
              <w:adjustRightInd w:val="0"/>
              <w:rPr>
                <w:color w:val="000000"/>
                <w:szCs w:val="24"/>
              </w:rPr>
            </w:pPr>
            <w:r>
              <w:rPr>
                <w:color w:val="000000"/>
                <w:szCs w:val="24"/>
              </w:rPr>
              <w:t>Utskottet fortsatte behandlingen av s</w:t>
            </w:r>
            <w:r w:rsidRPr="00993B90">
              <w:rPr>
                <w:color w:val="000000"/>
                <w:szCs w:val="24"/>
              </w:rPr>
              <w:t>kr</w:t>
            </w:r>
            <w:r>
              <w:rPr>
                <w:color w:val="000000"/>
                <w:szCs w:val="24"/>
              </w:rPr>
              <w:t>ivelse</w:t>
            </w:r>
            <w:r w:rsidRPr="00993B90">
              <w:rPr>
                <w:color w:val="000000"/>
                <w:szCs w:val="24"/>
              </w:rPr>
              <w:t xml:space="preserve"> 2020/21:218</w:t>
            </w:r>
            <w:r>
              <w:rPr>
                <w:color w:val="000000"/>
                <w:szCs w:val="24"/>
              </w:rPr>
              <w:t xml:space="preserve"> och </w:t>
            </w:r>
            <w:r w:rsidRPr="00993B90">
              <w:rPr>
                <w:color w:val="000000"/>
                <w:szCs w:val="24"/>
              </w:rPr>
              <w:t>motioner</w:t>
            </w:r>
            <w:r>
              <w:rPr>
                <w:color w:val="000000"/>
                <w:szCs w:val="24"/>
              </w:rPr>
              <w:t>.</w:t>
            </w:r>
          </w:p>
          <w:p w:rsidR="00993B90" w:rsidRDefault="00993B90" w:rsidP="00993B90">
            <w:pPr>
              <w:widowControl/>
              <w:autoSpaceDE w:val="0"/>
              <w:autoSpaceDN w:val="0"/>
              <w:adjustRightInd w:val="0"/>
              <w:rPr>
                <w:color w:val="000000"/>
                <w:szCs w:val="24"/>
              </w:rPr>
            </w:pPr>
          </w:p>
          <w:p w:rsidR="00F86A58" w:rsidRPr="00993B90" w:rsidRDefault="00993B90" w:rsidP="00993B90">
            <w:pPr>
              <w:widowControl/>
              <w:autoSpaceDE w:val="0"/>
              <w:autoSpaceDN w:val="0"/>
              <w:adjustRightInd w:val="0"/>
              <w:rPr>
                <w:color w:val="000000"/>
                <w:szCs w:val="24"/>
              </w:rPr>
            </w:pPr>
            <w:r>
              <w:rPr>
                <w:color w:val="000000"/>
                <w:szCs w:val="24"/>
              </w:rPr>
              <w:t>Utskottet justerade betänkande 2021/</w:t>
            </w:r>
            <w:proofErr w:type="gramStart"/>
            <w:r>
              <w:rPr>
                <w:color w:val="000000"/>
                <w:szCs w:val="24"/>
              </w:rPr>
              <w:t>22:FiU</w:t>
            </w:r>
            <w:proofErr w:type="gramEnd"/>
            <w:r>
              <w:rPr>
                <w:color w:val="000000"/>
                <w:szCs w:val="24"/>
              </w:rPr>
              <w:t>12.</w:t>
            </w:r>
          </w:p>
          <w:p w:rsidR="00D021DB" w:rsidRPr="00305C38" w:rsidRDefault="00D021DB" w:rsidP="000E010A">
            <w:pPr>
              <w:widowControl/>
              <w:autoSpaceDE w:val="0"/>
              <w:autoSpaceDN w:val="0"/>
              <w:adjustRightInd w:val="0"/>
              <w:rPr>
                <w:color w:val="000000"/>
                <w:szCs w:val="24"/>
              </w:rPr>
            </w:pPr>
          </w:p>
        </w:tc>
      </w:tr>
      <w:tr w:rsidR="00CD7E8B" w:rsidTr="00F86A58">
        <w:tc>
          <w:tcPr>
            <w:tcW w:w="639" w:type="dxa"/>
          </w:tcPr>
          <w:p w:rsidR="00CD7E8B" w:rsidRDefault="00CD7E8B" w:rsidP="00EF57E7">
            <w:pPr>
              <w:tabs>
                <w:tab w:val="left" w:pos="1701"/>
              </w:tabs>
              <w:rPr>
                <w:b/>
                <w:snapToGrid w:val="0"/>
              </w:rPr>
            </w:pPr>
            <w:r>
              <w:rPr>
                <w:b/>
                <w:snapToGrid w:val="0"/>
              </w:rPr>
              <w:t xml:space="preserve">§ </w:t>
            </w:r>
            <w:r w:rsidR="00993B90">
              <w:rPr>
                <w:b/>
                <w:snapToGrid w:val="0"/>
              </w:rPr>
              <w:t>7</w:t>
            </w:r>
          </w:p>
        </w:tc>
        <w:tc>
          <w:tcPr>
            <w:tcW w:w="7655" w:type="dxa"/>
          </w:tcPr>
          <w:p w:rsidR="00993B90" w:rsidRPr="00993B90" w:rsidRDefault="00993B90" w:rsidP="00993B90">
            <w:pPr>
              <w:widowControl/>
              <w:autoSpaceDE w:val="0"/>
              <w:autoSpaceDN w:val="0"/>
              <w:adjustRightInd w:val="0"/>
              <w:rPr>
                <w:b/>
                <w:bCs/>
                <w:color w:val="000000"/>
                <w:szCs w:val="24"/>
              </w:rPr>
            </w:pPr>
            <w:r w:rsidRPr="00993B90">
              <w:rPr>
                <w:b/>
                <w:bCs/>
                <w:color w:val="000000"/>
                <w:szCs w:val="24"/>
              </w:rPr>
              <w:t>Ett förenklat upphandlingsregelverk (FiU14)</w:t>
            </w:r>
          </w:p>
          <w:p w:rsidR="00993B90" w:rsidRDefault="00993B90" w:rsidP="00993B90">
            <w:pPr>
              <w:widowControl/>
              <w:autoSpaceDE w:val="0"/>
              <w:autoSpaceDN w:val="0"/>
              <w:adjustRightInd w:val="0"/>
              <w:rPr>
                <w:color w:val="000000"/>
                <w:szCs w:val="24"/>
              </w:rPr>
            </w:pPr>
            <w:r>
              <w:rPr>
                <w:color w:val="000000"/>
                <w:szCs w:val="24"/>
              </w:rPr>
              <w:t>Utskottet fortsatte behandlingen av p</w:t>
            </w:r>
            <w:r w:rsidRPr="00993B90">
              <w:rPr>
                <w:color w:val="000000"/>
                <w:szCs w:val="24"/>
              </w:rPr>
              <w:t>rop</w:t>
            </w:r>
            <w:r>
              <w:rPr>
                <w:color w:val="000000"/>
                <w:szCs w:val="24"/>
              </w:rPr>
              <w:t>osition</w:t>
            </w:r>
            <w:r w:rsidRPr="00993B90">
              <w:rPr>
                <w:color w:val="000000"/>
                <w:szCs w:val="24"/>
              </w:rPr>
              <w:t xml:space="preserve"> 2021/22:5</w:t>
            </w:r>
            <w:r>
              <w:rPr>
                <w:color w:val="000000"/>
                <w:szCs w:val="24"/>
              </w:rPr>
              <w:t xml:space="preserve"> och</w:t>
            </w:r>
            <w:r w:rsidRPr="00993B90">
              <w:rPr>
                <w:color w:val="000000"/>
                <w:szCs w:val="24"/>
              </w:rPr>
              <w:t xml:space="preserve"> motioner</w:t>
            </w:r>
            <w:r w:rsidR="00F86A58">
              <w:rPr>
                <w:color w:val="000000"/>
                <w:szCs w:val="24"/>
              </w:rPr>
              <w:t xml:space="preserve">. </w:t>
            </w:r>
          </w:p>
          <w:p w:rsidR="00F86A58" w:rsidRDefault="00F86A58" w:rsidP="00993B90">
            <w:pPr>
              <w:widowControl/>
              <w:autoSpaceDE w:val="0"/>
              <w:autoSpaceDN w:val="0"/>
              <w:adjustRightInd w:val="0"/>
              <w:rPr>
                <w:color w:val="000000"/>
                <w:szCs w:val="24"/>
              </w:rPr>
            </w:pPr>
          </w:p>
          <w:p w:rsidR="00F86A58" w:rsidRPr="00993B90" w:rsidRDefault="00F86A58" w:rsidP="00993B90">
            <w:pPr>
              <w:widowControl/>
              <w:autoSpaceDE w:val="0"/>
              <w:autoSpaceDN w:val="0"/>
              <w:adjustRightInd w:val="0"/>
              <w:rPr>
                <w:color w:val="000000"/>
                <w:szCs w:val="24"/>
              </w:rPr>
            </w:pPr>
            <w:r>
              <w:rPr>
                <w:color w:val="000000"/>
                <w:szCs w:val="24"/>
              </w:rPr>
              <w:t xml:space="preserve">Ärendet bordlades. </w:t>
            </w:r>
          </w:p>
          <w:p w:rsidR="00CD7E8B" w:rsidRPr="00305C38" w:rsidRDefault="00CD7E8B" w:rsidP="00D021DB">
            <w:pPr>
              <w:widowControl/>
              <w:autoSpaceDE w:val="0"/>
              <w:autoSpaceDN w:val="0"/>
              <w:adjustRightInd w:val="0"/>
              <w:rPr>
                <w:color w:val="000000"/>
                <w:szCs w:val="24"/>
              </w:rPr>
            </w:pPr>
          </w:p>
        </w:tc>
      </w:tr>
      <w:tr w:rsidR="00CD7E8B" w:rsidTr="00F86A58">
        <w:tc>
          <w:tcPr>
            <w:tcW w:w="639" w:type="dxa"/>
          </w:tcPr>
          <w:p w:rsidR="00CD7E8B" w:rsidRDefault="00CD7E8B" w:rsidP="00EF57E7">
            <w:pPr>
              <w:tabs>
                <w:tab w:val="left" w:pos="1701"/>
              </w:tabs>
              <w:rPr>
                <w:b/>
                <w:snapToGrid w:val="0"/>
              </w:rPr>
            </w:pPr>
            <w:r>
              <w:rPr>
                <w:b/>
                <w:snapToGrid w:val="0"/>
              </w:rPr>
              <w:t xml:space="preserve">§ </w:t>
            </w:r>
            <w:r w:rsidR="00993B90">
              <w:rPr>
                <w:b/>
                <w:snapToGrid w:val="0"/>
              </w:rPr>
              <w:t>8</w:t>
            </w:r>
          </w:p>
        </w:tc>
        <w:tc>
          <w:tcPr>
            <w:tcW w:w="7655" w:type="dxa"/>
          </w:tcPr>
          <w:p w:rsidR="00993B90" w:rsidRPr="00993B90" w:rsidRDefault="00993B90" w:rsidP="00993B90">
            <w:pPr>
              <w:widowControl/>
              <w:autoSpaceDE w:val="0"/>
              <w:autoSpaceDN w:val="0"/>
              <w:adjustRightInd w:val="0"/>
              <w:rPr>
                <w:i/>
                <w:iCs/>
                <w:color w:val="000000"/>
                <w:szCs w:val="24"/>
              </w:rPr>
            </w:pPr>
            <w:r w:rsidRPr="00993B90">
              <w:rPr>
                <w:b/>
                <w:bCs/>
                <w:color w:val="000000"/>
                <w:szCs w:val="24"/>
              </w:rPr>
              <w:t>Statens budget 2022 Rambeslutet (FiU1</w:t>
            </w:r>
            <w:r w:rsidRPr="00993B90">
              <w:rPr>
                <w:i/>
                <w:iCs/>
                <w:color w:val="000000"/>
                <w:szCs w:val="24"/>
              </w:rPr>
              <w:t>)</w:t>
            </w:r>
          </w:p>
          <w:p w:rsidR="00F86A58" w:rsidRDefault="00F86A58" w:rsidP="00F86A58">
            <w:pPr>
              <w:widowControl/>
              <w:autoSpaceDE w:val="0"/>
              <w:autoSpaceDN w:val="0"/>
              <w:adjustRightInd w:val="0"/>
              <w:rPr>
                <w:color w:val="000000"/>
                <w:szCs w:val="24"/>
              </w:rPr>
            </w:pPr>
            <w:r>
              <w:rPr>
                <w:color w:val="000000"/>
                <w:szCs w:val="24"/>
              </w:rPr>
              <w:t>Utskottet fortsatte behandlingen av p</w:t>
            </w:r>
            <w:r w:rsidRPr="00993B90">
              <w:rPr>
                <w:color w:val="000000"/>
                <w:szCs w:val="24"/>
              </w:rPr>
              <w:t>rop</w:t>
            </w:r>
            <w:r>
              <w:rPr>
                <w:color w:val="000000"/>
                <w:szCs w:val="24"/>
              </w:rPr>
              <w:t>osition</w:t>
            </w:r>
            <w:r w:rsidRPr="00993B90">
              <w:rPr>
                <w:color w:val="000000"/>
                <w:szCs w:val="24"/>
              </w:rPr>
              <w:t xml:space="preserve"> 2021/22:</w:t>
            </w:r>
            <w:r>
              <w:rPr>
                <w:color w:val="000000"/>
                <w:szCs w:val="24"/>
              </w:rPr>
              <w:t>1 och</w:t>
            </w:r>
            <w:r w:rsidRPr="00993B90">
              <w:rPr>
                <w:color w:val="000000"/>
                <w:szCs w:val="24"/>
              </w:rPr>
              <w:t xml:space="preserve"> motioner</w:t>
            </w:r>
            <w:r>
              <w:rPr>
                <w:color w:val="000000"/>
                <w:szCs w:val="24"/>
              </w:rPr>
              <w:t xml:space="preserve">. </w:t>
            </w:r>
          </w:p>
          <w:p w:rsidR="00F86A58" w:rsidRDefault="00F86A58" w:rsidP="00F86A58">
            <w:pPr>
              <w:widowControl/>
              <w:autoSpaceDE w:val="0"/>
              <w:autoSpaceDN w:val="0"/>
              <w:adjustRightInd w:val="0"/>
              <w:rPr>
                <w:color w:val="000000"/>
                <w:szCs w:val="24"/>
              </w:rPr>
            </w:pPr>
          </w:p>
          <w:p w:rsidR="00F86A58" w:rsidRPr="00993B90" w:rsidRDefault="00F86A58" w:rsidP="00F86A58">
            <w:pPr>
              <w:widowControl/>
              <w:autoSpaceDE w:val="0"/>
              <w:autoSpaceDN w:val="0"/>
              <w:adjustRightInd w:val="0"/>
              <w:rPr>
                <w:color w:val="000000"/>
                <w:szCs w:val="24"/>
              </w:rPr>
            </w:pPr>
            <w:r>
              <w:rPr>
                <w:color w:val="000000"/>
                <w:szCs w:val="24"/>
              </w:rPr>
              <w:t xml:space="preserve">Ärendet bordlades. </w:t>
            </w:r>
          </w:p>
          <w:p w:rsidR="00CD7E8B" w:rsidRPr="00305C38" w:rsidRDefault="00CD7E8B" w:rsidP="00D021DB">
            <w:pPr>
              <w:widowControl/>
              <w:autoSpaceDE w:val="0"/>
              <w:autoSpaceDN w:val="0"/>
              <w:adjustRightInd w:val="0"/>
              <w:rPr>
                <w:color w:val="000000"/>
                <w:szCs w:val="24"/>
              </w:rPr>
            </w:pPr>
          </w:p>
        </w:tc>
      </w:tr>
      <w:tr w:rsidR="00D12ED4" w:rsidTr="00F86A58">
        <w:trPr>
          <w:trHeight w:val="707"/>
        </w:trPr>
        <w:tc>
          <w:tcPr>
            <w:tcW w:w="639" w:type="dxa"/>
          </w:tcPr>
          <w:p w:rsidR="00183CBA" w:rsidRDefault="00CD7E8B" w:rsidP="00541406">
            <w:pPr>
              <w:tabs>
                <w:tab w:val="left" w:pos="1701"/>
              </w:tabs>
              <w:rPr>
                <w:b/>
                <w:snapToGrid w:val="0"/>
              </w:rPr>
            </w:pPr>
            <w:r>
              <w:rPr>
                <w:b/>
                <w:snapToGrid w:val="0"/>
              </w:rPr>
              <w:t xml:space="preserve">§ </w:t>
            </w:r>
            <w:r w:rsidR="00993B90">
              <w:rPr>
                <w:b/>
                <w:snapToGrid w:val="0"/>
              </w:rPr>
              <w:t>9</w:t>
            </w:r>
          </w:p>
          <w:p w:rsidR="00183CBA" w:rsidRDefault="00183CBA" w:rsidP="00541406">
            <w:pPr>
              <w:tabs>
                <w:tab w:val="left" w:pos="1701"/>
              </w:tabs>
              <w:rPr>
                <w:b/>
                <w:snapToGrid w:val="0"/>
              </w:rPr>
            </w:pPr>
          </w:p>
        </w:tc>
        <w:tc>
          <w:tcPr>
            <w:tcW w:w="7655" w:type="dxa"/>
          </w:tcPr>
          <w:p w:rsidR="00993B90" w:rsidRDefault="00993B90" w:rsidP="00993B90">
            <w:pPr>
              <w:outlineLvl w:val="0"/>
              <w:rPr>
                <w:bCs/>
              </w:rPr>
            </w:pPr>
            <w:r w:rsidRPr="00993B90">
              <w:rPr>
                <w:b/>
                <w:bCs/>
              </w:rPr>
              <w:t>Redovisning av AP-fondernas verksamhet t.o.m. 2020 (FiU6)</w:t>
            </w:r>
            <w:r w:rsidRPr="00993B90">
              <w:rPr>
                <w:b/>
                <w:bCs/>
              </w:rPr>
              <w:br/>
            </w:r>
            <w:r w:rsidR="00F86A58">
              <w:rPr>
                <w:color w:val="000000"/>
                <w:szCs w:val="24"/>
              </w:rPr>
              <w:t>Utskottet inledde behandlingen av</w:t>
            </w:r>
            <w:r w:rsidR="00F86A58" w:rsidRPr="00993B90">
              <w:rPr>
                <w:bCs/>
              </w:rPr>
              <w:t xml:space="preserve"> </w:t>
            </w:r>
            <w:r w:rsidR="00F86A58">
              <w:rPr>
                <w:bCs/>
              </w:rPr>
              <w:t>skrivelse</w:t>
            </w:r>
            <w:r w:rsidRPr="00993B90">
              <w:rPr>
                <w:bCs/>
              </w:rPr>
              <w:t xml:space="preserve"> 2021/22:130</w:t>
            </w:r>
            <w:r w:rsidR="00F86A58">
              <w:rPr>
                <w:bCs/>
              </w:rPr>
              <w:t xml:space="preserve"> och </w:t>
            </w:r>
            <w:r w:rsidRPr="00993B90">
              <w:rPr>
                <w:bCs/>
              </w:rPr>
              <w:t>motioner</w:t>
            </w:r>
            <w:r w:rsidR="00F86A58">
              <w:rPr>
                <w:bCs/>
              </w:rPr>
              <w:t>.</w:t>
            </w:r>
          </w:p>
          <w:p w:rsidR="00F86A58" w:rsidRDefault="00F86A58" w:rsidP="00993B90">
            <w:pPr>
              <w:outlineLvl w:val="0"/>
              <w:rPr>
                <w:bCs/>
              </w:rPr>
            </w:pPr>
          </w:p>
          <w:p w:rsidR="00F86A58" w:rsidRPr="00F86A58" w:rsidRDefault="00F86A58" w:rsidP="00F86A58">
            <w:pPr>
              <w:widowControl/>
              <w:autoSpaceDE w:val="0"/>
              <w:autoSpaceDN w:val="0"/>
              <w:adjustRightInd w:val="0"/>
              <w:rPr>
                <w:color w:val="000000"/>
                <w:szCs w:val="24"/>
              </w:rPr>
            </w:pPr>
            <w:r>
              <w:rPr>
                <w:color w:val="000000"/>
                <w:szCs w:val="24"/>
              </w:rPr>
              <w:t xml:space="preserve">Ärendet bordlades. </w:t>
            </w:r>
          </w:p>
          <w:p w:rsidR="00EF57E7" w:rsidRPr="00993B90" w:rsidRDefault="00EF57E7" w:rsidP="00993B90"/>
        </w:tc>
      </w:tr>
      <w:tr w:rsidR="00993B90" w:rsidTr="00F86A58">
        <w:trPr>
          <w:trHeight w:val="707"/>
        </w:trPr>
        <w:tc>
          <w:tcPr>
            <w:tcW w:w="639" w:type="dxa"/>
          </w:tcPr>
          <w:p w:rsidR="00993B90" w:rsidRDefault="00993B90" w:rsidP="00993B90">
            <w:pPr>
              <w:tabs>
                <w:tab w:val="left" w:pos="1701"/>
              </w:tabs>
              <w:rPr>
                <w:b/>
                <w:snapToGrid w:val="0"/>
              </w:rPr>
            </w:pPr>
            <w:r>
              <w:rPr>
                <w:b/>
                <w:snapToGrid w:val="0"/>
              </w:rPr>
              <w:t>§ 10</w:t>
            </w:r>
          </w:p>
          <w:p w:rsidR="00993B90" w:rsidRDefault="00993B90" w:rsidP="000C726F">
            <w:pPr>
              <w:tabs>
                <w:tab w:val="left" w:pos="1701"/>
              </w:tabs>
              <w:rPr>
                <w:b/>
                <w:snapToGrid w:val="0"/>
              </w:rPr>
            </w:pPr>
          </w:p>
        </w:tc>
        <w:tc>
          <w:tcPr>
            <w:tcW w:w="7655" w:type="dxa"/>
          </w:tcPr>
          <w:p w:rsidR="00993B90" w:rsidRDefault="00993B90" w:rsidP="00993B90">
            <w:pPr>
              <w:outlineLvl w:val="0"/>
              <w:rPr>
                <w:bCs/>
              </w:rPr>
            </w:pPr>
            <w:r w:rsidRPr="00993B90">
              <w:rPr>
                <w:b/>
                <w:bCs/>
              </w:rPr>
              <w:t>Uppföljning av riksdagens tillämpning av subsidiaritetsprincipen (FiU1y)</w:t>
            </w:r>
            <w:r w:rsidRPr="00993B90">
              <w:rPr>
                <w:b/>
                <w:bCs/>
              </w:rPr>
              <w:br/>
            </w:r>
            <w:r w:rsidR="003D0228">
              <w:rPr>
                <w:bCs/>
              </w:rPr>
              <w:t xml:space="preserve">Utskottet fortsatte </w:t>
            </w:r>
            <w:r w:rsidRPr="00993B90">
              <w:rPr>
                <w:bCs/>
              </w:rPr>
              <w:t>beredning</w:t>
            </w:r>
            <w:r w:rsidR="003D0228">
              <w:rPr>
                <w:bCs/>
              </w:rPr>
              <w:t>en av yttrande till konstitutionsutskottet över PM om u</w:t>
            </w:r>
            <w:r w:rsidR="003D0228" w:rsidRPr="003D0228">
              <w:rPr>
                <w:bCs/>
              </w:rPr>
              <w:t>ppföljning av riksdagens tillämpning av subsidiaritetsprincipen</w:t>
            </w:r>
            <w:r w:rsidR="003D0228">
              <w:rPr>
                <w:bCs/>
              </w:rPr>
              <w:t>.</w:t>
            </w:r>
          </w:p>
          <w:p w:rsidR="003D0228" w:rsidRDefault="003D0228" w:rsidP="00993B90">
            <w:pPr>
              <w:outlineLvl w:val="0"/>
              <w:rPr>
                <w:bCs/>
              </w:rPr>
            </w:pPr>
          </w:p>
          <w:p w:rsidR="003D0228" w:rsidRPr="003D0228" w:rsidRDefault="003D0228" w:rsidP="003D0228">
            <w:pPr>
              <w:widowControl/>
              <w:autoSpaceDE w:val="0"/>
              <w:autoSpaceDN w:val="0"/>
              <w:adjustRightInd w:val="0"/>
              <w:rPr>
                <w:color w:val="000000"/>
                <w:szCs w:val="24"/>
              </w:rPr>
            </w:pPr>
            <w:r>
              <w:rPr>
                <w:color w:val="000000"/>
                <w:szCs w:val="24"/>
              </w:rPr>
              <w:t xml:space="preserve">Ärendet bordlades. </w:t>
            </w:r>
          </w:p>
          <w:p w:rsidR="00993B90" w:rsidRPr="00AD47F5" w:rsidRDefault="00993B90" w:rsidP="00993B90">
            <w:pPr>
              <w:outlineLvl w:val="0"/>
              <w:rPr>
                <w:b/>
                <w:bCs/>
              </w:rPr>
            </w:pPr>
          </w:p>
        </w:tc>
      </w:tr>
      <w:tr w:rsidR="00993B90" w:rsidTr="00F86A58">
        <w:trPr>
          <w:trHeight w:val="707"/>
        </w:trPr>
        <w:tc>
          <w:tcPr>
            <w:tcW w:w="639" w:type="dxa"/>
          </w:tcPr>
          <w:p w:rsidR="00993B90" w:rsidRDefault="00993B90" w:rsidP="00993B90">
            <w:pPr>
              <w:tabs>
                <w:tab w:val="left" w:pos="1701"/>
              </w:tabs>
              <w:rPr>
                <w:b/>
                <w:snapToGrid w:val="0"/>
              </w:rPr>
            </w:pPr>
            <w:bookmarkStart w:id="0" w:name="_Hlk86412289"/>
            <w:r>
              <w:rPr>
                <w:b/>
                <w:snapToGrid w:val="0"/>
              </w:rPr>
              <w:t>§ 11</w:t>
            </w:r>
          </w:p>
          <w:p w:rsidR="00993B90" w:rsidRDefault="00993B90" w:rsidP="000C726F">
            <w:pPr>
              <w:tabs>
                <w:tab w:val="left" w:pos="1701"/>
              </w:tabs>
              <w:rPr>
                <w:b/>
                <w:snapToGrid w:val="0"/>
              </w:rPr>
            </w:pPr>
          </w:p>
        </w:tc>
        <w:tc>
          <w:tcPr>
            <w:tcW w:w="7655" w:type="dxa"/>
          </w:tcPr>
          <w:p w:rsidR="00993B90" w:rsidRPr="00993B90" w:rsidRDefault="00993B90" w:rsidP="00993B90">
            <w:pPr>
              <w:outlineLvl w:val="0"/>
              <w:rPr>
                <w:b/>
                <w:bCs/>
              </w:rPr>
            </w:pPr>
            <w:r w:rsidRPr="00993B90">
              <w:rPr>
                <w:b/>
                <w:bCs/>
              </w:rPr>
              <w:t>Kommissionens arbetsprogram</w:t>
            </w:r>
          </w:p>
          <w:p w:rsidR="00F86A58" w:rsidRDefault="00F86A58" w:rsidP="00F86A58">
            <w:pPr>
              <w:outlineLvl w:val="0"/>
              <w:rPr>
                <w:bCs/>
              </w:rPr>
            </w:pPr>
            <w:r w:rsidRPr="00F86A58">
              <w:rPr>
                <w:bCs/>
              </w:rPr>
              <w:t xml:space="preserve">Utskottet beslutade att </w:t>
            </w:r>
            <w:r>
              <w:rPr>
                <w:bCs/>
              </w:rPr>
              <w:t xml:space="preserve">avstå från att yttra sig till utrikesutskottet över </w:t>
            </w:r>
            <w:r w:rsidR="003D0228">
              <w:rPr>
                <w:bCs/>
              </w:rPr>
              <w:t>k</w:t>
            </w:r>
            <w:r w:rsidRPr="00F86A58">
              <w:rPr>
                <w:bCs/>
              </w:rPr>
              <w:t>ommissionens arbetsprogram.</w:t>
            </w:r>
          </w:p>
          <w:p w:rsidR="00993B90" w:rsidRPr="00F86A58" w:rsidRDefault="00993B90" w:rsidP="003D0228">
            <w:pPr>
              <w:widowControl/>
              <w:autoSpaceDE w:val="0"/>
              <w:autoSpaceDN w:val="0"/>
              <w:adjustRightInd w:val="0"/>
              <w:rPr>
                <w:bCs/>
              </w:rPr>
            </w:pPr>
          </w:p>
        </w:tc>
      </w:tr>
      <w:bookmarkEnd w:id="0"/>
      <w:tr w:rsidR="00CD7E8B" w:rsidTr="00F86A58">
        <w:trPr>
          <w:trHeight w:val="707"/>
        </w:trPr>
        <w:tc>
          <w:tcPr>
            <w:tcW w:w="639" w:type="dxa"/>
          </w:tcPr>
          <w:p w:rsidR="00CD7E8B" w:rsidRDefault="00CD7E8B" w:rsidP="000C726F">
            <w:pPr>
              <w:tabs>
                <w:tab w:val="left" w:pos="1701"/>
              </w:tabs>
              <w:rPr>
                <w:b/>
                <w:snapToGrid w:val="0"/>
              </w:rPr>
            </w:pPr>
            <w:r>
              <w:rPr>
                <w:b/>
                <w:snapToGrid w:val="0"/>
              </w:rPr>
              <w:t xml:space="preserve">§ </w:t>
            </w:r>
            <w:r w:rsidR="00993B90">
              <w:rPr>
                <w:b/>
                <w:snapToGrid w:val="0"/>
              </w:rPr>
              <w:t>1</w:t>
            </w:r>
            <w:r w:rsidR="00A655D6">
              <w:rPr>
                <w:b/>
                <w:snapToGrid w:val="0"/>
              </w:rPr>
              <w:t>2</w:t>
            </w:r>
          </w:p>
        </w:tc>
        <w:tc>
          <w:tcPr>
            <w:tcW w:w="7655" w:type="dxa"/>
          </w:tcPr>
          <w:p w:rsidR="00CD7E8B" w:rsidRDefault="00AD47F5" w:rsidP="00D021DB">
            <w:pPr>
              <w:outlineLvl w:val="0"/>
              <w:rPr>
                <w:b/>
                <w:bCs/>
              </w:rPr>
            </w:pPr>
            <w:r w:rsidRPr="00AD47F5">
              <w:rPr>
                <w:b/>
                <w:bCs/>
              </w:rPr>
              <w:t>Nästa sammanträde</w:t>
            </w:r>
          </w:p>
          <w:p w:rsidR="00A655D6" w:rsidRPr="00A655D6" w:rsidRDefault="00A655D6" w:rsidP="00D021DB">
            <w:pPr>
              <w:outlineLvl w:val="0"/>
              <w:rPr>
                <w:bCs/>
              </w:rPr>
            </w:pPr>
            <w:r w:rsidRPr="00A655D6">
              <w:rPr>
                <w:bCs/>
              </w:rPr>
              <w:t>Tisdag 9 november kl. 10.30</w:t>
            </w:r>
          </w:p>
        </w:tc>
      </w:tr>
      <w:tr w:rsidR="00D12ED4" w:rsidTr="00F86A58">
        <w:tc>
          <w:tcPr>
            <w:tcW w:w="639" w:type="dxa"/>
          </w:tcPr>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tc>
        <w:tc>
          <w:tcPr>
            <w:tcW w:w="7655" w:type="dxa"/>
          </w:tcPr>
          <w:p w:rsidR="00A655D6" w:rsidRDefault="00A655D6" w:rsidP="00C15B79">
            <w:pPr>
              <w:outlineLvl w:val="0"/>
              <w:rPr>
                <w:bCs/>
              </w:rPr>
            </w:pPr>
          </w:p>
          <w:p w:rsidR="00CD7E8B" w:rsidRPr="00CD7E8B" w:rsidRDefault="00CD7E8B" w:rsidP="00C15B79">
            <w:pPr>
              <w:outlineLvl w:val="0"/>
              <w:rPr>
                <w:bCs/>
              </w:rPr>
            </w:pPr>
            <w:bookmarkStart w:id="1" w:name="_GoBack"/>
            <w:bookmarkEnd w:id="1"/>
          </w:p>
          <w:p w:rsidR="00CD7E8B" w:rsidRPr="00CD7E8B" w:rsidRDefault="00CD7E8B" w:rsidP="00C15B79">
            <w:pPr>
              <w:outlineLvl w:val="0"/>
              <w:rPr>
                <w:bCs/>
              </w:rPr>
            </w:pPr>
            <w:r w:rsidRPr="00CD7E8B">
              <w:rPr>
                <w:bCs/>
              </w:rPr>
              <w:t>Justeras</w:t>
            </w:r>
          </w:p>
          <w:p w:rsidR="00CD7E8B" w:rsidRPr="00CD7E8B" w:rsidRDefault="00CD7E8B" w:rsidP="00C15B79">
            <w:pPr>
              <w:outlineLvl w:val="0"/>
              <w:rPr>
                <w:bCs/>
              </w:rPr>
            </w:pPr>
          </w:p>
          <w:p w:rsidR="00CD7E8B" w:rsidRPr="00CD7E8B" w:rsidRDefault="00CD7E8B" w:rsidP="00C15B79">
            <w:pPr>
              <w:outlineLvl w:val="0"/>
              <w:rPr>
                <w:bCs/>
              </w:rPr>
            </w:pPr>
          </w:p>
          <w:p w:rsidR="00CD7E8B" w:rsidRPr="00CD7E8B" w:rsidRDefault="00CD7E8B" w:rsidP="00C15B79">
            <w:pPr>
              <w:outlineLvl w:val="0"/>
              <w:rPr>
                <w:bCs/>
              </w:rPr>
            </w:pPr>
          </w:p>
          <w:p w:rsidR="00CD7E8B" w:rsidRPr="00CD7E8B" w:rsidRDefault="00914E3E" w:rsidP="00C15B79">
            <w:pPr>
              <w:outlineLvl w:val="0"/>
              <w:rPr>
                <w:bCs/>
              </w:rPr>
            </w:pPr>
            <w:r>
              <w:rPr>
                <w:bCs/>
              </w:rPr>
              <w:t>Åsa Westlund</w:t>
            </w:r>
          </w:p>
          <w:p w:rsidR="00D12ED4" w:rsidRPr="00D12ED4" w:rsidRDefault="00D12ED4" w:rsidP="00C15B79">
            <w:pPr>
              <w:outlineLvl w:val="0"/>
              <w:rPr>
                <w:bCs/>
              </w:rPr>
            </w:pPr>
          </w:p>
        </w:tc>
      </w:tr>
      <w:tr w:rsidR="002C538C" w:rsidTr="00F86A58">
        <w:tc>
          <w:tcPr>
            <w:tcW w:w="8294" w:type="dxa"/>
            <w:gridSpan w:val="2"/>
          </w:tcPr>
          <w:p w:rsidR="002C538C" w:rsidRPr="00BD39D1" w:rsidRDefault="002C538C" w:rsidP="002C538C">
            <w:pPr>
              <w:outlineLvl w:val="0"/>
            </w:pPr>
          </w:p>
        </w:tc>
      </w:tr>
    </w:tbl>
    <w:p w:rsidR="00294515" w:rsidRDefault="00294515" w:rsidP="00223A90">
      <w:pPr>
        <w:pStyle w:val="Sidhuvud"/>
        <w:tabs>
          <w:tab w:val="clear" w:pos="4536"/>
          <w:tab w:val="left" w:pos="3402"/>
          <w:tab w:val="left" w:pos="6946"/>
        </w:tabs>
        <w:ind w:left="-851"/>
        <w:rPr>
          <w:sz w:val="20"/>
        </w:rPr>
      </w:pPr>
    </w:p>
    <w:p w:rsidR="00294515" w:rsidRDefault="00294515" w:rsidP="00223A90">
      <w:pPr>
        <w:pStyle w:val="Sidhuvud"/>
        <w:tabs>
          <w:tab w:val="clear" w:pos="4536"/>
          <w:tab w:val="left" w:pos="3402"/>
          <w:tab w:val="left" w:pos="6946"/>
        </w:tabs>
        <w:ind w:left="-851"/>
        <w:rPr>
          <w:sz w:val="20"/>
        </w:rPr>
      </w:pPr>
    </w:p>
    <w:p w:rsidR="00294515" w:rsidRDefault="00294515" w:rsidP="00223A90">
      <w:pPr>
        <w:pStyle w:val="Sidhuvud"/>
        <w:tabs>
          <w:tab w:val="clear" w:pos="4536"/>
          <w:tab w:val="left" w:pos="3402"/>
          <w:tab w:val="left" w:pos="6946"/>
        </w:tabs>
        <w:ind w:left="-851"/>
        <w:rPr>
          <w:sz w:val="20"/>
        </w:rPr>
      </w:pPr>
    </w:p>
    <w:p w:rsidR="00294515" w:rsidRDefault="00294515" w:rsidP="00223A90">
      <w:pPr>
        <w:pStyle w:val="Sidhuvud"/>
        <w:tabs>
          <w:tab w:val="clear" w:pos="4536"/>
          <w:tab w:val="left" w:pos="3402"/>
          <w:tab w:val="left" w:pos="6946"/>
        </w:tabs>
        <w:ind w:left="-851"/>
        <w:rPr>
          <w:sz w:val="20"/>
        </w:rPr>
      </w:pPr>
    </w:p>
    <w:p w:rsidR="00192BEE" w:rsidRDefault="00192BEE" w:rsidP="005A0175">
      <w:pPr>
        <w:pStyle w:val="Sidhuvud"/>
        <w:tabs>
          <w:tab w:val="clear" w:pos="4536"/>
          <w:tab w:val="left" w:pos="3402"/>
          <w:tab w:val="left" w:pos="6946"/>
        </w:tabs>
        <w:rPr>
          <w:sz w:val="20"/>
        </w:rPr>
      </w:pPr>
    </w:p>
    <w:p w:rsidR="005A0175" w:rsidRDefault="005A0175" w:rsidP="005A0175">
      <w:pPr>
        <w:pStyle w:val="Sidhuvud"/>
        <w:tabs>
          <w:tab w:val="clear" w:pos="4536"/>
          <w:tab w:val="left" w:pos="3402"/>
          <w:tab w:val="left" w:pos="6946"/>
        </w:tabs>
        <w:rPr>
          <w:sz w:val="20"/>
        </w:rPr>
      </w:pPr>
      <w:r>
        <w:rPr>
          <w:sz w:val="20"/>
        </w:rPr>
        <w:br w:type="page"/>
      </w:r>
    </w:p>
    <w:p w:rsidR="004C6601" w:rsidRDefault="004C6601" w:rsidP="004C6601">
      <w:pPr>
        <w:pStyle w:val="Sidhuvud"/>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w:t>
      </w:r>
      <w:r w:rsidR="00914E3E">
        <w:rPr>
          <w:sz w:val="22"/>
          <w:szCs w:val="22"/>
        </w:rPr>
        <w:t>21</w:t>
      </w:r>
      <w:r>
        <w:rPr>
          <w:sz w:val="22"/>
          <w:szCs w:val="22"/>
        </w:rPr>
        <w:t>/</w:t>
      </w:r>
      <w:r w:rsidR="00917732">
        <w:rPr>
          <w:sz w:val="22"/>
          <w:szCs w:val="22"/>
        </w:rPr>
        <w:t>2</w:t>
      </w:r>
      <w:r w:rsidR="00914E3E">
        <w:rPr>
          <w:sz w:val="22"/>
          <w:szCs w:val="22"/>
        </w:rPr>
        <w:t>2</w:t>
      </w:r>
      <w:r w:rsidRPr="00282678">
        <w:rPr>
          <w:sz w:val="22"/>
          <w:szCs w:val="22"/>
        </w:rPr>
        <w:t>:</w:t>
      </w:r>
      <w:r w:rsidR="0094094F">
        <w:rPr>
          <w:sz w:val="22"/>
          <w:szCs w:val="22"/>
        </w:rPr>
        <w:t>12</w:t>
      </w:r>
    </w:p>
    <w:p w:rsidR="00282678" w:rsidRDefault="00282678" w:rsidP="00282678">
      <w:pPr>
        <w:pStyle w:val="Sidhuvud"/>
        <w:tabs>
          <w:tab w:val="clear" w:pos="4536"/>
          <w:tab w:val="left" w:pos="3402"/>
          <w:tab w:val="left" w:pos="6946"/>
        </w:tabs>
        <w:ind w:left="-851"/>
        <w:rPr>
          <w:sz w:val="20"/>
        </w:rPr>
      </w:pP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rsidR="004C6601" w:rsidRPr="000E151F" w:rsidRDefault="00A655D6" w:rsidP="006B55D9">
            <w:pPr>
              <w:spacing w:line="360" w:lineRule="auto"/>
              <w:rPr>
                <w:sz w:val="22"/>
                <w:szCs w:val="22"/>
              </w:rPr>
            </w:pPr>
            <w:r>
              <w:rPr>
                <w:sz w:val="22"/>
                <w:szCs w:val="22"/>
              </w:rPr>
              <w:t>§</w:t>
            </w:r>
            <w:proofErr w:type="gramStart"/>
            <w:r>
              <w:rPr>
                <w:sz w:val="22"/>
                <w:szCs w:val="22"/>
              </w:rPr>
              <w:t>1-5</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A655D6" w:rsidP="006B55D9">
            <w:pPr>
              <w:rPr>
                <w:sz w:val="22"/>
                <w:szCs w:val="22"/>
              </w:rPr>
            </w:pPr>
            <w:r>
              <w:rPr>
                <w:sz w:val="22"/>
                <w:szCs w:val="22"/>
              </w:rPr>
              <w:t>§6</w:t>
            </w: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A655D6" w:rsidP="006B55D9">
            <w:pPr>
              <w:rPr>
                <w:sz w:val="22"/>
                <w:szCs w:val="22"/>
              </w:rPr>
            </w:pPr>
            <w:r>
              <w:rPr>
                <w:sz w:val="22"/>
                <w:szCs w:val="22"/>
              </w:rPr>
              <w:t>§</w:t>
            </w:r>
            <w:proofErr w:type="gramStart"/>
            <w:r>
              <w:rPr>
                <w:sz w:val="22"/>
                <w:szCs w:val="22"/>
              </w:rPr>
              <w:t>7-12</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r>
      <w:tr w:rsidR="00A655D6" w:rsidRPr="000E151F" w:rsidTr="006B55D9">
        <w:tc>
          <w:tcPr>
            <w:tcW w:w="4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b/>
                <w:i/>
                <w:sz w:val="22"/>
                <w:szCs w:val="22"/>
              </w:rPr>
            </w:pPr>
            <w:r>
              <w:rPr>
                <w:snapToGrid w:val="0"/>
                <w:sz w:val="22"/>
                <w:szCs w:val="22"/>
              </w:rPr>
              <w:t xml:space="preserve"> Åsa Westlund</w:t>
            </w:r>
            <w:r w:rsidRPr="000E151F">
              <w:rPr>
                <w:snapToGrid w:val="0"/>
                <w:sz w:val="22"/>
                <w:szCs w:val="22"/>
              </w:rPr>
              <w:t xml:space="preserve"> (S)</w:t>
            </w:r>
            <w:r>
              <w:rPr>
                <w:snapToGrid w:val="0"/>
                <w:sz w:val="22"/>
                <w:szCs w:val="22"/>
              </w:rPr>
              <w:t xml:space="preserve"> </w:t>
            </w:r>
            <w:r w:rsidRPr="00AF3CA6">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r>
      <w:tr w:rsidR="00A655D6" w:rsidRPr="000E151F" w:rsidTr="006B55D9">
        <w:tc>
          <w:tcPr>
            <w:tcW w:w="4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tabs>
                <w:tab w:val="left" w:pos="-70"/>
              </w:tabs>
              <w:ind w:left="-354" w:firstLine="426"/>
              <w:rPr>
                <w:snapToGrid w:val="0"/>
                <w:sz w:val="22"/>
                <w:szCs w:val="22"/>
              </w:rPr>
            </w:pPr>
            <w:r>
              <w:rPr>
                <w:snapToGrid w:val="0"/>
                <w:sz w:val="22"/>
                <w:szCs w:val="22"/>
              </w:rPr>
              <w:t xml:space="preserve">Elisabeth Svantesson (M) </w:t>
            </w:r>
            <w:r w:rsidRPr="00AF3CA6">
              <w:rPr>
                <w:i/>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r>
      <w:tr w:rsidR="00A655D6" w:rsidRPr="000E151F" w:rsidTr="006B55D9">
        <w:tc>
          <w:tcPr>
            <w:tcW w:w="4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tabs>
                <w:tab w:val="left" w:pos="-70"/>
              </w:tabs>
              <w:rPr>
                <w:snapToGrid w:val="0"/>
                <w:sz w:val="22"/>
                <w:szCs w:val="22"/>
              </w:rPr>
            </w:pPr>
            <w:r>
              <w:rPr>
                <w:snapToGrid w:val="0"/>
                <w:sz w:val="22"/>
                <w:szCs w:val="22"/>
              </w:rPr>
              <w:t xml:space="preserve"> Gunilla Carlsson</w:t>
            </w:r>
            <w:r w:rsidRPr="000E151F">
              <w:rPr>
                <w:snapToGrid w:val="0"/>
                <w:sz w:val="22"/>
                <w:szCs w:val="22"/>
              </w:rPr>
              <w:t xml:space="preserve"> (S) </w:t>
            </w:r>
          </w:p>
        </w:tc>
        <w:tc>
          <w:tcPr>
            <w:tcW w:w="488"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r>
      <w:tr w:rsidR="00A655D6" w:rsidRPr="000E151F" w:rsidTr="006B55D9">
        <w:tc>
          <w:tcPr>
            <w:tcW w:w="4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tabs>
                <w:tab w:val="left" w:pos="-70"/>
              </w:tabs>
              <w:rPr>
                <w:snapToGrid w:val="0"/>
                <w:sz w:val="22"/>
                <w:szCs w:val="22"/>
              </w:rPr>
            </w:pPr>
            <w:r>
              <w:rPr>
                <w:snapToGrid w:val="0"/>
                <w:sz w:val="22"/>
                <w:szCs w:val="22"/>
              </w:rPr>
              <w:t xml:space="preserve"> Edward Riedl</w:t>
            </w:r>
            <w:r w:rsidRPr="000E151F">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r>
      <w:tr w:rsidR="00A655D6" w:rsidRPr="000E151F" w:rsidTr="006B55D9">
        <w:tc>
          <w:tcPr>
            <w:tcW w:w="4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tabs>
                <w:tab w:val="left" w:pos="-70"/>
              </w:tabs>
              <w:rPr>
                <w:snapToGrid w:val="0"/>
                <w:sz w:val="22"/>
                <w:szCs w:val="22"/>
              </w:rPr>
            </w:pPr>
            <w:r w:rsidRPr="000E151F">
              <w:rPr>
                <w:snapToGrid w:val="0"/>
                <w:sz w:val="22"/>
                <w:szCs w:val="22"/>
              </w:rPr>
              <w:t xml:space="preserve"> Oscar Sjöstedt (SD)</w:t>
            </w:r>
          </w:p>
        </w:tc>
        <w:tc>
          <w:tcPr>
            <w:tcW w:w="488"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r>
      <w:tr w:rsidR="00A655D6" w:rsidRPr="000E151F" w:rsidTr="006B55D9">
        <w:tc>
          <w:tcPr>
            <w:tcW w:w="4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tabs>
                <w:tab w:val="left" w:pos="356"/>
              </w:tabs>
              <w:rPr>
                <w:snapToGrid w:val="0"/>
                <w:sz w:val="22"/>
                <w:szCs w:val="22"/>
              </w:rPr>
            </w:pPr>
            <w:r w:rsidRPr="000E151F">
              <w:rPr>
                <w:spacing w:val="4"/>
                <w:kern w:val="16"/>
                <w:sz w:val="22"/>
                <w:szCs w:val="22"/>
              </w:rPr>
              <w:t xml:space="preserve"> </w:t>
            </w:r>
            <w:r w:rsidRPr="000E151F">
              <w:rPr>
                <w:snapToGrid w:val="0"/>
                <w:sz w:val="22"/>
                <w:szCs w:val="22"/>
                <w:lang w:val="en-US"/>
              </w:rPr>
              <w:t xml:space="preserve">Adnan Dibrani </w:t>
            </w:r>
            <w:r w:rsidRPr="000E151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r>
      <w:tr w:rsidR="00A655D6" w:rsidRPr="000E151F" w:rsidTr="006B55D9">
        <w:tc>
          <w:tcPr>
            <w:tcW w:w="4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tabs>
                <w:tab w:val="left" w:pos="-70"/>
              </w:tabs>
              <w:ind w:left="-354" w:firstLine="426"/>
              <w:rPr>
                <w:snapToGrid w:val="0"/>
                <w:sz w:val="22"/>
                <w:szCs w:val="22"/>
              </w:rPr>
            </w:pPr>
            <w:r>
              <w:rPr>
                <w:snapToGrid w:val="0"/>
                <w:sz w:val="22"/>
                <w:szCs w:val="22"/>
              </w:rPr>
              <w:t>Martin Ådahl</w:t>
            </w:r>
            <w:r w:rsidRPr="000E151F">
              <w:rPr>
                <w:snapToGrid w:val="0"/>
                <w:sz w:val="22"/>
                <w:szCs w:val="22"/>
              </w:rPr>
              <w:t xml:space="preserve"> (C)</w:t>
            </w:r>
          </w:p>
        </w:tc>
        <w:tc>
          <w:tcPr>
            <w:tcW w:w="488"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r>
      <w:tr w:rsidR="00A655D6" w:rsidRPr="000E151F" w:rsidTr="006B55D9">
        <w:tc>
          <w:tcPr>
            <w:tcW w:w="4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tabs>
                <w:tab w:val="left" w:pos="497"/>
              </w:tabs>
              <w:ind w:left="72"/>
              <w:rPr>
                <w:snapToGrid w:val="0"/>
                <w:sz w:val="22"/>
                <w:szCs w:val="22"/>
              </w:rPr>
            </w:pPr>
            <w:r w:rsidRPr="000E151F">
              <w:rPr>
                <w:snapToGrid w:val="0"/>
                <w:sz w:val="22"/>
                <w:szCs w:val="22"/>
              </w:rPr>
              <w:t>Ulla Andersson (V)</w:t>
            </w:r>
          </w:p>
        </w:tc>
        <w:tc>
          <w:tcPr>
            <w:tcW w:w="488"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r>
      <w:tr w:rsidR="00A655D6" w:rsidRPr="000E151F" w:rsidTr="006B55D9">
        <w:tc>
          <w:tcPr>
            <w:tcW w:w="4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tabs>
                <w:tab w:val="left" w:pos="497"/>
              </w:tabs>
              <w:ind w:left="72"/>
              <w:rPr>
                <w:snapToGrid w:val="0"/>
                <w:sz w:val="22"/>
                <w:szCs w:val="22"/>
              </w:rPr>
            </w:pPr>
            <w:r>
              <w:rPr>
                <w:snapToGrid w:val="0"/>
                <w:sz w:val="22"/>
                <w:szCs w:val="22"/>
              </w:rPr>
              <w:t>Jan Ericson (M</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r>
      <w:tr w:rsidR="00A655D6" w:rsidRPr="000E151F" w:rsidTr="006B55D9">
        <w:tc>
          <w:tcPr>
            <w:tcW w:w="4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tabs>
                <w:tab w:val="left" w:pos="497"/>
              </w:tabs>
              <w:ind w:left="72"/>
              <w:rPr>
                <w:snapToGrid w:val="0"/>
                <w:sz w:val="22"/>
                <w:szCs w:val="22"/>
              </w:rPr>
            </w:pPr>
            <w:r w:rsidRPr="000E151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r>
      <w:tr w:rsidR="00A655D6" w:rsidRPr="000E151F" w:rsidTr="006B55D9">
        <w:tc>
          <w:tcPr>
            <w:tcW w:w="4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tabs>
                <w:tab w:val="left" w:pos="497"/>
              </w:tabs>
              <w:ind w:left="72"/>
              <w:rPr>
                <w:snapToGrid w:val="0"/>
                <w:sz w:val="22"/>
                <w:szCs w:val="22"/>
              </w:rPr>
            </w:pPr>
            <w:r w:rsidRPr="000E151F">
              <w:rPr>
                <w:snapToGrid w:val="0"/>
                <w:sz w:val="22"/>
                <w:szCs w:val="22"/>
              </w:rPr>
              <w:t>Ingela Nylund Watz (</w:t>
            </w:r>
            <w:r>
              <w:rPr>
                <w:snapToGrid w:val="0"/>
                <w:sz w:val="22"/>
                <w:szCs w:val="22"/>
              </w:rPr>
              <w:t>S</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r>
      <w:tr w:rsidR="00A655D6" w:rsidRPr="000E151F" w:rsidTr="006B55D9">
        <w:tc>
          <w:tcPr>
            <w:tcW w:w="4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tabs>
                <w:tab w:val="left" w:pos="497"/>
              </w:tabs>
              <w:ind w:left="72"/>
              <w:rPr>
                <w:snapToGrid w:val="0"/>
                <w:sz w:val="22"/>
                <w:szCs w:val="22"/>
              </w:rPr>
            </w:pPr>
            <w:r>
              <w:rPr>
                <w:snapToGrid w:val="0"/>
                <w:sz w:val="22"/>
                <w:szCs w:val="22"/>
              </w:rPr>
              <w:t>Jakob Forssmed (KD)</w:t>
            </w:r>
          </w:p>
        </w:tc>
        <w:tc>
          <w:tcPr>
            <w:tcW w:w="488"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r>
      <w:tr w:rsidR="00A655D6" w:rsidRPr="000E151F" w:rsidTr="006B55D9">
        <w:tc>
          <w:tcPr>
            <w:tcW w:w="4395" w:type="dxa"/>
            <w:tcBorders>
              <w:top w:val="single" w:sz="6" w:space="0" w:color="auto"/>
              <w:left w:val="single" w:sz="6" w:space="0" w:color="auto"/>
              <w:bottom w:val="single" w:sz="6" w:space="0" w:color="auto"/>
              <w:right w:val="single" w:sz="6" w:space="0" w:color="auto"/>
            </w:tcBorders>
          </w:tcPr>
          <w:p w:rsidR="00A655D6" w:rsidRDefault="00A655D6" w:rsidP="00A655D6">
            <w:pPr>
              <w:tabs>
                <w:tab w:val="left" w:pos="497"/>
              </w:tabs>
              <w:ind w:left="72"/>
              <w:rPr>
                <w:snapToGrid w:val="0"/>
                <w:sz w:val="22"/>
                <w:szCs w:val="22"/>
              </w:rPr>
            </w:pPr>
            <w:r>
              <w:rPr>
                <w:snapToGrid w:val="0"/>
                <w:sz w:val="22"/>
                <w:szCs w:val="22"/>
              </w:rPr>
              <w:t xml:space="preserve">Björn Wiechel </w:t>
            </w:r>
            <w:r w:rsidRPr="000E151F">
              <w:rPr>
                <w:snapToGrid w:val="0"/>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r>
      <w:tr w:rsidR="00A655D6" w:rsidRPr="000E151F" w:rsidTr="006B55D9">
        <w:tc>
          <w:tcPr>
            <w:tcW w:w="4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tabs>
                <w:tab w:val="left" w:pos="497"/>
              </w:tabs>
              <w:ind w:left="72"/>
              <w:rPr>
                <w:snapToGrid w:val="0"/>
                <w:sz w:val="22"/>
                <w:szCs w:val="22"/>
              </w:rPr>
            </w:pPr>
            <w:r>
              <w:rPr>
                <w:snapToGrid w:val="0"/>
                <w:sz w:val="22"/>
                <w:szCs w:val="22"/>
              </w:rPr>
              <w:t>Mats Persson (L</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r>
      <w:tr w:rsidR="00A655D6" w:rsidRPr="000E151F" w:rsidTr="006B55D9">
        <w:tc>
          <w:tcPr>
            <w:tcW w:w="4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tabs>
                <w:tab w:val="left" w:pos="497"/>
              </w:tabs>
              <w:ind w:left="72"/>
              <w:rPr>
                <w:snapToGrid w:val="0"/>
                <w:sz w:val="22"/>
                <w:szCs w:val="22"/>
              </w:rPr>
            </w:pPr>
            <w:r>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r>
      <w:tr w:rsidR="00A655D6" w:rsidRPr="000E151F" w:rsidTr="006B55D9">
        <w:tc>
          <w:tcPr>
            <w:tcW w:w="4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tabs>
                <w:tab w:val="left" w:pos="497"/>
              </w:tabs>
              <w:ind w:left="72"/>
              <w:rPr>
                <w:snapToGrid w:val="0"/>
                <w:sz w:val="22"/>
                <w:szCs w:val="22"/>
              </w:rPr>
            </w:pPr>
            <w:r>
              <w:rPr>
                <w:snapToGrid w:val="0"/>
                <w:sz w:val="22"/>
                <w:szCs w:val="22"/>
              </w:rPr>
              <w:t xml:space="preserve">Karolina Skog </w:t>
            </w:r>
            <w:r w:rsidRPr="000E151F">
              <w:rPr>
                <w:snapToGrid w:val="0"/>
                <w:sz w:val="22"/>
                <w:szCs w:val="22"/>
              </w:rPr>
              <w:t>(MP</w:t>
            </w:r>
            <w:r>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r>
      <w:tr w:rsidR="00A655D6" w:rsidRPr="000E151F" w:rsidTr="006B55D9">
        <w:tc>
          <w:tcPr>
            <w:tcW w:w="4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tabs>
                <w:tab w:val="left" w:pos="497"/>
              </w:tabs>
              <w:ind w:left="72"/>
              <w:rPr>
                <w:snapToGrid w:val="0"/>
                <w:sz w:val="22"/>
                <w:szCs w:val="22"/>
              </w:rPr>
            </w:pPr>
            <w:r>
              <w:rPr>
                <w:snapToGrid w:val="0"/>
                <w:sz w:val="22"/>
                <w:szCs w:val="22"/>
              </w:rPr>
              <w:t>Magdalena Schröder (M)</w:t>
            </w:r>
          </w:p>
        </w:tc>
        <w:tc>
          <w:tcPr>
            <w:tcW w:w="488"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873755" w:rsidP="006B55D9">
            <w:pPr>
              <w:numPr>
                <w:ilvl w:val="0"/>
                <w:numId w:val="3"/>
              </w:numPr>
              <w:tabs>
                <w:tab w:val="clear" w:pos="360"/>
                <w:tab w:val="left" w:pos="0"/>
              </w:tabs>
              <w:ind w:hanging="720"/>
              <w:rPr>
                <w:snapToGrid w:val="0"/>
                <w:sz w:val="22"/>
                <w:szCs w:val="22"/>
              </w:rPr>
            </w:pPr>
            <w:r>
              <w:rPr>
                <w:snapToGrid w:val="0"/>
                <w:sz w:val="22"/>
                <w:szCs w:val="22"/>
              </w:rPr>
              <w:t xml:space="preserve"> Joakim Sandell</w:t>
            </w:r>
            <w:r w:rsidR="00540593">
              <w:rPr>
                <w:snapToGrid w:val="0"/>
                <w:sz w:val="22"/>
                <w:szCs w:val="22"/>
              </w:rPr>
              <w:t xml:space="preserve"> </w:t>
            </w:r>
            <w:r w:rsidR="004C6601">
              <w:rPr>
                <w:snapToGrid w:val="0"/>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A655D6"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A655D6"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A655D6"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napToGrid w:val="0"/>
                <w:sz w:val="22"/>
                <w:szCs w:val="22"/>
              </w:rPr>
            </w:pPr>
            <w:r>
              <w:rPr>
                <w:snapToGrid w:val="0"/>
                <w:sz w:val="22"/>
                <w:szCs w:val="22"/>
              </w:rPr>
              <w:t xml:space="preserve"> Sofia Westergren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A655D6" w:rsidP="006B55D9">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A655D6"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A655D6"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356"/>
              </w:tabs>
              <w:rPr>
                <w:snapToGrid w:val="0"/>
                <w:sz w:val="22"/>
                <w:szCs w:val="22"/>
              </w:rPr>
            </w:pPr>
            <w:r>
              <w:rPr>
                <w:snapToGrid w:val="0"/>
                <w:sz w:val="22"/>
                <w:szCs w:val="22"/>
              </w:rPr>
              <w:t xml:space="preserve"> Eva Lindh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A655D6" w:rsidP="006B55D9">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A655D6"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A655D6"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pacing w:val="4"/>
                <w:kern w:val="16"/>
                <w:sz w:val="22"/>
              </w:rPr>
              <w:t xml:space="preserve"> Josefin Malmqvist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w:t>
            </w:r>
            <w:r>
              <w:rPr>
                <w:snapToGrid w:val="0"/>
                <w:sz w:val="22"/>
                <w:szCs w:val="22"/>
              </w:rPr>
              <w:t>Sven-Olof Sällström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Johan Andersson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Lars Thomsson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Ida Gabrielsson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sidRPr="000E151F">
              <w:rPr>
                <w:snapToGrid w:val="0"/>
                <w:sz w:val="22"/>
                <w:szCs w:val="22"/>
                <w:lang w:val="en-US"/>
              </w:rPr>
              <w:t xml:space="preserve"> </w:t>
            </w:r>
            <w:r>
              <w:rPr>
                <w:snapToGrid w:val="0"/>
                <w:sz w:val="22"/>
                <w:szCs w:val="22"/>
              </w:rPr>
              <w:t>Saila Quicklund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Ann-Christine From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Monica Haider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Hampus Hagman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r>
              <w:rPr>
                <w:snapToGrid w:val="0"/>
                <w:sz w:val="22"/>
                <w:szCs w:val="22"/>
              </w:rPr>
              <w:t>Teres Lindberg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Joar Forssell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r w:rsidR="00540593">
              <w:rPr>
                <w:snapToGrid w:val="0"/>
                <w:sz w:val="22"/>
                <w:szCs w:val="22"/>
              </w:rPr>
              <w:t xml:space="preserve">Alexander Christiansson </w:t>
            </w:r>
            <w:r>
              <w:rPr>
                <w:snapToGrid w:val="0"/>
                <w:sz w:val="22"/>
                <w:szCs w:val="22"/>
              </w:rPr>
              <w:t>(SD)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Rasmus Ling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Kjell Jansson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Grubb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Clara Aranda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917732">
              <w:rPr>
                <w:snapToGrid w:val="0"/>
                <w:sz w:val="22"/>
                <w:szCs w:val="22"/>
              </w:rPr>
              <w:t xml:space="preserve">Johan Pehrson </w:t>
            </w:r>
            <w:r>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Gulan Avci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873755">
              <w:rPr>
                <w:snapToGrid w:val="0"/>
                <w:sz w:val="22"/>
                <w:szCs w:val="22"/>
              </w:rPr>
              <w:t xml:space="preserve">Alireza Akhondi </w:t>
            </w:r>
            <w:r>
              <w:rPr>
                <w:snapToGrid w:val="0"/>
                <w:sz w:val="22"/>
                <w:szCs w:val="22"/>
              </w:rPr>
              <w:t>(C)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Tony Haddou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Larry Söder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A655D6" w:rsidRPr="000E151F" w:rsidTr="006B55D9">
        <w:tc>
          <w:tcPr>
            <w:tcW w:w="4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tabs>
                <w:tab w:val="left" w:pos="497"/>
              </w:tabs>
              <w:rPr>
                <w:snapToGrid w:val="0"/>
                <w:sz w:val="22"/>
                <w:szCs w:val="22"/>
              </w:rPr>
            </w:pPr>
            <w:r>
              <w:rPr>
                <w:snapToGrid w:val="0"/>
                <w:sz w:val="22"/>
                <w:szCs w:val="22"/>
              </w:rPr>
              <w:t xml:space="preserve"> Robert Halef (KD)</w:t>
            </w:r>
          </w:p>
        </w:tc>
        <w:tc>
          <w:tcPr>
            <w:tcW w:w="488"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r>
      <w:tr w:rsidR="00A655D6" w:rsidRPr="000E151F" w:rsidTr="006B55D9">
        <w:tc>
          <w:tcPr>
            <w:tcW w:w="4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tabs>
                <w:tab w:val="left" w:pos="497"/>
              </w:tabs>
              <w:rPr>
                <w:snapToGrid w:val="0"/>
                <w:sz w:val="22"/>
                <w:szCs w:val="22"/>
              </w:rPr>
            </w:pPr>
            <w:r>
              <w:rPr>
                <w:snapToGrid w:val="0"/>
                <w:sz w:val="22"/>
                <w:szCs w:val="22"/>
              </w:rPr>
              <w:t xml:space="preserve"> Elisabeth Falkhaven (MP)</w:t>
            </w:r>
          </w:p>
        </w:tc>
        <w:tc>
          <w:tcPr>
            <w:tcW w:w="488"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r>
      <w:tr w:rsidR="00A655D6" w:rsidRPr="000E151F" w:rsidTr="006B55D9">
        <w:tc>
          <w:tcPr>
            <w:tcW w:w="4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tabs>
                <w:tab w:val="left" w:pos="497"/>
              </w:tabs>
              <w:rPr>
                <w:snapToGrid w:val="0"/>
                <w:sz w:val="22"/>
                <w:szCs w:val="22"/>
              </w:rPr>
            </w:pPr>
            <w:r>
              <w:rPr>
                <w:snapToGrid w:val="0"/>
                <w:sz w:val="22"/>
                <w:szCs w:val="22"/>
              </w:rPr>
              <w:t xml:space="preserve"> Jörgen Hellman (S)</w:t>
            </w:r>
          </w:p>
        </w:tc>
        <w:tc>
          <w:tcPr>
            <w:tcW w:w="488"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655D6" w:rsidRPr="000E151F" w:rsidRDefault="00A655D6" w:rsidP="00A655D6">
            <w:pPr>
              <w:rPr>
                <w:sz w:val="22"/>
                <w:szCs w:val="22"/>
              </w:rPr>
            </w:pPr>
          </w:p>
        </w:tc>
      </w:tr>
      <w:tr w:rsidR="00A655D6" w:rsidRPr="000E151F" w:rsidTr="001F64CD">
        <w:tc>
          <w:tcPr>
            <w:tcW w:w="4395" w:type="dxa"/>
            <w:tcBorders>
              <w:top w:val="single" w:sz="6" w:space="0" w:color="auto"/>
              <w:left w:val="single" w:sz="6" w:space="0" w:color="auto"/>
              <w:bottom w:val="single" w:sz="4" w:space="0" w:color="auto"/>
              <w:right w:val="single" w:sz="6" w:space="0" w:color="auto"/>
            </w:tcBorders>
          </w:tcPr>
          <w:p w:rsidR="00A655D6" w:rsidRDefault="00A655D6" w:rsidP="00A655D6">
            <w:pPr>
              <w:tabs>
                <w:tab w:val="left" w:pos="497"/>
              </w:tabs>
              <w:rPr>
                <w:snapToGrid w:val="0"/>
                <w:sz w:val="22"/>
                <w:szCs w:val="22"/>
              </w:rPr>
            </w:pPr>
            <w:r>
              <w:rPr>
                <w:snapToGrid w:val="0"/>
                <w:sz w:val="22"/>
                <w:szCs w:val="22"/>
              </w:rPr>
              <w:t xml:space="preserve"> Sultan Kayhan (S)</w:t>
            </w:r>
          </w:p>
        </w:tc>
        <w:tc>
          <w:tcPr>
            <w:tcW w:w="488" w:type="dxa"/>
            <w:tcBorders>
              <w:top w:val="single" w:sz="6" w:space="0" w:color="auto"/>
              <w:left w:val="single" w:sz="6" w:space="0" w:color="auto"/>
              <w:bottom w:val="single" w:sz="4" w:space="0" w:color="auto"/>
              <w:right w:val="single" w:sz="6" w:space="0" w:color="auto"/>
            </w:tcBorders>
          </w:tcPr>
          <w:p w:rsidR="00A655D6" w:rsidRPr="000E151F" w:rsidRDefault="00A655D6" w:rsidP="00A655D6">
            <w:pPr>
              <w:rPr>
                <w:sz w:val="22"/>
                <w:szCs w:val="22"/>
              </w:rPr>
            </w:pPr>
          </w:p>
        </w:tc>
        <w:tc>
          <w:tcPr>
            <w:tcW w:w="507" w:type="dxa"/>
            <w:tcBorders>
              <w:top w:val="single" w:sz="6" w:space="0" w:color="auto"/>
              <w:left w:val="single" w:sz="6" w:space="0" w:color="auto"/>
              <w:bottom w:val="single" w:sz="4"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A655D6" w:rsidRPr="000E151F" w:rsidRDefault="00A655D6" w:rsidP="00A655D6">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A655D6" w:rsidRPr="000E151F" w:rsidRDefault="00A655D6" w:rsidP="00A655D6">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A655D6" w:rsidRPr="000E151F" w:rsidRDefault="00A655D6" w:rsidP="00A655D6">
            <w:pPr>
              <w:rPr>
                <w:sz w:val="22"/>
                <w:szCs w:val="22"/>
              </w:rPr>
            </w:pPr>
          </w:p>
        </w:tc>
        <w:tc>
          <w:tcPr>
            <w:tcW w:w="333" w:type="dxa"/>
            <w:tcBorders>
              <w:top w:val="single" w:sz="6" w:space="0" w:color="auto"/>
              <w:left w:val="single" w:sz="6" w:space="0" w:color="auto"/>
              <w:bottom w:val="single" w:sz="4" w:space="0" w:color="auto"/>
              <w:right w:val="single" w:sz="6" w:space="0" w:color="auto"/>
            </w:tcBorders>
          </w:tcPr>
          <w:p w:rsidR="00A655D6" w:rsidRPr="000E151F" w:rsidRDefault="00A655D6" w:rsidP="00A655D6">
            <w:pPr>
              <w:rPr>
                <w:sz w:val="22"/>
                <w:szCs w:val="22"/>
              </w:rPr>
            </w:pPr>
          </w:p>
        </w:tc>
      </w:tr>
      <w:tr w:rsidR="00A655D6" w:rsidRPr="000E151F" w:rsidTr="001F64CD">
        <w:tc>
          <w:tcPr>
            <w:tcW w:w="4395" w:type="dxa"/>
            <w:tcBorders>
              <w:top w:val="single" w:sz="4" w:space="0" w:color="auto"/>
              <w:left w:val="single" w:sz="4" w:space="0" w:color="auto"/>
              <w:bottom w:val="single" w:sz="4" w:space="0" w:color="auto"/>
              <w:right w:val="single" w:sz="4" w:space="0" w:color="auto"/>
            </w:tcBorders>
          </w:tcPr>
          <w:p w:rsidR="00A655D6" w:rsidRDefault="00A655D6" w:rsidP="00A655D6">
            <w:pPr>
              <w:tabs>
                <w:tab w:val="left" w:pos="497"/>
              </w:tabs>
              <w:rPr>
                <w:snapToGrid w:val="0"/>
                <w:sz w:val="22"/>
                <w:szCs w:val="22"/>
              </w:rPr>
            </w:pPr>
            <w:r>
              <w:rPr>
                <w:snapToGrid w:val="0"/>
                <w:sz w:val="22"/>
                <w:szCs w:val="22"/>
              </w:rPr>
              <w:t xml:space="preserve"> Ilona Szatmari Waldau (V)</w:t>
            </w:r>
          </w:p>
        </w:tc>
        <w:tc>
          <w:tcPr>
            <w:tcW w:w="488" w:type="dxa"/>
            <w:tcBorders>
              <w:top w:val="single" w:sz="4" w:space="0" w:color="auto"/>
              <w:left w:val="single" w:sz="4" w:space="0" w:color="auto"/>
              <w:bottom w:val="single" w:sz="4" w:space="0" w:color="auto"/>
              <w:right w:val="single" w:sz="4" w:space="0" w:color="auto"/>
            </w:tcBorders>
          </w:tcPr>
          <w:p w:rsidR="00A655D6" w:rsidRPr="000E151F" w:rsidRDefault="00A655D6" w:rsidP="00A655D6">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A655D6" w:rsidRPr="000E151F" w:rsidRDefault="00A655D6" w:rsidP="00A655D6">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A655D6" w:rsidRPr="000E151F" w:rsidRDefault="00A655D6" w:rsidP="00A655D6">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A655D6" w:rsidRPr="000E151F" w:rsidRDefault="00A655D6" w:rsidP="00A655D6">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A655D6" w:rsidRPr="000E151F" w:rsidRDefault="00A655D6" w:rsidP="00A655D6">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A655D6" w:rsidRPr="000E151F" w:rsidRDefault="00A655D6" w:rsidP="00A655D6">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A655D6" w:rsidRPr="000E151F" w:rsidRDefault="00A655D6" w:rsidP="00A655D6">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A655D6" w:rsidRPr="000E151F" w:rsidRDefault="00A655D6" w:rsidP="00A655D6">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A655D6" w:rsidRPr="000E151F" w:rsidRDefault="00A655D6" w:rsidP="00A655D6">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A655D6" w:rsidRPr="000E151F" w:rsidRDefault="00A655D6" w:rsidP="00A655D6">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A655D6" w:rsidRPr="000E151F" w:rsidRDefault="00A655D6" w:rsidP="00A655D6">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A655D6" w:rsidRPr="000E151F" w:rsidRDefault="00A655D6" w:rsidP="00A655D6">
            <w:pPr>
              <w:rPr>
                <w:sz w:val="22"/>
                <w:szCs w:val="22"/>
              </w:rPr>
            </w:pPr>
          </w:p>
        </w:tc>
      </w:tr>
      <w:tr w:rsidR="00A655D6" w:rsidRPr="000E151F" w:rsidTr="001F64CD">
        <w:tc>
          <w:tcPr>
            <w:tcW w:w="4395" w:type="dxa"/>
            <w:tcBorders>
              <w:top w:val="single" w:sz="4" w:space="0" w:color="auto"/>
              <w:left w:val="single" w:sz="4" w:space="0" w:color="auto"/>
              <w:bottom w:val="single" w:sz="4" w:space="0" w:color="auto"/>
              <w:right w:val="single" w:sz="4" w:space="0" w:color="auto"/>
            </w:tcBorders>
          </w:tcPr>
          <w:p w:rsidR="00A655D6" w:rsidRDefault="00A655D6" w:rsidP="00A655D6">
            <w:pPr>
              <w:tabs>
                <w:tab w:val="left" w:pos="497"/>
              </w:tabs>
              <w:rPr>
                <w:snapToGrid w:val="0"/>
                <w:sz w:val="22"/>
                <w:szCs w:val="22"/>
              </w:rPr>
            </w:pPr>
            <w:r>
              <w:rPr>
                <w:snapToGrid w:val="0"/>
                <w:sz w:val="22"/>
                <w:szCs w:val="22"/>
              </w:rPr>
              <w:t xml:space="preserve"> David Perez (SD)</w:t>
            </w:r>
          </w:p>
        </w:tc>
        <w:tc>
          <w:tcPr>
            <w:tcW w:w="488" w:type="dxa"/>
            <w:tcBorders>
              <w:top w:val="single" w:sz="4" w:space="0" w:color="auto"/>
              <w:left w:val="single" w:sz="4" w:space="0" w:color="auto"/>
              <w:bottom w:val="single" w:sz="4" w:space="0" w:color="auto"/>
              <w:right w:val="single" w:sz="4" w:space="0" w:color="auto"/>
            </w:tcBorders>
          </w:tcPr>
          <w:p w:rsidR="00A655D6" w:rsidRPr="000E151F" w:rsidRDefault="00A655D6" w:rsidP="00A655D6">
            <w:pPr>
              <w:rPr>
                <w:sz w:val="22"/>
                <w:szCs w:val="22"/>
              </w:rPr>
            </w:pPr>
            <w:r>
              <w:rPr>
                <w:sz w:val="22"/>
                <w:szCs w:val="22"/>
              </w:rPr>
              <w:t>X</w:t>
            </w:r>
          </w:p>
        </w:tc>
        <w:tc>
          <w:tcPr>
            <w:tcW w:w="507" w:type="dxa"/>
            <w:tcBorders>
              <w:top w:val="single" w:sz="4" w:space="0" w:color="auto"/>
              <w:left w:val="single" w:sz="4" w:space="0" w:color="auto"/>
              <w:bottom w:val="single" w:sz="4" w:space="0" w:color="auto"/>
              <w:right w:val="single" w:sz="4" w:space="0" w:color="auto"/>
            </w:tcBorders>
          </w:tcPr>
          <w:p w:rsidR="00A655D6" w:rsidRPr="000E151F" w:rsidRDefault="00A655D6" w:rsidP="00A655D6">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A655D6" w:rsidRPr="000E151F" w:rsidRDefault="00A655D6" w:rsidP="00A655D6">
            <w:pPr>
              <w:rPr>
                <w:sz w:val="22"/>
                <w:szCs w:val="22"/>
              </w:rPr>
            </w:pPr>
            <w:r>
              <w:rPr>
                <w:sz w:val="22"/>
                <w:szCs w:val="22"/>
              </w:rPr>
              <w:t>X</w:t>
            </w:r>
          </w:p>
        </w:tc>
        <w:tc>
          <w:tcPr>
            <w:tcW w:w="396" w:type="dxa"/>
            <w:tcBorders>
              <w:top w:val="single" w:sz="4" w:space="0" w:color="auto"/>
              <w:left w:val="single" w:sz="4" w:space="0" w:color="auto"/>
              <w:bottom w:val="single" w:sz="4" w:space="0" w:color="auto"/>
              <w:right w:val="single" w:sz="4" w:space="0" w:color="auto"/>
            </w:tcBorders>
          </w:tcPr>
          <w:p w:rsidR="00A655D6" w:rsidRPr="000E151F" w:rsidRDefault="00A655D6" w:rsidP="00A655D6">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A655D6" w:rsidRPr="000E151F" w:rsidRDefault="00A655D6" w:rsidP="00A655D6">
            <w:pPr>
              <w:rPr>
                <w:sz w:val="22"/>
                <w:szCs w:val="22"/>
              </w:rPr>
            </w:pPr>
            <w:r>
              <w:rPr>
                <w:sz w:val="22"/>
                <w:szCs w:val="22"/>
              </w:rPr>
              <w:t>X</w:t>
            </w:r>
          </w:p>
        </w:tc>
        <w:tc>
          <w:tcPr>
            <w:tcW w:w="396" w:type="dxa"/>
            <w:tcBorders>
              <w:top w:val="single" w:sz="4" w:space="0" w:color="auto"/>
              <w:left w:val="single" w:sz="4" w:space="0" w:color="auto"/>
              <w:bottom w:val="single" w:sz="4" w:space="0" w:color="auto"/>
              <w:right w:val="single" w:sz="4" w:space="0" w:color="auto"/>
            </w:tcBorders>
          </w:tcPr>
          <w:p w:rsidR="00A655D6" w:rsidRPr="000E151F" w:rsidRDefault="00A655D6" w:rsidP="00A655D6">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A655D6" w:rsidRPr="000E151F" w:rsidRDefault="00A655D6" w:rsidP="00A655D6">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A655D6" w:rsidRPr="000E151F" w:rsidRDefault="00A655D6" w:rsidP="00A655D6">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A655D6" w:rsidRPr="000E151F" w:rsidRDefault="00A655D6" w:rsidP="00A655D6">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A655D6" w:rsidRPr="000E151F" w:rsidRDefault="00A655D6" w:rsidP="00A655D6">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A655D6" w:rsidRPr="000E151F" w:rsidRDefault="00A655D6" w:rsidP="00A655D6">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A655D6" w:rsidRPr="000E151F" w:rsidRDefault="00A655D6" w:rsidP="00A655D6">
            <w:pPr>
              <w:rPr>
                <w:sz w:val="22"/>
                <w:szCs w:val="22"/>
              </w:rPr>
            </w:pPr>
          </w:p>
        </w:tc>
      </w:tr>
    </w:tbl>
    <w:p w:rsidR="004C6601" w:rsidRDefault="004C6601" w:rsidP="004C6601">
      <w:pPr>
        <w:ind w:left="-709"/>
        <w:rPr>
          <w:spacing w:val="2"/>
          <w:sz w:val="18"/>
        </w:rPr>
      </w:pPr>
      <w:r>
        <w:rPr>
          <w:spacing w:val="2"/>
          <w:sz w:val="18"/>
        </w:rPr>
        <w:t>N= Närvarande                                                                    X= ledamöter som deltagit i handläggningen</w:t>
      </w:r>
    </w:p>
    <w:p w:rsidR="004C6601" w:rsidRDefault="004C6601" w:rsidP="004C6601">
      <w:pPr>
        <w:ind w:left="-709"/>
        <w:rPr>
          <w:spacing w:val="2"/>
          <w:sz w:val="18"/>
        </w:rPr>
      </w:pPr>
      <w:r>
        <w:rPr>
          <w:spacing w:val="2"/>
          <w:sz w:val="18"/>
        </w:rPr>
        <w:t>V=  Votering                                                                       O= ledamöter som härutöver varit närvarande</w:t>
      </w:r>
    </w:p>
    <w:p w:rsidR="008035C8" w:rsidRDefault="008035C8" w:rsidP="004C6601">
      <w:pPr>
        <w:pStyle w:val="Sidhuvud"/>
        <w:tabs>
          <w:tab w:val="clear" w:pos="4536"/>
          <w:tab w:val="left" w:pos="3402"/>
          <w:tab w:val="left" w:pos="5529"/>
        </w:tabs>
        <w:ind w:left="-851"/>
        <w:rPr>
          <w:sz w:val="20"/>
        </w:rPr>
      </w:pPr>
    </w:p>
    <w:sectPr w:rsidR="008035C8" w:rsidSect="00223A90">
      <w:headerReference w:type="default" r:id="rId10"/>
      <w:pgSz w:w="11906" w:h="16838" w:code="9"/>
      <w:pgMar w:top="425" w:right="1134" w:bottom="680"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AB4" w:rsidRDefault="007E0AB4">
      <w:r>
        <w:separator/>
      </w:r>
    </w:p>
  </w:endnote>
  <w:endnote w:type="continuationSeparator" w:id="0">
    <w:p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AB4" w:rsidRDefault="007E0AB4">
      <w:r>
        <w:separator/>
      </w:r>
    </w:p>
  </w:footnote>
  <w:footnote w:type="continuationSeparator" w:id="0">
    <w:p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F65" w:rsidRDefault="00C07F65" w:rsidP="00C07F65">
    <w:pPr>
      <w:pStyle w:val="Sidhuvud"/>
      <w:ind w:left="-567"/>
    </w:pPr>
    <w:bookmarkStart w:id="2" w:name="Svenska"/>
    <w:r>
      <w:t>Finansutskottet</w:t>
    </w:r>
    <w:r>
      <w:tab/>
    </w:r>
    <w:r>
      <w:tab/>
    </w:r>
    <w:r>
      <w:rPr>
        <w:noProof/>
      </w:rPr>
      <w:drawing>
        <wp:inline distT="0" distB="0" distL="0" distR="0">
          <wp:extent cx="1438275" cy="382905"/>
          <wp:effectExtent l="0" t="0" r="9525" b="0"/>
          <wp:docPr id="58"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18127CC"/>
    <w:multiLevelType w:val="hybridMultilevel"/>
    <w:tmpl w:val="D21AD284"/>
    <w:lvl w:ilvl="0" w:tplc="4ECA1F5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8"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E354120"/>
    <w:multiLevelType w:val="hybridMultilevel"/>
    <w:tmpl w:val="73C4935A"/>
    <w:lvl w:ilvl="0" w:tplc="78BA0CC0">
      <w:start w:val="1"/>
      <w:numFmt w:val="bullet"/>
      <w:lvlText w:val="•"/>
      <w:lvlJc w:val="left"/>
      <w:pPr>
        <w:tabs>
          <w:tab w:val="num" w:pos="720"/>
        </w:tabs>
        <w:ind w:left="720" w:hanging="360"/>
      </w:pPr>
      <w:rPr>
        <w:rFonts w:ascii="Arial" w:hAnsi="Arial" w:hint="default"/>
      </w:rPr>
    </w:lvl>
    <w:lvl w:ilvl="1" w:tplc="63BC9B2E">
      <w:start w:val="1"/>
      <w:numFmt w:val="bullet"/>
      <w:lvlText w:val="•"/>
      <w:lvlJc w:val="left"/>
      <w:pPr>
        <w:tabs>
          <w:tab w:val="num" w:pos="1440"/>
        </w:tabs>
        <w:ind w:left="1440" w:hanging="360"/>
      </w:pPr>
      <w:rPr>
        <w:rFonts w:ascii="Arial" w:hAnsi="Arial" w:hint="default"/>
      </w:rPr>
    </w:lvl>
    <w:lvl w:ilvl="2" w:tplc="AE684058" w:tentative="1">
      <w:start w:val="1"/>
      <w:numFmt w:val="bullet"/>
      <w:lvlText w:val="•"/>
      <w:lvlJc w:val="left"/>
      <w:pPr>
        <w:tabs>
          <w:tab w:val="num" w:pos="2160"/>
        </w:tabs>
        <w:ind w:left="2160" w:hanging="360"/>
      </w:pPr>
      <w:rPr>
        <w:rFonts w:ascii="Arial" w:hAnsi="Arial" w:hint="default"/>
      </w:rPr>
    </w:lvl>
    <w:lvl w:ilvl="3" w:tplc="DD360342" w:tentative="1">
      <w:start w:val="1"/>
      <w:numFmt w:val="bullet"/>
      <w:lvlText w:val="•"/>
      <w:lvlJc w:val="left"/>
      <w:pPr>
        <w:tabs>
          <w:tab w:val="num" w:pos="2880"/>
        </w:tabs>
        <w:ind w:left="2880" w:hanging="360"/>
      </w:pPr>
      <w:rPr>
        <w:rFonts w:ascii="Arial" w:hAnsi="Arial" w:hint="default"/>
      </w:rPr>
    </w:lvl>
    <w:lvl w:ilvl="4" w:tplc="5ED2F768" w:tentative="1">
      <w:start w:val="1"/>
      <w:numFmt w:val="bullet"/>
      <w:lvlText w:val="•"/>
      <w:lvlJc w:val="left"/>
      <w:pPr>
        <w:tabs>
          <w:tab w:val="num" w:pos="3600"/>
        </w:tabs>
        <w:ind w:left="3600" w:hanging="360"/>
      </w:pPr>
      <w:rPr>
        <w:rFonts w:ascii="Arial" w:hAnsi="Arial" w:hint="default"/>
      </w:rPr>
    </w:lvl>
    <w:lvl w:ilvl="5" w:tplc="DCFEA06E" w:tentative="1">
      <w:start w:val="1"/>
      <w:numFmt w:val="bullet"/>
      <w:lvlText w:val="•"/>
      <w:lvlJc w:val="left"/>
      <w:pPr>
        <w:tabs>
          <w:tab w:val="num" w:pos="4320"/>
        </w:tabs>
        <w:ind w:left="4320" w:hanging="360"/>
      </w:pPr>
      <w:rPr>
        <w:rFonts w:ascii="Arial" w:hAnsi="Arial" w:hint="default"/>
      </w:rPr>
    </w:lvl>
    <w:lvl w:ilvl="6" w:tplc="343A1C66" w:tentative="1">
      <w:start w:val="1"/>
      <w:numFmt w:val="bullet"/>
      <w:lvlText w:val="•"/>
      <w:lvlJc w:val="left"/>
      <w:pPr>
        <w:tabs>
          <w:tab w:val="num" w:pos="5040"/>
        </w:tabs>
        <w:ind w:left="5040" w:hanging="360"/>
      </w:pPr>
      <w:rPr>
        <w:rFonts w:ascii="Arial" w:hAnsi="Arial" w:hint="default"/>
      </w:rPr>
    </w:lvl>
    <w:lvl w:ilvl="7" w:tplc="F0884E0E" w:tentative="1">
      <w:start w:val="1"/>
      <w:numFmt w:val="bullet"/>
      <w:lvlText w:val="•"/>
      <w:lvlJc w:val="left"/>
      <w:pPr>
        <w:tabs>
          <w:tab w:val="num" w:pos="5760"/>
        </w:tabs>
        <w:ind w:left="5760" w:hanging="360"/>
      </w:pPr>
      <w:rPr>
        <w:rFonts w:ascii="Arial" w:hAnsi="Arial" w:hint="default"/>
      </w:rPr>
    </w:lvl>
    <w:lvl w:ilvl="8" w:tplc="DE8A18B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3"/>
  </w:num>
  <w:num w:numId="5">
    <w:abstractNumId w:val="10"/>
  </w:num>
  <w:num w:numId="6">
    <w:abstractNumId w:val="2"/>
  </w:num>
  <w:num w:numId="7">
    <w:abstractNumId w:val="8"/>
  </w:num>
  <w:num w:numId="8">
    <w:abstractNumId w:val="5"/>
  </w:num>
  <w:num w:numId="9">
    <w:abstractNumId w:val="6"/>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3470E"/>
    <w:rsid w:val="00035F71"/>
    <w:rsid w:val="0004121C"/>
    <w:rsid w:val="00042EA9"/>
    <w:rsid w:val="00046C0A"/>
    <w:rsid w:val="00050120"/>
    <w:rsid w:val="000534EB"/>
    <w:rsid w:val="0006237B"/>
    <w:rsid w:val="00062D71"/>
    <w:rsid w:val="00084E75"/>
    <w:rsid w:val="000853D9"/>
    <w:rsid w:val="00087F8C"/>
    <w:rsid w:val="000B29E8"/>
    <w:rsid w:val="000B4B42"/>
    <w:rsid w:val="000C726F"/>
    <w:rsid w:val="000E010A"/>
    <w:rsid w:val="000E151F"/>
    <w:rsid w:val="000E58AB"/>
    <w:rsid w:val="0010300B"/>
    <w:rsid w:val="00103F5F"/>
    <w:rsid w:val="00104A51"/>
    <w:rsid w:val="00111135"/>
    <w:rsid w:val="00112605"/>
    <w:rsid w:val="00114574"/>
    <w:rsid w:val="00116AAA"/>
    <w:rsid w:val="00126BB8"/>
    <w:rsid w:val="0013018A"/>
    <w:rsid w:val="001436E6"/>
    <w:rsid w:val="00146CDA"/>
    <w:rsid w:val="00161AA6"/>
    <w:rsid w:val="001655F6"/>
    <w:rsid w:val="001756F2"/>
    <w:rsid w:val="001765D3"/>
    <w:rsid w:val="00183CBA"/>
    <w:rsid w:val="001852E2"/>
    <w:rsid w:val="00192BEE"/>
    <w:rsid w:val="00194EBF"/>
    <w:rsid w:val="001A083A"/>
    <w:rsid w:val="001B0A1C"/>
    <w:rsid w:val="001B0DA9"/>
    <w:rsid w:val="001B212B"/>
    <w:rsid w:val="001D09A0"/>
    <w:rsid w:val="001D7293"/>
    <w:rsid w:val="001E237A"/>
    <w:rsid w:val="001E7E3D"/>
    <w:rsid w:val="001F54B4"/>
    <w:rsid w:val="001F64CD"/>
    <w:rsid w:val="001F7917"/>
    <w:rsid w:val="00200515"/>
    <w:rsid w:val="00200FDD"/>
    <w:rsid w:val="002035E8"/>
    <w:rsid w:val="0020579F"/>
    <w:rsid w:val="002119A8"/>
    <w:rsid w:val="002174A8"/>
    <w:rsid w:val="002206E4"/>
    <w:rsid w:val="00223A90"/>
    <w:rsid w:val="00225E80"/>
    <w:rsid w:val="00226F2A"/>
    <w:rsid w:val="00236DB7"/>
    <w:rsid w:val="00237DF5"/>
    <w:rsid w:val="00240A97"/>
    <w:rsid w:val="00242439"/>
    <w:rsid w:val="002464D6"/>
    <w:rsid w:val="00252DC2"/>
    <w:rsid w:val="002544E0"/>
    <w:rsid w:val="00254784"/>
    <w:rsid w:val="00256366"/>
    <w:rsid w:val="002624FF"/>
    <w:rsid w:val="00281FD0"/>
    <w:rsid w:val="00282678"/>
    <w:rsid w:val="002854B7"/>
    <w:rsid w:val="00293DD6"/>
    <w:rsid w:val="00294515"/>
    <w:rsid w:val="00296D10"/>
    <w:rsid w:val="002B480E"/>
    <w:rsid w:val="002B5D70"/>
    <w:rsid w:val="002C0221"/>
    <w:rsid w:val="002C1771"/>
    <w:rsid w:val="002C538C"/>
    <w:rsid w:val="002D2AB5"/>
    <w:rsid w:val="002D7BA8"/>
    <w:rsid w:val="002F284C"/>
    <w:rsid w:val="002F654D"/>
    <w:rsid w:val="00305C38"/>
    <w:rsid w:val="0030711A"/>
    <w:rsid w:val="00315917"/>
    <w:rsid w:val="0032581E"/>
    <w:rsid w:val="00342BB1"/>
    <w:rsid w:val="003441D7"/>
    <w:rsid w:val="003529BA"/>
    <w:rsid w:val="00357121"/>
    <w:rsid w:val="00357FF4"/>
    <w:rsid w:val="00360479"/>
    <w:rsid w:val="00360664"/>
    <w:rsid w:val="00362F6A"/>
    <w:rsid w:val="0039212D"/>
    <w:rsid w:val="003952A4"/>
    <w:rsid w:val="0039591D"/>
    <w:rsid w:val="00396EF2"/>
    <w:rsid w:val="003A48EB"/>
    <w:rsid w:val="003A69D1"/>
    <w:rsid w:val="003A6F3C"/>
    <w:rsid w:val="003C0E60"/>
    <w:rsid w:val="003C1D28"/>
    <w:rsid w:val="003C3701"/>
    <w:rsid w:val="003D0228"/>
    <w:rsid w:val="003D2821"/>
    <w:rsid w:val="003F39D9"/>
    <w:rsid w:val="00410507"/>
    <w:rsid w:val="00410AFE"/>
    <w:rsid w:val="00413964"/>
    <w:rsid w:val="0041580F"/>
    <w:rsid w:val="0042098E"/>
    <w:rsid w:val="00430C08"/>
    <w:rsid w:val="00440F4D"/>
    <w:rsid w:val="00444CAA"/>
    <w:rsid w:val="00450BFD"/>
    <w:rsid w:val="00454D13"/>
    <w:rsid w:val="00454E86"/>
    <w:rsid w:val="00461A27"/>
    <w:rsid w:val="00461C67"/>
    <w:rsid w:val="00462AC9"/>
    <w:rsid w:val="0047277D"/>
    <w:rsid w:val="00474848"/>
    <w:rsid w:val="004A0267"/>
    <w:rsid w:val="004A0CDF"/>
    <w:rsid w:val="004A36BA"/>
    <w:rsid w:val="004A4171"/>
    <w:rsid w:val="004A41BC"/>
    <w:rsid w:val="004B1312"/>
    <w:rsid w:val="004C6601"/>
    <w:rsid w:val="004C6A09"/>
    <w:rsid w:val="004D4929"/>
    <w:rsid w:val="004D59EC"/>
    <w:rsid w:val="004E2BD4"/>
    <w:rsid w:val="004F1B55"/>
    <w:rsid w:val="004F2904"/>
    <w:rsid w:val="004F680C"/>
    <w:rsid w:val="005017B0"/>
    <w:rsid w:val="0050317D"/>
    <w:rsid w:val="00504616"/>
    <w:rsid w:val="00520187"/>
    <w:rsid w:val="005228C9"/>
    <w:rsid w:val="00537FF9"/>
    <w:rsid w:val="00540493"/>
    <w:rsid w:val="005405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B498F"/>
    <w:rsid w:val="005C1541"/>
    <w:rsid w:val="005C61EB"/>
    <w:rsid w:val="005E28B9"/>
    <w:rsid w:val="005E2FA7"/>
    <w:rsid w:val="005E439C"/>
    <w:rsid w:val="00627839"/>
    <w:rsid w:val="00643E28"/>
    <w:rsid w:val="006457B3"/>
    <w:rsid w:val="006572A3"/>
    <w:rsid w:val="00667E9B"/>
    <w:rsid w:val="00674AF0"/>
    <w:rsid w:val="006921D0"/>
    <w:rsid w:val="00692522"/>
    <w:rsid w:val="006A0738"/>
    <w:rsid w:val="006A1A13"/>
    <w:rsid w:val="006B7B0C"/>
    <w:rsid w:val="006C1499"/>
    <w:rsid w:val="006C21FA"/>
    <w:rsid w:val="006D0D77"/>
    <w:rsid w:val="006D3126"/>
    <w:rsid w:val="006D3360"/>
    <w:rsid w:val="006D5482"/>
    <w:rsid w:val="007055E3"/>
    <w:rsid w:val="00723D66"/>
    <w:rsid w:val="007243F5"/>
    <w:rsid w:val="0073455D"/>
    <w:rsid w:val="00743A44"/>
    <w:rsid w:val="00750FF0"/>
    <w:rsid w:val="00751AFD"/>
    <w:rsid w:val="00755F03"/>
    <w:rsid w:val="00761D68"/>
    <w:rsid w:val="00767BDA"/>
    <w:rsid w:val="00774482"/>
    <w:rsid w:val="007773C2"/>
    <w:rsid w:val="007826C0"/>
    <w:rsid w:val="00784960"/>
    <w:rsid w:val="00792356"/>
    <w:rsid w:val="007A59C4"/>
    <w:rsid w:val="007B11CA"/>
    <w:rsid w:val="007B1842"/>
    <w:rsid w:val="007B7C03"/>
    <w:rsid w:val="007C3B46"/>
    <w:rsid w:val="007E0AB4"/>
    <w:rsid w:val="007F080A"/>
    <w:rsid w:val="008035C8"/>
    <w:rsid w:val="00804511"/>
    <w:rsid w:val="00813862"/>
    <w:rsid w:val="00822922"/>
    <w:rsid w:val="008231F4"/>
    <w:rsid w:val="00825025"/>
    <w:rsid w:val="00830BA7"/>
    <w:rsid w:val="00834B38"/>
    <w:rsid w:val="0083629F"/>
    <w:rsid w:val="00837D29"/>
    <w:rsid w:val="0084550B"/>
    <w:rsid w:val="008557FA"/>
    <w:rsid w:val="00870671"/>
    <w:rsid w:val="00873755"/>
    <w:rsid w:val="0089258A"/>
    <w:rsid w:val="00893998"/>
    <w:rsid w:val="0089581D"/>
    <w:rsid w:val="008A1F6A"/>
    <w:rsid w:val="008A458A"/>
    <w:rsid w:val="008B3639"/>
    <w:rsid w:val="008B71CE"/>
    <w:rsid w:val="008C0FEC"/>
    <w:rsid w:val="008C79F1"/>
    <w:rsid w:val="008D303B"/>
    <w:rsid w:val="008D51ED"/>
    <w:rsid w:val="008E3A32"/>
    <w:rsid w:val="008F4D68"/>
    <w:rsid w:val="008F5A68"/>
    <w:rsid w:val="00902D30"/>
    <w:rsid w:val="00905D9C"/>
    <w:rsid w:val="00906C2D"/>
    <w:rsid w:val="009102F7"/>
    <w:rsid w:val="00910BB7"/>
    <w:rsid w:val="00914E3E"/>
    <w:rsid w:val="00917732"/>
    <w:rsid w:val="00917C71"/>
    <w:rsid w:val="0092036A"/>
    <w:rsid w:val="00920A21"/>
    <w:rsid w:val="009327CF"/>
    <w:rsid w:val="00932FD6"/>
    <w:rsid w:val="009354FE"/>
    <w:rsid w:val="0094094F"/>
    <w:rsid w:val="009433B3"/>
    <w:rsid w:val="009460B9"/>
    <w:rsid w:val="00946978"/>
    <w:rsid w:val="0095206A"/>
    <w:rsid w:val="0096348C"/>
    <w:rsid w:val="00964ACB"/>
    <w:rsid w:val="0096754F"/>
    <w:rsid w:val="00973D8B"/>
    <w:rsid w:val="0097434A"/>
    <w:rsid w:val="0097719E"/>
    <w:rsid w:val="00991390"/>
    <w:rsid w:val="00993B90"/>
    <w:rsid w:val="009A68FE"/>
    <w:rsid w:val="009A772E"/>
    <w:rsid w:val="009B0A01"/>
    <w:rsid w:val="009B18B5"/>
    <w:rsid w:val="009B5F52"/>
    <w:rsid w:val="009C27A1"/>
    <w:rsid w:val="009D20DC"/>
    <w:rsid w:val="009F15A5"/>
    <w:rsid w:val="009F5E2E"/>
    <w:rsid w:val="009F69BC"/>
    <w:rsid w:val="00A016D3"/>
    <w:rsid w:val="00A0379C"/>
    <w:rsid w:val="00A25498"/>
    <w:rsid w:val="00A257B8"/>
    <w:rsid w:val="00A401A5"/>
    <w:rsid w:val="00A40A44"/>
    <w:rsid w:val="00A46556"/>
    <w:rsid w:val="00A63190"/>
    <w:rsid w:val="00A640B1"/>
    <w:rsid w:val="00A655D6"/>
    <w:rsid w:val="00A67C77"/>
    <w:rsid w:val="00A744C3"/>
    <w:rsid w:val="00A75B9F"/>
    <w:rsid w:val="00AA0DFB"/>
    <w:rsid w:val="00AA2873"/>
    <w:rsid w:val="00AC283D"/>
    <w:rsid w:val="00AD0133"/>
    <w:rsid w:val="00AD47F5"/>
    <w:rsid w:val="00AE5BBD"/>
    <w:rsid w:val="00AF3CA6"/>
    <w:rsid w:val="00B054F1"/>
    <w:rsid w:val="00B36495"/>
    <w:rsid w:val="00B44E5B"/>
    <w:rsid w:val="00B523F7"/>
    <w:rsid w:val="00B54410"/>
    <w:rsid w:val="00B547D0"/>
    <w:rsid w:val="00B55F04"/>
    <w:rsid w:val="00B619A8"/>
    <w:rsid w:val="00B86CB0"/>
    <w:rsid w:val="00B9203B"/>
    <w:rsid w:val="00BB6541"/>
    <w:rsid w:val="00BB6AE7"/>
    <w:rsid w:val="00BC2283"/>
    <w:rsid w:val="00BD39D1"/>
    <w:rsid w:val="00BE5A5B"/>
    <w:rsid w:val="00BF0A00"/>
    <w:rsid w:val="00BF0B99"/>
    <w:rsid w:val="00C06043"/>
    <w:rsid w:val="00C07F65"/>
    <w:rsid w:val="00C12324"/>
    <w:rsid w:val="00C15B79"/>
    <w:rsid w:val="00C3449C"/>
    <w:rsid w:val="00C35200"/>
    <w:rsid w:val="00C3579D"/>
    <w:rsid w:val="00C447CF"/>
    <w:rsid w:val="00C45FAF"/>
    <w:rsid w:val="00C540B9"/>
    <w:rsid w:val="00C574FE"/>
    <w:rsid w:val="00C63961"/>
    <w:rsid w:val="00C64E6C"/>
    <w:rsid w:val="00C66E21"/>
    <w:rsid w:val="00C74946"/>
    <w:rsid w:val="00C82D0B"/>
    <w:rsid w:val="00C8766C"/>
    <w:rsid w:val="00C93236"/>
    <w:rsid w:val="00CA58BF"/>
    <w:rsid w:val="00CB01C5"/>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20E5C"/>
    <w:rsid w:val="00D21638"/>
    <w:rsid w:val="00D31100"/>
    <w:rsid w:val="00D34D00"/>
    <w:rsid w:val="00D37D24"/>
    <w:rsid w:val="00D4656A"/>
    <w:rsid w:val="00D46648"/>
    <w:rsid w:val="00D470BA"/>
    <w:rsid w:val="00D518B5"/>
    <w:rsid w:val="00D84F88"/>
    <w:rsid w:val="00DA30F0"/>
    <w:rsid w:val="00DB1740"/>
    <w:rsid w:val="00DB1AB2"/>
    <w:rsid w:val="00DD11DB"/>
    <w:rsid w:val="00DE54FF"/>
    <w:rsid w:val="00DF06AE"/>
    <w:rsid w:val="00E0219D"/>
    <w:rsid w:val="00E15BE8"/>
    <w:rsid w:val="00E2015B"/>
    <w:rsid w:val="00E264E7"/>
    <w:rsid w:val="00E27E50"/>
    <w:rsid w:val="00E43F8A"/>
    <w:rsid w:val="00E443F3"/>
    <w:rsid w:val="00E44786"/>
    <w:rsid w:val="00E653E8"/>
    <w:rsid w:val="00E67EBA"/>
    <w:rsid w:val="00E833F2"/>
    <w:rsid w:val="00E872C8"/>
    <w:rsid w:val="00E916EA"/>
    <w:rsid w:val="00E950E4"/>
    <w:rsid w:val="00E97AED"/>
    <w:rsid w:val="00EA4AA0"/>
    <w:rsid w:val="00EB3944"/>
    <w:rsid w:val="00EB6C36"/>
    <w:rsid w:val="00EC107D"/>
    <w:rsid w:val="00EC1224"/>
    <w:rsid w:val="00EC14B0"/>
    <w:rsid w:val="00EC4415"/>
    <w:rsid w:val="00ED357E"/>
    <w:rsid w:val="00EE57B7"/>
    <w:rsid w:val="00EF16D4"/>
    <w:rsid w:val="00EF57E7"/>
    <w:rsid w:val="00EF721A"/>
    <w:rsid w:val="00F013FB"/>
    <w:rsid w:val="00F055E5"/>
    <w:rsid w:val="00F06D7D"/>
    <w:rsid w:val="00F14A8D"/>
    <w:rsid w:val="00F215FF"/>
    <w:rsid w:val="00F37DC2"/>
    <w:rsid w:val="00F5222B"/>
    <w:rsid w:val="00F53772"/>
    <w:rsid w:val="00F5670E"/>
    <w:rsid w:val="00F71C16"/>
    <w:rsid w:val="00F774B5"/>
    <w:rsid w:val="00F82F2C"/>
    <w:rsid w:val="00F85D75"/>
    <w:rsid w:val="00F86A58"/>
    <w:rsid w:val="00F948C4"/>
    <w:rsid w:val="00F94CF3"/>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0705"/>
    <o:shapelayout v:ext="edit">
      <o:idmap v:ext="edit" data="1"/>
    </o:shapelayout>
  </w:shapeDefaults>
  <w:decimalSymbol w:val=","/>
  <w:listSeparator w:val=";"/>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807740884">
      <w:bodyDiv w:val="1"/>
      <w:marLeft w:val="0"/>
      <w:marRight w:val="0"/>
      <w:marTop w:val="0"/>
      <w:marBottom w:val="0"/>
      <w:divBdr>
        <w:top w:val="none" w:sz="0" w:space="0" w:color="auto"/>
        <w:left w:val="none" w:sz="0" w:space="0" w:color="auto"/>
        <w:bottom w:val="none" w:sz="0" w:space="0" w:color="auto"/>
        <w:right w:val="none" w:sz="0" w:space="0" w:color="auto"/>
      </w:divBdr>
      <w:divsChild>
        <w:div w:id="1083836451">
          <w:marLeft w:val="1080"/>
          <w:marRight w:val="0"/>
          <w:marTop w:val="0"/>
          <w:marBottom w:val="0"/>
          <w:divBdr>
            <w:top w:val="none" w:sz="0" w:space="0" w:color="auto"/>
            <w:left w:val="none" w:sz="0" w:space="0" w:color="auto"/>
            <w:bottom w:val="none" w:sz="0" w:space="0" w:color="auto"/>
            <w:right w:val="none" w:sz="0" w:space="0" w:color="auto"/>
          </w:divBdr>
        </w:div>
      </w:divsChild>
    </w:div>
    <w:div w:id="1062487202">
      <w:bodyDiv w:val="1"/>
      <w:marLeft w:val="0"/>
      <w:marRight w:val="0"/>
      <w:marTop w:val="0"/>
      <w:marBottom w:val="0"/>
      <w:divBdr>
        <w:top w:val="none" w:sz="0" w:space="0" w:color="auto"/>
        <w:left w:val="none" w:sz="0" w:space="0" w:color="auto"/>
        <w:bottom w:val="none" w:sz="0" w:space="0" w:color="auto"/>
        <w:right w:val="none" w:sz="0" w:space="0" w:color="auto"/>
      </w:divBdr>
    </w:div>
    <w:div w:id="1316448566">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fswdisk.riksdagen.se\fswdiskshare\Utskottsst&#246;d\M&#246;testj&#228;nsten\FiU\Handlingar%20till%20riksm&#246;tet%2021-22\2021-22%2012%202021-10-28\Bilagor\Snabbrapport%20IMF%20och%20V&#228;rldsbanksgruppens%20&#229;rsm&#246;ten%20202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fswdisk.riksdagen.se\fswdiskshare\Utskottsst&#246;d\M&#246;testj&#228;nsten\FiU\Handlingar%20till%20riksm&#246;tet%2021-22\2021-22%2012%202021-10-28\Bilagor\Snabbrapport%20IMF%20och%20V&#228;rldsbanksgruppens%20&#229;rsm&#246;ten%2020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6EA82-7B11-4953-806D-76E2CC574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997</Words>
  <Characters>7316</Characters>
  <Application>Microsoft Office Word</Application>
  <DocSecurity>0</DocSecurity>
  <Lines>1045</Lines>
  <Paragraphs>259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Sylvia Fredlund</cp:lastModifiedBy>
  <cp:revision>13</cp:revision>
  <cp:lastPrinted>2018-10-02T11:13:00Z</cp:lastPrinted>
  <dcterms:created xsi:type="dcterms:W3CDTF">2021-10-27T14:23:00Z</dcterms:created>
  <dcterms:modified xsi:type="dcterms:W3CDTF">2021-11-11T12:25:00Z</dcterms:modified>
</cp:coreProperties>
</file>