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902" w:rsidRDefault="00981902">
      <w:pPr>
        <w:pStyle w:val="Rubrik1"/>
        <w:spacing w:before="0"/>
      </w:pPr>
      <w:r>
        <w:rPr>
          <w:vanish/>
        </w:rPr>
        <w:t>&lt;1</w:t>
      </w:r>
      <w:bookmarkStart w:id="0" w:name="_Toc354312147"/>
      <w:r>
        <w:t>Till konstitutionsutskottet</w:t>
      </w:r>
      <w:bookmarkEnd w:id="0"/>
    </w:p>
    <w:p w:rsidR="00981902" w:rsidRDefault="00981902">
      <w:pPr>
        <w:pStyle w:val="Vinkela"/>
      </w:pPr>
      <w:bookmarkStart w:id="1" w:name="Textstart"/>
      <w:bookmarkEnd w:id="1"/>
      <w:r>
        <w:t>Konstitutionsutskottet har den 14 mars 1996 beslutat hemställa om yttrande från övriga utskott samt EU-nämnden angående EU-frågornas behandling i riksdagen. Som underlag till yttrandet har översänts en inom KU:s kansli upprättad promemoria med ett antal närmare preciser</w:t>
      </w:r>
      <w:r>
        <w:t>a</w:t>
      </w:r>
      <w:r>
        <w:t>de frågor.</w:t>
      </w:r>
    </w:p>
    <w:p w:rsidR="00981902" w:rsidRDefault="00981902">
      <w:pPr>
        <w:pStyle w:val="Normaltindrag"/>
      </w:pPr>
      <w:r>
        <w:t>Med anledning av KU:s hemställan får arbetsmarknadsutskottet anföra följande.</w:t>
      </w:r>
    </w:p>
    <w:p w:rsidR="00981902" w:rsidRDefault="00981902">
      <w:pPr>
        <w:pStyle w:val="Normaltindrag"/>
      </w:pPr>
      <w:r>
        <w:t>Inledningsvis vill utskottet först anmärka att det har gått förhållandevis kort tid sedan Sverige blev medlem i EU och att det ännu är alldeles för tidigt att göra en ingående och omfattande utvärdering av organisationen av EU-arbetet i riksdagen.</w:t>
      </w:r>
    </w:p>
    <w:p w:rsidR="00981902" w:rsidRDefault="00981902">
      <w:pPr>
        <w:pStyle w:val="Rubrik3"/>
      </w:pPr>
      <w:r>
        <w:t>EU-frågorna inom utskottets beredningsområde</w:t>
      </w:r>
    </w:p>
    <w:p w:rsidR="00981902" w:rsidRDefault="00981902">
      <w:pPr>
        <w:pStyle w:val="Rubrik4"/>
        <w:spacing w:before="123"/>
      </w:pPr>
      <w:r>
        <w:t>Lagstiftningsfrågor</w:t>
      </w:r>
    </w:p>
    <w:p w:rsidR="00981902" w:rsidRDefault="00981902">
      <w:r>
        <w:t>Sedan Sverige blev medlem i EU har utskottet behandlat fyra EG-direktiv för införlivande i svensk lagstiftning. Det gäller det s.k. övergångsdirektivet (77/187/EEG) och direktivet (75/129/EEG) om kollektiva uppsägningar.</w:t>
      </w:r>
    </w:p>
    <w:p w:rsidR="00981902" w:rsidRDefault="00981902">
      <w:pPr>
        <w:pStyle w:val="Normaltindrag"/>
      </w:pPr>
      <w:r>
        <w:t>Det förstnämnda direktivet innehåller regler om skydd för arbetstagares rättigheter vid övergång av företag (bet. 1994/95:AU4, rskr. 123). Det andra direktivet innehåller föreskrifter om kollektiva uppsägningar. Båda direkt</w:t>
      </w:r>
      <w:r>
        <w:t>i</w:t>
      </w:r>
      <w:r>
        <w:t>ven behan</w:t>
      </w:r>
      <w:r>
        <w:t>d</w:t>
      </w:r>
      <w:r>
        <w:t>las i utskottets betänkande 1994/95:AU4.</w:t>
      </w:r>
    </w:p>
    <w:p w:rsidR="00981902" w:rsidRDefault="00981902">
      <w:pPr>
        <w:pStyle w:val="Normaltindrag"/>
      </w:pPr>
      <w:r>
        <w:t>Båda dessa direktiv var aktuella för införlivande redan före Sveriges me</w:t>
      </w:r>
      <w:r>
        <w:t>d</w:t>
      </w:r>
      <w:r>
        <w:t>lemskap men ledde då inte till lagstiftning.</w:t>
      </w:r>
    </w:p>
    <w:p w:rsidR="00981902" w:rsidRDefault="00981902">
      <w:pPr>
        <w:pStyle w:val="Normaltindrag"/>
      </w:pPr>
      <w:r>
        <w:t>I dagarna har utskottet justerat två betänkanden (1995/96:AU8 och 1995/96:AU9) som behandlar propositioner om två EG-direktiv. Det ena, 94/45/EG, leder till lagstiftning om europeiska företagsråd. Det andra, 93/104/EG, innebär att vissa förändringar görs i arbetstidsl</w:t>
      </w:r>
      <w:r>
        <w:t>a</w:t>
      </w:r>
      <w:r>
        <w:t>gen.</w:t>
      </w:r>
    </w:p>
    <w:p w:rsidR="00981902" w:rsidRDefault="00981902">
      <w:pPr>
        <w:pStyle w:val="R4"/>
      </w:pPr>
      <w:r>
        <w:t>Andra frågor inom utskottets beredningsområde</w:t>
      </w:r>
    </w:p>
    <w:p w:rsidR="00981902" w:rsidRDefault="00981902">
      <w:r>
        <w:t xml:space="preserve">I samband med behandlingen av regeringens proposition 1994/95:137 om stöd för nyanställningar (bet. 1994/95:AU8 och 1994/95:AU20, rskr. 180) förekom under beredningen av ärendet mycket omfattande kontakter med </w:t>
      </w:r>
      <w:r>
        <w:lastRenderedPageBreak/>
        <w:t>regeringskansliet för att utröna resultatet av den ”notifiering” som gjorts hos EU-kommissionen.</w:t>
      </w:r>
    </w:p>
    <w:p w:rsidR="00981902" w:rsidRDefault="00981902">
      <w:pPr>
        <w:pStyle w:val="Normaltindrag"/>
      </w:pPr>
      <w:r>
        <w:t>På motsvarande sätt hölls kontakter med regeringskansliet i samband med beredningen av den regionalpolitiska propositionen 1994/95:161 (bet. 1994/95:AU13, rskr. 426), framför allt vad gällde diskussionen om struktu</w:t>
      </w:r>
      <w:r>
        <w:t>r</w:t>
      </w:r>
      <w:r>
        <w:t>fo</w:t>
      </w:r>
      <w:r>
        <w:t>n</w:t>
      </w:r>
      <w:r>
        <w:t>dernas olika målområden.</w:t>
      </w:r>
    </w:p>
    <w:p w:rsidR="00981902" w:rsidRDefault="00981902">
      <w:pPr>
        <w:pStyle w:val="Rubrik3"/>
      </w:pPr>
      <w:r>
        <w:t>Information och påverkan</w:t>
      </w:r>
    </w:p>
    <w:p w:rsidR="00981902" w:rsidRDefault="00981902">
      <w:pPr>
        <w:pStyle w:val="R4"/>
        <w:spacing w:before="123"/>
      </w:pPr>
      <w:r>
        <w:t>Information från kommissionen</w:t>
      </w:r>
    </w:p>
    <w:p w:rsidR="00981902" w:rsidRDefault="00981902">
      <w:r>
        <w:t>Den information som kommer till utskottet från kommissionen kanaliseras via kammarkansliet. Där diarieförs alla inkommande handlingar. En lista på inkommande ärenden tas ut ur diariet en gång varje månad till utskottets sammanträden. De handlingar som angår arbetsmarknadsutskottets bere</w:t>
      </w:r>
      <w:r>
        <w:t>d</w:t>
      </w:r>
      <w:r>
        <w:t>ningsområde vidarebefordras till utskottets kansli. Handlingar som bedöms vara särskilt intressanta delas ut till ledamöterna. Det är inte alltid helt lätt att avgöra ”status” på en handling. Ofta finns i materialet ingen indikation på om handlingen är av särskild vikt eller inte. Inte sällan kommer handlingen först i en engelsk version. En allmän iakttagelse är att dokumenten är svå</w:t>
      </w:r>
      <w:r>
        <w:t>r</w:t>
      </w:r>
      <w:r>
        <w:t>tillgängliga. Det saknas t.ex. en sammanfattning av dokumentets innehåll.</w:t>
      </w:r>
    </w:p>
    <w:p w:rsidR="00981902" w:rsidRDefault="00981902">
      <w:pPr>
        <w:pStyle w:val="Normaltindrag"/>
      </w:pPr>
      <w:r>
        <w:t>Några direkta kontakter med företrädare för kommissionen har inte för</w:t>
      </w:r>
      <w:r>
        <w:t>e</w:t>
      </w:r>
      <w:r>
        <w:t>kommit.</w:t>
      </w:r>
    </w:p>
    <w:p w:rsidR="00981902" w:rsidRDefault="00981902">
      <w:pPr>
        <w:pStyle w:val="R4"/>
      </w:pPr>
      <w:r>
        <w:t>Information från regeringen</w:t>
      </w:r>
    </w:p>
    <w:p w:rsidR="00981902" w:rsidRDefault="00981902">
      <w:r>
        <w:t>Sedan Sverige blev medlem i EU har utskottet fått information om pågående och kommande aktiviteter som rör utskottets beredningsområde genom r</w:t>
      </w:r>
      <w:r>
        <w:t>e</w:t>
      </w:r>
      <w:r>
        <w:t>gelbundna besök av representanter för regeringen/regeringskansliet.</w:t>
      </w:r>
    </w:p>
    <w:p w:rsidR="00981902" w:rsidRDefault="00981902">
      <w:pPr>
        <w:pStyle w:val="Normaltindrag"/>
      </w:pPr>
      <w:r>
        <w:t>Det har skett antingen på begäran av utskottet eller genom initiativ från r</w:t>
      </w:r>
      <w:r>
        <w:t>e</w:t>
      </w:r>
      <w:r>
        <w:t>geringskansliet.</w:t>
      </w:r>
    </w:p>
    <w:p w:rsidR="00981902" w:rsidRDefault="00981902">
      <w:pPr>
        <w:pStyle w:val="Normaltindrag"/>
      </w:pPr>
      <w:r>
        <w:t>På detta sätt har utskottet erhållit information på sysselsättningsområdet av dåvarande statssekreteraren Tommy Ohlström samt i förekommande fall av dåvarande biträdande statssekreteraren Curt Malmborg och vederbörande tjänstemän i Arbetsmarknadsdepartementet vid fem tillfällen under det gån</w:t>
      </w:r>
      <w:r>
        <w:t>g</w:t>
      </w:r>
      <w:r>
        <w:t>na året. Vid det första tillfället i mars 1995 fick utskottet</w:t>
      </w:r>
      <w:r>
        <w:rPr>
          <w:b/>
        </w:rPr>
        <w:t xml:space="preserve"> </w:t>
      </w:r>
      <w:r>
        <w:rPr>
          <w:i/>
        </w:rPr>
        <w:t>en allmän orient</w:t>
      </w:r>
      <w:r>
        <w:rPr>
          <w:i/>
        </w:rPr>
        <w:t>e</w:t>
      </w:r>
      <w:r>
        <w:rPr>
          <w:i/>
        </w:rPr>
        <w:t>ring</w:t>
      </w:r>
      <w:r>
        <w:rPr>
          <w:b/>
        </w:rPr>
        <w:t xml:space="preserve"> </w:t>
      </w:r>
      <w:r>
        <w:t>av aktuella ärenden hos EU. Vid de fyra senare tillfällena var inform</w:t>
      </w:r>
      <w:r>
        <w:t>a</w:t>
      </w:r>
      <w:r>
        <w:t>tionen direkt kopplad till aktuella ärenden hos kommissionen.</w:t>
      </w:r>
    </w:p>
    <w:p w:rsidR="00981902" w:rsidRDefault="00981902">
      <w:pPr>
        <w:pStyle w:val="Normaltindrag"/>
      </w:pPr>
      <w:r>
        <w:t xml:space="preserve">Curt Malmborg har vidare tillsammans med vederbörande tjänstemän i Arbetsmarknadsdepartementet vid fyra tillfällen informerat utskottet om arbetet med </w:t>
      </w:r>
      <w:r>
        <w:rPr>
          <w:i/>
        </w:rPr>
        <w:t>strukturfondsprogrammen</w:t>
      </w:r>
      <w:r>
        <w:t>. Vid det första tillfället i mars 1995 lämnades en allmän orientering om arbetet med programmen. Vid de senare tillfällena har en mer detaljerad redovisning lämnats om arbetet. Viss skrif</w:t>
      </w:r>
      <w:r>
        <w:t>t</w:t>
      </w:r>
      <w:r>
        <w:t>lig dokumentation har också lämnats.</w:t>
      </w:r>
    </w:p>
    <w:p w:rsidR="00981902" w:rsidRDefault="00981902">
      <w:pPr>
        <w:pStyle w:val="Normaltindrag"/>
      </w:pPr>
      <w:r>
        <w:t>Statssekreteraren Lena Häll-Eriksson och politiskt sakkunnige Mikael Sj</w:t>
      </w:r>
      <w:r>
        <w:t>ö</w:t>
      </w:r>
      <w:r>
        <w:t xml:space="preserve">berg informerade utskottet i mars förra året om pågående arbete på </w:t>
      </w:r>
      <w:r>
        <w:rPr>
          <w:i/>
        </w:rPr>
        <w:t>arbetsrä</w:t>
      </w:r>
      <w:r>
        <w:rPr>
          <w:i/>
        </w:rPr>
        <w:t>t</w:t>
      </w:r>
      <w:r>
        <w:rPr>
          <w:i/>
        </w:rPr>
        <w:t xml:space="preserve">tens </w:t>
      </w:r>
      <w:r>
        <w:t>område. På detta område har utskottet som nyss sagts behandlat prop</w:t>
      </w:r>
      <w:r>
        <w:t>o</w:t>
      </w:r>
      <w:r>
        <w:t>sitioner som innehåller förslag om införande av europeiska företagsråd resp. införlivande av EG:s arbetstidsdirektiv. I dessa ärenden har ytterligare ko</w:t>
      </w:r>
      <w:r>
        <w:t>n</w:t>
      </w:r>
      <w:r>
        <w:t>takter skett med regeringskansliet.</w:t>
      </w:r>
    </w:p>
    <w:p w:rsidR="00981902" w:rsidRDefault="00981902">
      <w:pPr>
        <w:pStyle w:val="Normaltindrag"/>
      </w:pPr>
      <w:r>
        <w:t xml:space="preserve">I april 1995 fick utskottet information av dåvarande statssekreteraren Laila Edholm om </w:t>
      </w:r>
      <w:r>
        <w:rPr>
          <w:i/>
        </w:rPr>
        <w:t>jämställdhetsarbetet</w:t>
      </w:r>
      <w:r>
        <w:rPr>
          <w:b/>
        </w:rPr>
        <w:t xml:space="preserve"> </w:t>
      </w:r>
      <w:r>
        <w:t>inom EU, framför allt om förberedelsearb</w:t>
      </w:r>
      <w:r>
        <w:t>e</w:t>
      </w:r>
      <w:r>
        <w:t>tet inför kvinnokonferensen i Peking. I samband med beredningen av betä</w:t>
      </w:r>
      <w:r>
        <w:t>n</w:t>
      </w:r>
      <w:r>
        <w:t>kandet Jämställdhet (1995/96:AU1) återkom departementsrådet och chefen för jämställdhetsenheten i Socialdepartementet Mona Danielson den 17 oktober och informerade om EU:s fjärde handlingsprogram för jämställdhet mellan kvinnor och män. Programmet lades fast i juli 1995 och gäller peri</w:t>
      </w:r>
      <w:r>
        <w:t>o</w:t>
      </w:r>
      <w:r>
        <w:t>den 1996–2000.</w:t>
      </w:r>
    </w:p>
    <w:p w:rsidR="00981902" w:rsidRDefault="00981902">
      <w:pPr>
        <w:pStyle w:val="Normaltindrag"/>
      </w:pPr>
      <w:r>
        <w:t>I slutet av mars 1996 erhöll utskottet information av bl.a. rättschefen i d</w:t>
      </w:r>
      <w:r>
        <w:t>e</w:t>
      </w:r>
      <w:r>
        <w:t>partementet, Per Virdesten, inför EU:s ministerrådsmöte mellan social- och a</w:t>
      </w:r>
      <w:r>
        <w:t>r</w:t>
      </w:r>
      <w:r>
        <w:t>betsmarknadsministrarna den 29 mars 1996.</w:t>
      </w:r>
    </w:p>
    <w:p w:rsidR="00981902" w:rsidRDefault="00981902">
      <w:pPr>
        <w:pStyle w:val="Rubrik4"/>
      </w:pPr>
      <w:r>
        <w:t>Övrig information</w:t>
      </w:r>
    </w:p>
    <w:p w:rsidR="00981902" w:rsidRDefault="00981902">
      <w:r>
        <w:t>Kännedom om aktuella frågor får utskottet även genom EU-nämndens för</w:t>
      </w:r>
      <w:r>
        <w:t>e</w:t>
      </w:r>
      <w:r>
        <w:t>dragningslistor till sammanträdena i nämnden. I dessa ärenden men framför allt i ärenden som ännu inte hunnit så långt att de är föremål för behandling i nämnden får utskottet som nyss sagts information från regeringskan</w:t>
      </w:r>
      <w:r>
        <w:t>s</w:t>
      </w:r>
      <w:r>
        <w:t>liet.</w:t>
      </w:r>
    </w:p>
    <w:p w:rsidR="00981902" w:rsidRDefault="00981902">
      <w:pPr>
        <w:pStyle w:val="Normaltindrag"/>
      </w:pPr>
      <w:r>
        <w:t>Genom EU-nämndens försorg har utskottet inbjudits att delta i EU-parlamentets motsvarande utskotts sammanträden när sysselsättningsfrågor varit föremål för diskussion. Utskottet har genom representation av presidiet deltagit i ett sådant möte i januari i år. Vid detta möte diskuterades två vikt</w:t>
      </w:r>
      <w:r>
        <w:t>i</w:t>
      </w:r>
      <w:r>
        <w:t>ga ämnen som utskottet har anledning att fortsättningsvis följa, nämligen frågan om det skall finnas särskilda bestämmelser i traktaten för sysselsät</w:t>
      </w:r>
      <w:r>
        <w:t>t</w:t>
      </w:r>
      <w:r>
        <w:t>ningspolitiken och frågan om grundläggande sociala rättigheter i traktaten. Båda dessa ämnen är viktiga inslag i den kommande regeringskonferensen, som började den 29 mars.</w:t>
      </w:r>
    </w:p>
    <w:p w:rsidR="00981902" w:rsidRDefault="00981902">
      <w:pPr>
        <w:pStyle w:val="Normaltindrag"/>
      </w:pPr>
      <w:r>
        <w:t>Utskottet och utskottskansliet var representerade vid ett seminarium i R</w:t>
      </w:r>
      <w:r>
        <w:t>o</w:t>
      </w:r>
      <w:r>
        <w:t>senbad den 16 februari i år om EU:s social- och arbetsmarknadspolitik. För</w:t>
      </w:r>
      <w:r>
        <w:t>e</w:t>
      </w:r>
      <w:r>
        <w:t>l</w:t>
      </w:r>
      <w:r>
        <w:t>ä</w:t>
      </w:r>
      <w:r>
        <w:t>sare var generaldirektör Allan Larsson från Europeiska kommissionen.</w:t>
      </w:r>
    </w:p>
    <w:p w:rsidR="00981902" w:rsidRDefault="00981902">
      <w:pPr>
        <w:pStyle w:val="Normaltindrag"/>
      </w:pPr>
      <w:r>
        <w:t>Utskottet har denna dag fått information av representanter för Svenska EU-programkontoret för utbildning och kunskapsutveckling om pågående arbete med vissa av programmen av särskilt intresse för utskottet.</w:t>
      </w:r>
    </w:p>
    <w:p w:rsidR="00981902" w:rsidRDefault="00981902">
      <w:pPr>
        <w:pStyle w:val="R4"/>
      </w:pPr>
      <w:r>
        <w:t>Utskottets relationer till EU-nämnden</w:t>
      </w:r>
    </w:p>
    <w:p w:rsidR="00981902" w:rsidRDefault="00981902">
      <w:r>
        <w:t>Utskottet är tveksamt till behovet av formalisering av samarbetet med EU-nämnden. I EU-nämnden sitter dessutom ordföranden i utskottet och ytterl</w:t>
      </w:r>
      <w:r>
        <w:t>i</w:t>
      </w:r>
      <w:r>
        <w:t>gare en utskottsledamot, vilka utsetts som representanter för sina resp. part</w:t>
      </w:r>
      <w:r>
        <w:t>i</w:t>
      </w:r>
      <w:r>
        <w:t>er.</w:t>
      </w:r>
    </w:p>
    <w:p w:rsidR="00981902" w:rsidRDefault="00981902">
      <w:pPr>
        <w:pStyle w:val="R4"/>
      </w:pPr>
      <w:r>
        <w:t>Samarbetet med Europaparlamentet</w:t>
      </w:r>
    </w:p>
    <w:p w:rsidR="00981902" w:rsidRDefault="00981902">
      <w:r>
        <w:t>Utskottet har vid ett par tillfällen erhållit inbjudningar att delta i Europapa</w:t>
      </w:r>
      <w:r>
        <w:t>r</w:t>
      </w:r>
      <w:r>
        <w:t>lamentets utskott för sysselsättningsfrågor. Utskottets ordförande har vid ett tillfälle och vice ordförande har vid två tillfällen deltagit i möten som rör sysse</w:t>
      </w:r>
      <w:r>
        <w:t>l</w:t>
      </w:r>
      <w:r>
        <w:t xml:space="preserve">sättnings- resp. jämställdhetsfrågor. </w:t>
      </w:r>
    </w:p>
    <w:p w:rsidR="00981902" w:rsidRDefault="00981902">
      <w:pPr>
        <w:pStyle w:val="R4"/>
      </w:pPr>
      <w:r>
        <w:t>Avslutande synpunkter</w:t>
      </w:r>
    </w:p>
    <w:p w:rsidR="00981902" w:rsidRDefault="00981902">
      <w:r>
        <w:t>Som utskottet ser det ligger svårigheten i bevakningen av EU-frågorna däri att det är uppenbara problem med att få tillräcklig och adekvat information om vad som pågår i den mängd av arbetsgrupper som sorterar under r</w:t>
      </w:r>
      <w:r>
        <w:t>å</w:t>
      </w:r>
      <w:r>
        <w:t>det/kommissionen.</w:t>
      </w:r>
    </w:p>
    <w:p w:rsidR="00981902" w:rsidRDefault="00981902">
      <w:pPr>
        <w:pStyle w:val="Normaltindrag"/>
      </w:pPr>
      <w:r>
        <w:t>Det har därför inte varit möjligt för utskottet att följa ett ärende ”hela v</w:t>
      </w:r>
      <w:r>
        <w:t>ä</w:t>
      </w:r>
      <w:r>
        <w:t>gen” från det att det först aktualiserats till dess att ett slutligt beslut fattats i EU.</w:t>
      </w:r>
    </w:p>
    <w:p w:rsidR="00981902" w:rsidRDefault="00981902">
      <w:pPr>
        <w:pStyle w:val="Normaltindrag"/>
      </w:pPr>
      <w:r>
        <w:t xml:space="preserve">Utskottet ser i och för sig en möjlighet till förbättring av informationen till utskottet t.ex. genom en mer kontinuerlig information från regeringskansliets sida av de tjänstemän som deltar i eller bevakar arbetsgrupperna inom EU. </w:t>
      </w:r>
    </w:p>
    <w:p w:rsidR="00981902" w:rsidRDefault="00981902">
      <w:pPr>
        <w:pStyle w:val="Normaltindrag"/>
      </w:pPr>
      <w:r>
        <w:t>Dessutom bör en snabb återrapportering göras till utskottet efter ministe</w:t>
      </w:r>
      <w:r>
        <w:t>r</w:t>
      </w:r>
      <w:r>
        <w:t>rådsmöten, där ärenden inom utskottets beredningsområde behandlats. En särskild bevakning kan ske genom att den återrapportering som normalt görs till EU-nämnden på lämpligt sätt kommer till utskottets kännedom.</w:t>
      </w:r>
    </w:p>
    <w:p w:rsidR="00981902" w:rsidRDefault="00981902">
      <w:pPr>
        <w:pStyle w:val="Normaltindrag"/>
      </w:pPr>
      <w:r>
        <w:t>Det är som utskottet ser det viktigt att också utskottet självt är aktivt för att hålla sig informerat om vilka ärenden som kan komma att bli aktuella hos utskottet.</w:t>
      </w:r>
    </w:p>
    <w:p w:rsidR="00981902" w:rsidRDefault="00981902">
      <w:pPr>
        <w:pStyle w:val="Normaltindrag"/>
      </w:pPr>
      <w:r>
        <w:t>En sådan åtgärd för att hålla sig mer informerad och kunna påverka äre</w:t>
      </w:r>
      <w:r>
        <w:t>n</w:t>
      </w:r>
      <w:r>
        <w:t>den kan vara att utskottets ledamöter beslutar att vid bestämda tidpunkter ta upp vissa teman till belysning ur ett EU-perspektiv. Särskilt inbjudna pers</w:t>
      </w:r>
      <w:r>
        <w:t>o</w:t>
      </w:r>
      <w:r>
        <w:t>ner med kunskap i ämnet skulle kunna medverka.</w:t>
      </w:r>
    </w:p>
    <w:p w:rsidR="00981902" w:rsidRDefault="00981902">
      <w:pPr>
        <w:pStyle w:val="Normaltindrag"/>
      </w:pPr>
      <w:r>
        <w:t>Genom besök vid Europaparlamentet kan utskottet konkret få en uppfat</w:t>
      </w:r>
      <w:r>
        <w:t>t</w:t>
      </w:r>
      <w:r>
        <w:t>ning om hur arbetet i parlamentet går till och hur adekvat information kan erhållas.</w:t>
      </w:r>
    </w:p>
    <w:p w:rsidR="00981902" w:rsidRDefault="00981902">
      <w:pPr>
        <w:pStyle w:val="Normaltindrag"/>
      </w:pPr>
      <w:r>
        <w:t>Utskottet avser att under hösten 1996 i mindre grupper besöka EU:s inst</w:t>
      </w:r>
      <w:r>
        <w:t>i</w:t>
      </w:r>
      <w:r>
        <w:t>tutioner för att på plats få en uppfattning om det arbete som bedrivs där och hur kommunikationen med det nationella parlamentet skulle kunna förbät</w:t>
      </w:r>
      <w:r>
        <w:t>t</w:t>
      </w:r>
      <w:r>
        <w:t>ras.</w:t>
      </w:r>
    </w:p>
    <w:p w:rsidR="00981902" w:rsidRDefault="00981902">
      <w:pPr>
        <w:pStyle w:val="Normaltindrag"/>
      </w:pPr>
    </w:p>
    <w:p w:rsidR="00981902" w:rsidRDefault="00981902">
      <w:r>
        <w:rPr>
          <w:vanish/>
        </w:rPr>
        <w:t>&lt;A</w:t>
      </w:r>
      <w:r>
        <w:t>Stockholm den 18 april 1996</w:t>
      </w:r>
    </w:p>
    <w:p w:rsidR="00981902" w:rsidRDefault="00981902">
      <w:r>
        <w:t>På arbetsmarknadsutskottets vägnar</w:t>
      </w:r>
    </w:p>
    <w:p w:rsidR="00981902" w:rsidRDefault="00981902">
      <w:pPr>
        <w:pStyle w:val="Ordfnamn"/>
      </w:pPr>
      <w:bookmarkStart w:id="2" w:name="Ordförande"/>
      <w:bookmarkEnd w:id="2"/>
      <w:r>
        <w:t>Johnny Ahlqvist</w:t>
      </w:r>
    </w:p>
    <w:p w:rsidR="00981902" w:rsidRDefault="00981902">
      <w:pPr>
        <w:pStyle w:val="Citat"/>
        <w:spacing w:before="240"/>
      </w:pPr>
      <w:bookmarkStart w:id="3" w:name="Deltagare"/>
      <w:bookmarkEnd w:id="3"/>
      <w:r>
        <w:t>I beslutet har deltagit: Johnny Ahlqvist (s), Elver Jonsson (fp), Sten Östlund (s), Per Unckel (m), Berit Andnor (s), Kent Olsson (m), Martin Nilsson (s), Elving Andersson (c), Laila Bjurling (s), Patrik Norinder (m), Sonja Fran</w:t>
      </w:r>
      <w:r>
        <w:t>s</w:t>
      </w:r>
      <w:r>
        <w:t>son (s), Christina Zedell (s), Christel Anderberg (m), Barbro Johansson (mp), Dan Ericsson (kds), Kristina Zakrisson (s) och Ingrid Burman (v).</w:t>
      </w:r>
    </w:p>
    <w:p w:rsidR="00981902" w:rsidRDefault="00981902">
      <w:pPr>
        <w:pStyle w:val="Tryckort"/>
      </w:pPr>
      <w:r>
        <w:t>Gotab, Stockholm  1996</w:t>
      </w:r>
    </w:p>
    <w:sectPr w:rsidR="0098190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902" w:rsidRDefault="00981902">
      <w:pPr>
        <w:spacing w:before="0" w:line="240" w:lineRule="auto"/>
      </w:pPr>
      <w:r>
        <w:separator/>
      </w:r>
    </w:p>
  </w:endnote>
  <w:endnote w:type="continuationSeparator" w:id="0">
    <w:p w:rsidR="00981902" w:rsidRDefault="009819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902" w:rsidRDefault="00981902">
      <w:pPr>
        <w:spacing w:before="0" w:line="240" w:lineRule="auto"/>
      </w:pPr>
      <w:r>
        <w:separator/>
      </w:r>
    </w:p>
  </w:footnote>
  <w:footnote w:type="continuationSeparator" w:id="0">
    <w:p w:rsidR="00981902" w:rsidRDefault="009819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1995/96:AU5y</w:t>
    </w:r>
    <w:r>
      <w:fldChar w:fldCharType="end"/>
    </w:r>
  </w:p>
  <w:p w:rsidR="00981902" w:rsidRDefault="0098190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981902" w:rsidRDefault="00981902">
    <w:pPr>
      <w:pStyle w:val="SidhuvudV"/>
      <w:framePr w:w="2302" w:h="1928" w:hRule="exact" w:wrap="notBeside"/>
    </w:pPr>
    <w:r>
      <w:fldChar w:fldCharType="end"/>
    </w:r>
  </w:p>
  <w:p w:rsidR="00981902" w:rsidRDefault="009819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pStyle w:val="SidhuvudKant"/>
      <w:framePr w:hSpace="284" w:wrap="around" w:y="568"/>
    </w:pPr>
    <w:r>
      <w:rPr>
        <w:sz w:val="21"/>
      </w:rPr>
      <w:t>1995/96:AU5y</w:t>
    </w:r>
  </w:p>
  <w:p w:rsidR="00981902" w:rsidRDefault="00981902">
    <w:pPr>
      <w:pStyle w:val="SidhuvudKant"/>
      <w:framePr w:hSpace="284" w:wrap="around" w:y="568"/>
      <w:rPr>
        <w:vanish/>
      </w:rPr>
    </w:pPr>
    <w:r>
      <w:rPr>
        <w:vanish/>
      </w:rPr>
      <w:t>&gt;B</w:t>
    </w:r>
  </w:p>
  <w:p w:rsidR="00981902" w:rsidRDefault="00981902">
    <w:pPr>
      <w:pStyle w:val="SidhuvudKant"/>
      <w:framePr w:hSpace="284" w:wrap="around" w:y="568"/>
      <w:rPr>
        <w:b/>
        <w:sz w:val="28"/>
      </w:rPr>
    </w:pPr>
    <w:r>
      <w:rPr>
        <w:vanish/>
      </w:rPr>
      <w:t>&gt;U</w:t>
    </w:r>
  </w:p>
  <w:p w:rsidR="00981902" w:rsidRDefault="00981902">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902" w:rsidRDefault="0098190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309" r:id="rId2"/>
      </w:object>
    </w:r>
  </w:p>
  <w:p w:rsidR="00981902" w:rsidRDefault="00981902">
    <w:pPr>
      <w:pStyle w:val="SidhuvudFVapen"/>
      <w:framePr w:wrap="notBeside" w:x="7253" w:y="188"/>
      <w:spacing w:line="230" w:lineRule="auto"/>
      <w:rPr>
        <w:sz w:val="24"/>
      </w:rPr>
    </w:pPr>
    <w:bookmarkStart w:id="4" w:name="BnrVapen"/>
    <w:r>
      <w:rPr>
        <w:sz w:val="24"/>
      </w:rPr>
      <w:t>1995/96</w:t>
    </w:r>
  </w:p>
  <w:p w:rsidR="00981902" w:rsidRDefault="00981902">
    <w:pPr>
      <w:pStyle w:val="SidhuvudFVapen"/>
      <w:framePr w:wrap="notBeside" w:x="7253" w:y="188"/>
      <w:spacing w:line="230" w:lineRule="auto"/>
      <w:rPr>
        <w:sz w:val="24"/>
      </w:rPr>
    </w:pPr>
    <w:r>
      <w:rPr>
        <w:sz w:val="24"/>
      </w:rPr>
      <w:t xml:space="preserve">AU5y </w:t>
    </w:r>
    <w:bookmarkEnd w:id="4"/>
    <w:r w:rsidR="0086160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44824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61A7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81902" w:rsidRDefault="00981902">
    <w:pPr>
      <w:pStyle w:val="SidhuvudFText"/>
      <w:framePr w:w="5727" w:h="2722" w:hRule="exact" w:hSpace="0" w:wrap="notBeside" w:hAnchor="page" w:x="1135" w:y="568"/>
      <w:spacing w:line="400" w:lineRule="exact"/>
      <w:ind w:right="629"/>
      <w:rPr>
        <w:sz w:val="36"/>
      </w:rPr>
    </w:pPr>
    <w:bookmarkStart w:id="5" w:name="DokumentTyp"/>
    <w:r>
      <w:rPr>
        <w:sz w:val="36"/>
      </w:rPr>
      <w:t xml:space="preserve">Arbetsmarknadsutskottets yttrande </w:t>
    </w:r>
    <w:bookmarkEnd w:id="5"/>
  </w:p>
  <w:p w:rsidR="00981902" w:rsidRDefault="00981902">
    <w:pPr>
      <w:pStyle w:val="SidhuvudFText"/>
      <w:framePr w:w="5727" w:h="2722" w:hRule="exact" w:hSpace="0" w:wrap="notBeside" w:hAnchor="page" w:x="1135" w:y="568"/>
      <w:spacing w:line="400" w:lineRule="exact"/>
      <w:ind w:right="629"/>
      <w:rPr>
        <w:sz w:val="16"/>
      </w:rPr>
    </w:pPr>
    <w:bookmarkStart w:id="6" w:name="Betänkandenummer"/>
    <w:r>
      <w:rPr>
        <w:sz w:val="36"/>
      </w:rPr>
      <w:t xml:space="preserve">1995/96:AU5y </w:t>
    </w:r>
    <w:bookmarkEnd w:id="6"/>
    <w:r>
      <w:rPr>
        <w:sz w:val="36"/>
      </w:rPr>
      <w:t xml:space="preserve">       </w:t>
    </w:r>
    <w:bookmarkStart w:id="7" w:name="Utkast"/>
  </w:p>
  <w:p w:rsidR="00981902" w:rsidRDefault="00981902">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981902" w:rsidRDefault="00981902">
    <w:pPr>
      <w:pStyle w:val="SidhuvudFText"/>
      <w:framePr w:w="5727" w:h="2722" w:hRule="exact" w:hSpace="0" w:wrap="notBeside" w:hAnchor="page" w:x="1135" w:y="568"/>
      <w:spacing w:line="460" w:lineRule="exact"/>
      <w:ind w:right="629"/>
      <w:rPr>
        <w:sz w:val="36"/>
      </w:rPr>
    </w:pPr>
  </w:p>
  <w:p w:rsidR="00981902" w:rsidRDefault="00981902">
    <w:pPr>
      <w:pStyle w:val="SidhuvudFText"/>
      <w:framePr w:w="5727" w:h="2722" w:hRule="exact" w:hSpace="0" w:wrap="notBeside" w:hAnchor="page" w:x="1135" w:y="568"/>
      <w:spacing w:before="40" w:after="900" w:line="300" w:lineRule="exact"/>
      <w:ind w:right="629"/>
      <w:rPr>
        <w:sz w:val="26"/>
      </w:rPr>
    </w:pPr>
    <w:r>
      <w:rPr>
        <w:sz w:val="26"/>
      </w:rPr>
      <w:t xml:space="preserve"> </w:t>
    </w:r>
  </w:p>
  <w:p w:rsidR="00981902" w:rsidRDefault="0098190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5y"/>
    <w:docVar w:name="Flyttförsök" w:val="JA"/>
    <w:docVar w:name="HelaNamnet" w:val="1995/96:AU5y"/>
    <w:docVar w:name="NR" w:val="5y"/>
    <w:docVar w:name="RUBRIK" w:val="EU-frågornas behandling i riksdagen"/>
    <w:docVar w:name="SkapVERSION" w:val="V6.0, 960315"/>
    <w:docVar w:name="USK" w:val="AU"/>
    <w:docVar w:name="USKKORT" w:val="AU"/>
    <w:docVar w:name="USKNAMN" w:val="Arbetsmarknadsutskottets"/>
    <w:docVar w:name="USKNAMNG" w:val="arbetsmarknadsutskottets"/>
    <w:docVar w:name="ÅR" w:val="1995/96"/>
  </w:docVars>
  <w:rsids>
    <w:rsidRoot w:val="00726CCE"/>
    <w:rsid w:val="00726CCE"/>
    <w:rsid w:val="00861605"/>
    <w:rsid w:val="009819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C18D0-EC1F-48D1-ADDF-3F66E171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1299</Words>
  <Characters>8319</Characters>
  <Application>Microsoft Office Word</Application>
  <DocSecurity>4</DocSecurity>
  <Lines>156</Lines>
  <Paragraphs>55</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5y</dc:title>
  <dc:subject>Arbetsmarknadsutskottets betänkande nr 5y</dc:subject>
  <dc:creator>Riksdagen</dc:creator>
  <cp:keywords>Riksdagen</cp:keywords>
  <cp:lastModifiedBy>Lars Brink</cp:lastModifiedBy>
  <cp:revision>2</cp:revision>
  <cp:lastPrinted>1996-04-23T13:09:00Z</cp:lastPrinted>
  <dcterms:created xsi:type="dcterms:W3CDTF">2025-12-15T18:31:00Z</dcterms:created>
  <dcterms:modified xsi:type="dcterms:W3CDTF">2025-12-15T18:31:00Z</dcterms:modified>
</cp:coreProperties>
</file>