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E1D6BC6FEAF4F849A0C6EB6D64E0462"/>
        </w:placeholder>
        <w15:appearance w15:val="hidden"/>
        <w:text/>
      </w:sdtPr>
      <w:sdtEndPr/>
      <w:sdtContent>
        <w:p w:rsidRPr="009B062B" w:rsidR="00AF30DD" w:rsidP="009B062B" w:rsidRDefault="00AF30DD" w14:paraId="021F6B6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c39af49-263a-4258-9379-e3a723fc9a8d"/>
        <w:id w:val="1196732277"/>
        <w:lock w:val="sdtLocked"/>
      </w:sdtPr>
      <w:sdtEndPr/>
      <w:sdtContent>
        <w:p w:rsidR="00FF3951" w:rsidRDefault="000E0088" w14:paraId="021F6B6A" w14:textId="1293FD9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tillföra förmåga till brobyggande för att säkra alternativ infrastruktur i det nya totalförsvaret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7EFA5B3787040E089C6DBC7F5977217"/>
        </w:placeholder>
        <w15:appearance w15:val="hidden"/>
        <w:text/>
      </w:sdtPr>
      <w:sdtEndPr/>
      <w:sdtContent>
        <w:p w:rsidRPr="009B062B" w:rsidR="006D79C9" w:rsidP="00333E95" w:rsidRDefault="006D79C9" w14:paraId="021F6B6B" w14:textId="77777777">
          <w:pPr>
            <w:pStyle w:val="Rubrik1"/>
          </w:pPr>
          <w:r>
            <w:t>Motivering</w:t>
          </w:r>
        </w:p>
      </w:sdtContent>
    </w:sdt>
    <w:p w:rsidR="003148F0" w:rsidP="003148F0" w:rsidRDefault="003148F0" w14:paraId="021F6B6C" w14:textId="77777777">
      <w:pPr>
        <w:pStyle w:val="Normalutanindragellerluft"/>
      </w:pPr>
      <w:r>
        <w:t xml:space="preserve">Södertälje kanal byggs nu om för att öka fartygstonnaget och möjligheterna att frakta gods in i Mälaren till Stockholm, Västerås och Köping. Samtidigt som fartygstrafikens förutsättningar förbättras så kvarstår faktumet att snittet över/under Södertälje kanal är en av Sveriges viktigaste trafikknutpunkter för landet och Stockholmsregionens trafikförsörjning. </w:t>
      </w:r>
    </w:p>
    <w:p w:rsidRPr="00BF6024" w:rsidR="003148F0" w:rsidP="00BF6024" w:rsidRDefault="003148F0" w14:paraId="021F6B6E" w14:textId="77777777">
      <w:r w:rsidRPr="00BF6024">
        <w:t>Sommaren 2016 körde en lastbil in i räcket på motorvägsbron i Södertälje. Resultatet blev en hel sommar med trängsel och stora trafikproblem i Södertälje, men även leveransproblem i hela Storstockholm. Tänk tanken att alla fyra broar i Södertälje med avsikt slagits ut av annan stat eller kriminella element, i syfte att skära av transporter och destabilisera samhället.</w:t>
      </w:r>
    </w:p>
    <w:p w:rsidRPr="00BF6024" w:rsidR="003148F0" w:rsidP="00BF6024" w:rsidRDefault="003148F0" w14:paraId="021F6B70" w14:textId="113296F2">
      <w:r w:rsidRPr="00BF6024">
        <w:t>För att klara livsnerven i hela Stockholmsregionen måste det finnas alternativ till de befintliga broarna i Södertälje. Genom den tydliga satsning som nu sker för att</w:t>
      </w:r>
      <w:r w:rsidR="00BF6024">
        <w:t xml:space="preserve"> stärka försvarets förmåga och t</w:t>
      </w:r>
      <w:r w:rsidRPr="00BF6024">
        <w:t>otalförsvarets kraft att stå emot olika angrepp krävs en översyn av hur strategisk infrastruktur alternativt kan säkras. Bro-snitten som är avgörande för att försörja och nå Stockholms-/Mälardalsregionen måste kunna säkras på alternativa sätt än vad vi såg sommaren 2016.</w:t>
      </w:r>
    </w:p>
    <w:p w:rsidRPr="00BF6024" w:rsidR="003148F0" w:rsidP="00BF6024" w:rsidRDefault="003148F0" w14:paraId="021F6B72" w14:textId="40C4A01D">
      <w:r w:rsidRPr="00BF6024">
        <w:lastRenderedPageBreak/>
        <w:t>En fråga som kräver närmare studier är den tidigare förmågan till brobyggande som fanns vid Ing 1 i Södertälje. Området vid Almnäs, gamla Ing 1, har nya hyresgäster och ett nytt ägarskap idag. Dock kan stora delar av det forna regementet från mitten på 1970-tal</w:t>
      </w:r>
      <w:r w:rsidR="00BF6024">
        <w:t>et lätt iordning</w:t>
      </w:r>
      <w:r w:rsidRPr="00BF6024">
        <w:t xml:space="preserve">ställas för värnpliktsutbildning och upprättande av ett militärt förband. </w:t>
      </w:r>
    </w:p>
    <w:p w:rsidR="00652B73" w:rsidP="00BF6024" w:rsidRDefault="00BF6024" w14:paraId="021F6B74" w14:textId="1A7A7681">
      <w:r>
        <w:t>Fördelarna</w:t>
      </w:r>
      <w:r w:rsidRPr="00BF6024" w:rsidR="003148F0">
        <w:t xml:space="preserve"> med att återuppta v</w:t>
      </w:r>
      <w:r>
        <w:t>erksamheten på Ing 1 är många. Skulle förbandet ha en brobyggar</w:t>
      </w:r>
      <w:r w:rsidRPr="00BF6024" w:rsidR="003148F0">
        <w:t>kapacitet skulle det</w:t>
      </w:r>
      <w:r w:rsidR="00F0586E">
        <w:t>ta vara ett vinn-vinn för hela r</w:t>
      </w:r>
      <w:bookmarkStart w:name="_GoBack" w:id="1"/>
      <w:bookmarkEnd w:id="1"/>
      <w:r w:rsidRPr="00BF6024" w:rsidR="003148F0">
        <w:t>egion Stockholm/Mäl</w:t>
      </w:r>
      <w:r>
        <w:t>ardalen så</w:t>
      </w:r>
      <w:r w:rsidRPr="00BF6024" w:rsidR="003148F0">
        <w:t>väl i fred som i ofred. Förbandet skulle genom en lokalisering till A</w:t>
      </w:r>
      <w:r>
        <w:t>lmnäs/</w:t>
      </w:r>
      <w:r w:rsidRPr="00BF6024" w:rsidR="003148F0">
        <w:t>Ing 1 ha en placering som kan st</w:t>
      </w:r>
      <w:r>
        <w:t>ödja verksamhet i riktning mot c</w:t>
      </w:r>
      <w:r w:rsidRPr="00BF6024" w:rsidR="003148F0">
        <w:t>entrala Stockholm,</w:t>
      </w:r>
      <w:r>
        <w:t xml:space="preserve"> Strängnäs/E20 och Norrköping E</w:t>
      </w:r>
      <w:r w:rsidRPr="00BF6024" w:rsidR="003148F0">
        <w:t>4. Oaktat var placering skulle ske är frågan om brobyggarkapacitet viktig för försvaret av huvudstadsregionen och försörjningstryggheten i huvudstadsregionen. Detta bör beaktas i den fortsatta plan</w:t>
      </w:r>
      <w:r>
        <w:t>eringen för Försvarsmakten och t</w:t>
      </w:r>
      <w:r w:rsidRPr="00BF6024" w:rsidR="003148F0">
        <w:t>otalförsvaret.</w:t>
      </w:r>
    </w:p>
    <w:p w:rsidRPr="00BF6024" w:rsidR="00BF6024" w:rsidP="00BF6024" w:rsidRDefault="00BF6024" w14:paraId="0DAE99EB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A218546F59B4B02A2EF91CE44162A4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01C33" w:rsidRDefault="00F0586E" w14:paraId="021F6B7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964BA" w:rsidRDefault="001964BA" w14:paraId="021F6B79" w14:textId="77777777"/>
    <w:sectPr w:rsidR="001964B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F6B7B" w14:textId="77777777" w:rsidR="003148F0" w:rsidRDefault="003148F0" w:rsidP="000C1CAD">
      <w:pPr>
        <w:spacing w:line="240" w:lineRule="auto"/>
      </w:pPr>
      <w:r>
        <w:separator/>
      </w:r>
    </w:p>
  </w:endnote>
  <w:endnote w:type="continuationSeparator" w:id="0">
    <w:p w14:paraId="021F6B7C" w14:textId="77777777" w:rsidR="003148F0" w:rsidRDefault="003148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F6B8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F6B82" w14:textId="323001E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0586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F6B79" w14:textId="77777777" w:rsidR="003148F0" w:rsidRDefault="003148F0" w:rsidP="000C1CAD">
      <w:pPr>
        <w:spacing w:line="240" w:lineRule="auto"/>
      </w:pPr>
      <w:r>
        <w:separator/>
      </w:r>
    </w:p>
  </w:footnote>
  <w:footnote w:type="continuationSeparator" w:id="0">
    <w:p w14:paraId="021F6B7A" w14:textId="77777777" w:rsidR="003148F0" w:rsidRDefault="003148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21F6B7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1F6B8C" wp14:anchorId="021F6B8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0586E" w14:paraId="021F6B8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0C9B9ABA172400C962522EE4B319522"/>
                              </w:placeholder>
                              <w:text/>
                            </w:sdtPr>
                            <w:sdtEndPr/>
                            <w:sdtContent>
                              <w:r w:rsidR="003148F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B0385A2276B4B1DBB25018FDAC31ED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21F6B8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F6024" w14:paraId="021F6B8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0C9B9ABA172400C962522EE4B319522"/>
                        </w:placeholder>
                        <w:text/>
                      </w:sdtPr>
                      <w:sdtEndPr/>
                      <w:sdtContent>
                        <w:r w:rsidR="003148F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B0385A2276B4B1DBB25018FDAC31ED1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21F6B7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0586E" w14:paraId="021F6B7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B0385A2276B4B1DBB25018FDAC31ED1"/>
        </w:placeholder>
        <w:text/>
      </w:sdtPr>
      <w:sdtEndPr/>
      <w:sdtContent>
        <w:r w:rsidR="003148F0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21F6B8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0586E" w14:paraId="021F6B8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148F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F0586E" w14:paraId="021F6B8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0586E" w14:paraId="021F6B8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0586E" w14:paraId="021F6B8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:948</w:t>
        </w:r>
      </w:sdtContent>
    </w:sdt>
  </w:p>
  <w:p w:rsidR="004F35FE" w:rsidP="00E03A3D" w:rsidRDefault="00F0586E" w14:paraId="021F6B8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Kerstin Lundgren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E0088" w14:paraId="021F6B88" w14:textId="3B5EBF73">
        <w:pPr>
          <w:pStyle w:val="FSHRub2"/>
        </w:pPr>
        <w:r>
          <w:t>Förstärk förmågan till brobyggande i det nya totalförsvaret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21F6B8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F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088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4BA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96F49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8F0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C70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9C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C33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024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1F65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586E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BE4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3951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1F6B68"/>
  <w15:chartTrackingRefBased/>
  <w15:docId w15:val="{08A3DB0A-B2C2-474D-A53F-39F134C4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1D6BC6FEAF4F849A0C6EB6D64E04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03C9C2-2796-4DBF-BB41-527DE9C3A385}"/>
      </w:docPartPr>
      <w:docPartBody>
        <w:p w:rsidR="002E6379" w:rsidRDefault="002E6379">
          <w:pPr>
            <w:pStyle w:val="BE1D6BC6FEAF4F849A0C6EB6D64E046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EFA5B3787040E089C6DBC7F59772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1A294E-132D-4D3E-A53A-2CA9B70FF0AE}"/>
      </w:docPartPr>
      <w:docPartBody>
        <w:p w:rsidR="002E6379" w:rsidRDefault="002E6379">
          <w:pPr>
            <w:pStyle w:val="87EFA5B3787040E089C6DBC7F59772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218546F59B4B02A2EF91CE44162A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1857B-4744-4A67-8FA4-F3C9E62B8971}"/>
      </w:docPartPr>
      <w:docPartBody>
        <w:p w:rsidR="002E6379" w:rsidRDefault="002E6379">
          <w:pPr>
            <w:pStyle w:val="BA218546F59B4B02A2EF91CE44162A41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10C9B9ABA172400C962522EE4B319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678F8E-5A0B-4843-AE2B-CBDD15602E35}"/>
      </w:docPartPr>
      <w:docPartBody>
        <w:p w:rsidR="002E6379" w:rsidRDefault="002E6379">
          <w:pPr>
            <w:pStyle w:val="10C9B9ABA172400C962522EE4B3195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0385A2276B4B1DBB25018FDAC31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922310-DFF5-445B-8F98-D33865C3EC87}"/>
      </w:docPartPr>
      <w:docPartBody>
        <w:p w:rsidR="002E6379" w:rsidRDefault="002E6379">
          <w:pPr>
            <w:pStyle w:val="1B0385A2276B4B1DBB25018FDAC31ED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79"/>
    <w:rsid w:val="002E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E1D6BC6FEAF4F849A0C6EB6D64E0462">
    <w:name w:val="BE1D6BC6FEAF4F849A0C6EB6D64E0462"/>
  </w:style>
  <w:style w:type="paragraph" w:customStyle="1" w:styleId="9C45ABBDF0EC41E08C746FA03AB94C65">
    <w:name w:val="9C45ABBDF0EC41E08C746FA03AB94C65"/>
  </w:style>
  <w:style w:type="paragraph" w:customStyle="1" w:styleId="2678400DF78D42DF99AE884A93BCFB10">
    <w:name w:val="2678400DF78D42DF99AE884A93BCFB10"/>
  </w:style>
  <w:style w:type="paragraph" w:customStyle="1" w:styleId="87EFA5B3787040E089C6DBC7F5977217">
    <w:name w:val="87EFA5B3787040E089C6DBC7F5977217"/>
  </w:style>
  <w:style w:type="paragraph" w:customStyle="1" w:styleId="BA218546F59B4B02A2EF91CE44162A41">
    <w:name w:val="BA218546F59B4B02A2EF91CE44162A41"/>
  </w:style>
  <w:style w:type="paragraph" w:customStyle="1" w:styleId="10C9B9ABA172400C962522EE4B319522">
    <w:name w:val="10C9B9ABA172400C962522EE4B319522"/>
  </w:style>
  <w:style w:type="paragraph" w:customStyle="1" w:styleId="1B0385A2276B4B1DBB25018FDAC31ED1">
    <w:name w:val="1B0385A2276B4B1DBB25018FDAC31E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A31425-471E-4198-BC3F-C6E12847B772}"/>
</file>

<file path=customXml/itemProps2.xml><?xml version="1.0" encoding="utf-8"?>
<ds:datastoreItem xmlns:ds="http://schemas.openxmlformats.org/officeDocument/2006/customXml" ds:itemID="{F3A3B47A-1FA4-451B-B89D-FC0997A0B9B4}"/>
</file>

<file path=customXml/itemProps3.xml><?xml version="1.0" encoding="utf-8"?>
<ds:datastoreItem xmlns:ds="http://schemas.openxmlformats.org/officeDocument/2006/customXml" ds:itemID="{49A8A8D6-7986-4CA7-94CF-9B0CF6EF87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2086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Förstärk förmågan för brobyggande i det nya Totalförsvaret</vt:lpstr>
      <vt:lpstr>
      </vt:lpstr>
    </vt:vector>
  </TitlesOfParts>
  <Company>Sveriges riksdag</Company>
  <LinksUpToDate>false</LinksUpToDate>
  <CharactersWithSpaces>2424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