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132B11">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362E6E" w:rsidRPr="00132B11" w:rsidRDefault="00132B11">
            <w:pPr>
              <w:pStyle w:val="EntLogo"/>
            </w:pPr>
            <w:r w:rsidRPr="00132B11">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132B11">
        <w:tblPrEx>
          <w:tblCellMar>
            <w:top w:w="0" w:type="dxa"/>
            <w:left w:w="0" w:type="dxa"/>
            <w:bottom w:w="0" w:type="dxa"/>
            <w:right w:w="0" w:type="dxa"/>
          </w:tblCellMar>
        </w:tblPrEx>
        <w:trPr>
          <w:cantSplit/>
          <w:trHeight w:val="1120"/>
        </w:trPr>
        <w:tc>
          <w:tcPr>
            <w:tcW w:w="4821" w:type="dxa"/>
            <w:gridSpan w:val="2"/>
          </w:tcPr>
          <w:p w:rsidR="00362E6E" w:rsidRPr="00132B11" w:rsidRDefault="00362E6E">
            <w:pPr>
              <w:pStyle w:val="EntInstit"/>
            </w:pPr>
            <w:bookmarkStart w:id="0" w:name="Entete"/>
            <w:bookmarkEnd w:id="0"/>
            <w:r w:rsidRPr="00132B11">
              <w:t>COUNCIL OF</w:t>
            </w:r>
          </w:p>
          <w:p w:rsidR="00362E6E" w:rsidRPr="00132B11" w:rsidRDefault="00362E6E">
            <w:pPr>
              <w:pStyle w:val="EntInstit"/>
            </w:pPr>
            <w:r w:rsidRPr="00132B11">
              <w:t>THE EUROPEAN UNION</w:t>
            </w:r>
          </w:p>
        </w:tc>
        <w:tc>
          <w:tcPr>
            <w:tcW w:w="1701" w:type="dxa"/>
          </w:tcPr>
          <w:p w:rsidR="00362E6E" w:rsidRPr="00132B11" w:rsidRDefault="00362E6E">
            <w:pPr>
              <w:spacing w:line="240" w:lineRule="auto"/>
              <w:jc w:val="right"/>
              <w:rPr>
                <w:b/>
              </w:rPr>
            </w:pPr>
          </w:p>
        </w:tc>
        <w:tc>
          <w:tcPr>
            <w:tcW w:w="4820" w:type="dxa"/>
            <w:gridSpan w:val="2"/>
          </w:tcPr>
          <w:p w:rsidR="00362E6E" w:rsidRPr="00132B11" w:rsidRDefault="00362E6E">
            <w:pPr>
              <w:pStyle w:val="EntRefer"/>
            </w:pPr>
            <w:bookmarkStart w:id="1" w:name="Lieu"/>
            <w:bookmarkEnd w:id="1"/>
            <w:r w:rsidRPr="00132B11">
              <w:t xml:space="preserve">Brussels, </w:t>
            </w:r>
            <w:bookmarkStart w:id="2" w:name="Date"/>
            <w:bookmarkEnd w:id="2"/>
            <w:r w:rsidRPr="00132B11">
              <w:t xml:space="preserve">15 June 2006 </w:t>
            </w:r>
            <w:bookmarkStart w:id="3" w:name="DateEntree"/>
            <w:bookmarkEnd w:id="3"/>
          </w:p>
          <w:p w:rsidR="00362E6E" w:rsidRPr="00132B11" w:rsidRDefault="00362E6E">
            <w:pPr>
              <w:pStyle w:val="EntRefer"/>
            </w:pPr>
            <w:bookmarkStart w:id="4" w:name="LangueOrig"/>
            <w:bookmarkEnd w:id="4"/>
          </w:p>
        </w:tc>
      </w:tr>
      <w:tr w:rsidR="00000000" w:rsidRPr="00132B11">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362E6E" w:rsidRPr="00132B11" w:rsidRDefault="00362E6E">
            <w:pPr>
              <w:pStyle w:val="EntRefer"/>
              <w:jc w:val="center"/>
            </w:pPr>
            <w:bookmarkStart w:id="5" w:name="DossierInterInst"/>
            <w:bookmarkEnd w:id="5"/>
          </w:p>
        </w:tc>
        <w:tc>
          <w:tcPr>
            <w:tcW w:w="1701" w:type="dxa"/>
            <w:vAlign w:val="center"/>
          </w:tcPr>
          <w:p w:rsidR="00362E6E" w:rsidRPr="00132B11" w:rsidRDefault="00362E6E">
            <w:pPr>
              <w:spacing w:line="240" w:lineRule="auto"/>
              <w:rPr>
                <w:b/>
              </w:rPr>
            </w:pPr>
          </w:p>
        </w:tc>
        <w:tc>
          <w:tcPr>
            <w:tcW w:w="3970" w:type="dxa"/>
          </w:tcPr>
          <w:p w:rsidR="00362E6E" w:rsidRPr="00132B11" w:rsidRDefault="00362E6E">
            <w:pPr>
              <w:pStyle w:val="EntRefer"/>
            </w:pPr>
            <w:bookmarkStart w:id="6" w:name="Cote"/>
            <w:bookmarkEnd w:id="6"/>
            <w:r w:rsidRPr="00132B11">
              <w:t>10457/06</w:t>
            </w:r>
          </w:p>
          <w:p w:rsidR="00362E6E" w:rsidRPr="00132B11" w:rsidRDefault="00362E6E">
            <w:pPr>
              <w:pStyle w:val="EntRefer"/>
            </w:pPr>
            <w:bookmarkStart w:id="7" w:name="CoteRev"/>
            <w:bookmarkEnd w:id="7"/>
          </w:p>
          <w:p w:rsidR="00362E6E" w:rsidRPr="00132B11" w:rsidRDefault="00362E6E">
            <w:pPr>
              <w:pStyle w:val="EntRefer"/>
            </w:pPr>
          </w:p>
          <w:p w:rsidR="00362E6E" w:rsidRPr="00132B11" w:rsidRDefault="00362E6E">
            <w:pPr>
              <w:pStyle w:val="EntRefer"/>
            </w:pPr>
            <w:bookmarkStart w:id="8" w:name="CoteSec"/>
            <w:bookmarkEnd w:id="8"/>
            <w:r w:rsidRPr="00132B11">
              <w:t>LIMITE</w:t>
            </w:r>
          </w:p>
          <w:p w:rsidR="00362E6E" w:rsidRPr="00132B11" w:rsidRDefault="00362E6E">
            <w:pPr>
              <w:pStyle w:val="EntRefer"/>
            </w:pPr>
          </w:p>
        </w:tc>
      </w:tr>
      <w:tr w:rsidR="00000000" w:rsidRPr="00132B11">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362E6E" w:rsidRPr="00132B11" w:rsidRDefault="00362E6E">
            <w:pPr>
              <w:pStyle w:val="EntRefer"/>
              <w:jc w:val="center"/>
            </w:pPr>
            <w:bookmarkStart w:id="9" w:name="SousEmbargo"/>
            <w:bookmarkEnd w:id="9"/>
          </w:p>
        </w:tc>
        <w:tc>
          <w:tcPr>
            <w:tcW w:w="1701" w:type="dxa"/>
            <w:vAlign w:val="center"/>
          </w:tcPr>
          <w:p w:rsidR="00362E6E" w:rsidRPr="00132B11" w:rsidRDefault="00362E6E">
            <w:pPr>
              <w:spacing w:line="240" w:lineRule="auto"/>
              <w:rPr>
                <w:b/>
              </w:rPr>
            </w:pPr>
          </w:p>
        </w:tc>
        <w:tc>
          <w:tcPr>
            <w:tcW w:w="3970" w:type="dxa"/>
          </w:tcPr>
          <w:p w:rsidR="00362E6E" w:rsidRPr="00132B11" w:rsidRDefault="00362E6E">
            <w:pPr>
              <w:pStyle w:val="EntRefer"/>
            </w:pPr>
            <w:r w:rsidRPr="00132B11">
              <w:t>ENV 358</w:t>
            </w:r>
          </w:p>
        </w:tc>
      </w:tr>
    </w:tbl>
    <w:p w:rsidR="00362E6E" w:rsidRPr="00132B11" w:rsidRDefault="00362E6E">
      <w:pPr>
        <w:pStyle w:val="EntRefer"/>
        <w:outlineLvl w:val="0"/>
      </w:pPr>
      <w:bookmarkStart w:id="10" w:name="AC"/>
      <w:bookmarkStart w:id="11" w:name="Title"/>
      <w:bookmarkEnd w:id="11"/>
      <w:r w:rsidRPr="00132B11">
        <w:t>NOTE</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000000" w:rsidRPr="00132B11">
        <w:tblPrEx>
          <w:tblCellMar>
            <w:top w:w="0" w:type="dxa"/>
            <w:left w:w="0" w:type="dxa"/>
            <w:bottom w:w="0" w:type="dxa"/>
            <w:right w:w="0" w:type="dxa"/>
          </w:tblCellMar>
        </w:tblPrEx>
        <w:tc>
          <w:tcPr>
            <w:tcW w:w="1701" w:type="dxa"/>
            <w:tcBorders>
              <w:top w:val="single" w:sz="4" w:space="0" w:color="auto"/>
            </w:tcBorders>
          </w:tcPr>
          <w:p w:rsidR="00362E6E" w:rsidRPr="00132B11" w:rsidRDefault="00362E6E">
            <w:pPr>
              <w:pStyle w:val="EntEmet"/>
            </w:pPr>
            <w:bookmarkStart w:id="12" w:name="Ref"/>
            <w:r w:rsidRPr="00132B11">
              <w:t>from :</w:t>
            </w:r>
          </w:p>
        </w:tc>
        <w:tc>
          <w:tcPr>
            <w:tcW w:w="7939" w:type="dxa"/>
            <w:tcBorders>
              <w:top w:val="single" w:sz="4" w:space="0" w:color="auto"/>
            </w:tcBorders>
          </w:tcPr>
          <w:p w:rsidR="00362E6E" w:rsidRPr="00132B11" w:rsidRDefault="00362E6E">
            <w:pPr>
              <w:pStyle w:val="EntEmet"/>
            </w:pPr>
            <w:r w:rsidRPr="00132B11">
              <w:t>General Secretariat</w:t>
            </w:r>
          </w:p>
        </w:tc>
      </w:tr>
      <w:tr w:rsidR="00000000" w:rsidRPr="00132B11">
        <w:tblPrEx>
          <w:tblCellMar>
            <w:top w:w="0" w:type="dxa"/>
            <w:left w:w="0" w:type="dxa"/>
            <w:bottom w:w="0" w:type="dxa"/>
            <w:right w:w="0" w:type="dxa"/>
          </w:tblCellMar>
        </w:tblPrEx>
        <w:tc>
          <w:tcPr>
            <w:tcW w:w="1701" w:type="dxa"/>
            <w:tcBorders>
              <w:bottom w:val="single" w:sz="4" w:space="0" w:color="auto"/>
            </w:tcBorders>
          </w:tcPr>
          <w:p w:rsidR="00362E6E" w:rsidRPr="00132B11" w:rsidRDefault="00362E6E">
            <w:pPr>
              <w:pStyle w:val="EntEmet"/>
            </w:pPr>
            <w:r w:rsidRPr="00132B11">
              <w:t>to :</w:t>
            </w:r>
          </w:p>
        </w:tc>
        <w:tc>
          <w:tcPr>
            <w:tcW w:w="7939" w:type="dxa"/>
            <w:tcBorders>
              <w:bottom w:val="single" w:sz="4" w:space="0" w:color="auto"/>
            </w:tcBorders>
          </w:tcPr>
          <w:p w:rsidR="00362E6E" w:rsidRPr="00132B11" w:rsidRDefault="00362E6E">
            <w:pPr>
              <w:pStyle w:val="EntEmet"/>
            </w:pPr>
            <w:r w:rsidRPr="00132B11">
              <w:t>Council</w:t>
            </w:r>
          </w:p>
        </w:tc>
      </w:tr>
      <w:tr w:rsidR="00000000" w:rsidRPr="00132B11">
        <w:tblPrEx>
          <w:tblCellMar>
            <w:top w:w="0" w:type="dxa"/>
            <w:left w:w="0" w:type="dxa"/>
            <w:bottom w:w="0" w:type="dxa"/>
            <w:right w:w="0" w:type="dxa"/>
          </w:tblCellMar>
        </w:tblPrEx>
        <w:tc>
          <w:tcPr>
            <w:tcW w:w="1701" w:type="dxa"/>
          </w:tcPr>
          <w:p w:rsidR="00362E6E" w:rsidRPr="00132B11" w:rsidRDefault="00362E6E">
            <w:pPr>
              <w:pStyle w:val="EntEmet"/>
            </w:pPr>
            <w:r w:rsidRPr="00132B11">
              <w:t>No. prev. doc.:</w:t>
            </w:r>
          </w:p>
        </w:tc>
        <w:tc>
          <w:tcPr>
            <w:tcW w:w="7939" w:type="dxa"/>
          </w:tcPr>
          <w:p w:rsidR="00362E6E" w:rsidRPr="00132B11" w:rsidRDefault="00362E6E">
            <w:pPr>
              <w:pStyle w:val="EntEmet"/>
            </w:pPr>
            <w:r w:rsidRPr="00132B11">
              <w:t>10140/06 ENV 336</w:t>
            </w:r>
          </w:p>
        </w:tc>
      </w:tr>
      <w:tr w:rsidR="00000000" w:rsidRPr="00132B11">
        <w:tblPrEx>
          <w:tblCellMar>
            <w:top w:w="0" w:type="dxa"/>
            <w:left w:w="0" w:type="dxa"/>
            <w:bottom w:w="0" w:type="dxa"/>
            <w:right w:w="0" w:type="dxa"/>
          </w:tblCellMar>
        </w:tblPrEx>
        <w:tc>
          <w:tcPr>
            <w:tcW w:w="1701" w:type="dxa"/>
            <w:tcBorders>
              <w:bottom w:val="single" w:sz="4" w:space="0" w:color="auto"/>
            </w:tcBorders>
          </w:tcPr>
          <w:p w:rsidR="00362E6E" w:rsidRPr="00132B11" w:rsidRDefault="00362E6E">
            <w:pPr>
              <w:pStyle w:val="EntEmet"/>
              <w:tabs>
                <w:tab w:val="clear" w:pos="1134"/>
                <w:tab w:val="clear" w:pos="1418"/>
                <w:tab w:val="left" w:pos="1290"/>
              </w:tabs>
            </w:pPr>
            <w:r w:rsidRPr="00132B11">
              <w:t>No. prop. Cion :</w:t>
            </w:r>
          </w:p>
        </w:tc>
        <w:tc>
          <w:tcPr>
            <w:tcW w:w="7939" w:type="dxa"/>
            <w:tcBorders>
              <w:bottom w:val="single" w:sz="4" w:space="0" w:color="auto"/>
            </w:tcBorders>
          </w:tcPr>
          <w:p w:rsidR="00362E6E" w:rsidRPr="00132B11" w:rsidRDefault="00362E6E">
            <w:pPr>
              <w:pStyle w:val="EntEmet"/>
            </w:pPr>
            <w:r w:rsidRPr="00132B11">
              <w:t xml:space="preserve">5047/06 ENV 4 - COM(2005) 666 final </w:t>
            </w:r>
          </w:p>
        </w:tc>
      </w:tr>
      <w:bookmarkEnd w:id="12"/>
      <w:tr w:rsidR="00000000" w:rsidRPr="00132B11">
        <w:tblPrEx>
          <w:tblCellMar>
            <w:top w:w="0" w:type="dxa"/>
            <w:left w:w="0" w:type="dxa"/>
            <w:bottom w:w="0" w:type="dxa"/>
            <w:right w:w="0" w:type="dxa"/>
          </w:tblCellMar>
        </w:tblPrEx>
        <w:tc>
          <w:tcPr>
            <w:tcW w:w="1701" w:type="dxa"/>
            <w:tcBorders>
              <w:top w:val="single" w:sz="4" w:space="0" w:color="auto"/>
              <w:bottom w:val="single" w:sz="4" w:space="0" w:color="auto"/>
            </w:tcBorders>
          </w:tcPr>
          <w:p w:rsidR="00362E6E" w:rsidRPr="00132B11" w:rsidRDefault="00362E6E">
            <w:pPr>
              <w:pStyle w:val="EntEmet"/>
              <w:tabs>
                <w:tab w:val="clear" w:pos="1134"/>
                <w:tab w:val="clear" w:pos="1418"/>
                <w:tab w:val="left" w:pos="1290"/>
              </w:tabs>
            </w:pPr>
            <w:r w:rsidRPr="00132B11">
              <w:t>Subject :</w:t>
            </w:r>
            <w:r w:rsidRPr="00132B11">
              <w:tab/>
            </w:r>
            <w:r w:rsidRPr="00132B11">
              <w:tab/>
            </w:r>
          </w:p>
        </w:tc>
        <w:tc>
          <w:tcPr>
            <w:tcW w:w="7939" w:type="dxa"/>
            <w:tcBorders>
              <w:top w:val="single" w:sz="4" w:space="0" w:color="auto"/>
              <w:bottom w:val="single" w:sz="4" w:space="0" w:color="auto"/>
            </w:tcBorders>
          </w:tcPr>
          <w:p w:rsidR="00362E6E" w:rsidRPr="00132B11" w:rsidRDefault="00362E6E">
            <w:pPr>
              <w:pStyle w:val="EntEmet"/>
            </w:pPr>
            <w:bookmarkStart w:id="13" w:name="Subject"/>
            <w:bookmarkEnd w:id="13"/>
            <w:r w:rsidRPr="00132B11">
              <w:t>Thematic Strategy on the prevention and recycling of waste</w:t>
            </w:r>
          </w:p>
          <w:p w:rsidR="00362E6E" w:rsidRPr="00132B11" w:rsidRDefault="00362E6E">
            <w:pPr>
              <w:pStyle w:val="EntEmet"/>
              <w:numPr>
                <w:ilvl w:val="0"/>
                <w:numId w:val="164"/>
              </w:numPr>
            </w:pPr>
            <w:r w:rsidRPr="00132B11">
              <w:t>draft Council conclusions</w:t>
            </w:r>
          </w:p>
        </w:tc>
      </w:tr>
    </w:tbl>
    <w:p w:rsidR="00362E6E" w:rsidRPr="00132B11" w:rsidRDefault="00362E6E">
      <w:pPr>
        <w:spacing w:line="240" w:lineRule="auto"/>
      </w:pPr>
    </w:p>
    <w:p w:rsidR="00362E6E" w:rsidRPr="00132B11" w:rsidRDefault="00362E6E">
      <w:pPr>
        <w:tabs>
          <w:tab w:val="left" w:pos="3969"/>
        </w:tabs>
      </w:pPr>
    </w:p>
    <w:bookmarkEnd w:id="10"/>
    <w:p w:rsidR="00362E6E" w:rsidRPr="00132B11" w:rsidRDefault="00362E6E">
      <w:pPr>
        <w:ind w:left="708" w:hanging="708"/>
      </w:pPr>
      <w:r w:rsidRPr="00132B11">
        <w:t>1.</w:t>
      </w:r>
      <w:r w:rsidRPr="00132B11">
        <w:tab/>
        <w:t xml:space="preserve">In December 2005 the </w:t>
      </w:r>
      <w:r w:rsidRPr="00132B11">
        <w:rPr>
          <w:u w:val="single"/>
        </w:rPr>
        <w:t>European Commission</w:t>
      </w:r>
      <w:r w:rsidRPr="00132B11">
        <w:t xml:space="preserve"> presented to the Council and the European Parliament a Thematic Strategy on the prevention and recycling of waste and a proposal for a Directive on waste. </w:t>
      </w:r>
    </w:p>
    <w:p w:rsidR="00362E6E" w:rsidRPr="00132B11" w:rsidRDefault="00362E6E"/>
    <w:p w:rsidR="00362E6E" w:rsidRPr="00132B11" w:rsidRDefault="00362E6E">
      <w:pPr>
        <w:ind w:left="708" w:hanging="708"/>
      </w:pPr>
      <w:r w:rsidRPr="00132B11">
        <w:tab/>
        <w:t>The Strategy was elaborated in the context of the 6th Environmental Action Programme </w:t>
      </w:r>
      <w:r w:rsidRPr="00132B11">
        <w:rPr>
          <w:rStyle w:val="Fotnotsreferens"/>
        </w:rPr>
        <w:footnoteReference w:customMarkFollows="1" w:id="1"/>
        <w:sym w:font="Symbol" w:char="F02A"/>
      </w:r>
      <w:r w:rsidRPr="00132B11">
        <w:t xml:space="preserve"> and following the Council conclusions on prevention and recycling of waste agreed in June 2004 </w:t>
      </w:r>
      <w:r w:rsidRPr="00132B11">
        <w:rPr>
          <w:rStyle w:val="Fotnotsreferens"/>
        </w:rPr>
        <w:footnoteReference w:customMarkFollows="1" w:id="2"/>
        <w:sym w:font="Symbol" w:char="F02A"/>
      </w:r>
      <w:r w:rsidRPr="00132B11">
        <w:rPr>
          <w:rStyle w:val="Fotnotsreferens"/>
        </w:rPr>
        <w:sym w:font="Symbol" w:char="F02A"/>
      </w:r>
      <w:r w:rsidRPr="00132B11">
        <w:t>. It aims at contributing to the efficient and sustainable use of natural resources with a view to reducing the overall negative environmental impact of such use and is presented in tandem with the Thematic Strategy on the sustainable use of natural resources.</w:t>
      </w:r>
    </w:p>
    <w:p w:rsidR="00362E6E" w:rsidRPr="00132B11" w:rsidRDefault="00362E6E">
      <w:r w:rsidRPr="00132B11">
        <w:br w:type="page"/>
      </w:r>
    </w:p>
    <w:p w:rsidR="00362E6E" w:rsidRPr="00132B11" w:rsidRDefault="00362E6E">
      <w:pPr>
        <w:ind w:left="709" w:hanging="709"/>
      </w:pPr>
      <w:r w:rsidRPr="00132B11">
        <w:tab/>
        <w:t>The Thematic Strategy foresees the following main measures:</w:t>
      </w:r>
    </w:p>
    <w:p w:rsidR="00362E6E" w:rsidRPr="00132B11" w:rsidRDefault="00362E6E">
      <w:pPr>
        <w:ind w:left="708" w:hanging="708"/>
      </w:pPr>
    </w:p>
    <w:p w:rsidR="00362E6E" w:rsidRPr="00132B11" w:rsidRDefault="00362E6E">
      <w:pPr>
        <w:numPr>
          <w:ilvl w:val="0"/>
          <w:numId w:val="166"/>
        </w:numPr>
        <w:tabs>
          <w:tab w:val="clear" w:pos="927"/>
          <w:tab w:val="left" w:pos="1418"/>
        </w:tabs>
        <w:ind w:left="1418" w:hanging="709"/>
      </w:pPr>
      <w:r w:rsidRPr="00132B11">
        <w:t>introduction of life-cycle thinking in waste policy,</w:t>
      </w:r>
    </w:p>
    <w:p w:rsidR="00362E6E" w:rsidRPr="00132B11" w:rsidRDefault="00362E6E">
      <w:pPr>
        <w:numPr>
          <w:ilvl w:val="0"/>
          <w:numId w:val="166"/>
        </w:numPr>
        <w:tabs>
          <w:tab w:val="clear" w:pos="927"/>
          <w:tab w:val="left" w:pos="1418"/>
        </w:tabs>
        <w:ind w:left="1418" w:hanging="709"/>
      </w:pPr>
      <w:r w:rsidRPr="00132B11">
        <w:t>promotion of waste prevention policies,</w:t>
      </w:r>
    </w:p>
    <w:p w:rsidR="00362E6E" w:rsidRPr="00132B11" w:rsidRDefault="00362E6E">
      <w:pPr>
        <w:numPr>
          <w:ilvl w:val="0"/>
          <w:numId w:val="166"/>
        </w:numPr>
        <w:tabs>
          <w:tab w:val="clear" w:pos="927"/>
          <w:tab w:val="left" w:pos="1418"/>
        </w:tabs>
        <w:ind w:left="1418" w:hanging="709"/>
      </w:pPr>
      <w:r w:rsidRPr="00132B11">
        <w:t>improvement of the knowledge base,</w:t>
      </w:r>
    </w:p>
    <w:p w:rsidR="00362E6E" w:rsidRPr="00132B11" w:rsidRDefault="00362E6E">
      <w:pPr>
        <w:numPr>
          <w:ilvl w:val="0"/>
          <w:numId w:val="166"/>
        </w:numPr>
        <w:tabs>
          <w:tab w:val="clear" w:pos="927"/>
          <w:tab w:val="left" w:pos="1418"/>
        </w:tabs>
        <w:ind w:left="1418" w:hanging="709"/>
      </w:pPr>
      <w:r w:rsidRPr="00132B11">
        <w:t>fostering of waste recycling (recycling standards, promotion by using economic and other instruments),</w:t>
      </w:r>
    </w:p>
    <w:p w:rsidR="00362E6E" w:rsidRPr="00132B11" w:rsidRDefault="00362E6E">
      <w:pPr>
        <w:numPr>
          <w:ilvl w:val="0"/>
          <w:numId w:val="166"/>
        </w:numPr>
        <w:tabs>
          <w:tab w:val="clear" w:pos="927"/>
          <w:tab w:val="left" w:pos="1418"/>
        </w:tabs>
        <w:ind w:left="1418" w:hanging="709"/>
      </w:pPr>
      <w:r w:rsidRPr="00132B11">
        <w:t>simplification and modernisation of existing legislation.</w:t>
      </w:r>
    </w:p>
    <w:p w:rsidR="00362E6E" w:rsidRPr="00132B11" w:rsidRDefault="00362E6E">
      <w:pPr>
        <w:ind w:left="567"/>
      </w:pPr>
    </w:p>
    <w:p w:rsidR="00362E6E" w:rsidRPr="00132B11" w:rsidRDefault="00362E6E">
      <w:pPr>
        <w:ind w:left="708" w:hanging="708"/>
      </w:pPr>
      <w:r w:rsidRPr="00132B11">
        <w:tab/>
        <w:t>With respect to legislation, a revision of the Waste Framework Directive (75/442/EEC, codified in Directive 2006/12/EC) has been presented </w:t>
      </w:r>
      <w:r w:rsidRPr="00132B11">
        <w:rPr>
          <w:rStyle w:val="Fotnotsreferens"/>
        </w:rPr>
        <w:footnoteReference w:customMarkFollows="1" w:id="3"/>
        <w:sym w:font="Symbol" w:char="F02A"/>
      </w:r>
      <w:r w:rsidRPr="00132B11">
        <w:t xml:space="preserve"> and other proposals and measures </w:t>
      </w:r>
      <w:r w:rsidRPr="00132B11">
        <w:rPr>
          <w:rStyle w:val="Fotnotsreferens"/>
        </w:rPr>
        <w:footnoteReference w:customMarkFollows="1" w:id="4"/>
        <w:sym w:font="Symbol" w:char="F02A"/>
      </w:r>
      <w:r w:rsidRPr="00132B11">
        <w:rPr>
          <w:rStyle w:val="Fotnotsreferens"/>
        </w:rPr>
        <w:sym w:font="Symbol" w:char="F02A"/>
      </w:r>
      <w:r w:rsidRPr="00132B11">
        <w:t xml:space="preserve"> are planned up to 2008. A renewed emphasis on full implementation of existing legislation is also envisaged.  In 2010 a review of the Strategy is planned to assess the need for additional measures to achieve its objectives.</w:t>
      </w:r>
    </w:p>
    <w:p w:rsidR="00362E6E" w:rsidRPr="00132B11" w:rsidRDefault="00362E6E">
      <w:pPr>
        <w:ind w:left="567"/>
      </w:pPr>
    </w:p>
    <w:p w:rsidR="00362E6E" w:rsidRPr="00132B11" w:rsidRDefault="00362E6E">
      <w:pPr>
        <w:ind w:left="708" w:hanging="708"/>
      </w:pPr>
      <w:r w:rsidRPr="00132B11">
        <w:t>2.</w:t>
      </w:r>
      <w:r w:rsidRPr="00132B11">
        <w:tab/>
        <w:t xml:space="preserve">At its meeting on 9 March 2006, the </w:t>
      </w:r>
      <w:r w:rsidRPr="00132B11">
        <w:rPr>
          <w:u w:val="single"/>
        </w:rPr>
        <w:t>Council</w:t>
      </w:r>
      <w:r w:rsidRPr="00132B11">
        <w:t xml:space="preserve"> held a policy debate and took note of the Austrian Presidency's intention to prepare for the adoption of Council conclusions by the end of June.</w:t>
      </w:r>
    </w:p>
    <w:p w:rsidR="00362E6E" w:rsidRPr="00132B11" w:rsidRDefault="00362E6E">
      <w:pPr>
        <w:ind w:left="567" w:hanging="567"/>
        <w:rPr>
          <w:u w:val="single"/>
        </w:rPr>
      </w:pPr>
    </w:p>
    <w:p w:rsidR="00362E6E" w:rsidRPr="00132B11" w:rsidRDefault="00362E6E">
      <w:pPr>
        <w:ind w:left="708" w:hanging="708"/>
      </w:pPr>
      <w:r w:rsidRPr="00132B11">
        <w:t>3.</w:t>
      </w:r>
      <w:r w:rsidRPr="00132B11">
        <w:tab/>
        <w:t xml:space="preserve">On 13 June 2006, the </w:t>
      </w:r>
      <w:r w:rsidRPr="00132B11">
        <w:rPr>
          <w:u w:val="single"/>
        </w:rPr>
        <w:t>Committee of Permanent Representatives</w:t>
      </w:r>
      <w:r w:rsidRPr="00132B11">
        <w:t xml:space="preserve"> examined the draft Council conclusions prepared by the Presidency on the basis of the main orientations resulting from the ministerial debate. The latest footnoted version can be found in the Annex to this note.</w:t>
      </w:r>
    </w:p>
    <w:p w:rsidR="00362E6E" w:rsidRPr="00132B11" w:rsidRDefault="00362E6E">
      <w:pPr>
        <w:ind w:left="708" w:hanging="708"/>
      </w:pPr>
    </w:p>
    <w:p w:rsidR="00362E6E" w:rsidRPr="00132B11" w:rsidRDefault="00362E6E">
      <w:pPr>
        <w:ind w:left="708" w:hanging="708"/>
      </w:pPr>
      <w:r w:rsidRPr="00132B11">
        <w:br w:type="page"/>
        <w:t>4.</w:t>
      </w:r>
      <w:r w:rsidRPr="00132B11">
        <w:tab/>
        <w:t>A majority of delegations could accept the text as it stands. However:</w:t>
      </w:r>
    </w:p>
    <w:p w:rsidR="00362E6E" w:rsidRPr="00132B11" w:rsidRDefault="00362E6E">
      <w:pPr>
        <w:ind w:left="708" w:hanging="708"/>
      </w:pPr>
      <w:r w:rsidRPr="00132B11">
        <w:tab/>
      </w:r>
    </w:p>
    <w:p w:rsidR="00362E6E" w:rsidRPr="00132B11" w:rsidRDefault="00362E6E">
      <w:pPr>
        <w:numPr>
          <w:ilvl w:val="0"/>
          <w:numId w:val="166"/>
        </w:numPr>
        <w:tabs>
          <w:tab w:val="clear" w:pos="927"/>
          <w:tab w:val="left" w:pos="1276"/>
        </w:tabs>
        <w:ind w:left="1276" w:hanging="567"/>
      </w:pPr>
      <w:r w:rsidRPr="00132B11">
        <w:rPr>
          <w:u w:val="single"/>
        </w:rPr>
        <w:t>XX</w:t>
      </w:r>
      <w:r w:rsidRPr="00132B11">
        <w:t xml:space="preserve"> maintains a reservation on point 11 regarding the need to consider long, medium and short-term targets (footnote 2) and suggests substituting the terms "eco-dumping and sham recovery" in point 22 on shipment of waste by "illegal shipment of waste". </w:t>
      </w:r>
      <w:r w:rsidRPr="00132B11">
        <w:rPr>
          <w:u w:val="single"/>
        </w:rPr>
        <w:t>XX/XX/XX</w:t>
      </w:r>
      <w:r w:rsidRPr="00132B11">
        <w:t xml:space="preserve"> can support the latter proposal (footnote 3).</w:t>
      </w:r>
    </w:p>
    <w:p w:rsidR="00362E6E" w:rsidRPr="00132B11" w:rsidRDefault="00362E6E">
      <w:pPr>
        <w:numPr>
          <w:ilvl w:val="0"/>
          <w:numId w:val="166"/>
        </w:numPr>
        <w:tabs>
          <w:tab w:val="clear" w:pos="927"/>
          <w:tab w:val="left" w:pos="1276"/>
        </w:tabs>
        <w:ind w:left="1276" w:hanging="567"/>
      </w:pPr>
      <w:r w:rsidRPr="00132B11">
        <w:rPr>
          <w:u w:val="single"/>
        </w:rPr>
        <w:t xml:space="preserve">XX, XX, XX and XX </w:t>
      </w:r>
      <w:r w:rsidRPr="00132B11">
        <w:t>suggest additional text dealing with waste incinerators and the application of the proximity and self sufficiency principles in relation to waste incineration at dedicated facilities (footnote 4).</w:t>
      </w:r>
    </w:p>
    <w:p w:rsidR="00362E6E" w:rsidRPr="00132B11" w:rsidRDefault="00362E6E">
      <w:pPr>
        <w:numPr>
          <w:ilvl w:val="0"/>
          <w:numId w:val="166"/>
        </w:numPr>
        <w:tabs>
          <w:tab w:val="clear" w:pos="927"/>
          <w:tab w:val="left" w:pos="1276"/>
        </w:tabs>
        <w:ind w:left="1276" w:hanging="567"/>
      </w:pPr>
      <w:r w:rsidRPr="00132B11">
        <w:rPr>
          <w:u w:val="single"/>
        </w:rPr>
        <w:t xml:space="preserve">XX </w:t>
      </w:r>
      <w:r w:rsidRPr="00132B11">
        <w:t xml:space="preserve">asks to address more clearly in point 28 the need for closer cooperation as regards the costs for collecting and recovering certain packaging waste (notably glass and metal containers) derived from privately imported goods. </w:t>
      </w:r>
      <w:r w:rsidRPr="00132B11">
        <w:rPr>
          <w:u w:val="single"/>
        </w:rPr>
        <w:t>XX</w:t>
      </w:r>
      <w:r w:rsidRPr="00132B11">
        <w:t>, in this respect, suggests a compromise text (footnote 5).</w:t>
      </w:r>
    </w:p>
    <w:p w:rsidR="00362E6E" w:rsidRPr="00132B11" w:rsidRDefault="00362E6E">
      <w:pPr>
        <w:numPr>
          <w:ilvl w:val="0"/>
          <w:numId w:val="166"/>
        </w:numPr>
        <w:tabs>
          <w:tab w:val="clear" w:pos="927"/>
          <w:tab w:val="left" w:pos="1276"/>
        </w:tabs>
        <w:ind w:left="1276" w:hanging="567"/>
      </w:pPr>
      <w:r w:rsidRPr="00132B11">
        <w:rPr>
          <w:u w:val="single"/>
        </w:rPr>
        <w:t>All delegations</w:t>
      </w:r>
      <w:r w:rsidRPr="00132B11">
        <w:t xml:space="preserve"> maintain a general scrutiny reservation (footnote 1).</w:t>
      </w:r>
    </w:p>
    <w:p w:rsidR="00362E6E" w:rsidRPr="00132B11" w:rsidRDefault="00362E6E">
      <w:pPr>
        <w:ind w:left="567" w:hanging="567"/>
      </w:pPr>
    </w:p>
    <w:p w:rsidR="00362E6E" w:rsidRPr="00132B11" w:rsidRDefault="00362E6E">
      <w:pPr>
        <w:ind w:left="567" w:hanging="567"/>
      </w:pPr>
      <w:r w:rsidRPr="00132B11">
        <w:t>5.</w:t>
      </w:r>
      <w:r w:rsidRPr="00132B11">
        <w:tab/>
        <w:t xml:space="preserve">The </w:t>
      </w:r>
      <w:r w:rsidRPr="00132B11">
        <w:rPr>
          <w:u w:val="single"/>
        </w:rPr>
        <w:t>Council</w:t>
      </w:r>
      <w:r w:rsidRPr="00132B11">
        <w:t xml:space="preserve"> is invited to examine the remaining open issues, with a view to the adoption of these draft conclusions.</w:t>
      </w:r>
    </w:p>
    <w:p w:rsidR="00362E6E" w:rsidRPr="00132B11" w:rsidRDefault="00362E6E"/>
    <w:p w:rsidR="00362E6E" w:rsidRPr="00132B11" w:rsidRDefault="00362E6E">
      <w:pPr>
        <w:jc w:val="center"/>
      </w:pPr>
      <w:r w:rsidRPr="00132B11">
        <w:t>______________</w:t>
      </w:r>
    </w:p>
    <w:p w:rsidR="00362E6E" w:rsidRPr="00132B11" w:rsidRDefault="00362E6E"/>
    <w:p w:rsidR="00362E6E" w:rsidRPr="00132B11" w:rsidRDefault="00362E6E">
      <w:pPr>
        <w:sectPr w:rsidR="00000000" w:rsidRPr="00132B11">
          <w:footerReference w:type="default" r:id="rId8"/>
          <w:endnotePr>
            <w:numFmt w:val="decimal"/>
          </w:endnotePr>
          <w:pgSz w:w="11907" w:h="16840" w:code="9"/>
          <w:pgMar w:top="1134" w:right="1134" w:bottom="1134" w:left="1134" w:header="567" w:footer="567" w:gutter="0"/>
          <w:cols w:space="720"/>
        </w:sectPr>
      </w:pPr>
    </w:p>
    <w:p w:rsidR="00362E6E" w:rsidRPr="00132B11" w:rsidRDefault="00362E6E">
      <w:pPr>
        <w:jc w:val="right"/>
        <w:rPr>
          <w:b/>
          <w:u w:val="single"/>
        </w:rPr>
      </w:pPr>
      <w:r w:rsidRPr="00132B11">
        <w:rPr>
          <w:b/>
          <w:u w:val="single"/>
        </w:rPr>
        <w:t>ANNEX</w:t>
      </w:r>
    </w:p>
    <w:p w:rsidR="00362E6E" w:rsidRPr="00132B11" w:rsidRDefault="00362E6E">
      <w:pPr>
        <w:spacing w:line="240" w:lineRule="auto"/>
      </w:pPr>
    </w:p>
    <w:p w:rsidR="00362E6E" w:rsidRPr="00132B11" w:rsidRDefault="00362E6E">
      <w:pPr>
        <w:pStyle w:val="EntEmet"/>
        <w:spacing w:before="0" w:line="360" w:lineRule="auto"/>
        <w:jc w:val="center"/>
        <w:rPr>
          <w:b/>
        </w:rPr>
      </w:pPr>
      <w:r w:rsidRPr="00132B11">
        <w:rPr>
          <w:b/>
        </w:rPr>
        <w:t>Thematic Strategy on the prevention and recycling of waste</w:t>
      </w:r>
    </w:p>
    <w:p w:rsidR="00362E6E" w:rsidRPr="00132B11" w:rsidRDefault="00362E6E">
      <w:pPr>
        <w:jc w:val="center"/>
      </w:pPr>
      <w:r w:rsidRPr="00132B11">
        <w:rPr>
          <w:b/>
        </w:rPr>
        <w:t xml:space="preserve">- draft Council conclusions - </w:t>
      </w:r>
      <w:r w:rsidRPr="00132B11">
        <w:rPr>
          <w:rStyle w:val="Fotnotsreferens"/>
        </w:rPr>
        <w:footnoteReference w:id="5"/>
      </w:r>
    </w:p>
    <w:p w:rsidR="00362E6E" w:rsidRPr="00132B11" w:rsidRDefault="00362E6E"/>
    <w:p w:rsidR="00362E6E" w:rsidRPr="00132B11" w:rsidRDefault="00362E6E">
      <w:r w:rsidRPr="00132B11">
        <w:t>The Council:</w:t>
      </w:r>
    </w:p>
    <w:p w:rsidR="00362E6E" w:rsidRPr="00132B11" w:rsidRDefault="00362E6E"/>
    <w:p w:rsidR="00362E6E" w:rsidRPr="00132B11" w:rsidRDefault="00362E6E">
      <w:pPr>
        <w:ind w:left="567" w:hanging="567"/>
      </w:pPr>
      <w:r w:rsidRPr="00132B11">
        <w:t>1.</w:t>
      </w:r>
      <w:r w:rsidRPr="00132B11">
        <w:tab/>
        <w:t>WELCOMES the Commission’s Communication on a Thematic Strategy on the prevention and recycling of waste with its objective of contributing to waste prevention and an efficient, environmentally sound and sustainable management of waste and resources with a view to protecting resources and reducing the overall negative impact of resource use;</w:t>
      </w:r>
    </w:p>
    <w:p w:rsidR="00362E6E" w:rsidRPr="00132B11" w:rsidRDefault="00362E6E"/>
    <w:p w:rsidR="00362E6E" w:rsidRPr="00132B11" w:rsidRDefault="00362E6E">
      <w:pPr>
        <w:ind w:left="567" w:hanging="567"/>
      </w:pPr>
      <w:r w:rsidRPr="00132B11">
        <w:t>2.</w:t>
      </w:r>
      <w:r w:rsidRPr="00132B11">
        <w:tab/>
        <w:t>HIGHLIGHTS the close linkage between the Thematic Strategy and other related Strategies, especially the Thematic Strategy on Resources, the Strategy for Sustainable Development, and the Integrated Product Policy;</w:t>
      </w:r>
    </w:p>
    <w:p w:rsidR="00362E6E" w:rsidRPr="00132B11" w:rsidRDefault="00362E6E"/>
    <w:p w:rsidR="00362E6E" w:rsidRPr="00132B11" w:rsidRDefault="00362E6E">
      <w:pPr>
        <w:ind w:left="567" w:hanging="567"/>
      </w:pPr>
      <w:r w:rsidRPr="00132B11">
        <w:t>3.</w:t>
      </w:r>
      <w:r w:rsidRPr="00132B11">
        <w:tab/>
        <w:t>CONCURS with the Commission that the results of the review of the Strategy shall feed into the final evaluation of the Sixth Environment Action Programme;</w:t>
      </w:r>
    </w:p>
    <w:p w:rsidR="00362E6E" w:rsidRPr="00132B11" w:rsidRDefault="00362E6E"/>
    <w:p w:rsidR="00362E6E" w:rsidRPr="00132B11" w:rsidRDefault="00362E6E">
      <w:pPr>
        <w:outlineLvl w:val="0"/>
        <w:rPr>
          <w:b/>
          <w:u w:val="single"/>
        </w:rPr>
      </w:pPr>
      <w:r w:rsidRPr="00132B11">
        <w:rPr>
          <w:b/>
          <w:u w:val="single"/>
        </w:rPr>
        <w:t>Objectives of the EU policy on waste</w:t>
      </w:r>
    </w:p>
    <w:p w:rsidR="00362E6E" w:rsidRPr="00132B11" w:rsidRDefault="00362E6E"/>
    <w:p w:rsidR="00362E6E" w:rsidRPr="00132B11" w:rsidRDefault="00362E6E">
      <w:pPr>
        <w:ind w:left="567" w:hanging="567"/>
      </w:pPr>
      <w:r w:rsidRPr="00132B11">
        <w:t>4.</w:t>
      </w:r>
      <w:r w:rsidRPr="00132B11">
        <w:tab/>
        <w:t>STRESSES</w:t>
      </w:r>
      <w:r w:rsidRPr="00132B11">
        <w:rPr>
          <w:rFonts w:cs="Arial"/>
        </w:rPr>
        <w:t xml:space="preserve"> the substantial aim for waste management of achieving a high level of protection of the environment and human health;</w:t>
      </w:r>
    </w:p>
    <w:p w:rsidR="00362E6E" w:rsidRPr="00132B11" w:rsidRDefault="00362E6E"/>
    <w:p w:rsidR="00362E6E" w:rsidRPr="00132B11" w:rsidRDefault="00362E6E">
      <w:pPr>
        <w:ind w:left="567" w:hanging="567"/>
      </w:pPr>
      <w:r w:rsidRPr="00132B11">
        <w:t>5.</w:t>
      </w:r>
      <w:r w:rsidRPr="00132B11">
        <w:tab/>
        <w:t xml:space="preserve">STRESSES that account be taken of all environmental impacts irrespective of when or where they will occur, including impacts that occur outside the European Union, considering also socio-economic impacts; </w:t>
      </w:r>
    </w:p>
    <w:p w:rsidR="00362E6E" w:rsidRPr="00132B11" w:rsidRDefault="00362E6E"/>
    <w:p w:rsidR="00362E6E" w:rsidRPr="00132B11" w:rsidRDefault="00362E6E">
      <w:pPr>
        <w:ind w:left="567" w:hanging="567"/>
        <w:rPr>
          <w:rFonts w:cs="Arial"/>
        </w:rPr>
      </w:pPr>
      <w:r w:rsidRPr="00132B11">
        <w:br w:type="page"/>
        <w:t>6.</w:t>
      </w:r>
      <w:r w:rsidRPr="00132B11">
        <w:tab/>
        <w:t xml:space="preserve">UNDERLINES the importance of </w:t>
      </w:r>
      <w:r w:rsidRPr="00132B11">
        <w:rPr>
          <w:rFonts w:cs="Arial"/>
        </w:rPr>
        <w:t xml:space="preserve">the general principles of waste management, such as the precautionary principle and the polluter pays principle, the principle of  waste </w:t>
      </w:r>
      <w:r w:rsidRPr="00132B11">
        <w:rPr>
          <w:rFonts w:cs="Arial"/>
          <w:u w:val="single"/>
        </w:rPr>
        <w:t>generator’s</w:t>
      </w:r>
      <w:r w:rsidRPr="00132B11">
        <w:rPr>
          <w:rFonts w:cs="Arial"/>
        </w:rPr>
        <w:t xml:space="preserve"> responsibility and, for specific waste flows, the principle of producer responsibility, as well as further principles of waste management, such as the principles of proximity and self-sufficiency where they apply;</w:t>
      </w:r>
    </w:p>
    <w:p w:rsidR="00362E6E" w:rsidRPr="00132B11" w:rsidRDefault="00362E6E">
      <w:pPr>
        <w:ind w:left="567" w:hanging="567"/>
        <w:rPr>
          <w:rFonts w:cs="Arial"/>
        </w:rPr>
      </w:pPr>
    </w:p>
    <w:p w:rsidR="00362E6E" w:rsidRPr="00132B11" w:rsidRDefault="00362E6E">
      <w:pPr>
        <w:ind w:left="567" w:hanging="567"/>
      </w:pPr>
      <w:r w:rsidRPr="00132B11">
        <w:t>7.</w:t>
      </w:r>
      <w:r w:rsidRPr="00132B11">
        <w:tab/>
        <w:t>EMPHASISES the key importance of the waste hierarchy</w:t>
      </w:r>
    </w:p>
    <w:p w:rsidR="00362E6E" w:rsidRPr="00132B11" w:rsidRDefault="00362E6E">
      <w:pPr>
        <w:widowControl/>
        <w:numPr>
          <w:ilvl w:val="0"/>
          <w:numId w:val="167"/>
        </w:numPr>
        <w:tabs>
          <w:tab w:val="clear" w:pos="720"/>
          <w:tab w:val="num" w:pos="927"/>
        </w:tabs>
        <w:ind w:left="927"/>
      </w:pPr>
      <w:r w:rsidRPr="00132B11">
        <w:t>prevention</w:t>
      </w:r>
    </w:p>
    <w:p w:rsidR="00362E6E" w:rsidRPr="00132B11" w:rsidRDefault="00362E6E">
      <w:pPr>
        <w:widowControl/>
        <w:numPr>
          <w:ilvl w:val="0"/>
          <w:numId w:val="167"/>
        </w:numPr>
        <w:tabs>
          <w:tab w:val="clear" w:pos="720"/>
          <w:tab w:val="num" w:pos="927"/>
        </w:tabs>
        <w:ind w:left="927"/>
      </w:pPr>
      <w:r w:rsidRPr="00132B11">
        <w:t>re-use</w:t>
      </w:r>
    </w:p>
    <w:p w:rsidR="00362E6E" w:rsidRPr="00132B11" w:rsidRDefault="00362E6E">
      <w:pPr>
        <w:widowControl/>
        <w:numPr>
          <w:ilvl w:val="0"/>
          <w:numId w:val="167"/>
        </w:numPr>
        <w:tabs>
          <w:tab w:val="clear" w:pos="720"/>
          <w:tab w:val="num" w:pos="927"/>
        </w:tabs>
        <w:ind w:left="927"/>
      </w:pPr>
      <w:r w:rsidRPr="00132B11">
        <w:t>recycling</w:t>
      </w:r>
    </w:p>
    <w:p w:rsidR="00362E6E" w:rsidRPr="00132B11" w:rsidRDefault="00362E6E">
      <w:pPr>
        <w:widowControl/>
        <w:numPr>
          <w:ilvl w:val="0"/>
          <w:numId w:val="167"/>
        </w:numPr>
        <w:tabs>
          <w:tab w:val="clear" w:pos="720"/>
          <w:tab w:val="num" w:pos="927"/>
        </w:tabs>
        <w:ind w:left="927"/>
      </w:pPr>
      <w:r w:rsidRPr="00132B11">
        <w:t>other recovery operations, for example recovery operations with energy recovery</w:t>
      </w:r>
    </w:p>
    <w:p w:rsidR="00362E6E" w:rsidRPr="00132B11" w:rsidRDefault="00362E6E">
      <w:pPr>
        <w:widowControl/>
        <w:numPr>
          <w:ilvl w:val="0"/>
          <w:numId w:val="167"/>
        </w:numPr>
        <w:tabs>
          <w:tab w:val="clear" w:pos="720"/>
          <w:tab w:val="num" w:pos="927"/>
        </w:tabs>
        <w:ind w:left="927"/>
      </w:pPr>
      <w:r w:rsidRPr="00132B11">
        <w:t>disposal</w:t>
      </w:r>
    </w:p>
    <w:p w:rsidR="00362E6E" w:rsidRPr="00132B11" w:rsidRDefault="00362E6E">
      <w:pPr>
        <w:ind w:left="567"/>
      </w:pPr>
      <w:r w:rsidRPr="00132B11">
        <w:t>as a general rule of waste management;</w:t>
      </w:r>
    </w:p>
    <w:p w:rsidR="00362E6E" w:rsidRPr="00132B11" w:rsidRDefault="00362E6E"/>
    <w:p w:rsidR="00362E6E" w:rsidRPr="00132B11" w:rsidRDefault="00362E6E">
      <w:pPr>
        <w:ind w:left="567" w:hanging="567"/>
      </w:pPr>
      <w:r w:rsidRPr="00132B11">
        <w:t>8.</w:t>
      </w:r>
      <w:r w:rsidRPr="00132B11">
        <w:tab/>
        <w:t xml:space="preserve">WELCOMES life-cycle thinking as a useful concept to evaluate the environmental and human health impacts of waste and of the use of natural resources, stresses that this concept can be used to minimise these impacts and to deviate from the waste hierarchy and CALLS on the Commission to provide general guidance on life-cycle thinking in the context of waste policy; </w:t>
      </w:r>
    </w:p>
    <w:p w:rsidR="00362E6E" w:rsidRPr="00132B11" w:rsidRDefault="00362E6E"/>
    <w:p w:rsidR="00362E6E" w:rsidRPr="00132B11" w:rsidRDefault="00362E6E">
      <w:pPr>
        <w:ind w:left="567" w:hanging="567"/>
      </w:pPr>
      <w:r w:rsidRPr="00132B11">
        <w:t>9.</w:t>
      </w:r>
      <w:r w:rsidRPr="00132B11">
        <w:tab/>
        <w:t>AGREES with the Commission’s aim to prevent the generation of waste as far as possible;</w:t>
      </w:r>
    </w:p>
    <w:p w:rsidR="00362E6E" w:rsidRPr="00132B11" w:rsidRDefault="00362E6E"/>
    <w:p w:rsidR="00362E6E" w:rsidRPr="00132B11" w:rsidRDefault="00362E6E">
      <w:pPr>
        <w:ind w:left="567" w:hanging="567"/>
      </w:pPr>
      <w:r w:rsidRPr="00132B11">
        <w:t>10.</w:t>
      </w:r>
      <w:r w:rsidRPr="00132B11">
        <w:tab/>
        <w:t>SUPPORTS the EU’s long-term vision of becoming a “European recycling society”, with positive effects not only for the sustainable use of natural resources, but also for the economy and employment and emphasises the importance of taking specific measures to increase re-use and recycling while ensuring a high level of human health and environmental protection in all Member States;</w:t>
      </w:r>
    </w:p>
    <w:p w:rsidR="00362E6E" w:rsidRPr="00132B11" w:rsidRDefault="00362E6E"/>
    <w:p w:rsidR="00362E6E" w:rsidRPr="00132B11" w:rsidRDefault="00362E6E">
      <w:pPr>
        <w:ind w:left="708" w:hanging="708"/>
      </w:pPr>
      <w:r w:rsidRPr="00132B11">
        <w:rPr>
          <w:u w:val="single"/>
        </w:rPr>
        <w:br w:type="page"/>
      </w:r>
      <w:r w:rsidRPr="00132B11">
        <w:t>11</w:t>
      </w:r>
      <w:r w:rsidRPr="00132B11">
        <w:tab/>
        <w:t>ASKS the Commission to give particular consideration, in the context of the final evaluation of the Sixth Environment Action Programme, to the need for realistic long, medium and short term targets and measures to achieve the overall vision of the EU of becoming a "recycling society"; </w:t>
      </w:r>
      <w:r w:rsidRPr="00132B11">
        <w:rPr>
          <w:rStyle w:val="Fotnotsreferens"/>
        </w:rPr>
        <w:footnoteReference w:id="6"/>
      </w:r>
    </w:p>
    <w:p w:rsidR="00362E6E" w:rsidRPr="00132B11" w:rsidRDefault="00362E6E">
      <w:pPr>
        <w:ind w:left="567" w:hanging="567"/>
      </w:pPr>
    </w:p>
    <w:p w:rsidR="00362E6E" w:rsidRPr="00132B11" w:rsidRDefault="00362E6E">
      <w:pPr>
        <w:ind w:left="567" w:hanging="567"/>
      </w:pPr>
      <w:r w:rsidRPr="00132B11">
        <w:t>12.</w:t>
      </w:r>
      <w:r w:rsidRPr="00132B11">
        <w:tab/>
        <w:t>RECOGNISES the objective of the Strategy of minimizing as far as possible the amount of waste for disposal and its environmental impact, while acknowledging that land-filling remains an acceptable option for waste streams that can not be recovered in a sustainable way and providing that land-filling is done in such way that negative impacts on the environment and human health are avoided;</w:t>
      </w:r>
    </w:p>
    <w:p w:rsidR="00362E6E" w:rsidRPr="00132B11" w:rsidRDefault="00362E6E"/>
    <w:p w:rsidR="00362E6E" w:rsidRPr="00132B11" w:rsidRDefault="00362E6E">
      <w:pPr>
        <w:ind w:left="567" w:hanging="567"/>
      </w:pPr>
      <w:r w:rsidRPr="00132B11">
        <w:t>13.</w:t>
      </w:r>
      <w:r w:rsidRPr="00132B11">
        <w:tab/>
        <w:t>TAKES into consideration that a higher degree of recovery must not lead to an increased diffuse dispersion of pollutants;</w:t>
      </w:r>
    </w:p>
    <w:p w:rsidR="00362E6E" w:rsidRPr="00132B11" w:rsidRDefault="00362E6E">
      <w:pPr>
        <w:ind w:left="708" w:hanging="708"/>
        <w:rPr>
          <w:u w:val="single"/>
        </w:rPr>
      </w:pPr>
    </w:p>
    <w:p w:rsidR="00362E6E" w:rsidRPr="00132B11" w:rsidRDefault="00362E6E">
      <w:pPr>
        <w:outlineLvl w:val="0"/>
        <w:rPr>
          <w:b/>
          <w:u w:val="single"/>
        </w:rPr>
      </w:pPr>
      <w:r w:rsidRPr="00132B11">
        <w:rPr>
          <w:b/>
          <w:u w:val="single"/>
        </w:rPr>
        <w:t>Actions</w:t>
      </w:r>
    </w:p>
    <w:p w:rsidR="00362E6E" w:rsidRPr="00132B11" w:rsidRDefault="00362E6E">
      <w:pPr>
        <w:rPr>
          <w:b/>
          <w:u w:val="single"/>
        </w:rPr>
      </w:pPr>
    </w:p>
    <w:p w:rsidR="00362E6E" w:rsidRPr="00132B11" w:rsidRDefault="00362E6E">
      <w:pPr>
        <w:ind w:left="567" w:hanging="567"/>
      </w:pPr>
      <w:r w:rsidRPr="00132B11">
        <w:t>14.</w:t>
      </w:r>
      <w:r w:rsidRPr="00132B11">
        <w:tab/>
        <w:t xml:space="preserve">HIGHLIGHTS that measures and initiatives based on the strategy on waste must be sustainable and must make a substantial contribution to an eco-efficient use of resources; </w:t>
      </w:r>
    </w:p>
    <w:p w:rsidR="00362E6E" w:rsidRPr="00132B11" w:rsidRDefault="00362E6E"/>
    <w:p w:rsidR="00362E6E" w:rsidRPr="00132B11" w:rsidRDefault="00362E6E">
      <w:pPr>
        <w:ind w:left="567" w:hanging="567"/>
      </w:pPr>
      <w:r w:rsidRPr="00132B11">
        <w:t>15.</w:t>
      </w:r>
      <w:r w:rsidRPr="00132B11">
        <w:tab/>
        <w:t>SUPPORTS the improvement of the knowledge base and the beneficial use of data, especially on the impacts of resource use, waste generation and waste management, and calls on the Commission to consider appropriate simplification measures in order to avoid duplication and overlapping of reports and information to be submitted;</w:t>
      </w:r>
    </w:p>
    <w:p w:rsidR="00362E6E" w:rsidRPr="00132B11" w:rsidRDefault="00362E6E"/>
    <w:p w:rsidR="00362E6E" w:rsidRPr="00132B11" w:rsidRDefault="00362E6E">
      <w:pPr>
        <w:outlineLvl w:val="0"/>
        <w:rPr>
          <w:i/>
          <w:u w:val="single"/>
        </w:rPr>
      </w:pPr>
      <w:r w:rsidRPr="00132B11">
        <w:rPr>
          <w:i/>
        </w:rPr>
        <w:t>a)</w:t>
      </w:r>
      <w:r w:rsidRPr="00132B11">
        <w:rPr>
          <w:b/>
          <w:i/>
        </w:rPr>
        <w:tab/>
      </w:r>
      <w:r w:rsidRPr="00132B11">
        <w:rPr>
          <w:i/>
          <w:u w:val="single"/>
        </w:rPr>
        <w:t>Legislative measures</w:t>
      </w:r>
    </w:p>
    <w:p w:rsidR="00362E6E" w:rsidRPr="00132B11" w:rsidRDefault="00362E6E">
      <w:pPr>
        <w:outlineLvl w:val="0"/>
        <w:rPr>
          <w:b/>
        </w:rPr>
      </w:pPr>
    </w:p>
    <w:p w:rsidR="00362E6E" w:rsidRPr="00132B11" w:rsidRDefault="00362E6E">
      <w:pPr>
        <w:ind w:left="567" w:hanging="567"/>
      </w:pPr>
      <w:r w:rsidRPr="00132B11">
        <w:t>16.</w:t>
      </w:r>
      <w:r w:rsidRPr="00132B11">
        <w:tab/>
        <w:t>RECOGNISES that emphasis should be placed on the full implementation of the EC waste legislation;</w:t>
      </w:r>
    </w:p>
    <w:p w:rsidR="00362E6E" w:rsidRPr="00132B11" w:rsidRDefault="00362E6E"/>
    <w:p w:rsidR="00362E6E" w:rsidRPr="00132B11" w:rsidRDefault="00362E6E">
      <w:pPr>
        <w:ind w:left="567" w:hanging="567"/>
      </w:pPr>
      <w:r w:rsidRPr="00132B11">
        <w:br w:type="page"/>
        <w:t>17.</w:t>
      </w:r>
      <w:r w:rsidRPr="00132B11">
        <w:tab/>
        <w:t>SUPPORTS the Commission’s approach to modernizing the existing legal framework by clarifying, simplifying and streamlining the EU waste law with the aim of better regulation, including the promotion of synergies with existing EU law, and stresses the importance of maintaining a high level of protection of human health and the environment;</w:t>
      </w:r>
    </w:p>
    <w:p w:rsidR="00362E6E" w:rsidRPr="00132B11" w:rsidRDefault="00362E6E"/>
    <w:p w:rsidR="00362E6E" w:rsidRPr="00132B11" w:rsidRDefault="00362E6E">
      <w:pPr>
        <w:ind w:left="567" w:hanging="567"/>
      </w:pPr>
      <w:r w:rsidRPr="00132B11">
        <w:t>18</w:t>
      </w:r>
      <w:r w:rsidRPr="00132B11">
        <w:tab/>
        <w:t xml:space="preserve">CALLS on the Commission to ensure that […] its </w:t>
      </w:r>
      <w:r w:rsidRPr="00132B11">
        <w:rPr>
          <w:u w:val="single"/>
        </w:rPr>
        <w:t>major</w:t>
      </w:r>
      <w:r w:rsidRPr="00132B11">
        <w:t xml:space="preserve"> proposals are fully assessed in terms of their economic, social and environmental costs and benefits and their impact on levels of waste recycling and recovery activities in the EU;</w:t>
      </w:r>
    </w:p>
    <w:p w:rsidR="00362E6E" w:rsidRPr="00132B11" w:rsidRDefault="00362E6E"/>
    <w:p w:rsidR="00362E6E" w:rsidRPr="00132B11" w:rsidRDefault="00362E6E">
      <w:pPr>
        <w:ind w:left="567" w:hanging="567"/>
      </w:pPr>
      <w:r w:rsidRPr="00132B11">
        <w:t>19.</w:t>
      </w:r>
      <w:r w:rsidRPr="00132B11">
        <w:tab/>
        <w:t>ACKNOWLEDGES the Commission proposal for the revision of directive 2006/12/EC on waste and takes note of the Commission's intention to draw up and present proposals for the amendment of the other directives and measures in the field of waste management based on the topics listed in the strategy, but highlights the fact that stability of rules is important for all stakeholders;</w:t>
      </w:r>
    </w:p>
    <w:p w:rsidR="00362E6E" w:rsidRPr="00132B11" w:rsidRDefault="00362E6E"/>
    <w:p w:rsidR="00362E6E" w:rsidRPr="00132B11" w:rsidRDefault="00362E6E">
      <w:pPr>
        <w:ind w:left="567" w:hanging="567"/>
      </w:pPr>
      <w:r w:rsidRPr="00132B11">
        <w:t>20.</w:t>
      </w:r>
      <w:r w:rsidRPr="00132B11">
        <w:tab/>
        <w:t xml:space="preserve">CALLS ON the Commission to clarify and harmonize corresponding definitions in future proposals of waste management legislation with the definitions contained in the revised directive on waste, as appropriate, in order to ensure that they are practicable and provide the greater certainty and clarity essential for the competent authorities and stakeholders; </w:t>
      </w:r>
    </w:p>
    <w:p w:rsidR="00362E6E" w:rsidRPr="00132B11" w:rsidRDefault="00362E6E"/>
    <w:p w:rsidR="00362E6E" w:rsidRPr="00132B11" w:rsidRDefault="00362E6E">
      <w:pPr>
        <w:ind w:left="567" w:hanging="567"/>
      </w:pPr>
      <w:r w:rsidRPr="00132B11">
        <w:t>21.</w:t>
      </w:r>
      <w:r w:rsidRPr="00132B11">
        <w:tab/>
        <w:t xml:space="preserve">EMPHASISES the importance of […] </w:t>
      </w:r>
      <w:r w:rsidRPr="00132B11">
        <w:rPr>
          <w:u w:val="single"/>
        </w:rPr>
        <w:t>using</w:t>
      </w:r>
      <w:r w:rsidRPr="00132B11">
        <w:t xml:space="preserve"> the comitology procedure in waste legislation </w:t>
      </w:r>
      <w:r w:rsidRPr="00132B11">
        <w:rPr>
          <w:u w:val="single"/>
        </w:rPr>
        <w:t>only for</w:t>
      </w:r>
      <w:r w:rsidRPr="00132B11">
        <w:t xml:space="preserve"> decisions of […] a technical and scientific nature, </w:t>
      </w:r>
      <w:r w:rsidRPr="00132B11">
        <w:rPr>
          <w:u w:val="single"/>
        </w:rPr>
        <w:t>concerning non essential elements of a basic instrument,</w:t>
      </w:r>
      <w:r w:rsidRPr="00132B11">
        <w:t xml:space="preserve"> and stresses that this procedure needs a clear mandate in the particular legislation; </w:t>
      </w:r>
    </w:p>
    <w:p w:rsidR="00362E6E" w:rsidRPr="00132B11" w:rsidRDefault="00362E6E">
      <w:pPr>
        <w:ind w:left="567" w:hanging="567"/>
      </w:pPr>
    </w:p>
    <w:p w:rsidR="00362E6E" w:rsidRPr="00132B11" w:rsidRDefault="00362E6E">
      <w:pPr>
        <w:ind w:left="567" w:hanging="567"/>
      </w:pPr>
      <w:r w:rsidRPr="00132B11">
        <w:br w:type="page"/>
        <w:t>22.</w:t>
      </w:r>
      <w:r w:rsidRPr="00132B11">
        <w:tab/>
        <w:t>CONSIDERS that the new regulation on shipments of waste implements legal obligations from the UN Basel Convention and OECD Decisions, supports the prevention of eco-dumping and sham recovery </w:t>
      </w:r>
      <w:r w:rsidRPr="00132B11">
        <w:rPr>
          <w:rStyle w:val="Fotnotsreferens"/>
        </w:rPr>
        <w:footnoteReference w:id="7"/>
      </w:r>
      <w:r w:rsidRPr="00132B11">
        <w:t xml:space="preserve"> and underlines that an objective of regulating shipments of waste is to enhance the re-use and recycling of wastes with a high level of environmental and human health protection; </w:t>
      </w:r>
    </w:p>
    <w:p w:rsidR="00362E6E" w:rsidRPr="00132B11" w:rsidRDefault="00362E6E">
      <w:pPr>
        <w:ind w:left="567" w:hanging="567"/>
      </w:pPr>
      <w:r w:rsidRPr="00132B11">
        <w:rPr>
          <w:rStyle w:val="Fotnotsreferens"/>
        </w:rPr>
        <w:footnoteReference w:id="8"/>
      </w:r>
    </w:p>
    <w:p w:rsidR="00362E6E" w:rsidRPr="00132B11" w:rsidRDefault="00362E6E">
      <w:pPr>
        <w:outlineLvl w:val="0"/>
        <w:rPr>
          <w:b/>
        </w:rPr>
      </w:pPr>
    </w:p>
    <w:p w:rsidR="00362E6E" w:rsidRPr="00132B11" w:rsidRDefault="00362E6E">
      <w:pPr>
        <w:outlineLvl w:val="0"/>
        <w:rPr>
          <w:i/>
          <w:u w:val="single"/>
        </w:rPr>
      </w:pPr>
      <w:r w:rsidRPr="00132B11">
        <w:rPr>
          <w:i/>
        </w:rPr>
        <w:t>b)</w:t>
      </w:r>
      <w:r w:rsidRPr="00132B11">
        <w:rPr>
          <w:i/>
        </w:rPr>
        <w:tab/>
      </w:r>
      <w:r w:rsidRPr="00132B11">
        <w:rPr>
          <w:i/>
          <w:u w:val="single"/>
        </w:rPr>
        <w:t>Prevention</w:t>
      </w:r>
    </w:p>
    <w:p w:rsidR="00362E6E" w:rsidRPr="00132B11" w:rsidRDefault="00362E6E">
      <w:pPr>
        <w:outlineLvl w:val="0"/>
        <w:rPr>
          <w:b/>
        </w:rPr>
      </w:pPr>
    </w:p>
    <w:p w:rsidR="00362E6E" w:rsidRPr="00132B11" w:rsidRDefault="00362E6E">
      <w:pPr>
        <w:ind w:left="567" w:hanging="567"/>
      </w:pPr>
      <w:r w:rsidRPr="00132B11">
        <w:t>23.</w:t>
      </w:r>
      <w:r w:rsidRPr="00132B11">
        <w:tab/>
        <w:t>CALLS ON the Commission to come forward with concrete measures on prevention of waste in the fields of product policy, chemicals policy and eco-design to minimize both the generation of waste and the presence of hazardous substances in waste, and thereby to foster the safe and environmentally sound treatment of waste, and emphasises the importance of promoting products and technologies causing less harmful environmental effects and products more suitable for re-use and recycling;</w:t>
      </w:r>
    </w:p>
    <w:p w:rsidR="00362E6E" w:rsidRPr="00132B11" w:rsidRDefault="00362E6E"/>
    <w:p w:rsidR="00362E6E" w:rsidRPr="00132B11" w:rsidRDefault="00362E6E">
      <w:pPr>
        <w:ind w:left="567" w:hanging="567"/>
      </w:pPr>
      <w:r w:rsidRPr="00132B11">
        <w:t>24.</w:t>
      </w:r>
      <w:r w:rsidRPr="00132B11">
        <w:tab/>
        <w:t>REQUESTS the Commission to work towards considering reinforcing the waste prevention aspects of BREF documents according to the IPPC-Directive and to include relevant guidance in these documents;</w:t>
      </w:r>
    </w:p>
    <w:p w:rsidR="00362E6E" w:rsidRPr="00132B11" w:rsidRDefault="00362E6E"/>
    <w:p w:rsidR="00362E6E" w:rsidRPr="00132B11" w:rsidRDefault="00362E6E">
      <w:pPr>
        <w:ind w:left="567" w:hanging="567"/>
      </w:pPr>
      <w:r w:rsidRPr="00132B11">
        <w:t>25.</w:t>
      </w:r>
      <w:r w:rsidRPr="00132B11">
        <w:tab/>
        <w:t>CALLS ON the Commission to develop guidelines for waste prevention, including indicators, taking into account the different economic conditions and developments of Member States;</w:t>
      </w:r>
    </w:p>
    <w:p w:rsidR="00362E6E" w:rsidRPr="00132B11" w:rsidRDefault="00362E6E"/>
    <w:p w:rsidR="00362E6E" w:rsidRPr="00132B11" w:rsidRDefault="00362E6E">
      <w:pPr>
        <w:ind w:left="567" w:hanging="567"/>
      </w:pPr>
      <w:r w:rsidRPr="00132B11">
        <w:br w:type="page"/>
        <w:t>26.</w:t>
      </w:r>
      <w:r w:rsidRPr="00132B11">
        <w:tab/>
        <w:t>STRESSES the role of education and information activities in the waste prevention field especially to promote sustainable production and consumption as well as the importance of green public procurement, and calls on the Commission to ensure that any legislative barriers to green public procurement are removed;</w:t>
      </w:r>
    </w:p>
    <w:p w:rsidR="00362E6E" w:rsidRPr="00132B11" w:rsidRDefault="00362E6E">
      <w:pPr>
        <w:ind w:left="567" w:hanging="567"/>
        <w:rPr>
          <w:i/>
        </w:rPr>
      </w:pPr>
    </w:p>
    <w:p w:rsidR="00362E6E" w:rsidRPr="00132B11" w:rsidRDefault="00362E6E">
      <w:pPr>
        <w:ind w:left="567" w:hanging="567"/>
        <w:rPr>
          <w:i/>
        </w:rPr>
      </w:pPr>
      <w:r w:rsidRPr="00132B11">
        <w:rPr>
          <w:i/>
        </w:rPr>
        <w:t>c)</w:t>
      </w:r>
      <w:r w:rsidRPr="00132B11">
        <w:rPr>
          <w:i/>
        </w:rPr>
        <w:tab/>
      </w:r>
      <w:r w:rsidRPr="00132B11">
        <w:rPr>
          <w:i/>
          <w:u w:val="single"/>
        </w:rPr>
        <w:t>Recycling</w:t>
      </w:r>
    </w:p>
    <w:p w:rsidR="00362E6E" w:rsidRPr="00132B11" w:rsidRDefault="00362E6E">
      <w:pPr>
        <w:outlineLvl w:val="0"/>
        <w:rPr>
          <w:b/>
        </w:rPr>
      </w:pPr>
    </w:p>
    <w:p w:rsidR="00362E6E" w:rsidRPr="00132B11" w:rsidRDefault="00362E6E">
      <w:pPr>
        <w:ind w:left="567" w:hanging="567"/>
      </w:pPr>
      <w:r w:rsidRPr="00132B11">
        <w:t>27.</w:t>
      </w:r>
      <w:r w:rsidRPr="00132B11">
        <w:tab/>
        <w:t>UNDERLINES the importance of achieving common minimum standards for recovery and recycling where justified at EU level whilst noting that individual Member States can maintain or establish higher standards for recycling with regard to the achievement of a high level of environmental and human health protection;</w:t>
      </w:r>
    </w:p>
    <w:p w:rsidR="00362E6E" w:rsidRPr="00132B11" w:rsidRDefault="00362E6E">
      <w:pPr>
        <w:ind w:left="567" w:hanging="567"/>
      </w:pPr>
    </w:p>
    <w:p w:rsidR="00362E6E" w:rsidRPr="00132B11" w:rsidRDefault="00362E6E">
      <w:pPr>
        <w:ind w:left="567" w:hanging="567"/>
      </w:pPr>
      <w:r w:rsidRPr="00132B11">
        <w:t>28.</w:t>
      </w:r>
      <w:r w:rsidRPr="00132B11">
        <w:tab/>
        <w:t xml:space="preserve">RECOGNISES the need for closer EU cooperation in case of trans-boundary waste management problems; </w:t>
      </w:r>
      <w:r w:rsidRPr="00132B11">
        <w:rPr>
          <w:rStyle w:val="Fotnotsreferens"/>
        </w:rPr>
        <w:footnoteReference w:id="9"/>
      </w:r>
    </w:p>
    <w:p w:rsidR="00362E6E" w:rsidRPr="00132B11" w:rsidRDefault="00362E6E">
      <w:pPr>
        <w:ind w:left="567" w:hanging="567"/>
        <w:rPr>
          <w:u w:val="single"/>
        </w:rPr>
      </w:pPr>
    </w:p>
    <w:p w:rsidR="00362E6E" w:rsidRPr="00132B11" w:rsidRDefault="00362E6E">
      <w:pPr>
        <w:ind w:left="567" w:hanging="567"/>
      </w:pPr>
      <w:r w:rsidRPr="00132B11">
        <w:t>29.</w:t>
      </w:r>
      <w:r w:rsidRPr="00132B11">
        <w:tab/>
        <w:t>WELCOMES the emphasis on increased levels for recycling for creating a level playing field throughout the European Union for managing waste in the most appropriate way to increase environmental and human health protection and highlights that the production of high-quality compost</w:t>
      </w:r>
      <w:r w:rsidRPr="00132B11">
        <w:rPr>
          <w:u w:val="single"/>
        </w:rPr>
        <w:t>, particularly compost</w:t>
      </w:r>
      <w:r w:rsidRPr="00132B11">
        <w:t xml:space="preserve"> derived from separately collected bio-waste</w:t>
      </w:r>
      <w:r w:rsidRPr="00132B11">
        <w:rPr>
          <w:u w:val="single"/>
        </w:rPr>
        <w:t>,</w:t>
      </w:r>
      <w:r w:rsidRPr="00132B11">
        <w:t xml:space="preserve"> constitutes an important component in this field and acknowledges the importance of measures on bio-waste; </w:t>
      </w:r>
    </w:p>
    <w:p w:rsidR="00362E6E" w:rsidRPr="00132B11" w:rsidRDefault="00362E6E"/>
    <w:p w:rsidR="00362E6E" w:rsidRPr="00132B11" w:rsidRDefault="00362E6E">
      <w:pPr>
        <w:ind w:left="567" w:hanging="567"/>
      </w:pPr>
      <w:r w:rsidRPr="00132B11">
        <w:t>30.</w:t>
      </w:r>
      <w:r w:rsidRPr="00132B11">
        <w:tab/>
        <w:t>EMPHASISES the importance of promoting source separation of waste and the important role that the recycling legislation, collection and recycling targets and producer responsibility for specific waste streams continue to play in improving waste management in the Community and increasing the recycling rate of certain waste streams;</w:t>
      </w:r>
    </w:p>
    <w:p w:rsidR="00362E6E" w:rsidRPr="00132B11" w:rsidRDefault="00362E6E">
      <w:r w:rsidRPr="00132B11">
        <w:br w:type="page"/>
      </w:r>
      <w:bookmarkStart w:id="20" w:name="ControlPages"/>
      <w:bookmarkEnd w:id="20"/>
    </w:p>
    <w:p w:rsidR="00362E6E" w:rsidRPr="00132B11" w:rsidRDefault="00362E6E">
      <w:pPr>
        <w:ind w:left="567" w:hanging="567"/>
      </w:pPr>
      <w:r w:rsidRPr="00132B11">
        <w:t>31.</w:t>
      </w:r>
      <w:r w:rsidRPr="00132B11">
        <w:tab/>
        <w:t>HIGHLIGHTS that a material-based approach is complementary to the product-based approach and calls on the Commission to carry out an analysis of the long-term feasibility and viability of a material-based approach to waste recycling, including its implications for producer responsibility;</w:t>
      </w:r>
    </w:p>
    <w:p w:rsidR="00362E6E" w:rsidRPr="00132B11" w:rsidRDefault="00362E6E">
      <w:pPr>
        <w:rPr>
          <w:b/>
        </w:rPr>
      </w:pPr>
    </w:p>
    <w:p w:rsidR="00362E6E" w:rsidRPr="00132B11" w:rsidRDefault="00362E6E">
      <w:pPr>
        <w:outlineLvl w:val="0"/>
        <w:rPr>
          <w:i/>
          <w:u w:val="single"/>
        </w:rPr>
      </w:pPr>
      <w:r w:rsidRPr="00132B11">
        <w:rPr>
          <w:i/>
        </w:rPr>
        <w:t>d)</w:t>
      </w:r>
      <w:r w:rsidRPr="00132B11">
        <w:rPr>
          <w:i/>
        </w:rPr>
        <w:tab/>
      </w:r>
      <w:r w:rsidRPr="00132B11">
        <w:rPr>
          <w:i/>
          <w:u w:val="single"/>
        </w:rPr>
        <w:t>Economic instruments</w:t>
      </w:r>
    </w:p>
    <w:p w:rsidR="00362E6E" w:rsidRPr="00132B11" w:rsidRDefault="00362E6E">
      <w:pPr>
        <w:outlineLvl w:val="0"/>
        <w:rPr>
          <w:b/>
        </w:rPr>
      </w:pPr>
    </w:p>
    <w:p w:rsidR="00362E6E" w:rsidRPr="00132B11" w:rsidRDefault="00362E6E">
      <w:pPr>
        <w:ind w:left="567" w:hanging="567"/>
      </w:pPr>
      <w:r w:rsidRPr="00132B11">
        <w:t>32.</w:t>
      </w:r>
      <w:r w:rsidRPr="00132B11">
        <w:tab/>
        <w:t>EMPHASISES that economic instruments can play a crucial role in waste prevention and management and stresses that individual Member States can decide on the use of such instruments;</w:t>
      </w:r>
    </w:p>
    <w:p w:rsidR="00362E6E" w:rsidRPr="00132B11" w:rsidRDefault="00362E6E">
      <w:pPr>
        <w:ind w:left="567" w:hanging="567"/>
      </w:pPr>
    </w:p>
    <w:p w:rsidR="00362E6E" w:rsidRPr="00132B11" w:rsidRDefault="00362E6E">
      <w:pPr>
        <w:ind w:left="567" w:hanging="567"/>
      </w:pPr>
      <w:r w:rsidRPr="00132B11">
        <w:t>33.</w:t>
      </w:r>
      <w:r w:rsidRPr="00132B11">
        <w:tab/>
        <w:t xml:space="preserve">CONSIDERS that external costs which arise from waste management will to a greater extent be included in prices of waste management activities for the purpose of reflecting the polluter pays principle. </w:t>
      </w:r>
    </w:p>
    <w:p w:rsidR="00362E6E" w:rsidRPr="00132B11" w:rsidRDefault="00362E6E"/>
    <w:p w:rsidR="00362E6E" w:rsidRPr="00132B11" w:rsidRDefault="00362E6E">
      <w:pPr>
        <w:ind w:left="708" w:hanging="708"/>
        <w:rPr>
          <w:u w:val="single"/>
        </w:rPr>
      </w:pPr>
    </w:p>
    <w:p w:rsidR="00362E6E" w:rsidRPr="00132B11" w:rsidRDefault="00362E6E">
      <w:pPr>
        <w:ind w:left="708" w:hanging="708"/>
        <w:rPr>
          <w:u w:val="single"/>
        </w:rPr>
      </w:pPr>
    </w:p>
    <w:p w:rsidR="00362E6E" w:rsidRPr="00132B11" w:rsidRDefault="00362E6E">
      <w:pPr>
        <w:ind w:left="708" w:hanging="708"/>
        <w:jc w:val="center"/>
        <w:rPr>
          <w:szCs w:val="24"/>
          <w:u w:val="double"/>
        </w:rPr>
      </w:pPr>
      <w:r w:rsidRPr="00132B11">
        <w:rPr>
          <w:szCs w:val="24"/>
          <w:u w:val="double"/>
        </w:rPr>
        <w:tab/>
      </w:r>
      <w:r w:rsidRPr="00132B11">
        <w:rPr>
          <w:szCs w:val="24"/>
          <w:u w:val="double"/>
        </w:rPr>
        <w:tab/>
      </w:r>
      <w:r w:rsidRPr="00132B11">
        <w:rPr>
          <w:szCs w:val="24"/>
          <w:u w:val="double"/>
        </w:rPr>
        <w:tab/>
      </w:r>
      <w:r w:rsidRPr="00132B11">
        <w:rPr>
          <w:szCs w:val="24"/>
          <w:u w:val="double"/>
        </w:rPr>
        <w:tab/>
      </w:r>
    </w:p>
    <w:p w:rsidR="00362E6E" w:rsidRPr="00132B11" w:rsidRDefault="00362E6E"/>
    <w:p w:rsidR="00362E6E" w:rsidRPr="00132B11" w:rsidRDefault="00362E6E">
      <w:pPr>
        <w:spacing w:line="240" w:lineRule="auto"/>
      </w:pPr>
    </w:p>
    <w:sectPr w:rsidR="00362E6E" w:rsidRPr="00132B11">
      <w:footerReference w:type="default" r:id="rId9"/>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E6E" w:rsidRPr="00132B11" w:rsidRDefault="00362E6E">
      <w:r w:rsidRPr="00132B11">
        <w:separator/>
      </w:r>
    </w:p>
  </w:endnote>
  <w:endnote w:type="continuationSeparator" w:id="0">
    <w:p w:rsidR="00362E6E" w:rsidRPr="00132B11" w:rsidRDefault="00362E6E">
      <w:r w:rsidRPr="00132B11">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E6E" w:rsidRPr="00132B11" w:rsidRDefault="00362E6E">
    <w:pPr>
      <w:pStyle w:val="Sidfot"/>
      <w:pBdr>
        <w:bottom w:val="single" w:sz="4" w:space="1" w:color="auto"/>
      </w:pBdr>
      <w:spacing w:after="60"/>
    </w:pPr>
  </w:p>
  <w:p w:rsidR="00362E6E" w:rsidRPr="00132B11" w:rsidRDefault="00362E6E">
    <w:pPr>
      <w:pStyle w:val="Sidfot"/>
      <w:tabs>
        <w:tab w:val="left" w:pos="1701"/>
      </w:tabs>
    </w:pPr>
    <w:bookmarkStart w:id="14" w:name="CoteFooter"/>
    <w:bookmarkEnd w:id="14"/>
    <w:r w:rsidRPr="00132B11">
      <w:t>10457/06</w:t>
    </w:r>
    <w:r w:rsidRPr="00132B11">
      <w:tab/>
      <w:t>UNOFFICIAL</w:t>
    </w:r>
    <w:r w:rsidRPr="00132B11">
      <w:tab/>
    </w:r>
    <w:bookmarkStart w:id="15" w:name="SuplCote"/>
    <w:bookmarkEnd w:id="15"/>
    <w:r w:rsidRPr="00132B11">
      <w:tab/>
    </w:r>
    <w:bookmarkStart w:id="16" w:name="Init"/>
    <w:bookmarkEnd w:id="16"/>
    <w:r w:rsidRPr="00132B11">
      <w:t>CM/pc</w:t>
    </w:r>
    <w:r w:rsidRPr="00132B11">
      <w:tab/>
    </w:r>
    <w:r w:rsidRPr="00132B11">
      <w:rPr>
        <w:rStyle w:val="Sidnummer"/>
      </w:rPr>
      <w:fldChar w:fldCharType="begin" w:fldLock="1"/>
    </w:r>
    <w:r w:rsidRPr="00132B11">
      <w:rPr>
        <w:rStyle w:val="Sidnummer"/>
      </w:rPr>
      <w:instrText xml:space="preserve"> PAGE </w:instrText>
    </w:r>
    <w:r w:rsidRPr="00132B11">
      <w:rPr>
        <w:rStyle w:val="Sidnummer"/>
      </w:rPr>
      <w:fldChar w:fldCharType="separate"/>
    </w:r>
    <w:r w:rsidRPr="00132B11">
      <w:rPr>
        <w:rStyle w:val="Sidnummer"/>
      </w:rPr>
      <w:t>3</w:t>
    </w:r>
    <w:r w:rsidRPr="00132B11">
      <w:rPr>
        <w:rStyle w:val="Sidnummer"/>
      </w:rPr>
      <w:fldChar w:fldCharType="end"/>
    </w:r>
  </w:p>
  <w:p w:rsidR="00362E6E" w:rsidRPr="00132B11" w:rsidRDefault="00362E6E">
    <w:pPr>
      <w:pStyle w:val="Sidfot"/>
      <w:tabs>
        <w:tab w:val="clear" w:pos="7371"/>
      </w:tabs>
      <w:spacing w:line="280" w:lineRule="exact"/>
    </w:pPr>
    <w:r w:rsidRPr="00132B11">
      <w:tab/>
    </w:r>
    <w:bookmarkStart w:id="17" w:name="DG"/>
    <w:bookmarkEnd w:id="17"/>
    <w:r w:rsidRPr="00132B11">
      <w:t>DG I</w:t>
    </w:r>
    <w:r w:rsidRPr="00132B11">
      <w:tab/>
    </w:r>
    <w:bookmarkStart w:id="18" w:name="FooterCoteSec"/>
    <w:r w:rsidRPr="00132B11">
      <w:rPr>
        <w:b/>
        <w:position w:val="-4"/>
        <w:sz w:val="36"/>
      </w:rPr>
      <w:t xml:space="preserve"> </w:t>
    </w:r>
    <w:bookmarkEnd w:id="18"/>
    <w:r w:rsidRPr="00132B11">
      <w:rPr>
        <w:b/>
        <w:position w:val="-4"/>
        <w:sz w:val="36"/>
      </w:rPr>
      <w:t>LIMITE</w:t>
    </w:r>
    <w:r w:rsidRPr="00132B11">
      <w:rPr>
        <w:b/>
        <w:position w:val="-4"/>
        <w:sz w:val="36"/>
      </w:rPr>
      <w:t> </w:t>
    </w:r>
    <w:bookmarkStart w:id="19" w:name="Langue"/>
    <w:r w:rsidRPr="00132B11">
      <w:rPr>
        <w:b/>
        <w:position w:val="-4"/>
        <w:sz w:val="36"/>
      </w:rPr>
      <w:t>EN</w:t>
    </w:r>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E6E" w:rsidRPr="00132B11" w:rsidRDefault="00362E6E">
    <w:pPr>
      <w:pStyle w:val="Sidfot"/>
      <w:pBdr>
        <w:bottom w:val="single" w:sz="4" w:space="1" w:color="auto"/>
      </w:pBdr>
      <w:spacing w:after="60"/>
    </w:pPr>
  </w:p>
  <w:p w:rsidR="00362E6E" w:rsidRPr="00132B11" w:rsidRDefault="00362E6E">
    <w:pPr>
      <w:pStyle w:val="Sidfot"/>
      <w:tabs>
        <w:tab w:val="left" w:pos="1701"/>
      </w:tabs>
    </w:pPr>
    <w:r w:rsidRPr="00132B11">
      <w:t>10457/06</w:t>
    </w:r>
    <w:r w:rsidRPr="00132B11">
      <w:tab/>
      <w:t>UNOFFICIAL</w:t>
    </w:r>
    <w:r w:rsidRPr="00132B11">
      <w:tab/>
    </w:r>
    <w:r w:rsidRPr="00132B11">
      <w:tab/>
      <w:t>CM/pc</w:t>
    </w:r>
    <w:r w:rsidRPr="00132B11">
      <w:tab/>
    </w:r>
    <w:r w:rsidRPr="00132B11">
      <w:rPr>
        <w:rStyle w:val="Sidnummer"/>
      </w:rPr>
      <w:fldChar w:fldCharType="begin" w:fldLock="1"/>
    </w:r>
    <w:r w:rsidRPr="00132B11">
      <w:rPr>
        <w:rStyle w:val="Sidnummer"/>
      </w:rPr>
      <w:instrText xml:space="preserve"> PAGE </w:instrText>
    </w:r>
    <w:r w:rsidRPr="00132B11">
      <w:rPr>
        <w:rStyle w:val="Sidnummer"/>
      </w:rPr>
      <w:fldChar w:fldCharType="separate"/>
    </w:r>
    <w:r w:rsidRPr="00132B11">
      <w:rPr>
        <w:rStyle w:val="Sidnummer"/>
      </w:rPr>
      <w:t>10</w:t>
    </w:r>
    <w:r w:rsidRPr="00132B11">
      <w:rPr>
        <w:rStyle w:val="Sidnummer"/>
      </w:rPr>
      <w:fldChar w:fldCharType="end"/>
    </w:r>
  </w:p>
  <w:p w:rsidR="00362E6E" w:rsidRPr="00132B11" w:rsidRDefault="00362E6E">
    <w:pPr>
      <w:pStyle w:val="Sidfot"/>
      <w:tabs>
        <w:tab w:val="clear" w:pos="7371"/>
      </w:tabs>
      <w:spacing w:line="280" w:lineRule="exact"/>
    </w:pPr>
    <w:r w:rsidRPr="00132B11">
      <w:t>ANNEX</w:t>
    </w:r>
    <w:r w:rsidRPr="00132B11">
      <w:tab/>
      <w:t>DG I</w:t>
    </w:r>
    <w:r w:rsidRPr="00132B11">
      <w:tab/>
    </w:r>
    <w:r w:rsidRPr="00132B11">
      <w:rPr>
        <w:b/>
        <w:position w:val="-4"/>
        <w:sz w:val="36"/>
      </w:rPr>
      <w:t xml:space="preserve"> LIMITE</w:t>
    </w:r>
    <w:r w:rsidRPr="00132B11">
      <w:rPr>
        <w:b/>
        <w:position w:val="-4"/>
        <w:sz w:val="36"/>
      </w:rPr>
      <w:t> </w:t>
    </w:r>
    <w:r w:rsidRPr="00132B11">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E6E" w:rsidRPr="00132B11" w:rsidRDefault="00362E6E">
      <w:pPr>
        <w:pStyle w:val="Fotnotstext"/>
      </w:pPr>
      <w:r w:rsidRPr="00132B11">
        <w:separator/>
      </w:r>
    </w:p>
  </w:footnote>
  <w:footnote w:type="continuationSeparator" w:id="0">
    <w:p w:rsidR="00362E6E" w:rsidRPr="00132B11" w:rsidRDefault="00362E6E">
      <w:pPr>
        <w:pStyle w:val="Fotnotstext"/>
      </w:pPr>
      <w:r w:rsidRPr="00132B11">
        <w:separator/>
      </w:r>
    </w:p>
  </w:footnote>
  <w:footnote w:id="1">
    <w:p w:rsidR="00362E6E" w:rsidRPr="00132B11" w:rsidRDefault="00362E6E">
      <w:pPr>
        <w:pStyle w:val="Fotnotstext"/>
      </w:pPr>
      <w:r w:rsidRPr="00132B11">
        <w:rPr>
          <w:rStyle w:val="Fotnotsreferens"/>
        </w:rPr>
        <w:sym w:font="Symbol" w:char="F02A"/>
      </w:r>
      <w:r w:rsidRPr="00132B11">
        <w:t xml:space="preserve"> </w:t>
      </w:r>
      <w:r w:rsidRPr="00132B11">
        <w:tab/>
        <w:t>Decision 1600/2002/EC, OJ L 242, 10.09.2002, p.1.</w:t>
      </w:r>
    </w:p>
  </w:footnote>
  <w:footnote w:id="2">
    <w:p w:rsidR="00362E6E" w:rsidRPr="00132B11" w:rsidRDefault="00362E6E">
      <w:pPr>
        <w:pStyle w:val="Fotnotstext"/>
      </w:pPr>
      <w:r w:rsidRPr="00132B11">
        <w:rPr>
          <w:rStyle w:val="Fotnotsreferens"/>
        </w:rPr>
        <w:sym w:font="Symbol" w:char="F02A"/>
      </w:r>
      <w:r w:rsidRPr="00132B11">
        <w:rPr>
          <w:rStyle w:val="Fotnotsreferens"/>
        </w:rPr>
        <w:sym w:font="Symbol" w:char="F02A"/>
      </w:r>
      <w:r w:rsidRPr="00132B11">
        <w:t xml:space="preserve"> </w:t>
      </w:r>
      <w:r w:rsidRPr="00132B11">
        <w:tab/>
        <w:t>Council conclusions (10988/04) on the communication of the Commission "Towards a thematic strategy on the prevention and recycling of waste" (10113/03).</w:t>
      </w:r>
    </w:p>
  </w:footnote>
  <w:footnote w:id="3">
    <w:p w:rsidR="00362E6E" w:rsidRPr="00132B11" w:rsidRDefault="00362E6E">
      <w:pPr>
        <w:pStyle w:val="Fotnotstext"/>
      </w:pPr>
      <w:r w:rsidRPr="00132B11">
        <w:rPr>
          <w:rStyle w:val="Fotnotsreferens"/>
        </w:rPr>
        <w:sym w:font="Symbol" w:char="F02A"/>
      </w:r>
      <w:r w:rsidRPr="00132B11">
        <w:t xml:space="preserve"> </w:t>
      </w:r>
      <w:r w:rsidRPr="00132B11">
        <w:tab/>
        <w:t>5050/06.</w:t>
      </w:r>
    </w:p>
  </w:footnote>
  <w:footnote w:id="4">
    <w:p w:rsidR="00362E6E" w:rsidRPr="00132B11" w:rsidRDefault="00362E6E">
      <w:pPr>
        <w:pStyle w:val="Fotnotstext"/>
      </w:pPr>
      <w:r w:rsidRPr="00132B11">
        <w:rPr>
          <w:rStyle w:val="Fotnotsreferens"/>
        </w:rPr>
        <w:sym w:font="Symbol" w:char="F02A"/>
      </w:r>
      <w:r w:rsidRPr="00132B11">
        <w:rPr>
          <w:rStyle w:val="Fotnotsreferens"/>
        </w:rPr>
        <w:sym w:font="Symbol" w:char="F02A"/>
      </w:r>
      <w:r w:rsidRPr="00132B11">
        <w:t xml:space="preserve"> </w:t>
      </w:r>
      <w:r w:rsidRPr="00132B11">
        <w:tab/>
        <w:t>Listed in a timetable annexed to the Thematic Strategy.</w:t>
      </w:r>
    </w:p>
  </w:footnote>
  <w:footnote w:id="5">
    <w:p w:rsidR="00362E6E" w:rsidRPr="00132B11" w:rsidRDefault="00362E6E">
      <w:pPr>
        <w:pStyle w:val="Fotnotstext"/>
      </w:pPr>
      <w:r w:rsidRPr="00132B11">
        <w:rPr>
          <w:rStyle w:val="Fotnotsreferens"/>
        </w:rPr>
        <w:footnoteRef/>
      </w:r>
      <w:r w:rsidRPr="00132B11">
        <w:tab/>
      </w:r>
      <w:r w:rsidRPr="00132B11">
        <w:rPr>
          <w:u w:val="single"/>
        </w:rPr>
        <w:t>All delegations</w:t>
      </w:r>
      <w:r w:rsidRPr="00132B11">
        <w:t>: scrutiny reservation.</w:t>
      </w:r>
    </w:p>
  </w:footnote>
  <w:footnote w:id="6">
    <w:p w:rsidR="00362E6E" w:rsidRPr="00132B11" w:rsidRDefault="00362E6E">
      <w:pPr>
        <w:pStyle w:val="Fotnotstext"/>
      </w:pPr>
      <w:r w:rsidRPr="00132B11">
        <w:rPr>
          <w:rStyle w:val="Fotnotsreferens"/>
        </w:rPr>
        <w:footnoteRef/>
      </w:r>
      <w:r w:rsidRPr="00132B11">
        <w:tab/>
      </w:r>
      <w:r w:rsidRPr="00132B11">
        <w:rPr>
          <w:u w:val="single"/>
        </w:rPr>
        <w:t>XX</w:t>
      </w:r>
      <w:r w:rsidRPr="00132B11">
        <w:t xml:space="preserve">: delete this paragraph. </w:t>
      </w:r>
      <w:r w:rsidRPr="00132B11">
        <w:rPr>
          <w:u w:val="single"/>
        </w:rPr>
        <w:t>Other delegations</w:t>
      </w:r>
      <w:r w:rsidRPr="00132B11">
        <w:t xml:space="preserve"> can support the present text.</w:t>
      </w:r>
    </w:p>
  </w:footnote>
  <w:footnote w:id="7">
    <w:p w:rsidR="00362E6E" w:rsidRPr="00132B11" w:rsidRDefault="00362E6E">
      <w:pPr>
        <w:pStyle w:val="Fotnotstext"/>
      </w:pPr>
      <w:r w:rsidRPr="00132B11">
        <w:rPr>
          <w:rStyle w:val="Fotnotsreferens"/>
        </w:rPr>
        <w:footnoteRef/>
      </w:r>
      <w:r w:rsidRPr="00132B11">
        <w:t xml:space="preserve"> </w:t>
      </w:r>
      <w:r w:rsidRPr="00132B11">
        <w:tab/>
      </w:r>
      <w:r w:rsidRPr="00132B11">
        <w:rPr>
          <w:u w:val="single"/>
        </w:rPr>
        <w:t>XX</w:t>
      </w:r>
      <w:r w:rsidRPr="00132B11">
        <w:t xml:space="preserve"> asks to replace the terms “eco-dumping and sham recovery” by "illegal shipment of waste". </w:t>
      </w:r>
      <w:r w:rsidRPr="00132B11">
        <w:rPr>
          <w:u w:val="single"/>
        </w:rPr>
        <w:t>XX/XX/XX</w:t>
      </w:r>
      <w:r w:rsidRPr="00132B11">
        <w:t xml:space="preserve"> can support this proposal.</w:t>
      </w:r>
    </w:p>
  </w:footnote>
  <w:footnote w:id="8">
    <w:p w:rsidR="00362E6E" w:rsidRPr="00132B11" w:rsidRDefault="00362E6E">
      <w:pPr>
        <w:pStyle w:val="Fotnotstext"/>
        <w:tabs>
          <w:tab w:val="clear" w:pos="567"/>
        </w:tabs>
      </w:pPr>
      <w:r w:rsidRPr="00132B11">
        <w:rPr>
          <w:rStyle w:val="Fotnotsreferens"/>
        </w:rPr>
        <w:footnoteRef/>
      </w:r>
      <w:r w:rsidRPr="00132B11">
        <w:t xml:space="preserve"> </w:t>
      </w:r>
      <w:r w:rsidRPr="00132B11">
        <w:tab/>
      </w:r>
      <w:r w:rsidRPr="00132B11">
        <w:rPr>
          <w:u w:val="single"/>
        </w:rPr>
        <w:t>XX</w:t>
      </w:r>
      <w:r w:rsidRPr="00132B11">
        <w:t xml:space="preserve"> suggests adding (new paragraph):”EXPRESSES reservations on the proposal regarding the municipal waste incinerators re-classification to recovery facilities while agreeing on the need of increasing the energy efficiency of waste incineration by other instruments based on detailed technical characteristics (e.g. BAT).”.</w:t>
      </w:r>
    </w:p>
    <w:p w:rsidR="00362E6E" w:rsidRPr="00132B11" w:rsidRDefault="00362E6E">
      <w:pPr>
        <w:pStyle w:val="Fotnotstext"/>
        <w:tabs>
          <w:tab w:val="clear" w:pos="567"/>
        </w:tabs>
        <w:ind w:firstLine="0"/>
      </w:pPr>
      <w:r w:rsidRPr="00132B11">
        <w:rPr>
          <w:u w:val="single"/>
        </w:rPr>
        <w:t>XX/XX/XX/XX</w:t>
      </w:r>
      <w:r w:rsidRPr="00132B11">
        <w:t xml:space="preserve"> propose adding (new paragraph):" EMPHASISES the right for Member States to apply the proximity and self sufficiency principle in relation to recovery or disposal of mixed municipal wastes from private households and to all waste incineration at dedicated facilities in order to encourage national planning of waste management and waste incineration capacity". </w:t>
      </w:r>
    </w:p>
  </w:footnote>
  <w:footnote w:id="9">
    <w:p w:rsidR="00362E6E" w:rsidRPr="00132B11" w:rsidRDefault="00362E6E">
      <w:pPr>
        <w:pStyle w:val="Fotnotstext"/>
        <w:tabs>
          <w:tab w:val="clear" w:pos="567"/>
        </w:tabs>
      </w:pPr>
      <w:r w:rsidRPr="00132B11">
        <w:rPr>
          <w:rStyle w:val="Fotnotsreferens"/>
        </w:rPr>
        <w:footnoteRef/>
      </w:r>
      <w:r w:rsidRPr="00132B11">
        <w:t xml:space="preserve"> </w:t>
      </w:r>
      <w:r w:rsidRPr="00132B11">
        <w:tab/>
      </w:r>
      <w:r w:rsidRPr="00132B11">
        <w:rPr>
          <w:u w:val="single"/>
        </w:rPr>
        <w:t>XX</w:t>
      </w:r>
      <w:r w:rsidRPr="00132B11">
        <w:t xml:space="preserve">: replace with: "RECOGNISES the need for closer EU cooperation regarding the cost of collection and recovery of certain packaging waste, such as glass and metal containers deriving from intensified border trade of certain packaged products". </w:t>
      </w:r>
    </w:p>
    <w:p w:rsidR="00362E6E" w:rsidRPr="00132B11" w:rsidRDefault="00362E6E">
      <w:pPr>
        <w:pStyle w:val="Fotnotstext"/>
        <w:tabs>
          <w:tab w:val="clear" w:pos="567"/>
        </w:tabs>
        <w:ind w:firstLine="0"/>
      </w:pPr>
      <w:r w:rsidRPr="00132B11">
        <w:rPr>
          <w:u w:val="single"/>
        </w:rPr>
        <w:t>XX</w:t>
      </w:r>
      <w:r w:rsidRPr="00132B11">
        <w:t xml:space="preserve"> suggests, as a compromise: ”RECOGNISES that the increased trade within the EU of certain products (for example packaged beverages and used vehicles) enhances the need for more cooperation between Member States regarding collection and r</w:t>
      </w:r>
      <w:r w:rsidRPr="00132B11">
        <w:t>ecovery systems”.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52D10"/>
    <w:multiLevelType w:val="hybridMultilevel"/>
    <w:tmpl w:val="EDCAF71A"/>
    <w:lvl w:ilvl="0" w:tplc="A418D40C">
      <w:start w:val="1"/>
      <w:numFmt w:val="bullet"/>
      <w:lvlText w:val=""/>
      <w:lvlJc w:val="left"/>
      <w:pPr>
        <w:tabs>
          <w:tab w:val="num" w:pos="927"/>
        </w:tabs>
        <w:ind w:left="927" w:hanging="360"/>
      </w:pPr>
      <w:rPr>
        <w:rFonts w:ascii="Symbol" w:hAnsi="Symbo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8"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0"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2"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4"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5"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0"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2"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3751DA"/>
    <w:multiLevelType w:val="hybridMultilevel"/>
    <w:tmpl w:val="B1128C22"/>
    <w:lvl w:ilvl="0" w:tplc="5992BB98">
      <w:start w:val="1"/>
      <w:numFmt w:val="bullet"/>
      <w:lvlText w:val="-"/>
      <w:lvlJc w:val="left"/>
      <w:pPr>
        <w:tabs>
          <w:tab w:val="num" w:pos="360"/>
        </w:tabs>
        <w:ind w:left="360" w:hanging="360"/>
      </w:pPr>
      <w:rPr>
        <w:rFonts w:ascii="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6"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7"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8"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9"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2" w15:restartNumberingAfterBreak="0">
    <w:nsid w:val="63C53F7D"/>
    <w:multiLevelType w:val="hybridMultilevel"/>
    <w:tmpl w:val="CBF4DC1A"/>
    <w:lvl w:ilvl="0" w:tplc="C5A28852">
      <w:numFmt w:val="bullet"/>
      <w:lvlText w:val="–"/>
      <w:lvlJc w:val="left"/>
      <w:pPr>
        <w:tabs>
          <w:tab w:val="num" w:pos="720"/>
        </w:tabs>
        <w:ind w:left="720" w:hanging="360"/>
      </w:pPr>
      <w:rPr>
        <w:rFonts w:ascii="Arial" w:eastAsia="Times New Roman" w:hAnsi="Arial" w:cs="Aria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43"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4"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5"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7"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8" w15:restartNumberingAfterBreak="0">
    <w:nsid w:val="7B566668"/>
    <w:multiLevelType w:val="hybridMultilevel"/>
    <w:tmpl w:val="C91CCE36"/>
    <w:lvl w:ilvl="0" w:tplc="5992BB98">
      <w:start w:val="1"/>
      <w:numFmt w:val="bullet"/>
      <w:lvlText w:val="-"/>
      <w:lvlJc w:val="left"/>
      <w:pPr>
        <w:tabs>
          <w:tab w:val="num" w:pos="360"/>
        </w:tabs>
        <w:ind w:left="360" w:hanging="360"/>
      </w:pPr>
      <w:rPr>
        <w:rFonts w:ascii="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16cid:durableId="1157116944">
    <w:abstractNumId w:val="9"/>
  </w:num>
  <w:num w:numId="2" w16cid:durableId="2091391804">
    <w:abstractNumId w:val="7"/>
  </w:num>
  <w:num w:numId="3" w16cid:durableId="2063475602">
    <w:abstractNumId w:val="6"/>
  </w:num>
  <w:num w:numId="4" w16cid:durableId="1204053344">
    <w:abstractNumId w:val="5"/>
  </w:num>
  <w:num w:numId="5" w16cid:durableId="1414354669">
    <w:abstractNumId w:val="4"/>
  </w:num>
  <w:num w:numId="6" w16cid:durableId="364139281">
    <w:abstractNumId w:val="8"/>
  </w:num>
  <w:num w:numId="7" w16cid:durableId="14304945">
    <w:abstractNumId w:val="3"/>
  </w:num>
  <w:num w:numId="8" w16cid:durableId="1186478086">
    <w:abstractNumId w:val="2"/>
  </w:num>
  <w:num w:numId="9" w16cid:durableId="1905294009">
    <w:abstractNumId w:val="1"/>
  </w:num>
  <w:num w:numId="10" w16cid:durableId="1418793701">
    <w:abstractNumId w:val="0"/>
  </w:num>
  <w:num w:numId="11" w16cid:durableId="233124594">
    <w:abstractNumId w:val="26"/>
  </w:num>
  <w:num w:numId="12" w16cid:durableId="452672979">
    <w:abstractNumId w:val="45"/>
  </w:num>
  <w:num w:numId="13" w16cid:durableId="2020228266">
    <w:abstractNumId w:val="43"/>
  </w:num>
  <w:num w:numId="14" w16cid:durableId="2040160198">
    <w:abstractNumId w:val="32"/>
  </w:num>
  <w:num w:numId="15" w16cid:durableId="79060082">
    <w:abstractNumId w:val="14"/>
  </w:num>
  <w:num w:numId="16" w16cid:durableId="1086225756">
    <w:abstractNumId w:val="35"/>
  </w:num>
  <w:num w:numId="17" w16cid:durableId="2063484422">
    <w:abstractNumId w:val="22"/>
  </w:num>
  <w:num w:numId="18" w16cid:durableId="245653381">
    <w:abstractNumId w:val="16"/>
  </w:num>
  <w:num w:numId="19" w16cid:durableId="963388434">
    <w:abstractNumId w:val="15"/>
  </w:num>
  <w:num w:numId="20" w16cid:durableId="2009096338">
    <w:abstractNumId w:val="15"/>
  </w:num>
  <w:num w:numId="21" w16cid:durableId="7219328">
    <w:abstractNumId w:val="15"/>
  </w:num>
  <w:num w:numId="22" w16cid:durableId="1620212236">
    <w:abstractNumId w:val="15"/>
  </w:num>
  <w:num w:numId="23" w16cid:durableId="1676150148">
    <w:abstractNumId w:val="15"/>
  </w:num>
  <w:num w:numId="24" w16cid:durableId="1524051488">
    <w:abstractNumId w:val="15"/>
  </w:num>
  <w:num w:numId="25" w16cid:durableId="1156261279">
    <w:abstractNumId w:val="15"/>
  </w:num>
  <w:num w:numId="26" w16cid:durableId="26567168">
    <w:abstractNumId w:val="15"/>
  </w:num>
  <w:num w:numId="27" w16cid:durableId="1550649847">
    <w:abstractNumId w:val="15"/>
  </w:num>
  <w:num w:numId="28" w16cid:durableId="144981812">
    <w:abstractNumId w:val="15"/>
  </w:num>
  <w:num w:numId="29" w16cid:durableId="1735663584">
    <w:abstractNumId w:val="15"/>
  </w:num>
  <w:num w:numId="30" w16cid:durableId="113329036">
    <w:abstractNumId w:val="15"/>
  </w:num>
  <w:num w:numId="31" w16cid:durableId="530266282">
    <w:abstractNumId w:val="15"/>
  </w:num>
  <w:num w:numId="32" w16cid:durableId="284386284">
    <w:abstractNumId w:val="15"/>
  </w:num>
  <w:num w:numId="33" w16cid:durableId="723870261">
    <w:abstractNumId w:val="15"/>
  </w:num>
  <w:num w:numId="34" w16cid:durableId="1508865421">
    <w:abstractNumId w:val="15"/>
  </w:num>
  <w:num w:numId="35" w16cid:durableId="14961558">
    <w:abstractNumId w:val="15"/>
  </w:num>
  <w:num w:numId="36" w16cid:durableId="2143882384">
    <w:abstractNumId w:val="15"/>
  </w:num>
  <w:num w:numId="37" w16cid:durableId="594632192">
    <w:abstractNumId w:val="39"/>
  </w:num>
  <w:num w:numId="38" w16cid:durableId="1913463483">
    <w:abstractNumId w:val="41"/>
  </w:num>
  <w:num w:numId="39" w16cid:durableId="266542371">
    <w:abstractNumId w:val="33"/>
  </w:num>
  <w:num w:numId="40" w16cid:durableId="46298033">
    <w:abstractNumId w:val="37"/>
  </w:num>
  <w:num w:numId="41" w16cid:durableId="513148669">
    <w:abstractNumId w:val="25"/>
  </w:num>
  <w:num w:numId="42" w16cid:durableId="1156648614">
    <w:abstractNumId w:val="47"/>
  </w:num>
  <w:num w:numId="43" w16cid:durableId="419640847">
    <w:abstractNumId w:val="31"/>
  </w:num>
  <w:num w:numId="44" w16cid:durableId="154688510">
    <w:abstractNumId w:val="24"/>
  </w:num>
  <w:num w:numId="45" w16cid:durableId="2050719235">
    <w:abstractNumId w:val="27"/>
  </w:num>
  <w:num w:numId="46" w16cid:durableId="465126949">
    <w:abstractNumId w:val="46"/>
  </w:num>
  <w:num w:numId="47" w16cid:durableId="941844293">
    <w:abstractNumId w:val="12"/>
  </w:num>
  <w:num w:numId="48" w16cid:durableId="298607894">
    <w:abstractNumId w:val="17"/>
  </w:num>
  <w:num w:numId="49" w16cid:durableId="1029797501">
    <w:abstractNumId w:val="15"/>
  </w:num>
  <w:num w:numId="50" w16cid:durableId="1569341416">
    <w:abstractNumId w:val="15"/>
  </w:num>
  <w:num w:numId="51" w16cid:durableId="1830124735">
    <w:abstractNumId w:val="15"/>
  </w:num>
  <w:num w:numId="52" w16cid:durableId="2061635080">
    <w:abstractNumId w:val="15"/>
  </w:num>
  <w:num w:numId="53" w16cid:durableId="2089497790">
    <w:abstractNumId w:val="15"/>
  </w:num>
  <w:num w:numId="54" w16cid:durableId="430129631">
    <w:abstractNumId w:val="15"/>
  </w:num>
  <w:num w:numId="55" w16cid:durableId="1369599779">
    <w:abstractNumId w:val="15"/>
  </w:num>
  <w:num w:numId="56" w16cid:durableId="1778329934">
    <w:abstractNumId w:val="15"/>
  </w:num>
  <w:num w:numId="57" w16cid:durableId="1364742709">
    <w:abstractNumId w:val="15"/>
  </w:num>
  <w:num w:numId="58" w16cid:durableId="1986624509">
    <w:abstractNumId w:val="47"/>
  </w:num>
  <w:num w:numId="59" w16cid:durableId="2060474954">
    <w:abstractNumId w:val="31"/>
  </w:num>
  <w:num w:numId="60" w16cid:durableId="529992002">
    <w:abstractNumId w:val="24"/>
  </w:num>
  <w:num w:numId="61" w16cid:durableId="1621761418">
    <w:abstractNumId w:val="27"/>
  </w:num>
  <w:num w:numId="62" w16cid:durableId="1545218412">
    <w:abstractNumId w:val="46"/>
  </w:num>
  <w:num w:numId="63" w16cid:durableId="1481581809">
    <w:abstractNumId w:val="12"/>
  </w:num>
  <w:num w:numId="64" w16cid:durableId="1797985812">
    <w:abstractNumId w:val="17"/>
  </w:num>
  <w:num w:numId="65" w16cid:durableId="917397038">
    <w:abstractNumId w:val="23"/>
  </w:num>
  <w:num w:numId="66" w16cid:durableId="1370380660">
    <w:abstractNumId w:val="13"/>
  </w:num>
  <w:num w:numId="67" w16cid:durableId="1828982548">
    <w:abstractNumId w:val="22"/>
  </w:num>
  <w:num w:numId="68" w16cid:durableId="386104586">
    <w:abstractNumId w:val="29"/>
  </w:num>
  <w:num w:numId="69" w16cid:durableId="896554445">
    <w:abstractNumId w:val="20"/>
  </w:num>
  <w:num w:numId="70" w16cid:durableId="1945183816">
    <w:abstractNumId w:val="21"/>
  </w:num>
  <w:num w:numId="71" w16cid:durableId="1318340631">
    <w:abstractNumId w:val="20"/>
  </w:num>
  <w:num w:numId="72" w16cid:durableId="1350793425">
    <w:abstractNumId w:val="15"/>
  </w:num>
  <w:num w:numId="73" w16cid:durableId="1173491207">
    <w:abstractNumId w:val="15"/>
  </w:num>
  <w:num w:numId="74" w16cid:durableId="1681009460">
    <w:abstractNumId w:val="15"/>
  </w:num>
  <w:num w:numId="75" w16cid:durableId="831482508">
    <w:abstractNumId w:val="15"/>
  </w:num>
  <w:num w:numId="76" w16cid:durableId="1523979060">
    <w:abstractNumId w:val="15"/>
  </w:num>
  <w:num w:numId="77" w16cid:durableId="1871338135">
    <w:abstractNumId w:val="15"/>
  </w:num>
  <w:num w:numId="78" w16cid:durableId="687215071">
    <w:abstractNumId w:val="15"/>
  </w:num>
  <w:num w:numId="79" w16cid:durableId="1326737747">
    <w:abstractNumId w:val="15"/>
  </w:num>
  <w:num w:numId="80" w16cid:durableId="1944067062">
    <w:abstractNumId w:val="15"/>
  </w:num>
  <w:num w:numId="81" w16cid:durableId="1614052946">
    <w:abstractNumId w:val="47"/>
  </w:num>
  <w:num w:numId="82" w16cid:durableId="1449741884">
    <w:abstractNumId w:val="17"/>
  </w:num>
  <w:num w:numId="83" w16cid:durableId="706564333">
    <w:abstractNumId w:val="31"/>
  </w:num>
  <w:num w:numId="84" w16cid:durableId="1406760369">
    <w:abstractNumId w:val="24"/>
  </w:num>
  <w:num w:numId="85" w16cid:durableId="1802764666">
    <w:abstractNumId w:val="20"/>
  </w:num>
  <w:num w:numId="86" w16cid:durableId="1423602469">
    <w:abstractNumId w:val="21"/>
  </w:num>
  <w:num w:numId="87" w16cid:durableId="898832371">
    <w:abstractNumId w:val="20"/>
  </w:num>
  <w:num w:numId="88" w16cid:durableId="1992588487">
    <w:abstractNumId w:val="12"/>
  </w:num>
  <w:num w:numId="89" w16cid:durableId="839154571">
    <w:abstractNumId w:val="46"/>
  </w:num>
  <w:num w:numId="90" w16cid:durableId="1681467130">
    <w:abstractNumId w:val="28"/>
  </w:num>
  <w:num w:numId="91" w16cid:durableId="1849711579">
    <w:abstractNumId w:val="29"/>
  </w:num>
  <w:num w:numId="92" w16cid:durableId="588924632">
    <w:abstractNumId w:val="21"/>
  </w:num>
  <w:num w:numId="93" w16cid:durableId="142544338">
    <w:abstractNumId w:val="17"/>
  </w:num>
  <w:num w:numId="94" w16cid:durableId="1372073387">
    <w:abstractNumId w:val="31"/>
  </w:num>
  <w:num w:numId="95" w16cid:durableId="678577828">
    <w:abstractNumId w:val="47"/>
  </w:num>
  <w:num w:numId="96" w16cid:durableId="1162040327">
    <w:abstractNumId w:val="27"/>
  </w:num>
  <w:num w:numId="97" w16cid:durableId="1520460740">
    <w:abstractNumId w:val="19"/>
  </w:num>
  <w:num w:numId="98" w16cid:durableId="295067210">
    <w:abstractNumId w:val="19"/>
  </w:num>
  <w:num w:numId="99" w16cid:durableId="326061380">
    <w:abstractNumId w:val="19"/>
  </w:num>
  <w:num w:numId="100" w16cid:durableId="2062434558">
    <w:abstractNumId w:val="19"/>
  </w:num>
  <w:num w:numId="101" w16cid:durableId="82725981">
    <w:abstractNumId w:val="19"/>
  </w:num>
  <w:num w:numId="102" w16cid:durableId="1530214204">
    <w:abstractNumId w:val="19"/>
  </w:num>
  <w:num w:numId="103" w16cid:durableId="1096898370">
    <w:abstractNumId w:val="19"/>
  </w:num>
  <w:num w:numId="104" w16cid:durableId="1352411600">
    <w:abstractNumId w:val="19"/>
  </w:num>
  <w:num w:numId="105" w16cid:durableId="1167020726">
    <w:abstractNumId w:val="19"/>
  </w:num>
  <w:num w:numId="106" w16cid:durableId="1689791987">
    <w:abstractNumId w:val="19"/>
  </w:num>
  <w:num w:numId="107" w16cid:durableId="2092042076">
    <w:abstractNumId w:val="19"/>
  </w:num>
  <w:num w:numId="108" w16cid:durableId="2128692564">
    <w:abstractNumId w:val="19"/>
  </w:num>
  <w:num w:numId="109" w16cid:durableId="1620918015">
    <w:abstractNumId w:val="19"/>
  </w:num>
  <w:num w:numId="110" w16cid:durableId="1803494597">
    <w:abstractNumId w:val="15"/>
  </w:num>
  <w:num w:numId="111" w16cid:durableId="1709453756">
    <w:abstractNumId w:val="15"/>
  </w:num>
  <w:num w:numId="112" w16cid:durableId="830411003">
    <w:abstractNumId w:val="15"/>
  </w:num>
  <w:num w:numId="113" w16cid:durableId="788357590">
    <w:abstractNumId w:val="15"/>
  </w:num>
  <w:num w:numId="114" w16cid:durableId="441000457">
    <w:abstractNumId w:val="15"/>
  </w:num>
  <w:num w:numId="115" w16cid:durableId="2096707989">
    <w:abstractNumId w:val="15"/>
  </w:num>
  <w:num w:numId="116" w16cid:durableId="978992660">
    <w:abstractNumId w:val="15"/>
  </w:num>
  <w:num w:numId="117" w16cid:durableId="1152673520">
    <w:abstractNumId w:val="15"/>
  </w:num>
  <w:num w:numId="118" w16cid:durableId="1406025838">
    <w:abstractNumId w:val="15"/>
  </w:num>
  <w:num w:numId="119" w16cid:durableId="1993564253">
    <w:abstractNumId w:val="15"/>
  </w:num>
  <w:num w:numId="120" w16cid:durableId="345057273">
    <w:abstractNumId w:val="15"/>
  </w:num>
  <w:num w:numId="121" w16cid:durableId="1126587988">
    <w:abstractNumId w:val="15"/>
  </w:num>
  <w:num w:numId="122" w16cid:durableId="2248637">
    <w:abstractNumId w:val="15"/>
  </w:num>
  <w:num w:numId="123" w16cid:durableId="1434665907">
    <w:abstractNumId w:val="15"/>
  </w:num>
  <w:num w:numId="124" w16cid:durableId="1756128155">
    <w:abstractNumId w:val="15"/>
  </w:num>
  <w:num w:numId="125" w16cid:durableId="247467517">
    <w:abstractNumId w:val="15"/>
  </w:num>
  <w:num w:numId="126" w16cid:durableId="1234658711">
    <w:abstractNumId w:val="15"/>
  </w:num>
  <w:num w:numId="127" w16cid:durableId="435371120">
    <w:abstractNumId w:val="15"/>
  </w:num>
  <w:num w:numId="128" w16cid:durableId="1364751566">
    <w:abstractNumId w:val="28"/>
  </w:num>
  <w:num w:numId="129" w16cid:durableId="1235239607">
    <w:abstractNumId w:val="24"/>
  </w:num>
  <w:num w:numId="130" w16cid:durableId="392313047">
    <w:abstractNumId w:val="15"/>
  </w:num>
  <w:num w:numId="131" w16cid:durableId="1629313698">
    <w:abstractNumId w:val="15"/>
  </w:num>
  <w:num w:numId="132" w16cid:durableId="1088650070">
    <w:abstractNumId w:val="15"/>
  </w:num>
  <w:num w:numId="133" w16cid:durableId="1515419797">
    <w:abstractNumId w:val="15"/>
  </w:num>
  <w:num w:numId="134" w16cid:durableId="1274240460">
    <w:abstractNumId w:val="15"/>
  </w:num>
  <w:num w:numId="135" w16cid:durableId="443042023">
    <w:abstractNumId w:val="15"/>
  </w:num>
  <w:num w:numId="136" w16cid:durableId="453985359">
    <w:abstractNumId w:val="15"/>
  </w:num>
  <w:num w:numId="137" w16cid:durableId="1280262754">
    <w:abstractNumId w:val="15"/>
  </w:num>
  <w:num w:numId="138" w16cid:durableId="1518618513">
    <w:abstractNumId w:val="15"/>
  </w:num>
  <w:num w:numId="139" w16cid:durableId="1396666019">
    <w:abstractNumId w:val="47"/>
  </w:num>
  <w:num w:numId="140" w16cid:durableId="1099914642">
    <w:abstractNumId w:val="17"/>
  </w:num>
  <w:num w:numId="141" w16cid:durableId="1974019544">
    <w:abstractNumId w:val="31"/>
  </w:num>
  <w:num w:numId="142" w16cid:durableId="131680980">
    <w:abstractNumId w:val="27"/>
  </w:num>
  <w:num w:numId="143" w16cid:durableId="1528446065">
    <w:abstractNumId w:val="29"/>
  </w:num>
  <w:num w:numId="144" w16cid:durableId="1886410469">
    <w:abstractNumId w:val="46"/>
  </w:num>
  <w:num w:numId="145" w16cid:durableId="1146901006">
    <w:abstractNumId w:val="28"/>
  </w:num>
  <w:num w:numId="146" w16cid:durableId="945236874">
    <w:abstractNumId w:val="20"/>
  </w:num>
  <w:num w:numId="147" w16cid:durableId="2020306982">
    <w:abstractNumId w:val="21"/>
  </w:num>
  <w:num w:numId="148" w16cid:durableId="607856991">
    <w:abstractNumId w:val="12"/>
  </w:num>
  <w:num w:numId="149" w16cid:durableId="1344742524">
    <w:abstractNumId w:val="15"/>
  </w:num>
  <w:num w:numId="150" w16cid:durableId="1705326333">
    <w:abstractNumId w:val="38"/>
  </w:num>
  <w:num w:numId="151" w16cid:durableId="1188643134">
    <w:abstractNumId w:val="36"/>
  </w:num>
  <w:num w:numId="152" w16cid:durableId="498925687">
    <w:abstractNumId w:val="21"/>
  </w:num>
  <w:num w:numId="153" w16cid:durableId="43608105">
    <w:abstractNumId w:val="40"/>
  </w:num>
  <w:num w:numId="154" w16cid:durableId="1006791312">
    <w:abstractNumId w:val="40"/>
  </w:num>
  <w:num w:numId="155" w16cid:durableId="1909412803">
    <w:abstractNumId w:val="40"/>
  </w:num>
  <w:num w:numId="156" w16cid:durableId="499541573">
    <w:abstractNumId w:val="40"/>
  </w:num>
  <w:num w:numId="157" w16cid:durableId="949092587">
    <w:abstractNumId w:val="18"/>
  </w:num>
  <w:num w:numId="158" w16cid:durableId="1551185523">
    <w:abstractNumId w:val="18"/>
  </w:num>
  <w:num w:numId="159" w16cid:durableId="636881283">
    <w:abstractNumId w:val="18"/>
  </w:num>
  <w:num w:numId="160" w16cid:durableId="493957916">
    <w:abstractNumId w:val="18"/>
  </w:num>
  <w:num w:numId="161" w16cid:durableId="2146004821">
    <w:abstractNumId w:val="30"/>
  </w:num>
  <w:num w:numId="162" w16cid:durableId="1703631898">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717824973">
    <w:abstractNumId w:val="48"/>
  </w:num>
  <w:num w:numId="164" w16cid:durableId="484787662">
    <w:abstractNumId w:val="34"/>
  </w:num>
  <w:num w:numId="165" w16cid:durableId="103981469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50416925">
    <w:abstractNumId w:val="11"/>
  </w:num>
  <w:num w:numId="167" w16cid:durableId="191944250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D1"/>
    <w:rsid w:val="00132B11"/>
    <w:rsid w:val="00362E6E"/>
    <w:rsid w:val="00AC73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5461C9-D226-41F3-B1D1-129FC2F0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1923</Words>
  <Characters>10695</Characters>
  <Application>Microsoft Office Word</Application>
  <DocSecurity>4</DocSecurity>
  <Lines>274</Lines>
  <Paragraphs>100</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12518</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2006-06-15T08:11:00Z</cp:lastPrinted>
  <dcterms:created xsi:type="dcterms:W3CDTF">2025-12-16T23:14:00Z</dcterms:created>
  <dcterms:modified xsi:type="dcterms:W3CDTF">2025-12-16T23:14:00Z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