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99401F" w:rsidRPr="00406998">
        <w:tblPrEx>
          <w:tblCellMar>
            <w:top w:w="0" w:type="dxa"/>
            <w:bottom w:w="0" w:type="dxa"/>
          </w:tblCellMar>
        </w:tblPrEx>
        <w:tc>
          <w:tcPr>
            <w:tcW w:w="2268" w:type="dxa"/>
          </w:tcPr>
          <w:p w:rsidR="0099401F" w:rsidRPr="00406998" w:rsidRDefault="0099401F">
            <w:pPr>
              <w:framePr w:w="4400" w:h="1644" w:wrap="notBeside" w:vAnchor="page" w:hAnchor="page" w:x="6573" w:y="721"/>
              <w:rPr>
                <w:rFonts w:ascii="TradeGothic" w:hAnsi="TradeGothic"/>
                <w:i/>
                <w:sz w:val="18"/>
              </w:rPr>
            </w:pPr>
          </w:p>
        </w:tc>
        <w:tc>
          <w:tcPr>
            <w:tcW w:w="2347" w:type="dxa"/>
            <w:gridSpan w:val="2"/>
          </w:tcPr>
          <w:p w:rsidR="0099401F" w:rsidRPr="00406998" w:rsidRDefault="0099401F">
            <w:pPr>
              <w:framePr w:w="4400" w:h="1644" w:wrap="notBeside" w:vAnchor="page" w:hAnchor="page" w:x="6573" w:y="721"/>
              <w:rPr>
                <w:rFonts w:ascii="TradeGothic" w:hAnsi="TradeGothic"/>
                <w:i/>
                <w:sz w:val="18"/>
              </w:rPr>
            </w:pPr>
          </w:p>
        </w:tc>
      </w:tr>
      <w:tr w:rsidR="0099401F" w:rsidRPr="00406998">
        <w:tblPrEx>
          <w:tblCellMar>
            <w:top w:w="0" w:type="dxa"/>
            <w:bottom w:w="0" w:type="dxa"/>
          </w:tblCellMar>
        </w:tblPrEx>
        <w:trPr>
          <w:cantSplit/>
        </w:trPr>
        <w:tc>
          <w:tcPr>
            <w:tcW w:w="4615" w:type="dxa"/>
            <w:gridSpan w:val="3"/>
          </w:tcPr>
          <w:p w:rsidR="0099401F" w:rsidRPr="00406998" w:rsidRDefault="0099401F">
            <w:pPr>
              <w:framePr w:w="4400" w:h="1644" w:wrap="notBeside" w:vAnchor="page" w:hAnchor="page" w:x="6573" w:y="721"/>
              <w:rPr>
                <w:rFonts w:ascii="TradeGothic" w:hAnsi="TradeGothic"/>
                <w:b/>
                <w:sz w:val="22"/>
              </w:rPr>
            </w:pPr>
            <w:r w:rsidRPr="00406998">
              <w:rPr>
                <w:rFonts w:ascii="TradeGothic" w:hAnsi="TradeGothic"/>
                <w:b/>
                <w:sz w:val="22"/>
              </w:rPr>
              <w:t>Rådspromemoria</w:t>
            </w:r>
          </w:p>
        </w:tc>
      </w:tr>
      <w:tr w:rsidR="0099401F" w:rsidRPr="00406998">
        <w:tblPrEx>
          <w:tblCellMar>
            <w:top w:w="0" w:type="dxa"/>
            <w:bottom w:w="0" w:type="dxa"/>
          </w:tblCellMar>
        </w:tblPrEx>
        <w:tc>
          <w:tcPr>
            <w:tcW w:w="3402" w:type="dxa"/>
            <w:gridSpan w:val="2"/>
          </w:tcPr>
          <w:p w:rsidR="0099401F" w:rsidRPr="00406998" w:rsidRDefault="0099401F">
            <w:pPr>
              <w:framePr w:w="4400" w:h="1644" w:wrap="notBeside" w:vAnchor="page" w:hAnchor="page" w:x="6573" w:y="721"/>
            </w:pPr>
          </w:p>
        </w:tc>
        <w:tc>
          <w:tcPr>
            <w:tcW w:w="1213" w:type="dxa"/>
          </w:tcPr>
          <w:p w:rsidR="0099401F" w:rsidRPr="00406998" w:rsidRDefault="0099401F">
            <w:pPr>
              <w:framePr w:w="4400" w:h="1644" w:wrap="notBeside" w:vAnchor="page" w:hAnchor="page" w:x="6573" w:y="721"/>
            </w:pPr>
          </w:p>
        </w:tc>
      </w:tr>
      <w:tr w:rsidR="0099401F" w:rsidRPr="00406998">
        <w:tblPrEx>
          <w:tblCellMar>
            <w:top w:w="0" w:type="dxa"/>
            <w:bottom w:w="0" w:type="dxa"/>
          </w:tblCellMar>
        </w:tblPrEx>
        <w:tc>
          <w:tcPr>
            <w:tcW w:w="2268" w:type="dxa"/>
          </w:tcPr>
          <w:p w:rsidR="0099401F" w:rsidRPr="00406998" w:rsidRDefault="00040EF3">
            <w:pPr>
              <w:framePr w:w="4400" w:h="1644" w:wrap="notBeside" w:vAnchor="page" w:hAnchor="page" w:x="6573" w:y="721"/>
            </w:pPr>
            <w:r w:rsidRPr="00406998">
              <w:t>2007-11-21</w:t>
            </w:r>
          </w:p>
        </w:tc>
        <w:tc>
          <w:tcPr>
            <w:tcW w:w="2347" w:type="dxa"/>
            <w:gridSpan w:val="2"/>
          </w:tcPr>
          <w:p w:rsidR="0099401F" w:rsidRPr="00406998" w:rsidRDefault="0099401F">
            <w:pPr>
              <w:framePr w:w="4400" w:h="1644" w:wrap="notBeside" w:vAnchor="page" w:hAnchor="page" w:x="6573" w:y="721"/>
            </w:pPr>
          </w:p>
        </w:tc>
      </w:tr>
      <w:tr w:rsidR="0099401F" w:rsidRPr="00406998">
        <w:tblPrEx>
          <w:tblCellMar>
            <w:top w:w="0" w:type="dxa"/>
            <w:bottom w:w="0" w:type="dxa"/>
          </w:tblCellMar>
        </w:tblPrEx>
        <w:tc>
          <w:tcPr>
            <w:tcW w:w="2268" w:type="dxa"/>
          </w:tcPr>
          <w:p w:rsidR="0099401F" w:rsidRPr="00406998" w:rsidRDefault="0099401F">
            <w:pPr>
              <w:framePr w:w="4400" w:h="1644" w:wrap="notBeside" w:vAnchor="page" w:hAnchor="page" w:x="6573" w:y="721"/>
            </w:pPr>
          </w:p>
        </w:tc>
        <w:tc>
          <w:tcPr>
            <w:tcW w:w="2347" w:type="dxa"/>
            <w:gridSpan w:val="2"/>
          </w:tcPr>
          <w:p w:rsidR="0099401F" w:rsidRPr="00406998" w:rsidRDefault="0099401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99401F" w:rsidRPr="00406998">
        <w:tblPrEx>
          <w:tblCellMar>
            <w:top w:w="0" w:type="dxa"/>
            <w:bottom w:w="0" w:type="dxa"/>
          </w:tblCellMar>
        </w:tblPrEx>
        <w:trPr>
          <w:trHeight w:val="284"/>
        </w:trPr>
        <w:tc>
          <w:tcPr>
            <w:tcW w:w="4911" w:type="dxa"/>
          </w:tcPr>
          <w:p w:rsidR="0099401F" w:rsidRPr="00406998" w:rsidRDefault="0099401F">
            <w:pPr>
              <w:pStyle w:val="Avsndare"/>
              <w:framePr w:h="2483" w:wrap="notBeside" w:x="1504"/>
              <w:rPr>
                <w:b/>
                <w:i w:val="0"/>
                <w:sz w:val="22"/>
              </w:rPr>
            </w:pPr>
            <w:r w:rsidRPr="00406998">
              <w:rPr>
                <w:b/>
                <w:i w:val="0"/>
                <w:sz w:val="22"/>
              </w:rPr>
              <w:t>Näringsdepartementet</w:t>
            </w:r>
          </w:p>
        </w:tc>
      </w:tr>
      <w:tr w:rsidR="0099401F" w:rsidRPr="00406998">
        <w:tblPrEx>
          <w:tblCellMar>
            <w:top w:w="0" w:type="dxa"/>
            <w:bottom w:w="0" w:type="dxa"/>
          </w:tblCellMar>
        </w:tblPrEx>
        <w:trPr>
          <w:trHeight w:val="284"/>
        </w:trPr>
        <w:tc>
          <w:tcPr>
            <w:tcW w:w="4911" w:type="dxa"/>
          </w:tcPr>
          <w:p w:rsidR="0099401F" w:rsidRPr="00406998" w:rsidRDefault="0099401F">
            <w:pPr>
              <w:pStyle w:val="Avsndare"/>
              <w:framePr w:h="2483" w:wrap="notBeside" w:x="1504"/>
              <w:rPr>
                <w:bCs/>
                <w:iCs/>
              </w:rPr>
            </w:pPr>
          </w:p>
        </w:tc>
      </w:tr>
      <w:tr w:rsidR="0099401F" w:rsidRPr="00406998">
        <w:tblPrEx>
          <w:tblCellMar>
            <w:top w:w="0" w:type="dxa"/>
            <w:bottom w:w="0" w:type="dxa"/>
          </w:tblCellMar>
        </w:tblPrEx>
        <w:trPr>
          <w:trHeight w:val="284"/>
        </w:trPr>
        <w:tc>
          <w:tcPr>
            <w:tcW w:w="4911" w:type="dxa"/>
          </w:tcPr>
          <w:p w:rsidR="0099401F" w:rsidRPr="00406998" w:rsidRDefault="0099401F">
            <w:pPr>
              <w:pStyle w:val="Avsndare"/>
              <w:framePr w:h="2483" w:wrap="notBeside" w:x="1504"/>
              <w:rPr>
                <w:bCs/>
                <w:iCs/>
              </w:rPr>
            </w:pPr>
          </w:p>
        </w:tc>
      </w:tr>
      <w:tr w:rsidR="0099401F" w:rsidRPr="00406998">
        <w:tblPrEx>
          <w:tblCellMar>
            <w:top w:w="0" w:type="dxa"/>
            <w:bottom w:w="0" w:type="dxa"/>
          </w:tblCellMar>
        </w:tblPrEx>
        <w:trPr>
          <w:trHeight w:val="284"/>
        </w:trPr>
        <w:tc>
          <w:tcPr>
            <w:tcW w:w="4911" w:type="dxa"/>
          </w:tcPr>
          <w:p w:rsidR="0099401F" w:rsidRPr="00406998" w:rsidRDefault="0099401F">
            <w:pPr>
              <w:pStyle w:val="Avsndare"/>
              <w:framePr w:h="2483" w:wrap="notBeside" w:x="1504"/>
              <w:rPr>
                <w:bCs/>
                <w:iCs/>
              </w:rPr>
            </w:pPr>
          </w:p>
        </w:tc>
      </w:tr>
      <w:tr w:rsidR="0099401F" w:rsidRPr="00406998">
        <w:tblPrEx>
          <w:tblCellMar>
            <w:top w:w="0" w:type="dxa"/>
            <w:bottom w:w="0" w:type="dxa"/>
          </w:tblCellMar>
        </w:tblPrEx>
        <w:trPr>
          <w:trHeight w:val="284"/>
        </w:trPr>
        <w:tc>
          <w:tcPr>
            <w:tcW w:w="4911" w:type="dxa"/>
          </w:tcPr>
          <w:p w:rsidR="0099401F" w:rsidRPr="00406998" w:rsidRDefault="0099401F">
            <w:pPr>
              <w:pStyle w:val="Avsndare"/>
              <w:framePr w:h="2483" w:wrap="notBeside" w:x="1504"/>
              <w:rPr>
                <w:bCs/>
                <w:iCs/>
              </w:rPr>
            </w:pPr>
          </w:p>
        </w:tc>
      </w:tr>
      <w:tr w:rsidR="0099401F" w:rsidRPr="00406998">
        <w:tblPrEx>
          <w:tblCellMar>
            <w:top w:w="0" w:type="dxa"/>
            <w:bottom w:w="0" w:type="dxa"/>
          </w:tblCellMar>
        </w:tblPrEx>
        <w:trPr>
          <w:trHeight w:val="284"/>
        </w:trPr>
        <w:tc>
          <w:tcPr>
            <w:tcW w:w="4911" w:type="dxa"/>
          </w:tcPr>
          <w:p w:rsidR="0099401F" w:rsidRPr="00406998" w:rsidRDefault="0099401F">
            <w:pPr>
              <w:pStyle w:val="Avsndare"/>
              <w:framePr w:h="2483" w:wrap="notBeside" w:x="1504"/>
              <w:rPr>
                <w:bCs/>
                <w:iCs/>
              </w:rPr>
            </w:pPr>
          </w:p>
        </w:tc>
      </w:tr>
      <w:tr w:rsidR="0099401F" w:rsidRPr="00406998">
        <w:tblPrEx>
          <w:tblCellMar>
            <w:top w:w="0" w:type="dxa"/>
            <w:bottom w:w="0" w:type="dxa"/>
          </w:tblCellMar>
        </w:tblPrEx>
        <w:trPr>
          <w:trHeight w:val="284"/>
        </w:trPr>
        <w:tc>
          <w:tcPr>
            <w:tcW w:w="4911" w:type="dxa"/>
          </w:tcPr>
          <w:p w:rsidR="0099401F" w:rsidRPr="00406998" w:rsidRDefault="0099401F">
            <w:pPr>
              <w:pStyle w:val="Avsndare"/>
              <w:framePr w:h="2483" w:wrap="notBeside" w:x="1504"/>
              <w:rPr>
                <w:bCs/>
                <w:iCs/>
              </w:rPr>
            </w:pPr>
          </w:p>
        </w:tc>
      </w:tr>
      <w:tr w:rsidR="0099401F" w:rsidRPr="00406998">
        <w:tblPrEx>
          <w:tblCellMar>
            <w:top w:w="0" w:type="dxa"/>
            <w:bottom w:w="0" w:type="dxa"/>
          </w:tblCellMar>
        </w:tblPrEx>
        <w:trPr>
          <w:trHeight w:val="284"/>
        </w:trPr>
        <w:tc>
          <w:tcPr>
            <w:tcW w:w="4911" w:type="dxa"/>
          </w:tcPr>
          <w:p w:rsidR="0099401F" w:rsidRPr="00406998" w:rsidRDefault="0099401F">
            <w:pPr>
              <w:pStyle w:val="Avsndare"/>
              <w:framePr w:h="2483" w:wrap="notBeside" w:x="1504"/>
              <w:rPr>
                <w:bCs/>
                <w:iCs/>
              </w:rPr>
            </w:pPr>
          </w:p>
        </w:tc>
      </w:tr>
      <w:tr w:rsidR="0099401F" w:rsidRPr="00406998">
        <w:tblPrEx>
          <w:tblCellMar>
            <w:top w:w="0" w:type="dxa"/>
            <w:bottom w:w="0" w:type="dxa"/>
          </w:tblCellMar>
        </w:tblPrEx>
        <w:trPr>
          <w:trHeight w:val="284"/>
        </w:trPr>
        <w:tc>
          <w:tcPr>
            <w:tcW w:w="4911" w:type="dxa"/>
          </w:tcPr>
          <w:p w:rsidR="0099401F" w:rsidRPr="00406998" w:rsidRDefault="0099401F">
            <w:pPr>
              <w:pStyle w:val="Avsndare"/>
              <w:framePr w:h="2483" w:wrap="notBeside" w:x="1504"/>
              <w:rPr>
                <w:bCs/>
                <w:iCs/>
              </w:rPr>
            </w:pPr>
          </w:p>
        </w:tc>
      </w:tr>
    </w:tbl>
    <w:p w:rsidR="0099401F" w:rsidRPr="00406998" w:rsidRDefault="0099401F">
      <w:pPr>
        <w:framePr w:w="4400" w:h="2523" w:wrap="notBeside" w:vAnchor="page" w:hAnchor="page" w:x="6453" w:y="2445"/>
        <w:ind w:left="142"/>
        <w:rPr>
          <w:b/>
        </w:rPr>
      </w:pPr>
    </w:p>
    <w:p w:rsidR="0099401F" w:rsidRPr="00406998" w:rsidRDefault="00040EF3">
      <w:pPr>
        <w:pStyle w:val="RKrubrik"/>
        <w:pBdr>
          <w:bottom w:val="single" w:sz="6" w:space="1" w:color="auto"/>
        </w:pBdr>
      </w:pPr>
      <w:bookmarkStart w:id="0" w:name="bRubrik"/>
      <w:bookmarkEnd w:id="0"/>
      <w:r w:rsidRPr="00406998">
        <w:t xml:space="preserve">TTE </w:t>
      </w:r>
      <w:r w:rsidR="0099401F" w:rsidRPr="00406998">
        <w:t xml:space="preserve">Rådets möte den </w:t>
      </w:r>
      <w:r w:rsidRPr="00406998">
        <w:t>29 november 2007</w:t>
      </w:r>
    </w:p>
    <w:p w:rsidR="0099401F" w:rsidRPr="00406998" w:rsidRDefault="0099401F">
      <w:pPr>
        <w:pStyle w:val="RKnormal"/>
      </w:pPr>
    </w:p>
    <w:p w:rsidR="0099401F" w:rsidRPr="00406998" w:rsidRDefault="00040EF3">
      <w:pPr>
        <w:pStyle w:val="RKnormal"/>
      </w:pPr>
      <w:r w:rsidRPr="00406998">
        <w:t>Dagordningspunkt 5</w:t>
      </w:r>
    </w:p>
    <w:p w:rsidR="0099401F" w:rsidRPr="00406998" w:rsidRDefault="0099401F">
      <w:pPr>
        <w:pStyle w:val="RKnormal"/>
      </w:pPr>
    </w:p>
    <w:p w:rsidR="00047005" w:rsidRPr="00406998" w:rsidRDefault="0099401F" w:rsidP="00047005">
      <w:pPr>
        <w:pStyle w:val="Rubrik3"/>
        <w:rPr>
          <w:rFonts w:ascii="OrigGarmnd BT" w:hAnsi="OrigGarmnd BT"/>
          <w:sz w:val="24"/>
          <w:szCs w:val="24"/>
        </w:rPr>
      </w:pPr>
      <w:r w:rsidRPr="00406998">
        <w:rPr>
          <w:rFonts w:ascii="OrigGarmnd BT" w:hAnsi="OrigGarmnd BT"/>
          <w:sz w:val="24"/>
          <w:szCs w:val="24"/>
        </w:rPr>
        <w:t>Rubrik:</w:t>
      </w:r>
      <w:r w:rsidR="00047005" w:rsidRPr="00406998">
        <w:rPr>
          <w:rFonts w:ascii="OrigGarmnd BT" w:hAnsi="OrigGarmnd BT"/>
          <w:sz w:val="24"/>
          <w:szCs w:val="24"/>
        </w:rPr>
        <w:t xml:space="preserve"> Förslag till Europaparlamentets och rådets direktiv om upphävande av rådets direktiv 87/372/EEG om vilka frekvensband som ska reserveras för det samordnade införandet av allmänt tillgänglig, alleuropeisk, cellulär, digital, landbaserad mobilkommunikation inom gemenskapen (R)</w:t>
      </w:r>
    </w:p>
    <w:p w:rsidR="0099401F" w:rsidRPr="00406998" w:rsidRDefault="0099401F">
      <w:pPr>
        <w:pStyle w:val="RKnormal"/>
      </w:pPr>
    </w:p>
    <w:p w:rsidR="00047005" w:rsidRPr="00406998" w:rsidRDefault="0099401F" w:rsidP="00047005">
      <w:pPr>
        <w:pStyle w:val="Default"/>
        <w:rPr>
          <w:rFonts w:ascii="OrigGarmnd BT" w:hAnsi="OrigGarmnd BT" w:cs="OrigGarmnd BT"/>
          <w:color w:val="auto"/>
        </w:rPr>
      </w:pPr>
      <w:r w:rsidRPr="00406998">
        <w:rPr>
          <w:rFonts w:ascii="OrigGarmnd BT" w:hAnsi="OrigGarmnd BT"/>
        </w:rPr>
        <w:t>Dokument:</w:t>
      </w:r>
      <w:r w:rsidR="00047005" w:rsidRPr="00406998">
        <w:rPr>
          <w:rFonts w:ascii="OrigGarmnd BT" w:hAnsi="OrigGarmnd BT" w:cs="OrigGarmnd BT"/>
        </w:rPr>
        <w:t xml:space="preserve"> </w:t>
      </w:r>
      <w:r w:rsidR="00047005" w:rsidRPr="00406998">
        <w:rPr>
          <w:rFonts w:ascii="OrigGarmnd BT" w:hAnsi="OrigGarmnd BT" w:cs="OrigGarmnd BT"/>
          <w:color w:val="auto"/>
        </w:rPr>
        <w:t>12273/07 TELECOM 100 CODEC 850</w:t>
      </w:r>
    </w:p>
    <w:p w:rsidR="00047005" w:rsidRPr="00406998" w:rsidRDefault="00047005" w:rsidP="00047005">
      <w:pPr>
        <w:pStyle w:val="Default"/>
        <w:rPr>
          <w:rFonts w:ascii="OrigGarmnd BT" w:hAnsi="OrigGarmnd BT" w:cs="OrigGarmnd BT"/>
          <w:color w:val="auto"/>
        </w:rPr>
      </w:pPr>
      <w:r w:rsidRPr="00406998">
        <w:rPr>
          <w:rFonts w:ascii="OrigGarmnd BT" w:hAnsi="OrigGarmnd BT" w:cs="OrigGarmnd BT"/>
          <w:color w:val="auto"/>
        </w:rPr>
        <w:t>+ COR 1</w:t>
      </w:r>
    </w:p>
    <w:p w:rsidR="00047005" w:rsidRPr="00406998" w:rsidRDefault="00047005" w:rsidP="00047005">
      <w:pPr>
        <w:pStyle w:val="Default"/>
        <w:rPr>
          <w:rFonts w:ascii="OrigGarmnd BT" w:hAnsi="OrigGarmnd BT" w:cs="OrigGarmnd BT"/>
          <w:color w:val="auto"/>
        </w:rPr>
      </w:pPr>
      <w:r w:rsidRPr="00406998">
        <w:rPr>
          <w:rFonts w:ascii="OrigGarmnd BT" w:hAnsi="OrigGarmnd BT" w:cs="OrigGarmnd BT"/>
          <w:color w:val="auto"/>
        </w:rPr>
        <w:t xml:space="preserve">15194/07 TELECOM 141 CODEC 1253 </w:t>
      </w:r>
    </w:p>
    <w:p w:rsidR="00047005" w:rsidRPr="00406998" w:rsidRDefault="00047005" w:rsidP="00047005">
      <w:pPr>
        <w:pStyle w:val="RKnormal"/>
      </w:pPr>
    </w:p>
    <w:p w:rsidR="0099401F" w:rsidRPr="00406998" w:rsidRDefault="00047005">
      <w:pPr>
        <w:pStyle w:val="RKnormal"/>
      </w:pPr>
      <w:r w:rsidRPr="00406998">
        <w:t>Förslaget har inte tidigare behandlats i EU-nämnden.</w:t>
      </w:r>
    </w:p>
    <w:p w:rsidR="0099401F" w:rsidRPr="00406998" w:rsidRDefault="0099401F">
      <w:pPr>
        <w:pStyle w:val="RKrubrik"/>
      </w:pPr>
      <w:r w:rsidRPr="00406998">
        <w:t>Bakgrund</w:t>
      </w:r>
    </w:p>
    <w:p w:rsidR="00047005" w:rsidRPr="00406998" w:rsidRDefault="00047005" w:rsidP="00047005">
      <w:pPr>
        <w:pStyle w:val="Default"/>
        <w:rPr>
          <w:rFonts w:ascii="OrigGarmnd BT" w:hAnsi="OrigGarmnd BT" w:cs="OrigGarmnd BT"/>
          <w:color w:val="auto"/>
        </w:rPr>
      </w:pPr>
      <w:r w:rsidRPr="00406998">
        <w:rPr>
          <w:rFonts w:ascii="OrigGarmnd BT" w:hAnsi="OrigGarmnd BT" w:cs="OrigGarmnd BT"/>
          <w:color w:val="auto"/>
        </w:rPr>
        <w:t>Detta är ett förslag till direktiv om upphävande av det så kallade GSM</w:t>
      </w:r>
      <w:r w:rsidRPr="00406998">
        <w:rPr>
          <w:rStyle w:val="Fotnotsreferens"/>
          <w:rFonts w:cs="OrigGarmnd BT"/>
          <w:color w:val="auto"/>
        </w:rPr>
        <w:footnoteReference w:id="1"/>
      </w:r>
      <w:r w:rsidRPr="00406998">
        <w:rPr>
          <w:rFonts w:ascii="OrigGarmnd BT" w:hAnsi="OrigGarmnd BT" w:cs="OrigGarmnd BT"/>
          <w:color w:val="auto"/>
        </w:rPr>
        <w:t>-direktivet. För att kunna börja tillåta nya generationers mobilkommunikation (bl a UMTS</w:t>
      </w:r>
      <w:r w:rsidRPr="00406998">
        <w:rPr>
          <w:rStyle w:val="Fotnotsreferens"/>
          <w:rFonts w:cs="OrigGarmnd BT"/>
          <w:color w:val="auto"/>
        </w:rPr>
        <w:footnoteReference w:id="2"/>
      </w:r>
      <w:r w:rsidRPr="00406998">
        <w:rPr>
          <w:rFonts w:ascii="OrigGarmnd BT" w:hAnsi="OrigGarmnd BT" w:cs="OrigGarmnd BT"/>
          <w:color w:val="auto"/>
        </w:rPr>
        <w:t xml:space="preserve">, även kallat 3G) i frekvensbanden 890-915 och 935-960 MHz så måste ett direktiv antas om upphävande av det så kallade GSM-direktivet vilket annars blir ett hinder. </w:t>
      </w:r>
    </w:p>
    <w:p w:rsidR="00382AF6" w:rsidRPr="00406998" w:rsidRDefault="00382AF6" w:rsidP="00047005">
      <w:pPr>
        <w:pStyle w:val="Default"/>
        <w:rPr>
          <w:rFonts w:ascii="OrigGarmnd BT" w:hAnsi="OrigGarmnd BT" w:cs="OrigGarmnd BT"/>
          <w:color w:val="auto"/>
        </w:rPr>
      </w:pPr>
    </w:p>
    <w:p w:rsidR="004C64BD" w:rsidRPr="00406998" w:rsidRDefault="004C64BD" w:rsidP="004C64BD">
      <w:pPr>
        <w:pStyle w:val="Default"/>
        <w:rPr>
          <w:rFonts w:ascii="OrigGarmnd BT" w:hAnsi="OrigGarmnd BT" w:cs="OrigGarmnd BT"/>
          <w:color w:val="auto"/>
        </w:rPr>
      </w:pPr>
      <w:r w:rsidRPr="00406998">
        <w:rPr>
          <w:rFonts w:ascii="OrigGarmnd BT" w:hAnsi="OrigGarmnd BT" w:cs="OrigGarmnd BT"/>
          <w:color w:val="auto"/>
        </w:rPr>
        <w:t xml:space="preserve">EU’s spektrumkommitté (RSC) har tagit fram ett förslag till kommissionsbeslut om att öppna upp dessa frekvensband för andra mobila kommunikationscenter.. Detta beslut kommer att träda i kraft när det så kallade GSM-direktivet upphävs </w:t>
      </w:r>
    </w:p>
    <w:p w:rsidR="004C64BD" w:rsidRPr="00406998" w:rsidRDefault="004C64BD" w:rsidP="00047005">
      <w:pPr>
        <w:pStyle w:val="Default"/>
        <w:rPr>
          <w:rFonts w:ascii="OrigGarmnd BT" w:hAnsi="OrigGarmnd BT" w:cs="OrigGarmnd BT"/>
          <w:color w:val="auto"/>
        </w:rPr>
      </w:pPr>
    </w:p>
    <w:p w:rsidR="00047005" w:rsidRPr="00406998" w:rsidRDefault="00047005" w:rsidP="00047005">
      <w:pPr>
        <w:pStyle w:val="Default"/>
        <w:rPr>
          <w:rFonts w:ascii="OrigGarmnd BT" w:hAnsi="OrigGarmnd BT" w:cs="OrigGarmnd BT"/>
          <w:color w:val="auto"/>
        </w:rPr>
      </w:pPr>
    </w:p>
    <w:p w:rsidR="0099401F" w:rsidRPr="00406998" w:rsidRDefault="0099401F">
      <w:pPr>
        <w:pStyle w:val="RKrubrik"/>
      </w:pPr>
      <w:r w:rsidRPr="00406998">
        <w:lastRenderedPageBreak/>
        <w:t>Rättslig grund och beslutsförfarande</w:t>
      </w:r>
    </w:p>
    <w:p w:rsidR="007E462D" w:rsidRPr="00406998" w:rsidRDefault="007E462D" w:rsidP="007E462D">
      <w:pPr>
        <w:pStyle w:val="Default"/>
        <w:rPr>
          <w:rFonts w:ascii="OrigGarmnd BT" w:hAnsi="OrigGarmnd BT" w:cs="OrigGarmnd BT"/>
          <w:color w:val="auto"/>
        </w:rPr>
      </w:pPr>
      <w:r w:rsidRPr="00406998">
        <w:rPr>
          <w:rFonts w:ascii="OrigGarmnd BT" w:hAnsi="OrigGarmnd BT" w:cs="OrigGarmnd BT"/>
          <w:color w:val="auto"/>
        </w:rPr>
        <w:t xml:space="preserve">Artikel 95, Rådet fattar beslut med kvalificerad majoritet. Europaparlamentet är medbeslutande enligt artikel 251och Ekonomiska och Sociala kommittén ska höras. </w:t>
      </w:r>
    </w:p>
    <w:p w:rsidR="0099401F" w:rsidRPr="00406998" w:rsidRDefault="0099401F">
      <w:pPr>
        <w:pStyle w:val="RKrubrik"/>
        <w:rPr>
          <w:i/>
          <w:iCs/>
        </w:rPr>
      </w:pPr>
      <w:r w:rsidRPr="00406998">
        <w:rPr>
          <w:i/>
          <w:iCs/>
        </w:rPr>
        <w:t>Svensk ståndpunkt</w:t>
      </w:r>
    </w:p>
    <w:p w:rsidR="00F92204" w:rsidRPr="00406998" w:rsidRDefault="00F92204" w:rsidP="00F92204">
      <w:pPr>
        <w:pStyle w:val="RKnormal"/>
      </w:pPr>
      <w:r w:rsidRPr="00406998">
        <w:t>Regeringen anser att Sverige kan stödja förslaget.</w:t>
      </w:r>
    </w:p>
    <w:p w:rsidR="0099401F" w:rsidRPr="00406998" w:rsidRDefault="0099401F">
      <w:pPr>
        <w:pStyle w:val="RKrubrik"/>
      </w:pPr>
      <w:r w:rsidRPr="00406998">
        <w:t>Europaparlamentets inställning</w:t>
      </w:r>
    </w:p>
    <w:p w:rsidR="0099401F" w:rsidRPr="00406998" w:rsidRDefault="007E462D">
      <w:pPr>
        <w:pStyle w:val="RKnormal"/>
      </w:pPr>
      <w:r w:rsidRPr="00406998">
        <w:t>Inte känd.</w:t>
      </w:r>
    </w:p>
    <w:p w:rsidR="0099401F" w:rsidRPr="00406998" w:rsidRDefault="0099401F">
      <w:pPr>
        <w:pStyle w:val="RKrubrik"/>
        <w:rPr>
          <w:i/>
          <w:iCs/>
        </w:rPr>
      </w:pPr>
      <w:r w:rsidRPr="00406998">
        <w:rPr>
          <w:i/>
          <w:iCs/>
        </w:rPr>
        <w:t>Förslaget</w:t>
      </w:r>
    </w:p>
    <w:p w:rsidR="00382AF6" w:rsidRPr="00406998" w:rsidRDefault="00382AF6" w:rsidP="00382AF6">
      <w:pPr>
        <w:pStyle w:val="Default"/>
        <w:rPr>
          <w:rFonts w:ascii="OrigGarmnd BT" w:hAnsi="OrigGarmnd BT" w:cs="OrigGarmnd BT"/>
          <w:color w:val="auto"/>
        </w:rPr>
      </w:pPr>
      <w:r w:rsidRPr="00406998">
        <w:rPr>
          <w:rFonts w:ascii="OrigGarmnd BT" w:hAnsi="OrigGarmnd BT" w:cs="OrigGarmnd BT"/>
          <w:color w:val="auto"/>
        </w:rPr>
        <w:t xml:space="preserve">Syftet med </w:t>
      </w:r>
      <w:r w:rsidR="00D84C9E" w:rsidRPr="00406998">
        <w:rPr>
          <w:rFonts w:ascii="OrigGarmnd BT" w:hAnsi="OrigGarmnd BT" w:cs="OrigGarmnd BT"/>
          <w:color w:val="auto"/>
        </w:rPr>
        <w:t xml:space="preserve">det nya </w:t>
      </w:r>
      <w:r w:rsidRPr="00406998">
        <w:rPr>
          <w:rFonts w:ascii="OrigGarmnd BT" w:hAnsi="OrigGarmnd BT" w:cs="OrigGarmnd BT"/>
          <w:color w:val="auto"/>
        </w:rPr>
        <w:t>kommissionsbeslut är att harmonisera villkor för tillgång till och effektiv användning av frekvensbanden 900 MHz och 1800 MHz för markbundna (landbaserade) system som kan tillhandahålla alleuropeiska elektroniska kommunikationstjänster. Förslaget bygger på att nuvarande användning av GSM även fortsättningsvis kommer skyddas i hela EU från skadlig störning, så länge det finns en tillräcklig efterfrågan på tjänsten.</w:t>
      </w:r>
    </w:p>
    <w:p w:rsidR="00382AF6" w:rsidRPr="00406998" w:rsidRDefault="00382AF6" w:rsidP="00382AF6">
      <w:pPr>
        <w:pStyle w:val="Default"/>
        <w:rPr>
          <w:rFonts w:ascii="OrigGarmnd BT" w:hAnsi="OrigGarmnd BT" w:cs="OrigGarmnd BT"/>
          <w:color w:val="auto"/>
        </w:rPr>
      </w:pPr>
    </w:p>
    <w:p w:rsidR="00382AF6" w:rsidRPr="00406998" w:rsidRDefault="00382AF6" w:rsidP="00D84C9E">
      <w:pPr>
        <w:pStyle w:val="RKnormal"/>
      </w:pPr>
      <w:r w:rsidRPr="00406998">
        <w:t xml:space="preserve">Teknikneutralitet och tjänsteneutralitet är strategiska mål för en mer flexibel användning av radiospektrumutrymmet. Målen uppställdes och beskrevs av medlemsstaterna i yttrandet från gruppen för radiospektrumpolitik (RSPG) om WAPECS av den 23 november 2005. Av yttrandet framgår att målen bör inte införas alltför abrupt utan gradvis så att inte marknaden rubbas. I ett första steg anges systemet UMTS särskilt av bilagan till det föreslagna kommissionsbeslutet med en möjlighet till komplettering med andra system. I syfte att öka flexibiliteten, och samtidigt bevara den nödvändiga alleuropeiska täckningen för tjänster för elektronisk kommunikation inom harmoniserade frekvensband, får då medlemsstaterna möjlighet att införa andra system inom frekvensbanden 900 MHz och 1800 MHz, parallellt med GSM och andra markbundna system. </w:t>
      </w:r>
    </w:p>
    <w:p w:rsidR="0099401F" w:rsidRPr="00406998" w:rsidRDefault="0099401F">
      <w:pPr>
        <w:pStyle w:val="RKnormal"/>
      </w:pPr>
    </w:p>
    <w:p w:rsidR="0099401F" w:rsidRPr="00406998" w:rsidRDefault="0099401F">
      <w:pPr>
        <w:pStyle w:val="RKrubrik"/>
        <w:rPr>
          <w:i/>
          <w:iCs/>
        </w:rPr>
      </w:pPr>
      <w:r w:rsidRPr="00406998">
        <w:rPr>
          <w:i/>
          <w:iCs/>
        </w:rPr>
        <w:t>Gällande svenska regler och förslagets effekter på dessa</w:t>
      </w:r>
    </w:p>
    <w:p w:rsidR="0099401F" w:rsidRPr="00406998" w:rsidRDefault="00D84C9E">
      <w:pPr>
        <w:pStyle w:val="RKnormal"/>
      </w:pPr>
      <w:r w:rsidRPr="00406998">
        <w:t>Inga effekter på den svenska reg</w:t>
      </w:r>
      <w:r w:rsidR="00CB0731" w:rsidRPr="00406998">
        <w:t>l</w:t>
      </w:r>
      <w:r w:rsidRPr="00406998">
        <w:t>eringen.</w:t>
      </w:r>
    </w:p>
    <w:p w:rsidR="0099401F" w:rsidRPr="00406998" w:rsidRDefault="0099401F">
      <w:pPr>
        <w:pStyle w:val="RKrubrik"/>
      </w:pPr>
      <w:r w:rsidRPr="00406998">
        <w:t>Ekonomiska konsekvenser</w:t>
      </w:r>
    </w:p>
    <w:p w:rsidR="0099401F" w:rsidRPr="00406998" w:rsidRDefault="00382AF6">
      <w:pPr>
        <w:pStyle w:val="RKnormal"/>
      </w:pPr>
      <w:r w:rsidRPr="00406998">
        <w:t>Inga kända.</w:t>
      </w:r>
    </w:p>
    <w:p w:rsidR="0099401F" w:rsidRPr="00406998" w:rsidRDefault="0099401F">
      <w:pPr>
        <w:pStyle w:val="RKnormal"/>
      </w:pPr>
    </w:p>
    <w:p w:rsidR="0099401F" w:rsidRPr="00406998" w:rsidRDefault="0099401F">
      <w:pPr>
        <w:pStyle w:val="RKnormal"/>
        <w:rPr>
          <w:i/>
          <w:iCs/>
        </w:rPr>
      </w:pPr>
    </w:p>
    <w:p w:rsidR="0099401F" w:rsidRPr="00406998" w:rsidRDefault="0099401F">
      <w:pPr>
        <w:pStyle w:val="RKnormal"/>
      </w:pPr>
    </w:p>
    <w:sectPr w:rsidR="0099401F" w:rsidRPr="0040699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486" w:rsidRPr="00406998" w:rsidRDefault="00281486">
      <w:r w:rsidRPr="00406998">
        <w:separator/>
      </w:r>
    </w:p>
  </w:endnote>
  <w:endnote w:type="continuationSeparator" w:id="0">
    <w:p w:rsidR="00281486" w:rsidRPr="00406998" w:rsidRDefault="00281486">
      <w:r w:rsidRPr="004069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486" w:rsidRPr="00406998" w:rsidRDefault="00281486">
      <w:r w:rsidRPr="00406998">
        <w:separator/>
      </w:r>
    </w:p>
  </w:footnote>
  <w:footnote w:type="continuationSeparator" w:id="0">
    <w:p w:rsidR="00281486" w:rsidRPr="00406998" w:rsidRDefault="00281486">
      <w:r w:rsidRPr="00406998">
        <w:continuationSeparator/>
      </w:r>
    </w:p>
  </w:footnote>
  <w:footnote w:id="1">
    <w:p w:rsidR="00CB0731" w:rsidRPr="00406998" w:rsidRDefault="00CB0731" w:rsidP="00047005">
      <w:pPr>
        <w:pStyle w:val="Fotnotstext"/>
      </w:pPr>
      <w:r w:rsidRPr="00406998">
        <w:rPr>
          <w:rStyle w:val="Fotnotsreferens"/>
        </w:rPr>
        <w:footnoteRef/>
      </w:r>
      <w:r w:rsidRPr="00406998">
        <w:t xml:space="preserve"> Globalt System för Mobilkommunikation</w:t>
      </w:r>
    </w:p>
  </w:footnote>
  <w:footnote w:id="2">
    <w:p w:rsidR="00CB0731" w:rsidRPr="00406998" w:rsidRDefault="00CB0731" w:rsidP="00047005">
      <w:pPr>
        <w:pStyle w:val="Fotnotstext"/>
      </w:pPr>
      <w:r w:rsidRPr="00406998">
        <w:rPr>
          <w:rStyle w:val="Fotnotsreferens"/>
        </w:rPr>
        <w:footnoteRef/>
      </w:r>
      <w:r w:rsidRPr="00406998">
        <w:t xml:space="preserve"> Universal Mobile Telecommunications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731" w:rsidRPr="00406998" w:rsidRDefault="00CB0731">
    <w:pPr>
      <w:pStyle w:val="Sidhuvud"/>
      <w:framePr w:wrap="around" w:vAnchor="text" w:hAnchor="margin" w:xAlign="right" w:y="1"/>
      <w:rPr>
        <w:rStyle w:val="Sidnummer"/>
      </w:rPr>
    </w:pPr>
    <w:r w:rsidRPr="00406998">
      <w:rPr>
        <w:rStyle w:val="Sidnummer"/>
      </w:rPr>
      <w:fldChar w:fldCharType="begin" w:fldLock="1"/>
    </w:r>
    <w:r w:rsidRPr="00406998">
      <w:rPr>
        <w:rStyle w:val="Sidnummer"/>
      </w:rPr>
      <w:instrText xml:space="preserve">PAGE  </w:instrText>
    </w:r>
    <w:r w:rsidRPr="00406998">
      <w:rPr>
        <w:rStyle w:val="Sidnummer"/>
      </w:rPr>
      <w:fldChar w:fldCharType="separate"/>
    </w:r>
    <w:r w:rsidR="004E18D4" w:rsidRPr="00406998">
      <w:rPr>
        <w:rStyle w:val="Sidnummer"/>
      </w:rPr>
      <w:t>2</w:t>
    </w:r>
    <w:r w:rsidRPr="00406998">
      <w:rPr>
        <w:rStyle w:val="Sidnummer"/>
      </w:rPr>
      <w:fldChar w:fldCharType="end"/>
    </w:r>
  </w:p>
  <w:p w:rsidR="00CB0731" w:rsidRPr="00406998" w:rsidRDefault="00CB0731">
    <w:pPr>
      <w:pStyle w:val="Sidhuvud"/>
      <w:ind w:right="360"/>
    </w:pPr>
  </w:p>
  <w:p w:rsidR="00CB0731" w:rsidRPr="00406998" w:rsidRDefault="00CB073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731" w:rsidRPr="00406998" w:rsidRDefault="00CB0731">
    <w:pPr>
      <w:pStyle w:val="Sidhuvud"/>
      <w:framePr w:wrap="around" w:vAnchor="text" w:hAnchor="margin" w:xAlign="right" w:y="1"/>
      <w:rPr>
        <w:rStyle w:val="Sidnummer"/>
      </w:rPr>
    </w:pPr>
    <w:r w:rsidRPr="00406998">
      <w:rPr>
        <w:rStyle w:val="Sidnummer"/>
      </w:rPr>
      <w:fldChar w:fldCharType="begin" w:fldLock="1"/>
    </w:r>
    <w:r w:rsidRPr="00406998">
      <w:rPr>
        <w:rStyle w:val="Sidnummer"/>
      </w:rPr>
      <w:instrText xml:space="preserve">PAGE  </w:instrText>
    </w:r>
    <w:r w:rsidRPr="00406998">
      <w:rPr>
        <w:rStyle w:val="Sidnummer"/>
      </w:rPr>
      <w:fldChar w:fldCharType="separate"/>
    </w:r>
    <w:r w:rsidRPr="00406998">
      <w:rPr>
        <w:rStyle w:val="Sidnummer"/>
      </w:rPr>
      <w:t>3</w:t>
    </w:r>
    <w:r w:rsidRPr="00406998">
      <w:rPr>
        <w:rStyle w:val="Sidnummer"/>
      </w:rPr>
      <w:fldChar w:fldCharType="end"/>
    </w:r>
  </w:p>
  <w:p w:rsidR="00CB0731" w:rsidRPr="00406998" w:rsidRDefault="00CB0731">
    <w:pPr>
      <w:pStyle w:val="Sidhuvud"/>
      <w:ind w:right="360"/>
    </w:pPr>
  </w:p>
  <w:p w:rsidR="00CB0731" w:rsidRPr="00406998" w:rsidRDefault="00CB073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731" w:rsidRPr="00406998" w:rsidRDefault="00406998">
    <w:pPr>
      <w:framePr w:w="2948" w:h="1321" w:hRule="exact" w:wrap="notBeside" w:vAnchor="page" w:hAnchor="page" w:x="1362" w:y="653"/>
    </w:pPr>
    <w:r w:rsidRPr="0040699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B0731" w:rsidRPr="00406998" w:rsidRDefault="00CB0731">
    <w:pPr>
      <w:pStyle w:val="RKrubrik"/>
      <w:keepNext w:val="0"/>
      <w:tabs>
        <w:tab w:val="clear" w:pos="1134"/>
        <w:tab w:val="clear" w:pos="2835"/>
      </w:tabs>
      <w:spacing w:before="0" w:after="0" w:line="320" w:lineRule="atLeast"/>
      <w:rPr>
        <w:bCs/>
      </w:rPr>
    </w:pPr>
  </w:p>
  <w:p w:rsidR="00CB0731" w:rsidRPr="00406998" w:rsidRDefault="00CB0731">
    <w:pPr>
      <w:rPr>
        <w:rFonts w:ascii="TradeGothic" w:hAnsi="TradeGothic"/>
        <w:b/>
        <w:bCs/>
        <w:spacing w:val="12"/>
        <w:sz w:val="22"/>
      </w:rPr>
    </w:pPr>
  </w:p>
  <w:p w:rsidR="00CB0731" w:rsidRPr="00406998" w:rsidRDefault="00CB0731">
    <w:pPr>
      <w:pStyle w:val="RKrubrik"/>
      <w:keepNext w:val="0"/>
      <w:tabs>
        <w:tab w:val="clear" w:pos="1134"/>
        <w:tab w:val="clear" w:pos="2835"/>
      </w:tabs>
      <w:spacing w:before="0" w:after="0" w:line="320" w:lineRule="atLeast"/>
      <w:rPr>
        <w:bCs/>
      </w:rPr>
    </w:pPr>
  </w:p>
  <w:p w:rsidR="00CB0731" w:rsidRPr="00406998" w:rsidRDefault="00CB073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040EF3"/>
    <w:rsid w:val="00040EF3"/>
    <w:rsid w:val="00047005"/>
    <w:rsid w:val="00281486"/>
    <w:rsid w:val="00366B79"/>
    <w:rsid w:val="00382AF6"/>
    <w:rsid w:val="00406998"/>
    <w:rsid w:val="004C64BD"/>
    <w:rsid w:val="004E18D4"/>
    <w:rsid w:val="006C50A0"/>
    <w:rsid w:val="007E462D"/>
    <w:rsid w:val="007F4818"/>
    <w:rsid w:val="008164D4"/>
    <w:rsid w:val="00872A42"/>
    <w:rsid w:val="0099401F"/>
    <w:rsid w:val="00B2574C"/>
    <w:rsid w:val="00CB0731"/>
    <w:rsid w:val="00CD5DCD"/>
    <w:rsid w:val="00D84C9E"/>
    <w:rsid w:val="00F922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71D975-3481-4F23-A2D5-9737A497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047005"/>
    <w:rPr>
      <w:rFonts w:ascii="OrigGarmnd BT" w:hAnsi="OrigGarmnd BT"/>
      <w:sz w:val="24"/>
      <w:lang w:val="sv-SE" w:eastAsia="en-US" w:bidi="ar-SA"/>
    </w:rPr>
  </w:style>
  <w:style w:type="paragraph" w:customStyle="1" w:styleId="Default">
    <w:name w:val="Default"/>
    <w:link w:val="DefaultChar"/>
    <w:rsid w:val="00047005"/>
    <w:pPr>
      <w:widowControl w:val="0"/>
      <w:autoSpaceDE w:val="0"/>
      <w:autoSpaceDN w:val="0"/>
      <w:adjustRightInd w:val="0"/>
    </w:pPr>
    <w:rPr>
      <w:rFonts w:ascii="TradeGothic" w:hAnsi="TradeGothic" w:cs="TradeGothic"/>
      <w:color w:val="000000"/>
      <w:sz w:val="24"/>
      <w:szCs w:val="24"/>
      <w:lang w:val="sv-SE" w:eastAsia="sv-SE"/>
    </w:rPr>
  </w:style>
  <w:style w:type="character" w:customStyle="1" w:styleId="DefaultChar">
    <w:name w:val="Default Char"/>
    <w:basedOn w:val="Standardstycketeckensnitt"/>
    <w:link w:val="Default"/>
    <w:rsid w:val="00047005"/>
    <w:rPr>
      <w:rFonts w:ascii="TradeGothic" w:hAnsi="TradeGothic" w:cs="TradeGothic"/>
      <w:color w:val="000000"/>
      <w:sz w:val="24"/>
      <w:szCs w:val="24"/>
      <w:lang w:val="sv-SE" w:eastAsia="sv-SE" w:bidi="ar-SA"/>
    </w:rPr>
  </w:style>
  <w:style w:type="paragraph" w:styleId="Fotnotstext">
    <w:name w:val="footnote text"/>
    <w:basedOn w:val="Normal"/>
    <w:semiHidden/>
    <w:rsid w:val="00047005"/>
    <w:rPr>
      <w:sz w:val="20"/>
    </w:rPr>
  </w:style>
  <w:style w:type="character" w:styleId="Fotnotsreferens">
    <w:name w:val="footnote reference"/>
    <w:basedOn w:val="Standardstycketeckensnitt"/>
    <w:semiHidden/>
    <w:rsid w:val="000470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388</Words>
  <Characters>2472</Characters>
  <Application>Microsoft Office Word</Application>
  <DocSecurity>4</DocSecurity>
  <Lines>85</Lines>
  <Paragraphs>30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2007-11-21T10:31:00Z</cp:lastPrinted>
  <dcterms:created xsi:type="dcterms:W3CDTF">2025-12-17T13:19:00Z</dcterms:created>
  <dcterms:modified xsi:type="dcterms:W3CDTF">2025-12-17T13:19:00Z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