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42E" w:rsidRPr="00EB0CC4" w:rsidRDefault="001C342E">
      <w:pPr>
        <w:pStyle w:val="Hemstlrubrik"/>
      </w:pPr>
      <w:r w:rsidRPr="00EB0CC4">
        <w:t>Förslag till riksdagsbeslut</w:t>
      </w:r>
    </w:p>
    <w:p w:rsidR="001C342E" w:rsidRPr="00EB0CC4" w:rsidRDefault="001C342E">
      <w:pPr>
        <w:pStyle w:val="Hemstlatt"/>
        <w:ind w:left="0"/>
      </w:pPr>
      <w:r w:rsidRPr="00EB0CC4">
        <w:t>Riksdagen tillkännager för regeringen som sin mening vad som anförs i motionen om regionalt samarbete i EU.</w:t>
      </w:r>
    </w:p>
    <w:p w:rsidR="001C342E" w:rsidRPr="00EB0CC4" w:rsidRDefault="001C342E">
      <w:pPr>
        <w:pStyle w:val="Rubrik1"/>
      </w:pPr>
      <w:r w:rsidRPr="00EB0CC4">
        <w:t>Motivering</w:t>
      </w:r>
    </w:p>
    <w:p w:rsidR="001C342E" w:rsidRPr="00EB0CC4" w:rsidRDefault="001C342E">
      <w:r w:rsidRPr="00EB0CC4">
        <w:t>Det ska vara lätt att få veta vad som sker i EU, det ska vara lätt att engagera sig i den demokratiska processen som pågår i EU. Alla upplever inte att det är så idag. Att EU ständigt är en process i rörelse är bra men gör det också svårtillgängligt.</w:t>
      </w:r>
    </w:p>
    <w:p w:rsidR="001C342E" w:rsidRPr="00EB0CC4" w:rsidRDefault="001C342E">
      <w:pPr>
        <w:pStyle w:val="Normaltindrag"/>
      </w:pPr>
      <w:r w:rsidRPr="00EB0CC4">
        <w:t>EU har fyllt 50 år och är ständigt inne i förändringsprocesser dels eftersom vi blir fler och fler medlemsländer, dels för att demokratin och inflytandet ställer stora krav på organisationen. Under tiden som Sverige varit medlem i EU har samarbetet mellan medlemsstaterna ökat. I riksdagen har vi gjort facknämnderna mer delaktiga i behandlingen av grönböcker och förslag inför ministermöten innan behandlingen i EU-nämnden.</w:t>
      </w:r>
    </w:p>
    <w:p w:rsidR="001C342E" w:rsidRPr="00EB0CC4" w:rsidRDefault="001C342E">
      <w:pPr>
        <w:pStyle w:val="Normaltindrag"/>
      </w:pPr>
      <w:r w:rsidRPr="00EB0CC4">
        <w:t>Men EU är så mycket mer än det som sker i riksdagen och i regeringen. Det handlar också om ett samarbete mellan olika ekonomiska eller geografi</w:t>
      </w:r>
      <w:r w:rsidRPr="00EB0CC4">
        <w:t>s</w:t>
      </w:r>
      <w:r w:rsidRPr="00EB0CC4">
        <w:t>ka regioner. Där har Sverige generellt sett inte varit så aktivt, hittills.</w:t>
      </w:r>
    </w:p>
    <w:p w:rsidR="001C342E" w:rsidRPr="00EB0CC4" w:rsidRDefault="001C342E">
      <w:pPr>
        <w:pStyle w:val="Normaltindrag"/>
      </w:pPr>
      <w:r w:rsidRPr="00EB0CC4">
        <w:t>I Sverige vill vi utjämna skillnaderna ekonomiskt och socialt mellan de olika regionerna inom landet. I det arbetet glöms ofta de regionala särarterna bort, särarter som rätt använda är en tillgång och ger en utvecklingspotential.</w:t>
      </w:r>
    </w:p>
    <w:p w:rsidR="001C342E" w:rsidRPr="00EB0CC4" w:rsidRDefault="001C342E">
      <w:pPr>
        <w:pStyle w:val="Normaltindrag"/>
      </w:pPr>
      <w:r w:rsidRPr="00EB0CC4">
        <w:t>På samma sätt finns olika särarter i andra regioner runtom i EU:s 27 me</w:t>
      </w:r>
      <w:r w:rsidRPr="00EB0CC4">
        <w:t>d</w:t>
      </w:r>
      <w:r w:rsidRPr="00EB0CC4">
        <w:t>lemsländer. Sverige måste bli betydligt mer aktivt i arbetet med att söka och finna regionala partners för olika samarbeten. Ibland handlar det om att stru</w:t>
      </w:r>
      <w:r w:rsidRPr="00EB0CC4">
        <w:t>k</w:t>
      </w:r>
      <w:r w:rsidRPr="00EB0CC4">
        <w:t>turella likheter kan vara grunden för utbyte av erfarenheter och kunskap. I andra fall kan det kanske vara olikheterna som gör att man kompletterar va</w:t>
      </w:r>
      <w:r w:rsidRPr="00EB0CC4">
        <w:t>r</w:t>
      </w:r>
      <w:r w:rsidRPr="00EB0CC4">
        <w:t>andra.</w:t>
      </w:r>
    </w:p>
    <w:p w:rsidR="001C342E" w:rsidRPr="00EB0CC4" w:rsidRDefault="001C342E">
      <w:pPr>
        <w:pStyle w:val="Normaltindrag"/>
      </w:pPr>
      <w:r w:rsidRPr="00EB0CC4">
        <w:lastRenderedPageBreak/>
        <w:t>Genom att mer aktivt ta del av EU-arbetet som sker mellan regioner skulle det svenska arbetet med den regionala utvecklingspolitiken i landet kunna stärkas.</w:t>
      </w:r>
    </w:p>
    <w:p w:rsidR="001C342E" w:rsidRPr="00EB0CC4" w:rsidRDefault="001C342E">
      <w:pPr>
        <w:pStyle w:val="Normaltindrag"/>
      </w:pPr>
      <w:r w:rsidRPr="00EB0CC4">
        <w:t>Förutom att skapa kontakter och samarbeten mellan stater så är det natu</w:t>
      </w:r>
      <w:r w:rsidRPr="00EB0CC4">
        <w:t>r</w:t>
      </w:r>
      <w:r w:rsidRPr="00EB0CC4">
        <w:t>ligtvis viktigt att genom EU genomföra en progressiv politik för mer rättvisa och solidaritet i hela Europa.</w:t>
      </w:r>
    </w:p>
    <w:p w:rsidR="001C342E" w:rsidRPr="00EB0CC4" w:rsidRDefault="001C342E">
      <w:pPr>
        <w:pStyle w:val="Normaltindrag"/>
      </w:pPr>
      <w:r w:rsidRPr="00EB0CC4">
        <w:t>Alla har ett ansvar för att öka svenska folkets förståelse för vad EU bet</w:t>
      </w:r>
      <w:r w:rsidRPr="00EB0CC4">
        <w:t>y</w:t>
      </w:r>
      <w:r w:rsidRPr="00EB0CC4">
        <w:t>der. Där kan samarbetet mellan olika regioner inom Europa vara ett sätt, fol</w:t>
      </w:r>
      <w:r w:rsidRPr="00EB0CC4">
        <w:t>k</w:t>
      </w:r>
      <w:r w:rsidRPr="00EB0CC4">
        <w:t>bildning ett annat.</w:t>
      </w:r>
    </w:p>
    <w:p w:rsidR="001C342E" w:rsidRPr="00EB0CC4" w:rsidRDefault="001C342E">
      <w:pPr>
        <w:pStyle w:val="Normaltindrag"/>
      </w:pPr>
      <w:r w:rsidRPr="00EB0CC4">
        <w:t>EU:s gemensamma resurser ska främja den hållbara tillväxten, få fler i a</w:t>
      </w:r>
      <w:r w:rsidRPr="00EB0CC4">
        <w:t>r</w:t>
      </w:r>
      <w:r w:rsidRPr="00EB0CC4">
        <w:t>bete och stärka EU:s sociala dimension samt vässa miljöpolitiken. Att Sverige aktivt arbetar för att sänka jordbrukssubventionerna och stoppa EU-parlamentets flyttcirkus mellan Bryssel och Strasbourg är andra konkreta frågor som det går att få ett folkligt stöd för.</w:t>
      </w:r>
    </w:p>
    <w:p w:rsidR="001C342E" w:rsidRPr="00EB0CC4" w:rsidRDefault="001C342E">
      <w:pPr>
        <w:pStyle w:val="Normaltindrag"/>
      </w:pPr>
      <w:r w:rsidRPr="00EB0CC4">
        <w:t>De regionala samarbetena måste bli en mer naturlig del i det löpande svenska EU-arbetet och regionaliseringen bejakas. Det är ett av de grun</w:t>
      </w:r>
      <w:r w:rsidRPr="00EB0CC4">
        <w:t>d</w:t>
      </w:r>
      <w:r w:rsidRPr="00EB0CC4">
        <w:t>läggande målen för EU-arbetet ända sedan Romfördraget antogs 1957 att sträva efter att utjämna sociala och ekonomiska skillnader mellan länder och regioner inom EU.</w:t>
      </w:r>
    </w:p>
    <w:p w:rsidR="001C342E" w:rsidRPr="00EB0CC4" w:rsidRDefault="001C342E">
      <w:pPr>
        <w:pStyle w:val="Normaltindrag"/>
      </w:pPr>
      <w:r w:rsidRPr="00EB0CC4">
        <w:t>Ett ökat regionalt fokus på EU-arbetet innebär också att det som sker i och genom EU blir mer tydligt för alla medborgare. Det leder till ökad kunskap om vad EU-arbetet konkret tar sig för uttryck och vad som är målet för olika beslut och skeenden.</w:t>
      </w:r>
    </w:p>
    <w:p w:rsidR="001C342E" w:rsidRPr="00EB0CC4" w:rsidRDefault="001C342E">
      <w:pPr>
        <w:pStyle w:val="Normaltindrag"/>
      </w:pPr>
      <w:r w:rsidRPr="00EB0CC4">
        <w:t>Genom att EU-arbetet kommer närmare vardagen ökar möjligheten för i</w:t>
      </w:r>
      <w:r w:rsidRPr="00EB0CC4">
        <w:t>n</w:t>
      </w:r>
      <w:r w:rsidRPr="00EB0CC4">
        <w:t>syn och kunskap. Det i sin tur borde leda till ett ökat intresse bland medbo</w:t>
      </w:r>
      <w:r w:rsidRPr="00EB0CC4">
        <w:t>r</w:t>
      </w:r>
      <w:r w:rsidRPr="00EB0CC4">
        <w:t>garna, ett intresse som borde stimuleras genom att göra information om EU mer tillgänglig ute i landets kommuner.</w:t>
      </w:r>
    </w:p>
    <w:p w:rsidR="001C342E" w:rsidRPr="00EB0CC4" w:rsidRDefault="001C342E">
      <w:pPr>
        <w:pStyle w:val="Normaltindrag"/>
      </w:pPr>
      <w:r w:rsidRPr="00EB0CC4">
        <w:t>Ett sätt kan vara att biblioteken erbjuder lokala informationspunkter där i</w:t>
      </w:r>
      <w:r w:rsidRPr="00EB0CC4">
        <w:t>n</w:t>
      </w:r>
      <w:r w:rsidRPr="00EB0CC4">
        <w:t>formation görs tillgänglig och detta också förstärks genom medverkan av olika politiska och administrativa aktörer. Det kan till exempel vara EU-parlamentariker, ledamöter i EU:s regionkommitté, handläggare på depart</w:t>
      </w:r>
      <w:r w:rsidRPr="00EB0CC4">
        <w:t>e</w:t>
      </w:r>
      <w:r w:rsidRPr="00EB0CC4">
        <w:t>ment, tjänstemän från direktoraten i EU-kommissionen och så vidare.</w:t>
      </w:r>
    </w:p>
    <w:p w:rsidR="001C342E" w:rsidRPr="00EB0CC4" w:rsidRDefault="001C342E">
      <w:pPr>
        <w:pStyle w:val="Normaltindrag"/>
      </w:pPr>
      <w:r w:rsidRPr="00EB0CC4">
        <w:t>Därför är det viktigt att finna former för att samla och få till stånd ett i</w:t>
      </w:r>
      <w:r w:rsidRPr="00EB0CC4">
        <w:t>n</w:t>
      </w:r>
      <w:r w:rsidRPr="00EB0CC4">
        <w:t>formationsutbyte mellan de svenskar som deltar i olika EU-arbeten. Precis som i politiken på alla andra beslutsnivåer finns det olika ideologiska skilln</w:t>
      </w:r>
      <w:r w:rsidRPr="00EB0CC4">
        <w:t>a</w:t>
      </w:r>
      <w:r w:rsidRPr="00EB0CC4">
        <w:t>der och synsätt.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0CC4">
        <w:trPr>
          <w:cantSplit/>
        </w:trPr>
        <w:tc>
          <w:tcPr>
            <w:tcW w:w="3046" w:type="dxa"/>
          </w:tcPr>
          <w:p w:rsidR="001C342E" w:rsidRPr="00EB0CC4" w:rsidRDefault="001C342E">
            <w:pPr>
              <w:pStyle w:val="UnderskriftDatum"/>
              <w:spacing w:before="240"/>
            </w:pPr>
            <w:r w:rsidRPr="00EB0CC4">
              <w:t>Stockholm den 3 oktober 2007</w:t>
            </w:r>
          </w:p>
        </w:tc>
        <w:tc>
          <w:tcPr>
            <w:tcW w:w="3047" w:type="dxa"/>
          </w:tcPr>
          <w:p w:rsidR="001C342E" w:rsidRPr="00EB0CC4" w:rsidRDefault="001C342E">
            <w:pPr>
              <w:pStyle w:val="Underskrifter"/>
              <w:spacing w:before="240"/>
            </w:pPr>
          </w:p>
        </w:tc>
      </w:tr>
      <w:tr w:rsidR="00000000" w:rsidRPr="00EB0CC4">
        <w:trPr>
          <w:cantSplit/>
        </w:trPr>
        <w:tc>
          <w:tcPr>
            <w:tcW w:w="3046" w:type="dxa"/>
          </w:tcPr>
          <w:p w:rsidR="001C342E" w:rsidRPr="00EB0CC4" w:rsidRDefault="001C342E">
            <w:pPr>
              <w:pStyle w:val="Underskrifter"/>
            </w:pPr>
            <w:r w:rsidRPr="00EB0CC4">
              <w:t>Monica Green (s)</w:t>
            </w:r>
          </w:p>
        </w:tc>
        <w:tc>
          <w:tcPr>
            <w:tcW w:w="3046" w:type="dxa"/>
          </w:tcPr>
          <w:p w:rsidR="001C342E" w:rsidRPr="00EB0CC4" w:rsidRDefault="001C342E">
            <w:pPr>
              <w:pStyle w:val="Underskrifter"/>
            </w:pPr>
          </w:p>
        </w:tc>
      </w:tr>
    </w:tbl>
    <w:p w:rsidR="001C342E" w:rsidRPr="00EB0CC4" w:rsidRDefault="001C342E">
      <w:pPr>
        <w:pStyle w:val="Normaltindrag"/>
      </w:pPr>
    </w:p>
    <w:sectPr w:rsidR="001C342E" w:rsidRPr="00EB0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42E" w:rsidRPr="00EB0CC4" w:rsidRDefault="001C342E">
      <w:r w:rsidRPr="00EB0CC4">
        <w:separator/>
      </w:r>
    </w:p>
  </w:endnote>
  <w:endnote w:type="continuationSeparator" w:id="0">
    <w:p w:rsidR="001C342E" w:rsidRPr="00EB0CC4" w:rsidRDefault="001C342E">
      <w:r w:rsidRPr="00EB0C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42E" w:rsidRPr="00EB0CC4" w:rsidRDefault="00EB0CC4">
    <w:pPr>
      <w:pStyle w:val="Sidfot"/>
    </w:pPr>
    <w:r w:rsidRPr="00EB0C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80213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42E" w:rsidRDefault="001C34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342E" w:rsidRDefault="001C34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42E" w:rsidRPr="00EB0CC4" w:rsidRDefault="00EB0CC4">
    <w:pPr>
      <w:pStyle w:val="Sidfot"/>
    </w:pPr>
    <w:r w:rsidRPr="00EB0C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5220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42E" w:rsidRDefault="001C34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342E" w:rsidRDefault="001C34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42E" w:rsidRPr="00EB0CC4" w:rsidRDefault="00EB0CC4">
    <w:pPr>
      <w:pStyle w:val="Sidfot"/>
    </w:pPr>
    <w:r w:rsidRPr="00EB0C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95002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42E" w:rsidRDefault="001C34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342E" w:rsidRDefault="001C34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42E" w:rsidRPr="00EB0CC4" w:rsidRDefault="001C342E">
      <w:r w:rsidRPr="00EB0CC4">
        <w:separator/>
      </w:r>
    </w:p>
  </w:footnote>
  <w:footnote w:type="continuationSeparator" w:id="0">
    <w:p w:rsidR="001C342E" w:rsidRPr="00EB0CC4" w:rsidRDefault="001C342E">
      <w:r w:rsidRPr="00EB0C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42E" w:rsidRPr="00EB0CC4" w:rsidRDefault="00EB0CC4">
    <w:pPr>
      <w:pStyle w:val="Sidhuvud"/>
    </w:pPr>
    <w:r w:rsidRPr="00EB0C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07039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42E" w:rsidRDefault="001C34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342E" w:rsidRDefault="001C34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42E" w:rsidRPr="00EB0CC4" w:rsidRDefault="00EB0CC4">
    <w:pPr>
      <w:pStyle w:val="Sidhuvud"/>
    </w:pPr>
    <w:r w:rsidRPr="00EB0C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06238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42E" w:rsidRDefault="001C34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342E" w:rsidRDefault="001C34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42E" w:rsidRPr="00EB0CC4" w:rsidRDefault="001C342E">
    <w:pPr>
      <w:pStyle w:val="FSHNormal"/>
      <w:tabs>
        <w:tab w:val="right" w:pos="5840"/>
      </w:tabs>
    </w:pPr>
    <w:r w:rsidRPr="00EB0CC4">
      <w:br/>
    </w:r>
    <w:r w:rsidRPr="00EB0CC4">
      <w:fldChar w:fldCharType="begin" w:fldLock="1"/>
    </w:r>
    <w:r w:rsidRPr="00EB0CC4">
      <w:instrText xml:space="preserve"> DOCPROPERTY</w:instrText>
    </w:r>
    <w:r w:rsidRPr="00EB0CC4">
      <w:rPr>
        <w:sz w:val="18"/>
      </w:rPr>
      <w:instrText xml:space="preserve"> "YearUser" *\charformat </w:instrText>
    </w:r>
    <w:r w:rsidRPr="00EB0CC4">
      <w:fldChar w:fldCharType="separate"/>
    </w:r>
    <w:r w:rsidRPr="00EB0CC4">
      <w:t>2007/08</w:t>
    </w:r>
    <w:r w:rsidRPr="00EB0CC4">
      <w:fldChar w:fldCharType="end"/>
    </w:r>
    <w:r w:rsidRPr="00EB0CC4">
      <w:t xml:space="preserve"> </w:t>
    </w:r>
    <w:r w:rsidRPr="00EB0CC4">
      <w:tab/>
      <w:t xml:space="preserve">mnr: </w:t>
    </w:r>
    <w:r w:rsidRPr="00EB0CC4">
      <w:fldChar w:fldCharType="begin" w:fldLock="1"/>
    </w:r>
    <w:r w:rsidRPr="00EB0CC4">
      <w:instrText xml:space="preserve"> DOCPROPERTY</w:instrText>
    </w:r>
    <w:r w:rsidRPr="00EB0CC4">
      <w:rPr>
        <w:sz w:val="18"/>
      </w:rPr>
      <w:instrText xml:space="preserve"> "Motionsnummer" *\charformat </w:instrText>
    </w:r>
    <w:r w:rsidRPr="00EB0CC4">
      <w:fldChar w:fldCharType="separate"/>
    </w:r>
    <w:r w:rsidRPr="00EB0CC4">
      <w:t>K355</w:t>
    </w:r>
    <w:r w:rsidRPr="00EB0CC4">
      <w:fldChar w:fldCharType="end"/>
    </w:r>
    <w:r w:rsidRPr="00EB0CC4">
      <w:br/>
    </w:r>
    <w:r w:rsidRPr="00EB0CC4">
      <w:fldChar w:fldCharType="begin" w:fldLock="1"/>
    </w:r>
    <w:r w:rsidRPr="00EB0CC4">
      <w:instrText xml:space="preserve"> DOCPROPERTY</w:instrText>
    </w:r>
    <w:r w:rsidRPr="00EB0CC4">
      <w:rPr>
        <w:sz w:val="18"/>
      </w:rPr>
      <w:instrText xml:space="preserve"> "Samling" *\charformat </w:instrText>
    </w:r>
    <w:r w:rsidRPr="00EB0CC4">
      <w:fldChar w:fldCharType="end"/>
    </w:r>
    <w:r w:rsidRPr="00EB0CC4">
      <w:tab/>
      <w:t xml:space="preserve">pnr: </w:t>
    </w:r>
    <w:r w:rsidRPr="00EB0CC4">
      <w:fldChar w:fldCharType="begin" w:fldLock="1"/>
    </w:r>
    <w:r w:rsidRPr="00EB0CC4">
      <w:instrText xml:space="preserve"> DOCPROPERTY</w:instrText>
    </w:r>
    <w:r w:rsidRPr="00EB0CC4">
      <w:rPr>
        <w:sz w:val="18"/>
      </w:rPr>
      <w:instrText xml:space="preserve"> "Partinummer" *\charformat </w:instrText>
    </w:r>
    <w:r w:rsidRPr="00EB0CC4">
      <w:fldChar w:fldCharType="separate"/>
    </w:r>
    <w:r w:rsidRPr="00EB0CC4">
      <w:t>s3045</w:t>
    </w:r>
    <w:r w:rsidRPr="00EB0CC4">
      <w:fldChar w:fldCharType="end"/>
    </w:r>
  </w:p>
  <w:p w:rsidR="001C342E" w:rsidRPr="00EB0CC4" w:rsidRDefault="001C342E">
    <w:pPr>
      <w:pStyle w:val="FSHRub1"/>
    </w:pPr>
    <w:r w:rsidRPr="00EB0CC4">
      <w:t>Motion till riksdagen</w:t>
    </w:r>
    <w:r w:rsidRPr="00EB0CC4">
      <w:br/>
    </w:r>
    <w:r w:rsidRPr="00EB0CC4">
      <w:fldChar w:fldCharType="begin" w:fldLock="1"/>
    </w:r>
    <w:r w:rsidRPr="00EB0CC4">
      <w:instrText xml:space="preserve"> DOCPROPERTY "YearUser" *\charformat </w:instrText>
    </w:r>
    <w:r w:rsidRPr="00EB0CC4">
      <w:fldChar w:fldCharType="separate"/>
    </w:r>
    <w:r w:rsidRPr="00EB0CC4">
      <w:t>2007/08</w:t>
    </w:r>
    <w:r w:rsidRPr="00EB0CC4">
      <w:fldChar w:fldCharType="end"/>
    </w:r>
    <w:r w:rsidRPr="00EB0CC4">
      <w:t>:</w:t>
    </w:r>
    <w:r w:rsidRPr="00EB0CC4">
      <w:fldChar w:fldCharType="begin" w:fldLock="1"/>
    </w:r>
    <w:r w:rsidRPr="00EB0CC4">
      <w:instrText xml:space="preserve"> DOCPROPERTY "Motionsnummer" *\charformat </w:instrText>
    </w:r>
    <w:r w:rsidRPr="00EB0CC4">
      <w:fldChar w:fldCharType="separate"/>
    </w:r>
    <w:r w:rsidRPr="00EB0CC4">
      <w:t>K355</w:t>
    </w:r>
    <w:r w:rsidRPr="00EB0CC4">
      <w:fldChar w:fldCharType="end"/>
    </w:r>
  </w:p>
  <w:p w:rsidR="001C342E" w:rsidRPr="00EB0CC4" w:rsidRDefault="001C342E">
    <w:pPr>
      <w:pStyle w:val="FSHNormalS5"/>
    </w:pPr>
    <w:r w:rsidRPr="00EB0CC4">
      <w:fldChar w:fldCharType="begin" w:fldLock="1"/>
    </w:r>
    <w:r w:rsidRPr="00EB0CC4">
      <w:instrText xml:space="preserve"> DOCPROPERTY "MotionarText" *\charformat </w:instrText>
    </w:r>
    <w:r w:rsidRPr="00EB0CC4">
      <w:fldChar w:fldCharType="separate"/>
    </w:r>
    <w:r w:rsidRPr="00EB0CC4">
      <w:t>av Monica Green (s)</w:t>
    </w:r>
    <w:r w:rsidRPr="00EB0CC4">
      <w:fldChar w:fldCharType="end"/>
    </w:r>
    <w:r w:rsidRPr="00EB0CC4">
      <w:br/>
    </w:r>
    <w:r w:rsidRPr="00EB0CC4">
      <w:fldChar w:fldCharType="begin" w:fldLock="1"/>
    </w:r>
    <w:r w:rsidRPr="00EB0CC4">
      <w:instrText xml:space="preserve"> DOCPROPERTY "SvarFrasKort" *\charformat </w:instrText>
    </w:r>
    <w:r w:rsidRPr="00EB0CC4">
      <w:fldChar w:fldCharType="end"/>
    </w:r>
  </w:p>
  <w:p w:rsidR="001C342E" w:rsidRPr="00EB0CC4" w:rsidRDefault="001C342E">
    <w:pPr>
      <w:pStyle w:val="FSHTitel"/>
    </w:pPr>
    <w:r w:rsidRPr="00EB0CC4">
      <w:fldChar w:fldCharType="begin" w:fldLock="1"/>
    </w:r>
    <w:r w:rsidRPr="00EB0CC4">
      <w:instrText xml:space="preserve"> DOCPROPERTY</w:instrText>
    </w:r>
    <w:r w:rsidRPr="00EB0CC4">
      <w:rPr>
        <w:sz w:val="18"/>
      </w:rPr>
      <w:instrText xml:space="preserve"> "RubrikSvar" *\charformat </w:instrText>
    </w:r>
    <w:r w:rsidRPr="00EB0CC4">
      <w:fldChar w:fldCharType="separate"/>
    </w:r>
    <w:r w:rsidRPr="00EB0CC4">
      <w:t>EU och regionalt samarbete</w:t>
    </w:r>
    <w:r w:rsidRPr="00EB0CC4">
      <w:fldChar w:fldCharType="end"/>
    </w:r>
  </w:p>
  <w:p w:rsidR="001C342E" w:rsidRPr="00EB0CC4" w:rsidRDefault="001C342E">
    <w:pPr>
      <w:pStyle w:val="Normal00"/>
    </w:pPr>
  </w:p>
  <w:p w:rsidR="001C342E" w:rsidRPr="00EB0CC4" w:rsidRDefault="001C34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4606076">
    <w:abstractNumId w:val="8"/>
  </w:num>
  <w:num w:numId="2" w16cid:durableId="1515873972">
    <w:abstractNumId w:val="9"/>
  </w:num>
  <w:num w:numId="3" w16cid:durableId="1266156595">
    <w:abstractNumId w:val="8"/>
  </w:num>
  <w:num w:numId="4" w16cid:durableId="1035540942">
    <w:abstractNumId w:val="9"/>
  </w:num>
  <w:num w:numId="5" w16cid:durableId="599606617">
    <w:abstractNumId w:val="13"/>
  </w:num>
  <w:num w:numId="6" w16cid:durableId="784226923">
    <w:abstractNumId w:val="10"/>
  </w:num>
  <w:num w:numId="7" w16cid:durableId="323510485">
    <w:abstractNumId w:val="11"/>
  </w:num>
  <w:num w:numId="8" w16cid:durableId="617027209">
    <w:abstractNumId w:val="12"/>
  </w:num>
  <w:num w:numId="9" w16cid:durableId="983849620">
    <w:abstractNumId w:val="8"/>
  </w:num>
  <w:num w:numId="10" w16cid:durableId="550963905">
    <w:abstractNumId w:val="3"/>
  </w:num>
  <w:num w:numId="11" w16cid:durableId="1229725113">
    <w:abstractNumId w:val="2"/>
  </w:num>
  <w:num w:numId="12" w16cid:durableId="1743331912">
    <w:abstractNumId w:val="1"/>
  </w:num>
  <w:num w:numId="13" w16cid:durableId="1844008793">
    <w:abstractNumId w:val="0"/>
  </w:num>
  <w:num w:numId="14" w16cid:durableId="1133720512">
    <w:abstractNumId w:val="9"/>
  </w:num>
  <w:num w:numId="15" w16cid:durableId="496312574">
    <w:abstractNumId w:val="7"/>
  </w:num>
  <w:num w:numId="16" w16cid:durableId="1922131705">
    <w:abstractNumId w:val="6"/>
  </w:num>
  <w:num w:numId="17" w16cid:durableId="533425635">
    <w:abstractNumId w:val="5"/>
  </w:num>
  <w:num w:numId="18" w16cid:durableId="1919243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1BC77BF2-1434-48AB-A11D-A22928463538}"/>
  </w:docVars>
  <w:rsids>
    <w:rsidRoot w:val="00FA4BDA"/>
    <w:rsid w:val="001C342E"/>
    <w:rsid w:val="00EB0CC4"/>
    <w:rsid w:val="00F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6F8BAA-48B0-4229-8340-D0F23901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3359</Characters>
  <Application>Microsoft Office Word</Application>
  <DocSecurity>4</DocSecurity>
  <Lines>67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s3045</vt:lpstr>
    </vt:vector>
  </TitlesOfParts>
  <Company>Riksdagen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s3045</dc:title>
  <dc:subject>s3045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2007-12-04T13:59:00Z</cp:lastPrinted>
  <dcterms:created xsi:type="dcterms:W3CDTF">2025-12-17T06:18:00Z</dcterms:created>
  <dcterms:modified xsi:type="dcterms:W3CDTF">2025-12-17T06:18:00Z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EU och regionalt samarbete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 och regionalt samarbete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20072008000000000115000030450069</vt:lpwstr>
  </property>
  <property fmtid="{D5CDD505-2E9C-101B-9397-08002B2CF9AE}" pid="47" name="datum">
    <vt:lpwstr>071003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20072008000000000115000030450069</vt:lpwstr>
  </property>
  <property fmtid="{D5CDD505-2E9C-101B-9397-08002B2CF9AE}" pid="50" name="nummer">
    <vt:lpwstr>355</vt:lpwstr>
  </property>
  <property fmtid="{D5CDD505-2E9C-101B-9397-08002B2CF9AE}" pid="51" name="utskottsbeteckning">
    <vt:lpwstr>K</vt:lpwstr>
  </property>
  <property fmtid="{D5CDD505-2E9C-101B-9397-08002B2CF9AE}" pid="52" name="GlobalUID">
    <vt:lpwstr>{5AEF9AA1-6EA1-4C19-9E3E-73A8A45B63EF}</vt:lpwstr>
  </property>
  <property fmtid="{D5CDD505-2E9C-101B-9397-08002B2CF9AE}" pid="53" name="Överföringar">
    <vt:i4>0</vt:i4>
  </property>
  <property fmtid="{D5CDD505-2E9C-101B-9397-08002B2CF9AE}" pid="54" name="Checksum">
    <vt:lpwstr>*1017015276077*</vt:lpwstr>
  </property>
  <property fmtid="{D5CDD505-2E9C-101B-9397-08002B2CF9AE}" pid="55" name="skuggnummer">
    <vt:lpwstr>2274</vt:lpwstr>
  </property>
  <property fmtid="{D5CDD505-2E9C-101B-9397-08002B2CF9AE}" pid="56" name="urixVersion">
    <vt:lpwstr>3.2.0.8</vt:lpwstr>
  </property>
  <property fmtid="{D5CDD505-2E9C-101B-9397-08002B2CF9AE}" pid="57" name="urixOrigin">
    <vt:lpwstr>071204 14:59:55.707</vt:lpwstr>
  </property>
  <property fmtid="{D5CDD505-2E9C-101B-9397-08002B2CF9AE}" pid="58" name="urixGuid">
    <vt:lpwstr>{CC442020-2086-4316-9231-90F143686C95}</vt:lpwstr>
  </property>
</Properties>
</file>