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B79A5">
        <w:tblPrEx>
          <w:tblCellMar>
            <w:top w:w="0" w:type="dxa"/>
            <w:bottom w:w="0" w:type="dxa"/>
          </w:tblCellMar>
        </w:tblPrEx>
        <w:trPr>
          <w:cantSplit/>
          <w:trHeight w:val="1720"/>
        </w:trPr>
        <w:tc>
          <w:tcPr>
            <w:tcW w:w="6024" w:type="dxa"/>
            <w:gridSpan w:val="2"/>
          </w:tcPr>
          <w:p w:rsidR="00F53A97" w:rsidRPr="004B79A5" w:rsidRDefault="0093216D">
            <w:pPr>
              <w:pStyle w:val="HuvudRubrik"/>
            </w:pPr>
            <w:r w:rsidRPr="004B79A5">
              <w:t>EU-nämndens yttrande</w:t>
            </w:r>
          </w:p>
          <w:p w:rsidR="00F53A97" w:rsidRPr="004B79A5" w:rsidRDefault="00EB1909">
            <w:pPr>
              <w:pStyle w:val="HuvudRubrikRad2"/>
            </w:pPr>
            <w:bookmarkStart w:id="0" w:name="BetänkandeNr"/>
            <w:bookmarkEnd w:id="0"/>
            <w:r w:rsidRPr="004B79A5">
              <w:t>2007/08</w:t>
            </w:r>
            <w:r w:rsidR="00F53A97" w:rsidRPr="004B79A5">
              <w:t>:</w:t>
            </w:r>
            <w:r w:rsidRPr="004B79A5">
              <w:t>EUN2Y</w:t>
            </w:r>
          </w:p>
        </w:tc>
        <w:tc>
          <w:tcPr>
            <w:tcW w:w="1418" w:type="dxa"/>
            <w:tcBorders>
              <w:bottom w:val="nil"/>
            </w:tcBorders>
          </w:tcPr>
          <w:p w:rsidR="00F53A97" w:rsidRPr="004B79A5" w:rsidRDefault="004B79A5">
            <w:pPr>
              <w:spacing w:line="230" w:lineRule="auto"/>
              <w:jc w:val="center"/>
            </w:pPr>
            <w:r w:rsidRPr="004B79A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4B79A5" w:rsidRDefault="00F53A97">
            <w:pPr>
              <w:pStyle w:val="UtskriftsdatumSida1"/>
              <w:framePr w:wrap="around"/>
            </w:pPr>
          </w:p>
        </w:tc>
      </w:tr>
      <w:tr w:rsidR="00F53A97" w:rsidRPr="004B79A5">
        <w:tblPrEx>
          <w:tblCellMar>
            <w:top w:w="0" w:type="dxa"/>
            <w:bottom w:w="0" w:type="dxa"/>
          </w:tblCellMar>
        </w:tblPrEx>
        <w:trPr>
          <w:cantSplit/>
        </w:trPr>
        <w:tc>
          <w:tcPr>
            <w:tcW w:w="6024" w:type="dxa"/>
            <w:gridSpan w:val="2"/>
            <w:tcBorders>
              <w:bottom w:val="single" w:sz="4" w:space="0" w:color="auto"/>
            </w:tcBorders>
          </w:tcPr>
          <w:p w:rsidR="00F53A97" w:rsidRPr="004B79A5" w:rsidRDefault="0093216D">
            <w:pPr>
              <w:pStyle w:val="DokumentRubrik"/>
              <w:rPr>
                <w:noProof w:val="0"/>
              </w:rPr>
            </w:pPr>
            <w:bookmarkStart w:id="1" w:name="Huvudrubrik"/>
            <w:bookmarkEnd w:id="1"/>
            <w:r w:rsidRPr="004B79A5">
              <w:rPr>
                <w:noProof w:val="0"/>
              </w:rPr>
              <w:t>Verksamheten i Europeiska unionen under 2007 (skr.</w:t>
            </w:r>
            <w:r w:rsidR="00D81F48" w:rsidRPr="004B79A5">
              <w:rPr>
                <w:noProof w:val="0"/>
              </w:rPr>
              <w:t xml:space="preserve"> </w:t>
            </w:r>
            <w:r w:rsidRPr="004B79A5">
              <w:rPr>
                <w:noProof w:val="0"/>
              </w:rPr>
              <w:t>2007/08:85</w:t>
            </w:r>
            <w:r w:rsidR="000C6AA6" w:rsidRPr="004B79A5">
              <w:rPr>
                <w:noProof w:val="0"/>
              </w:rPr>
              <w:t>)</w:t>
            </w:r>
          </w:p>
        </w:tc>
        <w:tc>
          <w:tcPr>
            <w:tcW w:w="1418" w:type="dxa"/>
            <w:tcBorders>
              <w:bottom w:val="nil"/>
            </w:tcBorders>
          </w:tcPr>
          <w:p w:rsidR="00F53A97" w:rsidRPr="004B79A5" w:rsidRDefault="00F53A97"/>
        </w:tc>
      </w:tr>
      <w:tr w:rsidR="00F53A97" w:rsidRPr="004B79A5">
        <w:tblPrEx>
          <w:tblCellMar>
            <w:top w:w="0" w:type="dxa"/>
            <w:bottom w:w="0" w:type="dxa"/>
          </w:tblCellMar>
        </w:tblPrEx>
        <w:trPr>
          <w:cantSplit/>
          <w:trHeight w:hRule="exact" w:val="360"/>
        </w:trPr>
        <w:tc>
          <w:tcPr>
            <w:tcW w:w="3012" w:type="dxa"/>
          </w:tcPr>
          <w:p w:rsidR="00F53A97" w:rsidRPr="004B79A5" w:rsidRDefault="00F53A97"/>
        </w:tc>
        <w:tc>
          <w:tcPr>
            <w:tcW w:w="3012" w:type="dxa"/>
          </w:tcPr>
          <w:p w:rsidR="00F53A97" w:rsidRPr="004B79A5" w:rsidRDefault="00F53A97"/>
        </w:tc>
        <w:tc>
          <w:tcPr>
            <w:tcW w:w="1418" w:type="dxa"/>
          </w:tcPr>
          <w:p w:rsidR="00F53A97" w:rsidRPr="004B79A5" w:rsidRDefault="00F53A97"/>
        </w:tc>
      </w:tr>
    </w:tbl>
    <w:p w:rsidR="0093216D" w:rsidRPr="004B79A5" w:rsidRDefault="0093216D" w:rsidP="0093216D">
      <w:pPr>
        <w:pStyle w:val="R1"/>
        <w:spacing w:after="250"/>
      </w:pPr>
      <w:r w:rsidRPr="004B79A5">
        <w:t>Till utrikesutskottet</w:t>
      </w:r>
    </w:p>
    <w:p w:rsidR="0083357B" w:rsidRPr="004B79A5" w:rsidRDefault="00063A51" w:rsidP="0083357B">
      <w:bookmarkStart w:id="2" w:name="TextStart"/>
      <w:bookmarkEnd w:id="2"/>
      <w:r w:rsidRPr="004B79A5">
        <w:t>Utrikesutskottet har den 3 april</w:t>
      </w:r>
      <w:r w:rsidR="005F00F3" w:rsidRPr="004B79A5">
        <w:t xml:space="preserve"> 2008 beslutat att ge EU-nämnden tillfälle att yttra sig över regeringens skrivelse 2007/08:85 Berättelse om verksamheten i E</w:t>
      </w:r>
      <w:r w:rsidR="005F00F3" w:rsidRPr="004B79A5">
        <w:t>u</w:t>
      </w:r>
      <w:r w:rsidR="005F00F3" w:rsidRPr="004B79A5">
        <w:t>ropeiska unionen under 2007.</w:t>
      </w:r>
    </w:p>
    <w:p w:rsidR="0083357B" w:rsidRPr="004B79A5" w:rsidRDefault="0083357B" w:rsidP="0083357B">
      <w:pPr>
        <w:pStyle w:val="Normaltindrag"/>
      </w:pPr>
      <w:r w:rsidRPr="004B79A5">
        <w:t>EU-nämnden behandlar i detta yttrande – liksom i tidigare yttranden – dels vissa övergripande frågor som gäller skrivelsens innehåll och regeringens samråd med riksdagen, dels vissa av de frågor som redovisas i skrivelsen och som nämnden velat särskilt uppmärksamma.</w:t>
      </w:r>
    </w:p>
    <w:p w:rsidR="005F711A" w:rsidRPr="004B79A5" w:rsidRDefault="005F711A" w:rsidP="005334D5">
      <w:pPr>
        <w:pStyle w:val="Rubrik1"/>
        <w:spacing w:before="500" w:after="240"/>
        <w:rPr>
          <w:noProof w:val="0"/>
        </w:rPr>
      </w:pPr>
      <w:bookmarkStart w:id="3" w:name="_Toc196791507"/>
      <w:r w:rsidRPr="004B79A5">
        <w:rPr>
          <w:noProof w:val="0"/>
        </w:rPr>
        <w:t>Regeringens skrivelse</w:t>
      </w:r>
      <w:bookmarkEnd w:id="3"/>
    </w:p>
    <w:p w:rsidR="00357BFA" w:rsidRPr="004B79A5" w:rsidRDefault="00357BFA" w:rsidP="005334D5">
      <w:pPr>
        <w:spacing w:before="0"/>
      </w:pPr>
      <w:bookmarkStart w:id="4" w:name="_Toc192662208"/>
      <w:r w:rsidRPr="004B79A5">
        <w:t>I skrivelsen om verksamheten</w:t>
      </w:r>
      <w:r w:rsidR="000A2F0F" w:rsidRPr="004B79A5">
        <w:t xml:space="preserve"> i Europeiska unionen under 2007</w:t>
      </w:r>
      <w:r w:rsidRPr="004B79A5">
        <w:t xml:space="preserve"> behandlas Europeiska unionens övergripande utveckling (del 1), unionens förbindelser med omvärlden (del 2), ekonomiska och finansiella frågor (del 3) samt rättsl</w:t>
      </w:r>
      <w:r w:rsidRPr="004B79A5">
        <w:t>i</w:t>
      </w:r>
      <w:r w:rsidRPr="004B79A5">
        <w:t>ga och inrikes frågor (del 4). Vidare behandlas unionens övriga politikomr</w:t>
      </w:r>
      <w:r w:rsidRPr="004B79A5">
        <w:t>å</w:t>
      </w:r>
      <w:r w:rsidRPr="004B79A5">
        <w:t>den (delarna 5–10). Slutl</w:t>
      </w:r>
      <w:r w:rsidRPr="004B79A5">
        <w:t>i</w:t>
      </w:r>
      <w:r w:rsidRPr="004B79A5">
        <w:t>gen redogörs för unionens institutioner m.m. (del 11).</w:t>
      </w:r>
    </w:p>
    <w:p w:rsidR="00357BFA" w:rsidRPr="004B79A5" w:rsidRDefault="00357BFA" w:rsidP="00357BFA">
      <w:pPr>
        <w:pStyle w:val="Normaltindrag"/>
      </w:pPr>
      <w:r w:rsidRPr="004B79A5">
        <w:t xml:space="preserve">I bilagor </w:t>
      </w:r>
      <w:r w:rsidR="0017303D" w:rsidRPr="004B79A5">
        <w:t>redogörs också för pågående och</w:t>
      </w:r>
      <w:r w:rsidRPr="004B79A5">
        <w:t xml:space="preserve"> avgjorda </w:t>
      </w:r>
      <w:r w:rsidR="0017303D" w:rsidRPr="004B79A5">
        <w:t xml:space="preserve">mål vid </w:t>
      </w:r>
      <w:r w:rsidRPr="004B79A5">
        <w:t>EG-domstolen och EG-domstolens förstainstansrätt samt för pågående s.k. överträdelseäre</w:t>
      </w:r>
      <w:r w:rsidRPr="004B79A5">
        <w:t>n</w:t>
      </w:r>
      <w:r w:rsidR="0017303D" w:rsidRPr="004B79A5">
        <w:t>den mot</w:t>
      </w:r>
      <w:r w:rsidRPr="004B79A5">
        <w:t xml:space="preserve"> Sverige. Vidare finns en bilaga i vilken det redogörs för beslut i </w:t>
      </w:r>
      <w:r w:rsidR="000A2F0F" w:rsidRPr="004B79A5">
        <w:t>m</w:t>
      </w:r>
      <w:r w:rsidR="000A2F0F" w:rsidRPr="004B79A5">
        <w:t>i</w:t>
      </w:r>
      <w:r w:rsidR="000A2F0F" w:rsidRPr="004B79A5">
        <w:t>nisterrådet</w:t>
      </w:r>
      <w:r w:rsidRPr="004B79A5">
        <w:t xml:space="preserve"> som Sverige inte stöt</w:t>
      </w:r>
      <w:r w:rsidR="000A2F0F" w:rsidRPr="004B79A5">
        <w:t>t</w:t>
      </w:r>
      <w:r w:rsidRPr="004B79A5">
        <w:t xml:space="preserve"> samt ett sakregister.</w:t>
      </w:r>
    </w:p>
    <w:p w:rsidR="00B101D1" w:rsidRPr="004B79A5" w:rsidRDefault="00B101D1" w:rsidP="00B101D1"/>
    <w:p w:rsidR="00335B35" w:rsidRPr="004B79A5" w:rsidRDefault="00335B35" w:rsidP="00335B35">
      <w:pPr>
        <w:pStyle w:val="Normaltindrag"/>
        <w:sectPr w:rsidR="00335B35" w:rsidRPr="004B79A5" w:rsidSect="00CA10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F711A" w:rsidRPr="004B79A5" w:rsidRDefault="005F711A" w:rsidP="005F711A">
      <w:pPr>
        <w:pStyle w:val="Rubrik1"/>
        <w:rPr>
          <w:noProof w:val="0"/>
        </w:rPr>
      </w:pPr>
      <w:bookmarkStart w:id="5" w:name="Temp"/>
      <w:bookmarkStart w:id="6" w:name="_Toc196791508"/>
      <w:bookmarkEnd w:id="5"/>
      <w:r w:rsidRPr="004B79A5">
        <w:rPr>
          <w:noProof w:val="0"/>
        </w:rPr>
        <w:lastRenderedPageBreak/>
        <w:t>EU-nämnden</w:t>
      </w:r>
      <w:bookmarkEnd w:id="4"/>
      <w:bookmarkEnd w:id="6"/>
    </w:p>
    <w:p w:rsidR="005F711A" w:rsidRPr="004B79A5" w:rsidRDefault="005F711A" w:rsidP="00B101D1">
      <w:pPr>
        <w:pStyle w:val="Rubrik2"/>
        <w:spacing w:before="0"/>
      </w:pPr>
      <w:bookmarkStart w:id="7" w:name="_Toc192662209"/>
      <w:bookmarkStart w:id="8" w:name="_Toc196791509"/>
      <w:r w:rsidRPr="004B79A5">
        <w:t>Allmänna synpunkter på innehållet i skriv</w:t>
      </w:r>
      <w:r w:rsidR="00194AE3" w:rsidRPr="004B79A5">
        <w:t>e</w:t>
      </w:r>
      <w:r w:rsidRPr="004B79A5">
        <w:t>lsen</w:t>
      </w:r>
      <w:bookmarkEnd w:id="7"/>
      <w:bookmarkEnd w:id="8"/>
    </w:p>
    <w:p w:rsidR="00041095" w:rsidRPr="004B79A5" w:rsidRDefault="00630515" w:rsidP="00D22AE5">
      <w:r w:rsidRPr="004B79A5">
        <w:t xml:space="preserve">Inledningsvis vill EU-nämnden uttrycka sin uppskattning över </w:t>
      </w:r>
      <w:r w:rsidR="00613DD4" w:rsidRPr="004B79A5">
        <w:t xml:space="preserve">skrivelsens utformning och innehåll. Som nämnden tidigare har konstaterat utgör den en värdefull översikt </w:t>
      </w:r>
      <w:r w:rsidR="008D7435" w:rsidRPr="004B79A5">
        <w:t xml:space="preserve">över </w:t>
      </w:r>
      <w:r w:rsidR="00613DD4" w:rsidRPr="004B79A5">
        <w:t xml:space="preserve">hela EU:s verksamhet </w:t>
      </w:r>
      <w:r w:rsidR="00B244EB" w:rsidRPr="004B79A5">
        <w:t xml:space="preserve">och </w:t>
      </w:r>
      <w:r w:rsidR="008D7435" w:rsidRPr="004B79A5">
        <w:t>som</w:t>
      </w:r>
      <w:r w:rsidR="00613DD4" w:rsidRPr="004B79A5">
        <w:t xml:space="preserve"> också </w:t>
      </w:r>
      <w:r w:rsidR="008D7435" w:rsidRPr="004B79A5">
        <w:t xml:space="preserve">redovisar </w:t>
      </w:r>
      <w:r w:rsidR="00613DD4" w:rsidRPr="004B79A5">
        <w:t>hur regeringen har agerat i EU. Därmed underlättas riksdagens kontroll av rege</w:t>
      </w:r>
      <w:r w:rsidR="00613DD4" w:rsidRPr="004B79A5">
        <w:t>r</w:t>
      </w:r>
      <w:r w:rsidR="00613DD4" w:rsidRPr="004B79A5">
        <w:t>ingens ag</w:t>
      </w:r>
      <w:r w:rsidR="00613DD4" w:rsidRPr="004B79A5">
        <w:t>e</w:t>
      </w:r>
      <w:r w:rsidR="00613DD4" w:rsidRPr="004B79A5">
        <w:t>rande i EU.</w:t>
      </w:r>
    </w:p>
    <w:p w:rsidR="00153277" w:rsidRPr="004B79A5" w:rsidRDefault="00041095" w:rsidP="00041095">
      <w:pPr>
        <w:pStyle w:val="Normaltindrag"/>
      </w:pPr>
      <w:r w:rsidRPr="004B79A5">
        <w:t xml:space="preserve">I skrivelsen (avsnitt 1.1) finns </w:t>
      </w:r>
      <w:r w:rsidR="00630515" w:rsidRPr="004B79A5">
        <w:t xml:space="preserve">en </w:t>
      </w:r>
      <w:r w:rsidR="00153277" w:rsidRPr="004B79A5">
        <w:t xml:space="preserve">allmän </w:t>
      </w:r>
      <w:r w:rsidR="00630515" w:rsidRPr="004B79A5">
        <w:t xml:space="preserve">redogörelse </w:t>
      </w:r>
      <w:r w:rsidRPr="004B79A5">
        <w:t xml:space="preserve">för </w:t>
      </w:r>
      <w:r w:rsidR="00630515" w:rsidRPr="004B79A5">
        <w:t>information, öve</w:t>
      </w:r>
      <w:r w:rsidR="00630515" w:rsidRPr="004B79A5">
        <w:t>r</w:t>
      </w:r>
      <w:r w:rsidR="00630515" w:rsidRPr="004B79A5">
        <w:t>läggningar och samråd med riksdagen. Redogöre</w:t>
      </w:r>
      <w:r w:rsidR="00630515" w:rsidRPr="004B79A5">
        <w:t>l</w:t>
      </w:r>
      <w:r w:rsidR="00630515" w:rsidRPr="004B79A5">
        <w:t>sen beskriver på ett korrekt sätt den terminologi som</w:t>
      </w:r>
      <w:r w:rsidR="00153277" w:rsidRPr="004B79A5">
        <w:t>, mot bakgrund av de nya bestämmelserna i rik</w:t>
      </w:r>
      <w:r w:rsidR="00153277" w:rsidRPr="004B79A5">
        <w:t>s</w:t>
      </w:r>
      <w:r w:rsidR="00153277" w:rsidRPr="004B79A5">
        <w:t>dagsordningen,</w:t>
      </w:r>
      <w:r w:rsidR="00630515" w:rsidRPr="004B79A5">
        <w:t xml:space="preserve"> </w:t>
      </w:r>
      <w:r w:rsidR="00153277" w:rsidRPr="004B79A5">
        <w:t xml:space="preserve">används i riksdagen, nämligen information </w:t>
      </w:r>
      <w:r w:rsidR="00F12FDB" w:rsidRPr="004B79A5">
        <w:t>och överläg</w:t>
      </w:r>
      <w:r w:rsidR="00F12FDB" w:rsidRPr="004B79A5">
        <w:t>g</w:t>
      </w:r>
      <w:r w:rsidR="00F12FDB" w:rsidRPr="004B79A5">
        <w:t xml:space="preserve">ning </w:t>
      </w:r>
      <w:r w:rsidR="00153277" w:rsidRPr="004B79A5">
        <w:t xml:space="preserve">i utskott och </w:t>
      </w:r>
      <w:r w:rsidR="00F12FDB" w:rsidRPr="004B79A5">
        <w:t xml:space="preserve">information och samråd i </w:t>
      </w:r>
      <w:r w:rsidR="00153277" w:rsidRPr="004B79A5">
        <w:t>EU-nämnd</w:t>
      </w:r>
      <w:r w:rsidR="00F12FDB" w:rsidRPr="004B79A5">
        <w:t>en.</w:t>
      </w:r>
      <w:r w:rsidR="00153277" w:rsidRPr="004B79A5">
        <w:t xml:space="preserve"> </w:t>
      </w:r>
    </w:p>
    <w:p w:rsidR="009221B1" w:rsidRPr="004B79A5" w:rsidRDefault="00153277" w:rsidP="00153277">
      <w:pPr>
        <w:pStyle w:val="Normaltindrag"/>
      </w:pPr>
      <w:r w:rsidRPr="004B79A5">
        <w:t>Tanken är möjligen att denna allmänna redogörelse i princip ska ersätta r</w:t>
      </w:r>
      <w:r w:rsidRPr="004B79A5">
        <w:t>e</w:t>
      </w:r>
      <w:r w:rsidRPr="004B79A5">
        <w:t>dogörelser för information, överläggningar och samråd med riksd</w:t>
      </w:r>
      <w:r w:rsidRPr="004B79A5">
        <w:t>a</w:t>
      </w:r>
      <w:r w:rsidRPr="004B79A5">
        <w:t>gen på de olika sakområden som tas upp i skrivelsen. I vissa avsnitt förekommer beträ</w:t>
      </w:r>
      <w:r w:rsidRPr="004B79A5">
        <w:t>f</w:t>
      </w:r>
      <w:r w:rsidRPr="004B79A5">
        <w:t xml:space="preserve">fande </w:t>
      </w:r>
      <w:r w:rsidR="00F12FDB" w:rsidRPr="004B79A5">
        <w:t>en del</w:t>
      </w:r>
      <w:r w:rsidRPr="004B79A5">
        <w:t xml:space="preserve"> frågor en beskrivning av förankringen i riksd</w:t>
      </w:r>
      <w:r w:rsidRPr="004B79A5">
        <w:t>a</w:t>
      </w:r>
      <w:r w:rsidRPr="004B79A5">
        <w:t>gen</w:t>
      </w:r>
      <w:r w:rsidR="00041095" w:rsidRPr="004B79A5">
        <w:t>,</w:t>
      </w:r>
      <w:r w:rsidRPr="004B79A5">
        <w:t xml:space="preserve"> och detta välkomnar givetvis nämnden.</w:t>
      </w:r>
      <w:r w:rsidR="009221B1" w:rsidRPr="004B79A5">
        <w:t xml:space="preserve"> Det är</w:t>
      </w:r>
      <w:r w:rsidR="00F12FDB" w:rsidRPr="004B79A5">
        <w:t>,</w:t>
      </w:r>
      <w:r w:rsidR="009221B1" w:rsidRPr="004B79A5">
        <w:t xml:space="preserve"> enligt nämnden</w:t>
      </w:r>
      <w:r w:rsidR="00F12FDB" w:rsidRPr="004B79A5">
        <w:t>,</w:t>
      </w:r>
      <w:r w:rsidR="009221B1" w:rsidRPr="004B79A5">
        <w:t xml:space="preserve"> önskvärt att det i skr</w:t>
      </w:r>
      <w:r w:rsidR="009221B1" w:rsidRPr="004B79A5">
        <w:t>i</w:t>
      </w:r>
      <w:r w:rsidR="009221B1" w:rsidRPr="004B79A5">
        <w:t xml:space="preserve">velsen, </w:t>
      </w:r>
      <w:r w:rsidR="00F12FDB" w:rsidRPr="004B79A5">
        <w:t>utöver den</w:t>
      </w:r>
      <w:r w:rsidR="009221B1" w:rsidRPr="004B79A5">
        <w:t xml:space="preserve"> allmänna beskrivningen, i samband med de olika sakfr</w:t>
      </w:r>
      <w:r w:rsidR="009221B1" w:rsidRPr="004B79A5">
        <w:t>å</w:t>
      </w:r>
      <w:r w:rsidR="009221B1" w:rsidRPr="004B79A5">
        <w:t>gorna, redovisas när och på vilket sätt riksdagen varit involverad (inform</w:t>
      </w:r>
      <w:r w:rsidR="009221B1" w:rsidRPr="004B79A5">
        <w:t>a</w:t>
      </w:r>
      <w:r w:rsidR="009221B1" w:rsidRPr="004B79A5">
        <w:t xml:space="preserve">tion, överläggning, samråd). </w:t>
      </w:r>
    </w:p>
    <w:p w:rsidR="007E5E39" w:rsidRPr="004B79A5" w:rsidRDefault="00153277" w:rsidP="00153277">
      <w:pPr>
        <w:pStyle w:val="Normaltindrag"/>
      </w:pPr>
      <w:r w:rsidRPr="004B79A5">
        <w:t xml:space="preserve">När </w:t>
      </w:r>
      <w:r w:rsidR="009221B1" w:rsidRPr="004B79A5">
        <w:t xml:space="preserve">sådan redovisning </w:t>
      </w:r>
      <w:r w:rsidR="00F12FDB" w:rsidRPr="004B79A5">
        <w:t xml:space="preserve">har </w:t>
      </w:r>
      <w:r w:rsidR="009221B1" w:rsidRPr="004B79A5">
        <w:t xml:space="preserve">skett </w:t>
      </w:r>
      <w:r w:rsidRPr="004B79A5">
        <w:t xml:space="preserve">har dock inte alltid </w:t>
      </w:r>
      <w:r w:rsidR="006E5E3C" w:rsidRPr="004B79A5">
        <w:t xml:space="preserve">ovanstående </w:t>
      </w:r>
      <w:r w:rsidRPr="004B79A5">
        <w:t>termin</w:t>
      </w:r>
      <w:r w:rsidRPr="004B79A5">
        <w:t>o</w:t>
      </w:r>
      <w:r w:rsidRPr="004B79A5">
        <w:t>logi använts</w:t>
      </w:r>
      <w:r w:rsidR="00925A48" w:rsidRPr="004B79A5">
        <w:t>.</w:t>
      </w:r>
      <w:r w:rsidR="007E5E39" w:rsidRPr="004B79A5">
        <w:t xml:space="preserve"> </w:t>
      </w:r>
      <w:r w:rsidR="00925A48" w:rsidRPr="004B79A5">
        <w:t xml:space="preserve">Beträffande utskotten har </w:t>
      </w:r>
      <w:r w:rsidR="006E5E3C" w:rsidRPr="004B79A5">
        <w:t xml:space="preserve">i skrivelsen </w:t>
      </w:r>
      <w:r w:rsidR="00925A48" w:rsidRPr="004B79A5">
        <w:t>använts omväxlande b</w:t>
      </w:r>
      <w:r w:rsidR="00925A48" w:rsidRPr="004B79A5">
        <w:t>e</w:t>
      </w:r>
      <w:r w:rsidR="00925A48" w:rsidRPr="004B79A5">
        <w:t xml:space="preserve">greppen </w:t>
      </w:r>
      <w:r w:rsidR="007E5E39" w:rsidRPr="004B79A5">
        <w:rPr>
          <w:i/>
        </w:rPr>
        <w:t>sa</w:t>
      </w:r>
      <w:r w:rsidR="007E5E39" w:rsidRPr="004B79A5">
        <w:rPr>
          <w:i/>
        </w:rPr>
        <w:t>m</w:t>
      </w:r>
      <w:r w:rsidR="007E5E39" w:rsidRPr="004B79A5">
        <w:rPr>
          <w:i/>
        </w:rPr>
        <w:t>råd</w:t>
      </w:r>
      <w:r w:rsidR="007E5E39" w:rsidRPr="004B79A5">
        <w:t xml:space="preserve"> och </w:t>
      </w:r>
      <w:r w:rsidR="007E5E39" w:rsidRPr="004B79A5">
        <w:rPr>
          <w:i/>
        </w:rPr>
        <w:t>överläggning</w:t>
      </w:r>
      <w:r w:rsidR="00925A48" w:rsidRPr="004B79A5">
        <w:rPr>
          <w:i/>
        </w:rPr>
        <w:t xml:space="preserve">. </w:t>
      </w:r>
      <w:r w:rsidR="006E5E3C" w:rsidRPr="004B79A5">
        <w:t>I</w:t>
      </w:r>
      <w:r w:rsidR="00925A48" w:rsidRPr="004B79A5">
        <w:t xml:space="preserve"> fråga om </w:t>
      </w:r>
      <w:r w:rsidR="00925A48" w:rsidRPr="004B79A5">
        <w:rPr>
          <w:i/>
        </w:rPr>
        <w:t>samrådet</w:t>
      </w:r>
      <w:r w:rsidR="00925A48" w:rsidRPr="004B79A5">
        <w:t xml:space="preserve"> med EU-nämnden har ibland använts </w:t>
      </w:r>
      <w:r w:rsidR="00F12FDB" w:rsidRPr="004B79A5">
        <w:t>uttrycket</w:t>
      </w:r>
      <w:r w:rsidR="00925A48" w:rsidRPr="004B79A5">
        <w:t xml:space="preserve"> </w:t>
      </w:r>
      <w:r w:rsidR="00925A48" w:rsidRPr="004B79A5">
        <w:rPr>
          <w:i/>
        </w:rPr>
        <w:t>inform</w:t>
      </w:r>
      <w:r w:rsidR="00925A48" w:rsidRPr="004B79A5">
        <w:rPr>
          <w:i/>
        </w:rPr>
        <w:t>a</w:t>
      </w:r>
      <w:r w:rsidR="00925A48" w:rsidRPr="004B79A5">
        <w:rPr>
          <w:i/>
        </w:rPr>
        <w:t>tion</w:t>
      </w:r>
      <w:r w:rsidR="00925A48" w:rsidRPr="004B79A5">
        <w:t>.</w:t>
      </w:r>
      <w:r w:rsidR="00D64941" w:rsidRPr="004B79A5">
        <w:t xml:space="preserve"> På några ställen i det följande anges exempel på denna företeelse.</w:t>
      </w:r>
    </w:p>
    <w:p w:rsidR="00E41CAE" w:rsidRPr="004B79A5" w:rsidRDefault="006E5E3C" w:rsidP="00D85245">
      <w:pPr>
        <w:pStyle w:val="Normaltindrag"/>
      </w:pPr>
      <w:r w:rsidRPr="004B79A5">
        <w:t xml:space="preserve">Överläggningar och information är begrepp som används i förhållande till utskotten. </w:t>
      </w:r>
      <w:r w:rsidR="002E5A79" w:rsidRPr="004B79A5">
        <w:t xml:space="preserve">Vad gäller EU-nämnden är den korrekta terminologin </w:t>
      </w:r>
      <w:r w:rsidR="00E41CAE" w:rsidRPr="004B79A5">
        <w:rPr>
          <w:i/>
        </w:rPr>
        <w:t>information</w:t>
      </w:r>
      <w:r w:rsidR="008A4984" w:rsidRPr="004B79A5">
        <w:rPr>
          <w:i/>
        </w:rPr>
        <w:t xml:space="preserve"> </w:t>
      </w:r>
      <w:r w:rsidR="008A4984" w:rsidRPr="004B79A5">
        <w:t>eller</w:t>
      </w:r>
      <w:r w:rsidR="008A4984" w:rsidRPr="004B79A5">
        <w:rPr>
          <w:i/>
        </w:rPr>
        <w:t xml:space="preserve"> samråd</w:t>
      </w:r>
      <w:r w:rsidR="00E41CAE" w:rsidRPr="004B79A5">
        <w:t>. Sa</w:t>
      </w:r>
      <w:r w:rsidR="00E41CAE" w:rsidRPr="004B79A5">
        <w:t>m</w:t>
      </w:r>
      <w:r w:rsidR="00E41CAE" w:rsidRPr="004B79A5">
        <w:t>råd sker inför ministerrådens beslutspunk</w:t>
      </w:r>
      <w:r w:rsidR="004D7253" w:rsidRPr="004B79A5">
        <w:t>ter. Det ligger i sakens natur att en generell defin</w:t>
      </w:r>
      <w:r w:rsidR="004D7253" w:rsidRPr="004B79A5">
        <w:t>i</w:t>
      </w:r>
      <w:r w:rsidR="004D7253" w:rsidRPr="004B79A5">
        <w:t xml:space="preserve">tion av vad som utgör en </w:t>
      </w:r>
      <w:r w:rsidR="00E41CAE" w:rsidRPr="004B79A5">
        <w:t>beslutspunkt</w:t>
      </w:r>
      <w:r w:rsidR="004D7253" w:rsidRPr="004B79A5">
        <w:t xml:space="preserve"> är svår att göra, men i första hand</w:t>
      </w:r>
      <w:r w:rsidR="00E41CAE" w:rsidRPr="004B79A5">
        <w:t xml:space="preserve"> menas </w:t>
      </w:r>
      <w:r w:rsidR="004D7253" w:rsidRPr="004B79A5">
        <w:t>ant</w:t>
      </w:r>
      <w:r w:rsidR="004D7253" w:rsidRPr="004B79A5">
        <w:t>a</w:t>
      </w:r>
      <w:r w:rsidR="004D7253" w:rsidRPr="004B79A5">
        <w:t xml:space="preserve">gande av </w:t>
      </w:r>
      <w:r w:rsidR="00F12FDB" w:rsidRPr="004B79A5">
        <w:t xml:space="preserve">en rättsakt (förordning, direktiv, beslut), resolution, </w:t>
      </w:r>
      <w:r w:rsidR="004D7253" w:rsidRPr="004B79A5">
        <w:t xml:space="preserve">rådsslutsats </w:t>
      </w:r>
      <w:r w:rsidRPr="004B79A5">
        <w:t>e</w:t>
      </w:r>
      <w:r w:rsidR="008D7435" w:rsidRPr="004B79A5">
        <w:t>.d.,</w:t>
      </w:r>
      <w:r w:rsidR="004D7253" w:rsidRPr="004B79A5">
        <w:t xml:space="preserve"> </w:t>
      </w:r>
      <w:r w:rsidR="00E41CAE" w:rsidRPr="004B79A5">
        <w:t>politisk överenskommelse, al</w:t>
      </w:r>
      <w:r w:rsidR="00E41CAE" w:rsidRPr="004B79A5">
        <w:t>l</w:t>
      </w:r>
      <w:r w:rsidR="00E41CAE" w:rsidRPr="004B79A5">
        <w:t xml:space="preserve">män inriktning eller andra överenskommelser medlemsstaterna emellan. </w:t>
      </w:r>
      <w:r w:rsidR="00F12FDB" w:rsidRPr="004B79A5">
        <w:t>Även riktlinjedebatter där viktiga vägval görs som binder medlem</w:t>
      </w:r>
      <w:r w:rsidR="00F12FDB" w:rsidRPr="004B79A5">
        <w:t>s</w:t>
      </w:r>
      <w:r w:rsidR="00F12FDB" w:rsidRPr="004B79A5">
        <w:t xml:space="preserve">staternas upplägg i de fortsatta förhandlingarna kan sägas utgöra ett slags beslut i vid mening. </w:t>
      </w:r>
      <w:r w:rsidR="00E41CAE" w:rsidRPr="004B79A5">
        <w:t>EU-nämndens kansli, liksom de stenografiska uppteckningarna (til</w:t>
      </w:r>
      <w:r w:rsidR="00E41CAE" w:rsidRPr="004B79A5">
        <w:t>l</w:t>
      </w:r>
      <w:r w:rsidR="00E41CAE" w:rsidRPr="004B79A5">
        <w:t xml:space="preserve">gängliga på </w:t>
      </w:r>
      <w:r w:rsidR="00E41CAE" w:rsidRPr="004B79A5">
        <w:rPr>
          <w:u w:val="single"/>
        </w:rPr>
        <w:t>www.riksdagen.se)</w:t>
      </w:r>
      <w:r w:rsidR="00E41CAE" w:rsidRPr="004B79A5">
        <w:t xml:space="preserve"> kan ge stöd åt avgörandet om huruvida en viss fråga behandlades som b</w:t>
      </w:r>
      <w:r w:rsidR="00E41CAE" w:rsidRPr="004B79A5">
        <w:t>e</w:t>
      </w:r>
      <w:r w:rsidR="00E41CAE" w:rsidRPr="004B79A5">
        <w:t xml:space="preserve">slutspunkt </w:t>
      </w:r>
      <w:r w:rsidR="00474437" w:rsidRPr="004B79A5">
        <w:t xml:space="preserve">hos nämnden </w:t>
      </w:r>
      <w:r w:rsidR="00E41CAE" w:rsidRPr="004B79A5">
        <w:t xml:space="preserve">eller </w:t>
      </w:r>
      <w:r w:rsidR="008A4984" w:rsidRPr="004B79A5">
        <w:t>inte</w:t>
      </w:r>
      <w:r w:rsidR="00E41CAE" w:rsidRPr="004B79A5">
        <w:t>.</w:t>
      </w:r>
    </w:p>
    <w:p w:rsidR="00E41CAE" w:rsidRPr="004B79A5" w:rsidRDefault="00E41CAE" w:rsidP="00D85245">
      <w:pPr>
        <w:pStyle w:val="Normaltindrag"/>
      </w:pPr>
      <w:r w:rsidRPr="004B79A5">
        <w:t xml:space="preserve">Det vore även av vikt om </w:t>
      </w:r>
      <w:r w:rsidR="005C5728" w:rsidRPr="004B79A5">
        <w:t xml:space="preserve">ett </w:t>
      </w:r>
      <w:r w:rsidRPr="004B79A5">
        <w:t>gemensam</w:t>
      </w:r>
      <w:r w:rsidR="001233AD" w:rsidRPr="004B79A5">
        <w:t>t</w:t>
      </w:r>
      <w:r w:rsidRPr="004B79A5">
        <w:t xml:space="preserve"> </w:t>
      </w:r>
      <w:r w:rsidR="001233AD" w:rsidRPr="004B79A5">
        <w:t xml:space="preserve">synsätt </w:t>
      </w:r>
      <w:r w:rsidRPr="004B79A5">
        <w:t xml:space="preserve">avseende </w:t>
      </w:r>
      <w:r w:rsidR="00682583" w:rsidRPr="004B79A5">
        <w:t xml:space="preserve">när </w:t>
      </w:r>
      <w:r w:rsidRPr="004B79A5">
        <w:t>ett beslut a</w:t>
      </w:r>
      <w:r w:rsidRPr="004B79A5">
        <w:t>n</w:t>
      </w:r>
      <w:r w:rsidRPr="004B79A5">
        <w:t xml:space="preserve">setts ha fattats av rådet kunde </w:t>
      </w:r>
      <w:r w:rsidR="001233AD" w:rsidRPr="004B79A5">
        <w:t>uppnås i skrivelsen</w:t>
      </w:r>
      <w:r w:rsidRPr="004B79A5">
        <w:t>. I dagsläget refer</w:t>
      </w:r>
      <w:r w:rsidRPr="004B79A5">
        <w:t>e</w:t>
      </w:r>
      <w:r w:rsidRPr="004B79A5">
        <w:t>ra</w:t>
      </w:r>
      <w:r w:rsidR="00B64836" w:rsidRPr="004B79A5">
        <w:t>s</w:t>
      </w:r>
      <w:r w:rsidRPr="004B79A5">
        <w:t xml:space="preserve"> </w:t>
      </w:r>
      <w:r w:rsidR="00B64836" w:rsidRPr="004B79A5">
        <w:t xml:space="preserve">i </w:t>
      </w:r>
      <w:r w:rsidRPr="004B79A5">
        <w:t xml:space="preserve">vissa </w:t>
      </w:r>
      <w:r w:rsidR="00B64836" w:rsidRPr="004B79A5">
        <w:t xml:space="preserve">avsnitt </w:t>
      </w:r>
      <w:r w:rsidRPr="004B79A5">
        <w:t xml:space="preserve">tidsangivelser </w:t>
      </w:r>
      <w:r w:rsidR="00B64836" w:rsidRPr="004B79A5">
        <w:t>för</w:t>
      </w:r>
      <w:r w:rsidRPr="004B79A5">
        <w:t xml:space="preserve"> när </w:t>
      </w:r>
      <w:r w:rsidR="005D63E4" w:rsidRPr="004B79A5">
        <w:t>ett beslut fattades som B-punkt och i</w:t>
      </w:r>
      <w:r w:rsidRPr="004B79A5">
        <w:t xml:space="preserve"> andra</w:t>
      </w:r>
      <w:r w:rsidR="005D63E4" w:rsidRPr="004B79A5">
        <w:t xml:space="preserve"> a</w:t>
      </w:r>
      <w:r w:rsidR="005D63E4" w:rsidRPr="004B79A5">
        <w:t>v</w:t>
      </w:r>
      <w:r w:rsidR="005D63E4" w:rsidRPr="004B79A5">
        <w:t>snitt</w:t>
      </w:r>
      <w:r w:rsidRPr="004B79A5">
        <w:t xml:space="preserve"> till när det formellt antogs som A-punkt. </w:t>
      </w:r>
      <w:r w:rsidR="00682583" w:rsidRPr="004B79A5">
        <w:t>Råds</w:t>
      </w:r>
      <w:r w:rsidR="00350C91" w:rsidRPr="004B79A5">
        <w:t>sammansättningen</w:t>
      </w:r>
      <w:r w:rsidR="00682583" w:rsidRPr="004B79A5">
        <w:t xml:space="preserve"> anges inte alltid. </w:t>
      </w:r>
      <w:r w:rsidRPr="004B79A5">
        <w:t>Detta skapar svårigheter för den som vill söka bakgrundsinform</w:t>
      </w:r>
      <w:r w:rsidRPr="004B79A5">
        <w:t>a</w:t>
      </w:r>
      <w:r w:rsidRPr="004B79A5">
        <w:t>tion om ett visst bes</w:t>
      </w:r>
      <w:r w:rsidR="00937DBA" w:rsidRPr="004B79A5">
        <w:t>lut. Från EU-nämndens synvinkel och för att underlätta info</w:t>
      </w:r>
      <w:r w:rsidR="00937DBA" w:rsidRPr="004B79A5">
        <w:t>r</w:t>
      </w:r>
      <w:r w:rsidR="00937DBA" w:rsidRPr="004B79A5">
        <w:t>mationssökning bör alltid den antagande råds</w:t>
      </w:r>
      <w:r w:rsidR="00350C91" w:rsidRPr="004B79A5">
        <w:t>sammansättningen</w:t>
      </w:r>
      <w:r w:rsidR="00937DBA" w:rsidRPr="004B79A5">
        <w:t xml:space="preserve"> och </w:t>
      </w:r>
      <w:r w:rsidR="00C25AA4" w:rsidRPr="004B79A5">
        <w:t>tidpunkt</w:t>
      </w:r>
      <w:r w:rsidR="00937DBA" w:rsidRPr="004B79A5">
        <w:t xml:space="preserve"> för antaga</w:t>
      </w:r>
      <w:r w:rsidR="00937DBA" w:rsidRPr="004B79A5">
        <w:t>n</w:t>
      </w:r>
      <w:r w:rsidR="00937DBA" w:rsidRPr="004B79A5">
        <w:t xml:space="preserve">det anges. </w:t>
      </w:r>
    </w:p>
    <w:p w:rsidR="00D22AE5" w:rsidRPr="004B79A5" w:rsidRDefault="00D22AE5" w:rsidP="00D22AE5">
      <w:pPr>
        <w:pStyle w:val="Normaltindrag"/>
      </w:pPr>
      <w:r w:rsidRPr="004B79A5">
        <w:t>I förra årets yttrande välkomnade EU-nämnden att det i årsboken hade i</w:t>
      </w:r>
      <w:r w:rsidRPr="004B79A5">
        <w:t>n</w:t>
      </w:r>
      <w:r w:rsidRPr="004B79A5">
        <w:t>tagits ordförklaringar kring beslutsfattandet. Nämnden påp</w:t>
      </w:r>
      <w:r w:rsidRPr="004B79A5">
        <w:t>e</w:t>
      </w:r>
      <w:r w:rsidRPr="004B79A5">
        <w:t xml:space="preserve">kade </w:t>
      </w:r>
      <w:r w:rsidR="006E5E3C" w:rsidRPr="004B79A5">
        <w:t xml:space="preserve">även </w:t>
      </w:r>
      <w:r w:rsidRPr="004B79A5">
        <w:t>att det hade varit önskvärt om bilagan också tog upp olika typer av beslut inom andra och tredje pelaren. Nämnden konst</w:t>
      </w:r>
      <w:r w:rsidRPr="004B79A5">
        <w:t>a</w:t>
      </w:r>
      <w:r w:rsidRPr="004B79A5">
        <w:t>terar nu att bilagan inte har tagits med i årets årsbok, vilket nämnden bekl</w:t>
      </w:r>
      <w:r w:rsidRPr="004B79A5">
        <w:t>a</w:t>
      </w:r>
      <w:r w:rsidR="00427398" w:rsidRPr="004B79A5">
        <w:t>gar.</w:t>
      </w:r>
    </w:p>
    <w:p w:rsidR="005A51EE" w:rsidRPr="004B79A5" w:rsidRDefault="005A51EE" w:rsidP="005A51EE">
      <w:pPr>
        <w:pStyle w:val="Normaltindrag"/>
      </w:pPr>
      <w:r w:rsidRPr="004B79A5">
        <w:t>Den 1 januari 2007 trädde ändringar i riksdagsordningen i kraft som ger utskotten en utökad roll i EU-arbetet. De nya reglerna syftar till att utskotten ska komma in i ett tidigt skede i EU-frågorna. Bestämmelserna innebär bl.a. att regeringen ska överlägga med utskott i de EU-frågor som utskotten b</w:t>
      </w:r>
      <w:r w:rsidRPr="004B79A5">
        <w:t>e</w:t>
      </w:r>
      <w:r w:rsidRPr="004B79A5">
        <w:t xml:space="preserve">stämmer. Denna hantering har bl.a. medfört att samarbetet mellan utskotten och nämnden har utvecklats och </w:t>
      </w:r>
      <w:r w:rsidR="00806EF3" w:rsidRPr="004B79A5">
        <w:t xml:space="preserve">att </w:t>
      </w:r>
      <w:r w:rsidRPr="004B79A5">
        <w:t xml:space="preserve">viktiga frågor </w:t>
      </w:r>
      <w:r w:rsidR="00D93DC3" w:rsidRPr="004B79A5">
        <w:t xml:space="preserve">även </w:t>
      </w:r>
      <w:r w:rsidR="00806EF3" w:rsidRPr="004B79A5">
        <w:t>har diskuterats i det berö</w:t>
      </w:r>
      <w:r w:rsidR="00806EF3" w:rsidRPr="004B79A5">
        <w:t>r</w:t>
      </w:r>
      <w:r w:rsidR="00806EF3" w:rsidRPr="004B79A5">
        <w:t xml:space="preserve">da utskottet när de </w:t>
      </w:r>
      <w:r w:rsidRPr="004B79A5">
        <w:t>kommer upp för beslut i EU-nämnden. I februari 2007 införde nämnden en ordning med möjlighet för partierna att avge s.k. avvikande mening i sa</w:t>
      </w:r>
      <w:r w:rsidRPr="004B79A5">
        <w:t>m</w:t>
      </w:r>
      <w:r w:rsidRPr="004B79A5">
        <w:t>band med beslutspunkter vid samrådet i nämnden. I de fall en EU-fråga har behandlats tidigt i ett utskott har detta, enligt näm</w:t>
      </w:r>
      <w:r w:rsidRPr="004B79A5">
        <w:t>n</w:t>
      </w:r>
      <w:r w:rsidRPr="004B79A5">
        <w:t>dens mening</w:t>
      </w:r>
      <w:r w:rsidR="00806EF3" w:rsidRPr="004B79A5">
        <w:t xml:space="preserve">, </w:t>
      </w:r>
      <w:r w:rsidRPr="004B79A5">
        <w:t>bidragit till en bättre genomlysning av frågan och därmed u</w:t>
      </w:r>
      <w:r w:rsidRPr="004B79A5">
        <w:t>n</w:t>
      </w:r>
      <w:r w:rsidRPr="004B79A5">
        <w:t>derlättat samrådet i nämnden.</w:t>
      </w:r>
      <w:r w:rsidR="00D93DC3" w:rsidRPr="004B79A5">
        <w:t xml:space="preserve"> Nedan redogörs främst för EU-nämndens roll i riksd</w:t>
      </w:r>
      <w:r w:rsidR="00D93DC3" w:rsidRPr="004B79A5">
        <w:t>a</w:t>
      </w:r>
      <w:r w:rsidR="00D93DC3" w:rsidRPr="004B79A5">
        <w:t>gens hantering av EU-frågor.</w:t>
      </w:r>
    </w:p>
    <w:p w:rsidR="0093216D" w:rsidRPr="004B79A5" w:rsidRDefault="00E84C39" w:rsidP="005F711A">
      <w:pPr>
        <w:pStyle w:val="Rubrik2"/>
      </w:pPr>
      <w:bookmarkStart w:id="9" w:name="_Toc196791510"/>
      <w:r w:rsidRPr="004B79A5">
        <w:t>Den övergripande utvecklingen i EU (del 1)</w:t>
      </w:r>
      <w:bookmarkEnd w:id="9"/>
    </w:p>
    <w:p w:rsidR="00FF204D" w:rsidRPr="004B79A5" w:rsidRDefault="00AD29F6" w:rsidP="00666857">
      <w:r w:rsidRPr="004B79A5">
        <w:t xml:space="preserve">I detta kapitel redogörs </w:t>
      </w:r>
      <w:r w:rsidR="00FF204D" w:rsidRPr="004B79A5">
        <w:t xml:space="preserve">övergripande </w:t>
      </w:r>
      <w:r w:rsidRPr="004B79A5">
        <w:t>för samarbetet i EU, Europeiska rådets möten under året, utvidgningen,</w:t>
      </w:r>
      <w:r w:rsidR="00FF204D" w:rsidRPr="004B79A5">
        <w:t xml:space="preserve"> </w:t>
      </w:r>
      <w:r w:rsidRPr="004B79A5">
        <w:t xml:space="preserve">Lissabonfördraget, översynen av </w:t>
      </w:r>
      <w:r w:rsidR="00FF204D" w:rsidRPr="004B79A5">
        <w:t>E</w:t>
      </w:r>
      <w:r w:rsidRPr="004B79A5">
        <w:t>U:s bu</w:t>
      </w:r>
      <w:r w:rsidRPr="004B79A5">
        <w:t>d</w:t>
      </w:r>
      <w:r w:rsidRPr="004B79A5">
        <w:t>get 200</w:t>
      </w:r>
      <w:r w:rsidR="00BD09F3" w:rsidRPr="004B79A5">
        <w:t>8–</w:t>
      </w:r>
      <w:r w:rsidRPr="004B79A5">
        <w:t>2009, Lissabonstrat</w:t>
      </w:r>
      <w:r w:rsidR="00FF204D" w:rsidRPr="004B79A5">
        <w:t>egin</w:t>
      </w:r>
      <w:r w:rsidRPr="004B79A5">
        <w:t xml:space="preserve"> och stra</w:t>
      </w:r>
      <w:r w:rsidR="00FF204D" w:rsidRPr="004B79A5">
        <w:t>te</w:t>
      </w:r>
      <w:r w:rsidRPr="004B79A5">
        <w:t>gin för hållbar utveckling</w:t>
      </w:r>
      <w:r w:rsidR="00FF204D" w:rsidRPr="004B79A5">
        <w:t xml:space="preserve"> samt för ett område för frihet, säkerhet och rättvisa –</w:t>
      </w:r>
      <w:r w:rsidR="00F834DF" w:rsidRPr="004B79A5">
        <w:t xml:space="preserve"> </w:t>
      </w:r>
      <w:r w:rsidR="00FF204D" w:rsidRPr="004B79A5">
        <w:t>Haagprogrammet. Flera av fr</w:t>
      </w:r>
      <w:r w:rsidR="00FF204D" w:rsidRPr="004B79A5">
        <w:t>å</w:t>
      </w:r>
      <w:r w:rsidR="00FF204D" w:rsidRPr="004B79A5">
        <w:t>gorna återkommer, liksom i tidigare skrivelser, i olika delavsnitt på olika sakområden.</w:t>
      </w:r>
      <w:r w:rsidR="00F834DF" w:rsidRPr="004B79A5">
        <w:t xml:space="preserve"> I den mån</w:t>
      </w:r>
      <w:r w:rsidR="00BD09F3" w:rsidRPr="004B79A5">
        <w:t xml:space="preserve"> EU-nämnden kommenterar dessa frågor sker det under r</w:t>
      </w:r>
      <w:r w:rsidR="00BD09F3" w:rsidRPr="004B79A5">
        <w:t>e</w:t>
      </w:r>
      <w:r w:rsidR="00BD09F3" w:rsidRPr="004B79A5">
        <w:t>spektive avsnitt nedan.</w:t>
      </w:r>
    </w:p>
    <w:p w:rsidR="00EA7F42" w:rsidRPr="004B79A5" w:rsidRDefault="00FF204D" w:rsidP="00FF204D">
      <w:pPr>
        <w:pStyle w:val="Normaltindrag"/>
      </w:pPr>
      <w:r w:rsidRPr="004B79A5">
        <w:t xml:space="preserve">Vidare finns ett avsnitt om information, överläggningar och samråd med riksdagen som nämnden har kommenterat </w:t>
      </w:r>
      <w:r w:rsidR="00630515" w:rsidRPr="004B79A5">
        <w:t xml:space="preserve">ovan </w:t>
      </w:r>
      <w:r w:rsidRPr="004B79A5">
        <w:t xml:space="preserve">under avsnittet </w:t>
      </w:r>
      <w:r w:rsidR="008D7435" w:rsidRPr="004B79A5">
        <w:t>A</w:t>
      </w:r>
      <w:r w:rsidRPr="004B79A5">
        <w:t>llmänna sy</w:t>
      </w:r>
      <w:r w:rsidRPr="004B79A5">
        <w:t>n</w:t>
      </w:r>
      <w:r w:rsidRPr="004B79A5">
        <w:t xml:space="preserve">punkter på innehållet i skrivelsen. </w:t>
      </w:r>
    </w:p>
    <w:p w:rsidR="00EE5601" w:rsidRPr="004B79A5" w:rsidRDefault="00FF204D" w:rsidP="00FF204D">
      <w:pPr>
        <w:pStyle w:val="Normaltindrag"/>
      </w:pPr>
      <w:r w:rsidRPr="004B79A5">
        <w:t xml:space="preserve">Beträffande sakområdena kan </w:t>
      </w:r>
      <w:r w:rsidR="00F834DF" w:rsidRPr="004B79A5">
        <w:t>E</w:t>
      </w:r>
      <w:r w:rsidRPr="004B79A5">
        <w:t>U-nämnden, liksom i f</w:t>
      </w:r>
      <w:r w:rsidR="00F834DF" w:rsidRPr="004B79A5">
        <w:t>ö</w:t>
      </w:r>
      <w:r w:rsidRPr="004B79A5">
        <w:t>rra årets yttrande, konst</w:t>
      </w:r>
      <w:r w:rsidR="00F834DF" w:rsidRPr="004B79A5">
        <w:t>atera</w:t>
      </w:r>
      <w:r w:rsidRPr="004B79A5">
        <w:t xml:space="preserve"> att EU-samarbetet fortsätter att i hög grad kännetecknas av öve</w:t>
      </w:r>
      <w:r w:rsidRPr="004B79A5">
        <w:t>r</w:t>
      </w:r>
      <w:r w:rsidRPr="004B79A5">
        <w:t>gripande strategier, handli</w:t>
      </w:r>
      <w:r w:rsidR="00F834DF" w:rsidRPr="004B79A5">
        <w:t>ngs</w:t>
      </w:r>
      <w:r w:rsidRPr="004B79A5">
        <w:t>program och planer i syfte att nå större sa</w:t>
      </w:r>
      <w:r w:rsidRPr="004B79A5">
        <w:t>m</w:t>
      </w:r>
      <w:r w:rsidRPr="004B79A5">
        <w:t>stämmighet på olika politikområden. EU-nämnden har under året behan</w:t>
      </w:r>
      <w:r w:rsidRPr="004B79A5">
        <w:t>d</w:t>
      </w:r>
      <w:r w:rsidRPr="004B79A5">
        <w:t>lat sektorsövergripande frågor inom ramen för samrådet inför Europ</w:t>
      </w:r>
      <w:r w:rsidRPr="004B79A5">
        <w:t>e</w:t>
      </w:r>
      <w:r w:rsidRPr="004B79A5">
        <w:t>iska rådets möten</w:t>
      </w:r>
      <w:r w:rsidR="00754680" w:rsidRPr="004B79A5">
        <w:t>.</w:t>
      </w:r>
      <w:r w:rsidR="00F834DF" w:rsidRPr="004B79A5">
        <w:t xml:space="preserve"> Viktiga sådana frågor har under året varit bl.a. globaliseringen, klimat- och energifrågor och sambandet mellan dessa frågor och säkerhets- och b</w:t>
      </w:r>
      <w:r w:rsidR="00F834DF" w:rsidRPr="004B79A5">
        <w:t>i</w:t>
      </w:r>
      <w:r w:rsidR="00F834DF" w:rsidRPr="004B79A5">
        <w:t>ståndsfrågor</w:t>
      </w:r>
      <w:r w:rsidR="00754680" w:rsidRPr="004B79A5">
        <w:t xml:space="preserve">. Dessa </w:t>
      </w:r>
      <w:r w:rsidR="00492AF3" w:rsidRPr="004B79A5">
        <w:t xml:space="preserve">och andra </w:t>
      </w:r>
      <w:r w:rsidR="00754680" w:rsidRPr="004B79A5">
        <w:t xml:space="preserve">övergripande </w:t>
      </w:r>
      <w:r w:rsidR="00383467" w:rsidRPr="004B79A5">
        <w:t xml:space="preserve">och viktiga </w:t>
      </w:r>
      <w:r w:rsidR="00754680" w:rsidRPr="004B79A5">
        <w:t xml:space="preserve">frågor har </w:t>
      </w:r>
      <w:r w:rsidR="00492AF3" w:rsidRPr="004B79A5">
        <w:t xml:space="preserve">i flera fall </w:t>
      </w:r>
      <w:r w:rsidR="00383467" w:rsidRPr="004B79A5">
        <w:t>b</w:t>
      </w:r>
      <w:r w:rsidR="00383467" w:rsidRPr="004B79A5">
        <w:t>e</w:t>
      </w:r>
      <w:r w:rsidR="00383467" w:rsidRPr="004B79A5">
        <w:t xml:space="preserve">handlats parallellt i </w:t>
      </w:r>
      <w:r w:rsidR="00492AF3" w:rsidRPr="004B79A5">
        <w:t>olika</w:t>
      </w:r>
      <w:r w:rsidR="00383467" w:rsidRPr="004B79A5">
        <w:t xml:space="preserve"> rådssammansättningar</w:t>
      </w:r>
      <w:r w:rsidR="00492AF3" w:rsidRPr="004B79A5">
        <w:t xml:space="preserve"> och därmed också i EU-nämnden. Det gäller t.ex.</w:t>
      </w:r>
      <w:r w:rsidR="00383467" w:rsidRPr="004B79A5">
        <w:t xml:space="preserve"> migration och invandring (rådet för rättsliga och inrikes frågor och rådet för sysselsättning och socialpolitik m.m.), </w:t>
      </w:r>
      <w:r w:rsidR="00492AF3" w:rsidRPr="004B79A5">
        <w:t>E</w:t>
      </w:r>
      <w:r w:rsidR="00383467" w:rsidRPr="004B79A5">
        <w:t>ur</w:t>
      </w:r>
      <w:r w:rsidR="00492AF3" w:rsidRPr="004B79A5">
        <w:t>o</w:t>
      </w:r>
      <w:r w:rsidR="00492AF3" w:rsidRPr="004B79A5">
        <w:t>peiska</w:t>
      </w:r>
      <w:r w:rsidR="00383467" w:rsidRPr="004B79A5">
        <w:t xml:space="preserve"> teknis</w:t>
      </w:r>
      <w:r w:rsidR="00492AF3" w:rsidRPr="004B79A5">
        <w:t>ka</w:t>
      </w:r>
      <w:r w:rsidR="00383467" w:rsidRPr="004B79A5">
        <w:t xml:space="preserve"> institutet och Galileo </w:t>
      </w:r>
      <w:r w:rsidR="006E5E3C" w:rsidRPr="004B79A5">
        <w:t xml:space="preserve">(konkurrenskraftsrådet, </w:t>
      </w:r>
      <w:r w:rsidR="00383467" w:rsidRPr="004B79A5">
        <w:t xml:space="preserve">rådet för </w:t>
      </w:r>
      <w:r w:rsidR="00492AF3" w:rsidRPr="004B79A5">
        <w:t>tran</w:t>
      </w:r>
      <w:r w:rsidR="00492AF3" w:rsidRPr="004B79A5">
        <w:t>s</w:t>
      </w:r>
      <w:r w:rsidR="00492AF3" w:rsidRPr="004B79A5">
        <w:t xml:space="preserve">port och </w:t>
      </w:r>
      <w:r w:rsidR="00492AF3" w:rsidRPr="004B79A5">
        <w:rPr>
          <w:spacing w:val="-2"/>
        </w:rPr>
        <w:t>telekommunikationsfrågor</w:t>
      </w:r>
      <w:r w:rsidR="00EE5601" w:rsidRPr="004B79A5">
        <w:rPr>
          <w:spacing w:val="-2"/>
        </w:rPr>
        <w:t xml:space="preserve"> samt</w:t>
      </w:r>
      <w:r w:rsidR="00492AF3" w:rsidRPr="004B79A5">
        <w:rPr>
          <w:spacing w:val="-2"/>
        </w:rPr>
        <w:t xml:space="preserve"> rådet för </w:t>
      </w:r>
      <w:r w:rsidR="004F59C2" w:rsidRPr="004B79A5">
        <w:rPr>
          <w:spacing w:val="-2"/>
        </w:rPr>
        <w:t xml:space="preserve">ekonomiska och </w:t>
      </w:r>
      <w:r w:rsidR="00492AF3" w:rsidRPr="004B79A5">
        <w:rPr>
          <w:spacing w:val="-2"/>
        </w:rPr>
        <w:t xml:space="preserve">finansiella frågor – </w:t>
      </w:r>
      <w:r w:rsidR="006E5E3C" w:rsidRPr="004B79A5">
        <w:rPr>
          <w:spacing w:val="-2"/>
        </w:rPr>
        <w:t>Ekofin</w:t>
      </w:r>
      <w:r w:rsidR="00492AF3" w:rsidRPr="004B79A5">
        <w:rPr>
          <w:spacing w:val="-2"/>
        </w:rPr>
        <w:t>).</w:t>
      </w:r>
      <w:r w:rsidR="00383467" w:rsidRPr="004B79A5">
        <w:rPr>
          <w:spacing w:val="-2"/>
        </w:rPr>
        <w:t xml:space="preserve"> </w:t>
      </w:r>
      <w:r w:rsidR="00EE5601" w:rsidRPr="004B79A5">
        <w:rPr>
          <w:spacing w:val="-2"/>
        </w:rPr>
        <w:t>Galileo var även föremål för behandling inför Europeiska rådets möte i dece</w:t>
      </w:r>
      <w:r w:rsidR="00EE5601" w:rsidRPr="004B79A5">
        <w:rPr>
          <w:spacing w:val="-2"/>
        </w:rPr>
        <w:t>m</w:t>
      </w:r>
      <w:r w:rsidR="00EE5601" w:rsidRPr="004B79A5">
        <w:rPr>
          <w:spacing w:val="-2"/>
        </w:rPr>
        <w:t>ber 2007.</w:t>
      </w:r>
    </w:p>
    <w:p w:rsidR="006C1C64" w:rsidRPr="004B79A5" w:rsidRDefault="00754680" w:rsidP="00FF204D">
      <w:pPr>
        <w:pStyle w:val="Normaltindrag"/>
      </w:pPr>
      <w:r w:rsidRPr="004B79A5">
        <w:t>I skr</w:t>
      </w:r>
      <w:r w:rsidRPr="004B79A5">
        <w:t>i</w:t>
      </w:r>
      <w:r w:rsidRPr="004B79A5">
        <w:t xml:space="preserve">velsen anges att löpande dialog om utvidgningen har förts med EU-nämnden inför möten i rådet. </w:t>
      </w:r>
      <w:r w:rsidR="000D54BC" w:rsidRPr="004B79A5">
        <w:t>Det är i s</w:t>
      </w:r>
      <w:r w:rsidR="00A43C8D" w:rsidRPr="004B79A5">
        <w:t>amman</w:t>
      </w:r>
      <w:r w:rsidR="000D54BC" w:rsidRPr="004B79A5">
        <w:t>hanget viktigt att konstatera att inte</w:t>
      </w:r>
      <w:r w:rsidR="00A43C8D" w:rsidRPr="004B79A5">
        <w:t xml:space="preserve"> </w:t>
      </w:r>
      <w:r w:rsidR="000D54BC" w:rsidRPr="004B79A5">
        <w:t>bara en di</w:t>
      </w:r>
      <w:r w:rsidR="00A43C8D" w:rsidRPr="004B79A5">
        <w:t>alog</w:t>
      </w:r>
      <w:r w:rsidR="000D54BC" w:rsidRPr="004B79A5">
        <w:t xml:space="preserve"> har förts på</w:t>
      </w:r>
      <w:r w:rsidR="00A43C8D" w:rsidRPr="004B79A5">
        <w:t xml:space="preserve"> </w:t>
      </w:r>
      <w:r w:rsidR="000D54BC" w:rsidRPr="004B79A5">
        <w:t>detta område utan också att rege</w:t>
      </w:r>
      <w:r w:rsidR="000D54BC" w:rsidRPr="004B79A5">
        <w:t>r</w:t>
      </w:r>
      <w:r w:rsidR="000D54BC" w:rsidRPr="004B79A5">
        <w:t xml:space="preserve">ingen fått </w:t>
      </w:r>
      <w:r w:rsidR="00A43C8D" w:rsidRPr="004B79A5">
        <w:t>enhälligt s</w:t>
      </w:r>
      <w:r w:rsidR="000D54BC" w:rsidRPr="004B79A5">
        <w:t>töd för sina ståndpunkter</w:t>
      </w:r>
      <w:r w:rsidR="006E0E42" w:rsidRPr="004B79A5">
        <w:t xml:space="preserve"> av nämnden</w:t>
      </w:r>
      <w:r w:rsidR="00A43C8D" w:rsidRPr="004B79A5">
        <w:t>.</w:t>
      </w:r>
    </w:p>
    <w:p w:rsidR="00492AF3" w:rsidRPr="004B79A5" w:rsidRDefault="006C1C64" w:rsidP="00FF204D">
      <w:pPr>
        <w:pStyle w:val="Normaltindrag"/>
      </w:pPr>
      <w:r w:rsidRPr="004B79A5">
        <w:t>Beträffande Lissabonfördraget nåddes</w:t>
      </w:r>
      <w:r w:rsidR="008D7435" w:rsidRPr="004B79A5">
        <w:t>,</w:t>
      </w:r>
      <w:r w:rsidRPr="004B79A5">
        <w:t xml:space="preserve"> som sägs i skrivelsen</w:t>
      </w:r>
      <w:r w:rsidR="008D7435" w:rsidRPr="004B79A5">
        <w:t>,</w:t>
      </w:r>
      <w:r w:rsidRPr="004B79A5">
        <w:t xml:space="preserve"> en uppgöre</w:t>
      </w:r>
      <w:r w:rsidRPr="004B79A5">
        <w:t>l</w:t>
      </w:r>
      <w:r w:rsidRPr="004B79A5">
        <w:t>se om huvuddragen inför regeringskonferensen vid Europeiska rådets möte den 21 och 22 juni</w:t>
      </w:r>
      <w:r w:rsidR="004D5B6B" w:rsidRPr="004B79A5">
        <w:t xml:space="preserve"> 2007</w:t>
      </w:r>
      <w:r w:rsidRPr="004B79A5">
        <w:t xml:space="preserve">. </w:t>
      </w:r>
      <w:r w:rsidR="00383467" w:rsidRPr="004B79A5">
        <w:t xml:space="preserve">EU-nämnden behandlade </w:t>
      </w:r>
      <w:r w:rsidR="008D7435" w:rsidRPr="004B79A5">
        <w:t xml:space="preserve">ingående </w:t>
      </w:r>
      <w:r w:rsidR="00383467" w:rsidRPr="004B79A5">
        <w:t>mandatet inför regeringskonf</w:t>
      </w:r>
      <w:r w:rsidR="00383467" w:rsidRPr="004B79A5">
        <w:t>e</w:t>
      </w:r>
      <w:r w:rsidR="00383467" w:rsidRPr="004B79A5">
        <w:t>rensen i telefonkonferens med EU-ministern under natten mellan den 21 och 22 juni</w:t>
      </w:r>
      <w:r w:rsidR="008D7435" w:rsidRPr="004B79A5">
        <w:t>,</w:t>
      </w:r>
      <w:r w:rsidR="00383467" w:rsidRPr="004B79A5">
        <w:t xml:space="preserve"> och nämndens majoritet gav regeringen stöd för att säga ja till huvuddragen i uppgöre</w:t>
      </w:r>
      <w:r w:rsidR="00383467" w:rsidRPr="004B79A5">
        <w:t>l</w:t>
      </w:r>
      <w:r w:rsidR="00383467" w:rsidRPr="004B79A5">
        <w:t>sen. Dessförinnan hade EU-nämnden också vid fl</w:t>
      </w:r>
      <w:r w:rsidR="00B83232" w:rsidRPr="004B79A5">
        <w:t>era tillfällen behandlat den s.</w:t>
      </w:r>
      <w:r w:rsidR="00383467" w:rsidRPr="004B79A5">
        <w:t>k. Berlindeklarationen i anledning av EU:s 50-årsfirande som ägde rum den 25 mars 2007.</w:t>
      </w:r>
    </w:p>
    <w:p w:rsidR="00BD09F3" w:rsidRPr="004B79A5" w:rsidRDefault="00492AF3" w:rsidP="00BD09F3">
      <w:pPr>
        <w:pStyle w:val="Normaltindrag"/>
      </w:pPr>
      <w:r w:rsidRPr="004B79A5">
        <w:t>I avsnitt</w:t>
      </w:r>
      <w:r w:rsidR="00145770" w:rsidRPr="004B79A5">
        <w:t xml:space="preserve"> 5</w:t>
      </w:r>
      <w:r w:rsidRPr="004B79A5">
        <w:t xml:space="preserve"> redogörs ingående för översynen av EU:s budget 2008</w:t>
      </w:r>
      <w:r w:rsidR="006E5E3C" w:rsidRPr="004B79A5">
        <w:t>–</w:t>
      </w:r>
      <w:r w:rsidRPr="004B79A5">
        <w:t>2009</w:t>
      </w:r>
      <w:r w:rsidR="00BD09F3" w:rsidRPr="004B79A5">
        <w:t xml:space="preserve">. Den 6 december </w:t>
      </w:r>
      <w:r w:rsidR="0058318D" w:rsidRPr="004B79A5">
        <w:t xml:space="preserve">2007 </w:t>
      </w:r>
      <w:r w:rsidR="00BD09F3" w:rsidRPr="004B79A5">
        <w:t>genomförde EU-nämnden i samarbete med finansu</w:t>
      </w:r>
      <w:r w:rsidR="00BD09F3" w:rsidRPr="004B79A5">
        <w:t>t</w:t>
      </w:r>
      <w:r w:rsidR="00BD09F3" w:rsidRPr="004B79A5">
        <w:t>skottet en öppen utfrågning om budgetöversynen som enligt budgetöveren</w:t>
      </w:r>
      <w:r w:rsidR="00BD09F3" w:rsidRPr="004B79A5">
        <w:t>s</w:t>
      </w:r>
      <w:r w:rsidR="00BD09F3" w:rsidRPr="004B79A5">
        <w:t>komme</w:t>
      </w:r>
      <w:r w:rsidR="00BD09F3" w:rsidRPr="004B79A5">
        <w:t>l</w:t>
      </w:r>
      <w:r w:rsidR="00BD09F3" w:rsidRPr="004B79A5">
        <w:t xml:space="preserve">sen ska genomföras 2008–2009. </w:t>
      </w:r>
    </w:p>
    <w:p w:rsidR="00EA7F42" w:rsidRPr="004B79A5" w:rsidRDefault="00BD09F3" w:rsidP="00FF204D">
      <w:pPr>
        <w:pStyle w:val="Normaltindrag"/>
      </w:pPr>
      <w:r w:rsidRPr="004B79A5">
        <w:t>Utöver det gängse arbetet med den fleråriga budgetramen påbörjade EU under 2007 det viktiga arbetet med en budgetöversyn av hur EU:s budge</w:t>
      </w:r>
      <w:r w:rsidRPr="004B79A5">
        <w:t>t</w:t>
      </w:r>
      <w:r w:rsidRPr="004B79A5">
        <w:t>struktur ska se ut efter år 2013. Nämnden vill poängtera vikten av att budge</w:t>
      </w:r>
      <w:r w:rsidRPr="004B79A5">
        <w:t>t</w:t>
      </w:r>
      <w:r w:rsidRPr="004B79A5">
        <w:t>översynen blir genomgripande för att den ska kunna utmynna i en heltäcka</w:t>
      </w:r>
      <w:r w:rsidRPr="004B79A5">
        <w:t>n</w:t>
      </w:r>
      <w:r w:rsidRPr="004B79A5">
        <w:t>de modernisering av det nuvarande budgets</w:t>
      </w:r>
      <w:r w:rsidRPr="004B79A5">
        <w:t>y</w:t>
      </w:r>
      <w:r w:rsidRPr="004B79A5">
        <w:t>stemet. Detta är inte minst av vikt ur trovärdighets- och öppenhetsperspektiv. I begreppet heltäckande m</w:t>
      </w:r>
      <w:r w:rsidRPr="004B79A5">
        <w:t>o</w:t>
      </w:r>
      <w:r w:rsidRPr="004B79A5">
        <w:t>dernisering lägger nämnden även in betydelsen av att också häls</w:t>
      </w:r>
      <w:r w:rsidRPr="004B79A5">
        <w:t>o</w:t>
      </w:r>
      <w:r w:rsidRPr="004B79A5">
        <w:t>kontrollen av den gemensamma jordbrukspolitiken och översynen av sammanhållning</w:t>
      </w:r>
      <w:r w:rsidRPr="004B79A5">
        <w:t>s</w:t>
      </w:r>
      <w:r w:rsidRPr="004B79A5">
        <w:t>politiken blir genomgripande och framåtsyftande. Eve</w:t>
      </w:r>
      <w:r w:rsidRPr="004B79A5">
        <w:t>n</w:t>
      </w:r>
      <w:r w:rsidRPr="004B79A5">
        <w:t>tuella beslut inom ramen för dessa översyner bör bidra till ytterligare reformer och utgiftsmins</w:t>
      </w:r>
      <w:r w:rsidRPr="004B79A5">
        <w:t>k</w:t>
      </w:r>
      <w:r w:rsidRPr="004B79A5">
        <w:t>ningar i budget</w:t>
      </w:r>
      <w:r w:rsidR="00B7375C" w:rsidRPr="004B79A5">
        <w:t xml:space="preserve">en. I detta sammanhang kan nämnas att finansutskottet </w:t>
      </w:r>
      <w:r w:rsidR="006E5E3C" w:rsidRPr="004B79A5">
        <w:t xml:space="preserve">i </w:t>
      </w:r>
      <w:r w:rsidR="009B0F2B" w:rsidRPr="004B79A5">
        <w:t>mars</w:t>
      </w:r>
      <w:r w:rsidR="00B7375C" w:rsidRPr="004B79A5">
        <w:t xml:space="preserve"> 2008 har </w:t>
      </w:r>
      <w:r w:rsidR="006E5E3C" w:rsidRPr="004B79A5">
        <w:t>avgivit</w:t>
      </w:r>
      <w:r w:rsidR="00B7375C" w:rsidRPr="004B79A5">
        <w:t xml:space="preserve"> ett utlåtande om kommissionens meddelande om budge</w:t>
      </w:r>
      <w:r w:rsidR="00B7375C" w:rsidRPr="004B79A5">
        <w:t>t</w:t>
      </w:r>
      <w:r w:rsidR="00B7375C" w:rsidRPr="004B79A5">
        <w:t>översynen (</w:t>
      </w:r>
      <w:r w:rsidR="008D7435" w:rsidRPr="004B79A5">
        <w:t xml:space="preserve">bet. </w:t>
      </w:r>
      <w:r w:rsidR="00B7375C" w:rsidRPr="004B79A5">
        <w:t>2007/08:FiU</w:t>
      </w:r>
      <w:r w:rsidR="009B0F2B" w:rsidRPr="004B79A5">
        <w:t>14</w:t>
      </w:r>
      <w:r w:rsidR="00B7375C" w:rsidRPr="004B79A5">
        <w:t>). EU</w:t>
      </w:r>
      <w:r w:rsidR="009B0F2B" w:rsidRPr="004B79A5">
        <w:t>-</w:t>
      </w:r>
      <w:r w:rsidR="00B7375C" w:rsidRPr="004B79A5">
        <w:t xml:space="preserve">nämnden har </w:t>
      </w:r>
      <w:r w:rsidR="009B0F2B" w:rsidRPr="004B79A5">
        <w:t xml:space="preserve">den 29 februari 2008 </w:t>
      </w:r>
      <w:r w:rsidR="00B7375C" w:rsidRPr="004B79A5">
        <w:t>a</w:t>
      </w:r>
      <w:r w:rsidR="00B7375C" w:rsidRPr="004B79A5">
        <w:t>v</w:t>
      </w:r>
      <w:r w:rsidR="00B7375C" w:rsidRPr="004B79A5">
        <w:t>lämnat yttrande till finansutskottet i ärendet (</w:t>
      </w:r>
      <w:r w:rsidR="008D7435" w:rsidRPr="004B79A5">
        <w:t xml:space="preserve">yttr. </w:t>
      </w:r>
      <w:r w:rsidR="00B7375C" w:rsidRPr="004B79A5">
        <w:t>2007/08:EUN1y).</w:t>
      </w:r>
      <w:r w:rsidR="00754680" w:rsidRPr="004B79A5">
        <w:t xml:space="preserve"> </w:t>
      </w:r>
      <w:r w:rsidR="00E829DD" w:rsidRPr="004B79A5">
        <w:t>Kamm</w:t>
      </w:r>
      <w:r w:rsidR="00E829DD" w:rsidRPr="004B79A5">
        <w:t>a</w:t>
      </w:r>
      <w:r w:rsidR="00E829DD" w:rsidRPr="004B79A5">
        <w:t>ren behandl</w:t>
      </w:r>
      <w:r w:rsidR="00E829DD" w:rsidRPr="004B79A5">
        <w:t>a</w:t>
      </w:r>
      <w:r w:rsidR="00E829DD" w:rsidRPr="004B79A5">
        <w:t>de finansutskottets utlåtande den 10 april 2008.</w:t>
      </w:r>
    </w:p>
    <w:p w:rsidR="00E84C39" w:rsidRPr="004B79A5" w:rsidRDefault="00E84C39" w:rsidP="00E84C39">
      <w:pPr>
        <w:pStyle w:val="Rubrik2"/>
      </w:pPr>
      <w:bookmarkStart w:id="10" w:name="_Toc196791511"/>
      <w:r w:rsidRPr="004B79A5">
        <w:t>EU:s förbindelser med omvärlden (del 2)</w:t>
      </w:r>
      <w:bookmarkEnd w:id="10"/>
    </w:p>
    <w:p w:rsidR="00357AF8" w:rsidRPr="004B79A5" w:rsidRDefault="00BF52D6" w:rsidP="00357AF8">
      <w:r w:rsidRPr="004B79A5">
        <w:t xml:space="preserve">Under denna rubrik behandlas i skrivelsen huvudsakligen frågor som berör </w:t>
      </w:r>
      <w:r w:rsidR="00222E32" w:rsidRPr="004B79A5">
        <w:t xml:space="preserve">regeringens samråd med EU-nämnden inom ramen för den gemensamma utrikes- och säkerhetspolitiken (GUSP), handelspolitiken samt EU:s bilaterala och regionala förbindelser. </w:t>
      </w:r>
      <w:r w:rsidR="004B0001" w:rsidRPr="004B79A5">
        <w:t xml:space="preserve">Rådet, och därmed EU-nämnden, har kontinuerligt följt utvecklingen i olika länder och organisationer. </w:t>
      </w:r>
      <w:r w:rsidR="001C5D84" w:rsidRPr="004B79A5">
        <w:t xml:space="preserve">Under </w:t>
      </w:r>
      <w:r w:rsidR="006E5E3C" w:rsidRPr="004B79A5">
        <w:t xml:space="preserve">år </w:t>
      </w:r>
      <w:r w:rsidR="001C5D84" w:rsidRPr="004B79A5">
        <w:t>2007 har näm</w:t>
      </w:r>
      <w:r w:rsidR="001C5D84" w:rsidRPr="004B79A5">
        <w:t>n</w:t>
      </w:r>
      <w:r w:rsidR="001C5D84" w:rsidRPr="004B79A5">
        <w:t xml:space="preserve">den </w:t>
      </w:r>
      <w:r w:rsidR="00632F09" w:rsidRPr="004B79A5">
        <w:t xml:space="preserve">bl.a. </w:t>
      </w:r>
      <w:r w:rsidR="001C5D84" w:rsidRPr="004B79A5">
        <w:t xml:space="preserve">fortlöpande </w:t>
      </w:r>
      <w:r w:rsidR="00632F09" w:rsidRPr="004B79A5">
        <w:t xml:space="preserve">följt, </w:t>
      </w:r>
      <w:r w:rsidR="001C5D84" w:rsidRPr="004B79A5">
        <w:t xml:space="preserve">diskuterat och också </w:t>
      </w:r>
      <w:r w:rsidR="00632F09" w:rsidRPr="004B79A5">
        <w:t>stött regeringen när det gäller u</w:t>
      </w:r>
      <w:r w:rsidR="001C5D84" w:rsidRPr="004B79A5">
        <w:t>tvecklingen i olika länder utanför EU</w:t>
      </w:r>
      <w:r w:rsidR="00782752" w:rsidRPr="004B79A5">
        <w:t>. I</w:t>
      </w:r>
      <w:r w:rsidR="00632F09" w:rsidRPr="004B79A5">
        <w:t>nte minst</w:t>
      </w:r>
      <w:r w:rsidR="00782752" w:rsidRPr="004B79A5">
        <w:t xml:space="preserve"> gäller det förhandlingar om</w:t>
      </w:r>
      <w:r w:rsidR="005440E9" w:rsidRPr="004B79A5">
        <w:t xml:space="preserve"> Kosovos självständighet,</w:t>
      </w:r>
      <w:r w:rsidR="00782752" w:rsidRPr="004B79A5">
        <w:t xml:space="preserve"> fredsprocessen i</w:t>
      </w:r>
      <w:r w:rsidR="00632F09" w:rsidRPr="004B79A5">
        <w:t xml:space="preserve"> Mellanöstern </w:t>
      </w:r>
      <w:r w:rsidR="005440E9" w:rsidRPr="004B79A5">
        <w:t>samt utvecklin</w:t>
      </w:r>
      <w:r w:rsidR="005440E9" w:rsidRPr="004B79A5">
        <w:t>g</w:t>
      </w:r>
      <w:r w:rsidR="005440E9" w:rsidRPr="004B79A5">
        <w:t xml:space="preserve">en i </w:t>
      </w:r>
      <w:r w:rsidR="00632F09" w:rsidRPr="004B79A5">
        <w:t>västra Bal</w:t>
      </w:r>
      <w:r w:rsidR="005440E9" w:rsidRPr="004B79A5">
        <w:t>kan</w:t>
      </w:r>
      <w:r w:rsidR="00632F09" w:rsidRPr="004B79A5">
        <w:t xml:space="preserve"> och Sudan.</w:t>
      </w:r>
      <w:r w:rsidR="00782752" w:rsidRPr="004B79A5">
        <w:t xml:space="preserve"> Även frågan om Iran</w:t>
      </w:r>
      <w:r w:rsidR="005440E9" w:rsidRPr="004B79A5">
        <w:t>s kärnteknikprogram</w:t>
      </w:r>
      <w:r w:rsidR="00782752" w:rsidRPr="004B79A5">
        <w:t xml:space="preserve"> har näm</w:t>
      </w:r>
      <w:r w:rsidR="00782752" w:rsidRPr="004B79A5">
        <w:t>n</w:t>
      </w:r>
      <w:r w:rsidR="00634DC3" w:rsidRPr="004B79A5">
        <w:t xml:space="preserve">den följt noga, liksom hanteringen av </w:t>
      </w:r>
      <w:r w:rsidR="003E1609" w:rsidRPr="004B79A5">
        <w:t>civila krishanteringsinsatser</w:t>
      </w:r>
      <w:r w:rsidR="00634DC3" w:rsidRPr="004B79A5">
        <w:t xml:space="preserve"> i bl.a. Tchad och Kosovo.</w:t>
      </w:r>
    </w:p>
    <w:p w:rsidR="00666857" w:rsidRPr="004B79A5" w:rsidRDefault="00CC796B" w:rsidP="00CC796B">
      <w:pPr>
        <w:pStyle w:val="Normaltindrag"/>
      </w:pPr>
      <w:r w:rsidRPr="004B79A5">
        <w:t xml:space="preserve">Som framhålls i skrivelsen (avsnitt </w:t>
      </w:r>
      <w:r w:rsidR="003E1609" w:rsidRPr="004B79A5">
        <w:t xml:space="preserve">8.9) har EU </w:t>
      </w:r>
      <w:r w:rsidR="00455F02" w:rsidRPr="004B79A5">
        <w:t xml:space="preserve">alltmer </w:t>
      </w:r>
      <w:r w:rsidR="003E1609" w:rsidRPr="004B79A5">
        <w:t>använt s.k. riktade sanktioner som ett utrikespolitiskt instrument för att påverka regimer i tredj</w:t>
      </w:r>
      <w:r w:rsidR="003E1609" w:rsidRPr="004B79A5">
        <w:t>e</w:t>
      </w:r>
      <w:r w:rsidR="003E1609" w:rsidRPr="004B79A5">
        <w:t xml:space="preserve">länder. Under </w:t>
      </w:r>
      <w:r w:rsidR="006E5E3C" w:rsidRPr="004B79A5">
        <w:t xml:space="preserve">år </w:t>
      </w:r>
      <w:r w:rsidR="003E1609" w:rsidRPr="004B79A5">
        <w:t>2007 har EU genomfört FN-sanktion</w:t>
      </w:r>
      <w:r w:rsidR="00392036" w:rsidRPr="004B79A5">
        <w:t>er, infört nya självstä</w:t>
      </w:r>
      <w:r w:rsidR="00392036" w:rsidRPr="004B79A5">
        <w:t>n</w:t>
      </w:r>
      <w:r w:rsidR="00392036" w:rsidRPr="004B79A5">
        <w:t>diga åtgärder</w:t>
      </w:r>
      <w:r w:rsidR="003E1609" w:rsidRPr="004B79A5">
        <w:t xml:space="preserve"> eller först</w:t>
      </w:r>
      <w:r w:rsidR="00734406" w:rsidRPr="004B79A5">
        <w:t>ärkt, förlängt eller moderniserat de befintliga sankti</w:t>
      </w:r>
      <w:r w:rsidR="00734406" w:rsidRPr="004B79A5">
        <w:t>o</w:t>
      </w:r>
      <w:r w:rsidR="00734406" w:rsidRPr="004B79A5">
        <w:t>nerna mot Burma, Elfenbenskusten, Iran, Kongo, Liberia, Moldavien, Nor</w:t>
      </w:r>
      <w:r w:rsidR="00734406" w:rsidRPr="004B79A5">
        <w:t>d</w:t>
      </w:r>
      <w:r w:rsidR="00734406" w:rsidRPr="004B79A5">
        <w:t>korea, Uzbekistan, Somalia, Vitryssland och Zimbabwe. Skriftligt samråd har li</w:t>
      </w:r>
      <w:r w:rsidR="00734406" w:rsidRPr="004B79A5">
        <w:t>k</w:t>
      </w:r>
      <w:r w:rsidR="00734406" w:rsidRPr="004B79A5">
        <w:t>som tidigare år ägt rum kontinuerligt med regeringen under året när dessa sankti</w:t>
      </w:r>
      <w:r w:rsidR="00734406" w:rsidRPr="004B79A5">
        <w:t>o</w:t>
      </w:r>
      <w:r w:rsidR="00734406" w:rsidRPr="004B79A5">
        <w:t>ner har aktualiserats.</w:t>
      </w:r>
    </w:p>
    <w:p w:rsidR="006F452C" w:rsidRPr="004B79A5" w:rsidRDefault="006F452C" w:rsidP="006D4425">
      <w:pPr>
        <w:pStyle w:val="Normaltindrag"/>
      </w:pPr>
      <w:r w:rsidRPr="004B79A5">
        <w:t xml:space="preserve">I skrivelsen nämns </w:t>
      </w:r>
      <w:r w:rsidR="00734406" w:rsidRPr="004B79A5">
        <w:t>(avsnitt 10.2, 5 och 6</w:t>
      </w:r>
      <w:r w:rsidR="00C32A6A" w:rsidRPr="004B79A5">
        <w:t xml:space="preserve">) </w:t>
      </w:r>
      <w:r w:rsidRPr="004B79A5">
        <w:t xml:space="preserve">att rådet för </w:t>
      </w:r>
      <w:r w:rsidR="00B63FB5" w:rsidRPr="004B79A5">
        <w:t>a</w:t>
      </w:r>
      <w:r w:rsidRPr="004B79A5">
        <w:t>llmänna frågor och yttre förbindelser antog slutsatser på rådets möte i november rörande Sa</w:t>
      </w:r>
      <w:r w:rsidRPr="004B79A5">
        <w:t>m</w:t>
      </w:r>
      <w:r w:rsidRPr="004B79A5">
        <w:t>stämmighet för utveckling (Policy for Development, PCD), Global klimatfö</w:t>
      </w:r>
      <w:r w:rsidRPr="004B79A5">
        <w:t>r</w:t>
      </w:r>
      <w:r w:rsidRPr="004B79A5">
        <w:t>ändringsallians samt s.k. sviktande situationer (situation of fragility). I skr</w:t>
      </w:r>
      <w:r w:rsidRPr="004B79A5">
        <w:t>i</w:t>
      </w:r>
      <w:r w:rsidRPr="004B79A5">
        <w:t xml:space="preserve">velsen anges att EU-nämnden </w:t>
      </w:r>
      <w:r w:rsidRPr="004B79A5">
        <w:rPr>
          <w:i/>
        </w:rPr>
        <w:t>informe</w:t>
      </w:r>
      <w:r w:rsidR="005E7826" w:rsidRPr="004B79A5">
        <w:rPr>
          <w:i/>
        </w:rPr>
        <w:t>rades</w:t>
      </w:r>
      <w:r w:rsidR="005E7826" w:rsidRPr="004B79A5">
        <w:t xml:space="preserve"> i frågorna den 16 november</w:t>
      </w:r>
      <w:r w:rsidRPr="004B79A5">
        <w:t xml:space="preserve">. </w:t>
      </w:r>
      <w:r w:rsidR="00D65EBE" w:rsidRPr="004B79A5">
        <w:t>E</w:t>
      </w:r>
      <w:r w:rsidRPr="004B79A5">
        <w:t xml:space="preserve">ftersom </w:t>
      </w:r>
      <w:r w:rsidR="000D40F3" w:rsidRPr="004B79A5">
        <w:t xml:space="preserve">rådet </w:t>
      </w:r>
      <w:r w:rsidR="00D65EBE" w:rsidRPr="004B79A5">
        <w:t xml:space="preserve">avsågs anta </w:t>
      </w:r>
      <w:r w:rsidR="000D40F3" w:rsidRPr="004B79A5">
        <w:t xml:space="preserve">slutsatser </w:t>
      </w:r>
      <w:r w:rsidR="00D65EBE" w:rsidRPr="004B79A5">
        <w:t xml:space="preserve">var det fråga om ett </w:t>
      </w:r>
      <w:r w:rsidR="00D65EBE" w:rsidRPr="004B79A5">
        <w:rPr>
          <w:i/>
        </w:rPr>
        <w:t>samråd</w:t>
      </w:r>
      <w:r w:rsidR="00D65EBE" w:rsidRPr="004B79A5">
        <w:t xml:space="preserve"> (jfr s</w:t>
      </w:r>
      <w:r w:rsidR="008D7435" w:rsidRPr="004B79A5">
        <w:t>.</w:t>
      </w:r>
      <w:r w:rsidR="00D65EBE" w:rsidRPr="004B79A5">
        <w:t xml:space="preserve"> 2, under avsnittet Allmänna synpunkter på innehållet i skrivelsen)</w:t>
      </w:r>
      <w:r w:rsidR="008D7435" w:rsidRPr="004B79A5">
        <w:t>.</w:t>
      </w:r>
      <w:r w:rsidR="00D65EBE" w:rsidRPr="004B79A5">
        <w:t xml:space="preserve"> Det </w:t>
      </w:r>
      <w:r w:rsidR="000D40F3" w:rsidRPr="004B79A5">
        <w:t>kan</w:t>
      </w:r>
      <w:r w:rsidR="005E7826" w:rsidRPr="004B79A5">
        <w:t xml:space="preserve"> påpekas att nämnden gav sitt fulla stöd för slutsatserna</w:t>
      </w:r>
      <w:r w:rsidR="006D4425" w:rsidRPr="004B79A5">
        <w:t xml:space="preserve"> </w:t>
      </w:r>
      <w:r w:rsidR="00824252" w:rsidRPr="004B79A5">
        <w:t>vid sitt sa</w:t>
      </w:r>
      <w:r w:rsidR="00824252" w:rsidRPr="004B79A5">
        <w:t>m</w:t>
      </w:r>
      <w:r w:rsidR="00824252" w:rsidRPr="004B79A5">
        <w:t xml:space="preserve">råd </w:t>
      </w:r>
      <w:r w:rsidR="006D4425" w:rsidRPr="004B79A5">
        <w:t xml:space="preserve">och </w:t>
      </w:r>
      <w:r w:rsidR="00D65EBE" w:rsidRPr="004B79A5">
        <w:t xml:space="preserve">att dessa </w:t>
      </w:r>
      <w:r w:rsidR="006D4425" w:rsidRPr="004B79A5">
        <w:t>också antogs av rådet</w:t>
      </w:r>
      <w:r w:rsidR="005E7826" w:rsidRPr="004B79A5">
        <w:t>.</w:t>
      </w:r>
    </w:p>
    <w:p w:rsidR="00E84C39" w:rsidRPr="004B79A5" w:rsidRDefault="00E84C39" w:rsidP="00E84C39">
      <w:pPr>
        <w:pStyle w:val="Rubrik2"/>
      </w:pPr>
      <w:bookmarkStart w:id="11" w:name="_Toc196791512"/>
      <w:r w:rsidRPr="004B79A5">
        <w:t>Ekonomiska och finansiella frågor (del 3)</w:t>
      </w:r>
      <w:bookmarkEnd w:id="11"/>
    </w:p>
    <w:p w:rsidR="00357AF8" w:rsidRPr="004B79A5" w:rsidRDefault="002058FE" w:rsidP="00357AF8">
      <w:r w:rsidRPr="004B79A5">
        <w:t>I detta avsnitt redogörs</w:t>
      </w:r>
      <w:r w:rsidR="008E4A63" w:rsidRPr="004B79A5">
        <w:t xml:space="preserve"> för</w:t>
      </w:r>
      <w:r w:rsidR="00E96957" w:rsidRPr="004B79A5">
        <w:t xml:space="preserve"> Ekofinrådet</w:t>
      </w:r>
      <w:r w:rsidR="00055D85" w:rsidRPr="004B79A5">
        <w:t>s</w:t>
      </w:r>
      <w:r w:rsidR="008E4A63" w:rsidRPr="004B79A5">
        <w:t xml:space="preserve"> verksamhet</w:t>
      </w:r>
      <w:r w:rsidR="00FA4C92" w:rsidRPr="004B79A5">
        <w:t>sområde</w:t>
      </w:r>
      <w:r w:rsidRPr="004B79A5">
        <w:t xml:space="preserve">. </w:t>
      </w:r>
      <w:r w:rsidR="00B63FB5" w:rsidRPr="004B79A5">
        <w:t>I dece</w:t>
      </w:r>
      <w:r w:rsidR="00B63FB5" w:rsidRPr="004B79A5">
        <w:t>m</w:t>
      </w:r>
      <w:r w:rsidR="00B63FB5" w:rsidRPr="004B79A5">
        <w:t>ber 2007 ställde sig nämnden</w:t>
      </w:r>
      <w:r w:rsidR="00B64836" w:rsidRPr="004B79A5">
        <w:t xml:space="preserve"> </w:t>
      </w:r>
      <w:r w:rsidRPr="004B79A5">
        <w:t>bakom en poli</w:t>
      </w:r>
      <w:r w:rsidR="0008508B" w:rsidRPr="004B79A5">
        <w:t>tisk</w:t>
      </w:r>
      <w:r w:rsidRPr="004B79A5">
        <w:t xml:space="preserve"> överenskommelse om ett mom</w:t>
      </w:r>
      <w:r w:rsidRPr="004B79A5">
        <w:t>s</w:t>
      </w:r>
      <w:r w:rsidRPr="004B79A5">
        <w:t>paket som ska träda i kraft den 1 januari 2010 med undantag för tillhandahå</w:t>
      </w:r>
      <w:r w:rsidRPr="004B79A5">
        <w:t>l</w:t>
      </w:r>
      <w:r w:rsidRPr="004B79A5">
        <w:t>lande från företag till konsument när det gäller telekom</w:t>
      </w:r>
      <w:r w:rsidRPr="004B79A5">
        <w:t>t</w:t>
      </w:r>
      <w:r w:rsidRPr="004B79A5">
        <w:t xml:space="preserve">jänster, radio- och </w:t>
      </w:r>
      <w:r w:rsidR="00D36E77" w:rsidRPr="004B79A5">
        <w:t>tv</w:t>
      </w:r>
      <w:r w:rsidRPr="004B79A5">
        <w:t>-tjänster samt</w:t>
      </w:r>
      <w:r w:rsidR="0008508B" w:rsidRPr="004B79A5">
        <w:t xml:space="preserve"> </w:t>
      </w:r>
      <w:r w:rsidR="00D65EBE" w:rsidRPr="004B79A5">
        <w:t xml:space="preserve">elektroniska </w:t>
      </w:r>
      <w:r w:rsidRPr="004B79A5">
        <w:t>tjän</w:t>
      </w:r>
      <w:r w:rsidRPr="004B79A5">
        <w:t>s</w:t>
      </w:r>
      <w:r w:rsidRPr="004B79A5">
        <w:t xml:space="preserve">ter som i stället träder i kraft den 1 januari 2015. </w:t>
      </w:r>
    </w:p>
    <w:p w:rsidR="00B64836" w:rsidRPr="004B79A5" w:rsidRDefault="008C1599" w:rsidP="00D64941">
      <w:pPr>
        <w:pStyle w:val="Normaltindrag"/>
      </w:pPr>
      <w:r w:rsidRPr="004B79A5">
        <w:t>EU-nämnden har också f</w:t>
      </w:r>
      <w:r w:rsidR="00BF52D6" w:rsidRPr="004B79A5">
        <w:t>ortlöpand</w:t>
      </w:r>
      <w:r w:rsidRPr="004B79A5">
        <w:t>e behandlat clearing och avveckling, a</w:t>
      </w:r>
      <w:r w:rsidRPr="004B79A5">
        <w:t>k</w:t>
      </w:r>
      <w:r w:rsidRPr="004B79A5">
        <w:t xml:space="preserve">tieförvärv inom finanssektorn, </w:t>
      </w:r>
      <w:r w:rsidR="00D36E77" w:rsidRPr="004B79A5">
        <w:t xml:space="preserve">de </w:t>
      </w:r>
      <w:r w:rsidRPr="004B79A5">
        <w:t>offentliga finansernas kvalitet</w:t>
      </w:r>
      <w:r w:rsidR="005E2241" w:rsidRPr="004B79A5">
        <w:t>, betaltjänster på den inre marknaden samt bekämpning av skattebedrägeri.</w:t>
      </w:r>
    </w:p>
    <w:p w:rsidR="00D64941" w:rsidRPr="004B79A5" w:rsidRDefault="00B64836" w:rsidP="00D64941">
      <w:pPr>
        <w:pStyle w:val="Normaltindrag"/>
      </w:pPr>
      <w:r w:rsidRPr="004B79A5">
        <w:t>I skrivelsen anges beträffande grönboken om marknadsbaserade styrmed</w:t>
      </w:r>
      <w:r w:rsidR="00902CBA" w:rsidRPr="004B79A5">
        <w:t>el</w:t>
      </w:r>
      <w:r w:rsidRPr="004B79A5">
        <w:t xml:space="preserve"> (avsnitt 13.3) att finansministern haft en </w:t>
      </w:r>
      <w:r w:rsidRPr="004B79A5">
        <w:rPr>
          <w:i/>
        </w:rPr>
        <w:t>överläggning</w:t>
      </w:r>
      <w:r w:rsidRPr="004B79A5">
        <w:t xml:space="preserve"> med skatteutskottet den 22 maj. Det ska dock här framhåll</w:t>
      </w:r>
      <w:r w:rsidR="009157A2" w:rsidRPr="004B79A5">
        <w:t>a</w:t>
      </w:r>
      <w:r w:rsidRPr="004B79A5">
        <w:t xml:space="preserve">s att det inte var fråga om en </w:t>
      </w:r>
      <w:r w:rsidRPr="004B79A5">
        <w:rPr>
          <w:i/>
        </w:rPr>
        <w:t>överläg</w:t>
      </w:r>
      <w:r w:rsidRPr="004B79A5">
        <w:rPr>
          <w:i/>
        </w:rPr>
        <w:t>g</w:t>
      </w:r>
      <w:r w:rsidRPr="004B79A5">
        <w:rPr>
          <w:i/>
        </w:rPr>
        <w:t>ning</w:t>
      </w:r>
      <w:r w:rsidRPr="004B79A5">
        <w:t xml:space="preserve"> i riksdagsordningens mening utan om </w:t>
      </w:r>
      <w:r w:rsidRPr="004B79A5">
        <w:rPr>
          <w:i/>
        </w:rPr>
        <w:t>information</w:t>
      </w:r>
      <w:r w:rsidRPr="004B79A5">
        <w:t>.</w:t>
      </w:r>
      <w:r w:rsidR="00D64941" w:rsidRPr="004B79A5">
        <w:t xml:space="preserve"> </w:t>
      </w:r>
    </w:p>
    <w:p w:rsidR="00E9007F" w:rsidRPr="004B79A5" w:rsidRDefault="00E9007F" w:rsidP="003748CF">
      <w:pPr>
        <w:pStyle w:val="Rubrik2"/>
      </w:pPr>
      <w:bookmarkStart w:id="12" w:name="_Toc196791513"/>
      <w:r w:rsidRPr="004B79A5">
        <w:t>Rättsliga och inrikes frågor (del 4)</w:t>
      </w:r>
      <w:bookmarkEnd w:id="12"/>
    </w:p>
    <w:p w:rsidR="00357AF8" w:rsidRPr="004B79A5" w:rsidRDefault="009C0392" w:rsidP="00357AF8">
      <w:r w:rsidRPr="004B79A5">
        <w:t xml:space="preserve">I detta avsnitt redogörs för grundläggande rättigheter, civilrättsligt samarbete, polissamarbete, straffrättsligt samarbete och tullsamarbete, visering, asyl, invandring och annan politik som rör fri rörlighet för personer samt samarbete om skydd och beredskap (räddningstjänst). Regeringen har informerat och samrått med EU-nämnden om frågor som behandlats under året av rådet </w:t>
      </w:r>
      <w:r w:rsidR="006B1343" w:rsidRPr="004B79A5">
        <w:t xml:space="preserve">för </w:t>
      </w:r>
      <w:r w:rsidRPr="004B79A5">
        <w:t>rättsliga och inrikes frågor</w:t>
      </w:r>
      <w:r w:rsidR="00FD7898" w:rsidRPr="004B79A5">
        <w:t xml:space="preserve"> </w:t>
      </w:r>
      <w:r w:rsidR="006B1343" w:rsidRPr="004B79A5">
        <w:t>(</w:t>
      </w:r>
      <w:r w:rsidR="00FD7898" w:rsidRPr="004B79A5">
        <w:t>RIF-rådet</w:t>
      </w:r>
      <w:r w:rsidR="006B1343" w:rsidRPr="004B79A5">
        <w:t>)</w:t>
      </w:r>
      <w:r w:rsidRPr="004B79A5">
        <w:t xml:space="preserve">. </w:t>
      </w:r>
    </w:p>
    <w:p w:rsidR="008D5507" w:rsidRPr="004B79A5" w:rsidRDefault="00B36774" w:rsidP="008D5507">
      <w:pPr>
        <w:pStyle w:val="Normaltindrag"/>
      </w:pPr>
      <w:r w:rsidRPr="004B79A5">
        <w:t>I inledningen till detta yttrande framhålls vikten av ett korrekt bruk av b</w:t>
      </w:r>
      <w:r w:rsidRPr="004B79A5">
        <w:t>e</w:t>
      </w:r>
      <w:r w:rsidRPr="004B79A5">
        <w:t>greppen information</w:t>
      </w:r>
      <w:r w:rsidR="009B0F2B" w:rsidRPr="004B79A5">
        <w:t>, överläggning</w:t>
      </w:r>
      <w:r w:rsidRPr="004B79A5">
        <w:t xml:space="preserve"> och samråd. </w:t>
      </w:r>
      <w:r w:rsidR="008D5507" w:rsidRPr="004B79A5">
        <w:t>När det gäller val av lag för ä</w:t>
      </w:r>
      <w:r w:rsidR="008D5507" w:rsidRPr="004B79A5">
        <w:t>k</w:t>
      </w:r>
      <w:r w:rsidR="008D5507" w:rsidRPr="004B79A5">
        <w:t xml:space="preserve">tenskapsskillnad (Rom III) (avsnitt 18.8) anges i skrivelsen att regeringen </w:t>
      </w:r>
      <w:r w:rsidR="008D5507" w:rsidRPr="004B79A5">
        <w:rPr>
          <w:i/>
        </w:rPr>
        <w:t>informerat</w:t>
      </w:r>
      <w:r w:rsidR="008D5507" w:rsidRPr="004B79A5">
        <w:t xml:space="preserve"> EU-nämnden om förhandlingarna i frågan</w:t>
      </w:r>
      <w:r w:rsidRPr="004B79A5">
        <w:t xml:space="preserve"> och att</w:t>
      </w:r>
      <w:r w:rsidR="008D5507" w:rsidRPr="004B79A5">
        <w:t xml:space="preserve"> Sverige </w:t>
      </w:r>
      <w:r w:rsidRPr="004B79A5">
        <w:t>i fö</w:t>
      </w:r>
      <w:r w:rsidRPr="004B79A5">
        <w:t>r</w:t>
      </w:r>
      <w:r w:rsidRPr="004B79A5">
        <w:t xml:space="preserve">handlingarna </w:t>
      </w:r>
      <w:r w:rsidR="008D5507" w:rsidRPr="004B79A5">
        <w:t>mots</w:t>
      </w:r>
      <w:r w:rsidR="001017A4" w:rsidRPr="004B79A5">
        <w:t>att</w:t>
      </w:r>
      <w:r w:rsidR="008D5507" w:rsidRPr="004B79A5">
        <w:t xml:space="preserve"> sig </w:t>
      </w:r>
      <w:r w:rsidR="001017A4" w:rsidRPr="004B79A5">
        <w:t xml:space="preserve">regler som innebär att domstolarna ska tillämpa ett annat lands lag i vissa mål. </w:t>
      </w:r>
      <w:r w:rsidR="00824A2F" w:rsidRPr="004B79A5">
        <w:t xml:space="preserve">Det </w:t>
      </w:r>
      <w:r w:rsidR="00705CF8" w:rsidRPr="004B79A5">
        <w:t>anges</w:t>
      </w:r>
      <w:r w:rsidR="00824A2F" w:rsidRPr="004B79A5">
        <w:t xml:space="preserve"> att </w:t>
      </w:r>
      <w:r w:rsidR="001017A4" w:rsidRPr="004B79A5">
        <w:t>trycket på Sverige att acceptera en ko</w:t>
      </w:r>
      <w:r w:rsidR="001017A4" w:rsidRPr="004B79A5">
        <w:t>m</w:t>
      </w:r>
      <w:r w:rsidR="001017A4" w:rsidRPr="004B79A5">
        <w:t>promisslösning</w:t>
      </w:r>
      <w:r w:rsidR="00824A2F" w:rsidRPr="004B79A5">
        <w:t xml:space="preserve"> har varit mycket starkt</w:t>
      </w:r>
      <w:r w:rsidR="001017A4" w:rsidRPr="004B79A5">
        <w:t>.</w:t>
      </w:r>
      <w:r w:rsidR="008D5507" w:rsidRPr="004B79A5">
        <w:t xml:space="preserve"> </w:t>
      </w:r>
      <w:r w:rsidR="00983168" w:rsidRPr="004B79A5">
        <w:t xml:space="preserve">EU-nämndens </w:t>
      </w:r>
      <w:r w:rsidR="000A752B" w:rsidRPr="004B79A5">
        <w:t xml:space="preserve">enhälliga </w:t>
      </w:r>
      <w:r w:rsidR="008E4A63" w:rsidRPr="004B79A5">
        <w:t xml:space="preserve">stöd </w:t>
      </w:r>
      <w:r w:rsidR="000A752B" w:rsidRPr="004B79A5">
        <w:t xml:space="preserve">till regeringen i denna fråga </w:t>
      </w:r>
      <w:r w:rsidR="00824A2F" w:rsidRPr="004B79A5">
        <w:t xml:space="preserve">har </w:t>
      </w:r>
      <w:r w:rsidR="00414FAF" w:rsidRPr="004B79A5">
        <w:t>var</w:t>
      </w:r>
      <w:r w:rsidR="00824A2F" w:rsidRPr="004B79A5">
        <w:t>it</w:t>
      </w:r>
      <w:r w:rsidR="00414FAF" w:rsidRPr="004B79A5">
        <w:t xml:space="preserve"> </w:t>
      </w:r>
      <w:r w:rsidR="001017A4" w:rsidRPr="004B79A5">
        <w:t xml:space="preserve">att inte </w:t>
      </w:r>
      <w:r w:rsidR="008D5507" w:rsidRPr="004B79A5">
        <w:t>acceptera en lösning som innebär att EU inför lagvalsregler i skilsmässomål, dvs. att svensk domstol i vissa skil</w:t>
      </w:r>
      <w:r w:rsidR="008D5507" w:rsidRPr="004B79A5">
        <w:t>s</w:t>
      </w:r>
      <w:r w:rsidR="008D5507" w:rsidRPr="004B79A5">
        <w:t xml:space="preserve">mässomål ska tillämpa annat lands lag. </w:t>
      </w:r>
      <w:r w:rsidR="007F5503" w:rsidRPr="004B79A5">
        <w:t xml:space="preserve">Regeringen har således i </w:t>
      </w:r>
      <w:r w:rsidR="007F5503" w:rsidRPr="004B79A5">
        <w:rPr>
          <w:i/>
        </w:rPr>
        <w:t>samråd</w:t>
      </w:r>
      <w:r w:rsidR="00EE008A" w:rsidRPr="004B79A5">
        <w:t xml:space="preserve"> med EU-nämnden inte givit</w:t>
      </w:r>
      <w:r w:rsidR="007F5503" w:rsidRPr="004B79A5">
        <w:t xml:space="preserve">s stöd för att frångå denna ståndpunkt. </w:t>
      </w:r>
    </w:p>
    <w:p w:rsidR="008D5507" w:rsidRPr="004B79A5" w:rsidRDefault="008D5507" w:rsidP="008D5507">
      <w:pPr>
        <w:pStyle w:val="Normaltindrag"/>
      </w:pPr>
      <w:r w:rsidRPr="004B79A5">
        <w:t>I fråga om ändringar i rambeslutet om terrorism (avsnitt 19.1.7) har EU-nämnden diskuterat förslagets förhållande till svensk grundlag och grun</w:t>
      </w:r>
      <w:r w:rsidRPr="004B79A5">
        <w:t>d</w:t>
      </w:r>
      <w:r w:rsidRPr="004B79A5">
        <w:t xml:space="preserve">läggande rättsprinciper som måste respekteras och som regeringen har att bevaka i rådets förhandlingar (och i </w:t>
      </w:r>
      <w:r w:rsidR="000A752B" w:rsidRPr="004B79A5">
        <w:t>j</w:t>
      </w:r>
      <w:r w:rsidRPr="004B79A5">
        <w:t>u</w:t>
      </w:r>
      <w:r w:rsidR="000A752B" w:rsidRPr="004B79A5">
        <w:t>stitieutskottet och konstitutionsutsko</w:t>
      </w:r>
      <w:r w:rsidR="000A752B" w:rsidRPr="004B79A5">
        <w:t>t</w:t>
      </w:r>
      <w:r w:rsidR="000A752B" w:rsidRPr="004B79A5">
        <w:t>tet</w:t>
      </w:r>
      <w:r w:rsidRPr="004B79A5">
        <w:t xml:space="preserve">). </w:t>
      </w:r>
      <w:r w:rsidR="0041767A" w:rsidRPr="004B79A5">
        <w:t>Rambeslutet var också</w:t>
      </w:r>
      <w:r w:rsidR="00EE5601" w:rsidRPr="004B79A5">
        <w:t xml:space="preserve"> föremål för ett Cosac</w:t>
      </w:r>
      <w:r w:rsidR="0041767A" w:rsidRPr="004B79A5">
        <w:t>initiera</w:t>
      </w:r>
      <w:r w:rsidR="00EE5601" w:rsidRPr="004B79A5">
        <w:t>t</w:t>
      </w:r>
      <w:r w:rsidR="0041767A" w:rsidRPr="004B79A5">
        <w:t xml:space="preserve"> </w:t>
      </w:r>
      <w:r w:rsidR="00B64836" w:rsidRPr="004B79A5">
        <w:t>(Cosac är en konf</w:t>
      </w:r>
      <w:r w:rsidR="00B64836" w:rsidRPr="004B79A5">
        <w:t>e</w:t>
      </w:r>
      <w:r w:rsidR="00B64836" w:rsidRPr="004B79A5">
        <w:t>rens mellan organen för EU-frågor vid nationella parlament i EU och Europ</w:t>
      </w:r>
      <w:r w:rsidR="00B64836" w:rsidRPr="004B79A5">
        <w:t>a</w:t>
      </w:r>
      <w:r w:rsidR="00B64836" w:rsidRPr="004B79A5">
        <w:t xml:space="preserve">parlamentet) </w:t>
      </w:r>
      <w:r w:rsidR="0041767A" w:rsidRPr="004B79A5">
        <w:t xml:space="preserve">försök </w:t>
      </w:r>
      <w:r w:rsidR="00EE5601" w:rsidRPr="004B79A5">
        <w:t xml:space="preserve">om en </w:t>
      </w:r>
      <w:r w:rsidR="0041767A" w:rsidRPr="004B79A5">
        <w:t xml:space="preserve">s.k. subsidiaritets- och proportionalitetsprövning i </w:t>
      </w:r>
      <w:r w:rsidR="008D7435" w:rsidRPr="004B79A5">
        <w:t>j</w:t>
      </w:r>
      <w:r w:rsidR="0041767A" w:rsidRPr="004B79A5">
        <w:t>ustitieutskottet</w:t>
      </w:r>
      <w:r w:rsidR="00B43B0C" w:rsidRPr="004B79A5">
        <w:t xml:space="preserve"> (</w:t>
      </w:r>
      <w:r w:rsidR="008D7435" w:rsidRPr="004B79A5">
        <w:t>p</w:t>
      </w:r>
      <w:r w:rsidR="00766BD7" w:rsidRPr="004B79A5">
        <w:t xml:space="preserve">rotokoll JuU </w:t>
      </w:r>
      <w:r w:rsidR="00B43B0C" w:rsidRPr="004B79A5">
        <w:t>2007/08</w:t>
      </w:r>
      <w:r w:rsidR="00766BD7" w:rsidRPr="004B79A5">
        <w:t>:12</w:t>
      </w:r>
      <w:r w:rsidR="00B43B0C" w:rsidRPr="004B79A5">
        <w:t>).</w:t>
      </w:r>
      <w:r w:rsidR="0041767A" w:rsidRPr="004B79A5">
        <w:t xml:space="preserve"> </w:t>
      </w:r>
      <w:r w:rsidRPr="004B79A5">
        <w:t>Även Prümfördraget (a</w:t>
      </w:r>
      <w:r w:rsidRPr="004B79A5">
        <w:t>v</w:t>
      </w:r>
      <w:r w:rsidRPr="004B79A5">
        <w:t>snitt 19.1.4) har ingående diskuterats i näm</w:t>
      </w:r>
      <w:r w:rsidRPr="004B79A5">
        <w:t>n</w:t>
      </w:r>
      <w:r w:rsidRPr="004B79A5">
        <w:t>den.</w:t>
      </w:r>
    </w:p>
    <w:p w:rsidR="008F1C9B" w:rsidRPr="004B79A5" w:rsidRDefault="008D5507" w:rsidP="008D5507">
      <w:pPr>
        <w:pStyle w:val="Normaltindrag"/>
      </w:pPr>
      <w:r w:rsidRPr="004B79A5">
        <w:t>En över</w:t>
      </w:r>
      <w:r w:rsidR="00DE31F4" w:rsidRPr="004B79A5">
        <w:t xml:space="preserve">enskommelse träffades under </w:t>
      </w:r>
      <w:r w:rsidR="0073521B" w:rsidRPr="004B79A5">
        <w:t>året</w:t>
      </w:r>
      <w:r w:rsidR="008E4A63" w:rsidRPr="004B79A5">
        <w:t xml:space="preserve"> </w:t>
      </w:r>
      <w:r w:rsidR="00DE31F4" w:rsidRPr="004B79A5">
        <w:t>i rådet</w:t>
      </w:r>
      <w:r w:rsidRPr="004B79A5">
        <w:t xml:space="preserve"> om rambeslutet om r</w:t>
      </w:r>
      <w:r w:rsidRPr="004B79A5">
        <w:t>a</w:t>
      </w:r>
      <w:r w:rsidRPr="004B79A5">
        <w:t xml:space="preserve">sism och främlingsfientlighet (avsnitt 19.3.5). </w:t>
      </w:r>
      <w:r w:rsidR="00014D18" w:rsidRPr="004B79A5">
        <w:t>Enligt r</w:t>
      </w:r>
      <w:r w:rsidRPr="004B79A5">
        <w:t>edogöre</w:t>
      </w:r>
      <w:r w:rsidRPr="004B79A5">
        <w:t>l</w:t>
      </w:r>
      <w:r w:rsidRPr="004B79A5">
        <w:t xml:space="preserve">sen i skrivelsen  </w:t>
      </w:r>
      <w:r w:rsidR="00014D18" w:rsidRPr="004B79A5">
        <w:t xml:space="preserve">väntas </w:t>
      </w:r>
      <w:r w:rsidRPr="004B79A5">
        <w:t xml:space="preserve">ett yttrande från Europaparlamentet under hösten 2007. </w:t>
      </w:r>
      <w:r w:rsidR="00DD08D8" w:rsidRPr="004B79A5">
        <w:t>Det kan tillä</w:t>
      </w:r>
      <w:r w:rsidR="00DD08D8" w:rsidRPr="004B79A5">
        <w:t>g</w:t>
      </w:r>
      <w:r w:rsidR="00DD08D8" w:rsidRPr="004B79A5">
        <w:t xml:space="preserve">gas att </w:t>
      </w:r>
      <w:r w:rsidR="00BB425C" w:rsidRPr="004B79A5">
        <w:t>Euro</w:t>
      </w:r>
      <w:r w:rsidR="00DD08D8" w:rsidRPr="004B79A5">
        <w:t>paparlame</w:t>
      </w:r>
      <w:r w:rsidR="00DD08D8" w:rsidRPr="004B79A5">
        <w:t>n</w:t>
      </w:r>
      <w:r w:rsidR="00DD08D8" w:rsidRPr="004B79A5">
        <w:t xml:space="preserve">tets yttrande avgavs </w:t>
      </w:r>
      <w:r w:rsidR="00BB425C" w:rsidRPr="004B79A5">
        <w:t xml:space="preserve">den 29 november. </w:t>
      </w:r>
    </w:p>
    <w:p w:rsidR="00DE31F4" w:rsidRPr="004B79A5" w:rsidRDefault="008F1C9B" w:rsidP="008D5507">
      <w:pPr>
        <w:pStyle w:val="Normaltindrag"/>
      </w:pPr>
      <w:r w:rsidRPr="004B79A5">
        <w:t>Utöver vad som ovan nämns i skrivelsen har nämnden behandlat två fö</w:t>
      </w:r>
      <w:r w:rsidRPr="004B79A5">
        <w:t>r</w:t>
      </w:r>
      <w:r w:rsidRPr="004B79A5">
        <w:t>slag från kommissionen om legal migration v</w:t>
      </w:r>
      <w:r w:rsidR="00A90751" w:rsidRPr="004B79A5">
        <w:t>id sammant</w:t>
      </w:r>
      <w:r w:rsidR="00AF6400" w:rsidRPr="004B79A5">
        <w:t>r</w:t>
      </w:r>
      <w:r w:rsidR="00A90751" w:rsidRPr="004B79A5">
        <w:t>ädet d</w:t>
      </w:r>
      <w:r w:rsidR="0025488D" w:rsidRPr="004B79A5">
        <w:t>en 6 nove</w:t>
      </w:r>
      <w:r w:rsidR="0025488D" w:rsidRPr="004B79A5">
        <w:t>m</w:t>
      </w:r>
      <w:r w:rsidR="0025488D" w:rsidRPr="004B79A5">
        <w:t xml:space="preserve">ber </w:t>
      </w:r>
      <w:r w:rsidR="00414FAF" w:rsidRPr="004B79A5">
        <w:t>2007.</w:t>
      </w:r>
      <w:r w:rsidR="0025488D" w:rsidRPr="004B79A5">
        <w:t xml:space="preserve"> </w:t>
      </w:r>
      <w:r w:rsidR="00824A2F" w:rsidRPr="004B79A5">
        <w:t>Det gällde ett direktivförslag</w:t>
      </w:r>
      <w:r w:rsidR="006E70A8" w:rsidRPr="004B79A5">
        <w:t xml:space="preserve"> om villkor för tredjelandsmedborg</w:t>
      </w:r>
      <w:r w:rsidR="006E70A8" w:rsidRPr="004B79A5">
        <w:t>a</w:t>
      </w:r>
      <w:r w:rsidR="006E70A8" w:rsidRPr="004B79A5">
        <w:t xml:space="preserve">res inresa och vistelse för högkvalificerad anställning </w:t>
      </w:r>
      <w:r w:rsidR="00824A2F" w:rsidRPr="004B79A5">
        <w:t>och ett direkti</w:t>
      </w:r>
      <w:r w:rsidR="00824A2F" w:rsidRPr="004B79A5">
        <w:t>v</w:t>
      </w:r>
      <w:r w:rsidR="00824A2F" w:rsidRPr="004B79A5">
        <w:t>förslag</w:t>
      </w:r>
      <w:r w:rsidR="006E70A8" w:rsidRPr="004B79A5">
        <w:t xml:space="preserve"> om en</w:t>
      </w:r>
      <w:r w:rsidR="00A8226B" w:rsidRPr="004B79A5">
        <w:t xml:space="preserve"> enhetlig ansökningsprocedur för</w:t>
      </w:r>
      <w:r w:rsidR="006E70A8" w:rsidRPr="004B79A5">
        <w:t xml:space="preserve"> ett enhetligt tillstånd för tredjelandsme</w:t>
      </w:r>
      <w:r w:rsidR="006E70A8" w:rsidRPr="004B79A5">
        <w:t>d</w:t>
      </w:r>
      <w:r w:rsidR="006E70A8" w:rsidRPr="004B79A5">
        <w:t>borgares bosättning och arbete på</w:t>
      </w:r>
      <w:r w:rsidR="00324509" w:rsidRPr="004B79A5">
        <w:t xml:space="preserve"> </w:t>
      </w:r>
      <w:r w:rsidR="00203518" w:rsidRPr="004B79A5">
        <w:t>en medlemsstats territorium och</w:t>
      </w:r>
      <w:r w:rsidR="006E70A8" w:rsidRPr="004B79A5">
        <w:t xml:space="preserve"> en geme</w:t>
      </w:r>
      <w:r w:rsidR="006E70A8" w:rsidRPr="004B79A5">
        <w:t>n</w:t>
      </w:r>
      <w:r w:rsidR="006E70A8" w:rsidRPr="004B79A5">
        <w:t>sam uppsättning rättigheter för lagligen bosatta tredjelandsmedborgare.</w:t>
      </w:r>
      <w:r w:rsidR="0025488D" w:rsidRPr="004B79A5">
        <w:t xml:space="preserve"> </w:t>
      </w:r>
      <w:r w:rsidR="00A90751" w:rsidRPr="004B79A5">
        <w:t>I näm</w:t>
      </w:r>
      <w:r w:rsidR="00A90751" w:rsidRPr="004B79A5">
        <w:t>n</w:t>
      </w:r>
      <w:r w:rsidR="00A90751" w:rsidRPr="004B79A5">
        <w:t>dens diskussion</w:t>
      </w:r>
      <w:r w:rsidR="00DE31F4" w:rsidRPr="004B79A5">
        <w:t xml:space="preserve"> underströk</w:t>
      </w:r>
      <w:r w:rsidR="00A90751" w:rsidRPr="004B79A5">
        <w:t>s</w:t>
      </w:r>
      <w:r w:rsidR="00DE31F4" w:rsidRPr="004B79A5">
        <w:t xml:space="preserve"> den samsyn som råder i Sverige om att systemet bör vara baserat på arbetsmarknadens behov snarare än på kvoter, som i kommissionens fö</w:t>
      </w:r>
      <w:r w:rsidR="00DE31F4" w:rsidRPr="004B79A5">
        <w:t>r</w:t>
      </w:r>
      <w:r w:rsidR="00DE31F4" w:rsidRPr="004B79A5">
        <w:t xml:space="preserve">slag. </w:t>
      </w:r>
    </w:p>
    <w:p w:rsidR="00E9007F" w:rsidRPr="004B79A5" w:rsidRDefault="00D13B34" w:rsidP="00D13B34">
      <w:pPr>
        <w:pStyle w:val="Rubrik2"/>
        <w:spacing w:before="0"/>
      </w:pPr>
      <w:bookmarkStart w:id="13" w:name="_Toc196791514"/>
      <w:r w:rsidRPr="004B79A5">
        <w:br w:type="page"/>
      </w:r>
      <w:r w:rsidR="00E9007F" w:rsidRPr="004B79A5">
        <w:t>Sysselsättning och socialpolitik, hälso- och sjukvård (del 5)</w:t>
      </w:r>
      <w:bookmarkEnd w:id="13"/>
    </w:p>
    <w:p w:rsidR="00970BF1" w:rsidRPr="004B79A5" w:rsidRDefault="0094142A" w:rsidP="00970BF1">
      <w:r w:rsidRPr="004B79A5">
        <w:t xml:space="preserve">Under denna del i skrivelsen redogörs </w:t>
      </w:r>
      <w:r w:rsidR="0083219B" w:rsidRPr="004B79A5">
        <w:t>bl.a.</w:t>
      </w:r>
      <w:r w:rsidRPr="004B79A5">
        <w:t xml:space="preserve"> för utvecklingen inom samarbetet för tillväxt och sysselsättning, arbetsmarknads</w:t>
      </w:r>
      <w:r w:rsidR="00D36E77" w:rsidRPr="004B79A5">
        <w:t>frågor</w:t>
      </w:r>
      <w:r w:rsidRPr="004B79A5">
        <w:t xml:space="preserve"> och sociala frågor, jä</w:t>
      </w:r>
      <w:r w:rsidRPr="004B79A5">
        <w:t>m</w:t>
      </w:r>
      <w:r w:rsidRPr="004B79A5">
        <w:t xml:space="preserve">ställdhet, folkhälsa och hälso- och sjukvårdsfrågor. </w:t>
      </w:r>
    </w:p>
    <w:p w:rsidR="0094142A" w:rsidRPr="004B79A5" w:rsidRDefault="00970BF1" w:rsidP="00970BF1">
      <w:pPr>
        <w:pStyle w:val="Normaltindrag"/>
      </w:pPr>
      <w:r w:rsidRPr="004B79A5">
        <w:t>EU-nämnden har under året bl.a. samrått om bidraget till EU:s vårtoppm</w:t>
      </w:r>
      <w:r w:rsidRPr="004B79A5">
        <w:t>ö</w:t>
      </w:r>
      <w:r w:rsidRPr="004B79A5">
        <w:t>te om sysselsättningen och samarbetet på det sociala omr</w:t>
      </w:r>
      <w:r w:rsidRPr="004B79A5">
        <w:t>å</w:t>
      </w:r>
      <w:r w:rsidRPr="004B79A5">
        <w:t>det. Förslaget om en familjeallians (</w:t>
      </w:r>
      <w:r w:rsidR="0083219B" w:rsidRPr="004B79A5">
        <w:t xml:space="preserve">som avser </w:t>
      </w:r>
      <w:r w:rsidRPr="004B79A5">
        <w:t>en plattform för utbyte av idéer för en familj</w:t>
      </w:r>
      <w:r w:rsidRPr="004B79A5">
        <w:t>e</w:t>
      </w:r>
      <w:r w:rsidRPr="004B79A5">
        <w:t>vänlig politik) diskuterades ingående i nämnden</w:t>
      </w:r>
      <w:r w:rsidR="008B4924" w:rsidRPr="004B79A5">
        <w:t>. N</w:t>
      </w:r>
      <w:r w:rsidRPr="004B79A5">
        <w:t>ämnden stödde också rege</w:t>
      </w:r>
      <w:r w:rsidRPr="004B79A5">
        <w:t>r</w:t>
      </w:r>
      <w:r w:rsidRPr="004B79A5">
        <w:t>ingens ståndpunkter avseende en kompromissöverenskommelse om tjänstepensionsrättigheter</w:t>
      </w:r>
      <w:r w:rsidR="001F1F0B" w:rsidRPr="004B79A5">
        <w:t xml:space="preserve"> samt</w:t>
      </w:r>
      <w:r w:rsidRPr="004B79A5">
        <w:t xml:space="preserve"> resolutioner om arbetsmiljö-, hälso- och ko</w:t>
      </w:r>
      <w:r w:rsidRPr="004B79A5">
        <w:t>n</w:t>
      </w:r>
      <w:r w:rsidRPr="004B79A5">
        <w:t>sumentpol</w:t>
      </w:r>
      <w:r w:rsidRPr="004B79A5">
        <w:t>i</w:t>
      </w:r>
      <w:r w:rsidRPr="004B79A5">
        <w:t>tiska strategier för åren 2007</w:t>
      </w:r>
      <w:r w:rsidR="000A752B" w:rsidRPr="004B79A5">
        <w:t>–</w:t>
      </w:r>
      <w:r w:rsidRPr="004B79A5">
        <w:t xml:space="preserve">2013. Längre diskussioner hölls </w:t>
      </w:r>
      <w:r w:rsidR="00113611" w:rsidRPr="004B79A5">
        <w:t xml:space="preserve">även </w:t>
      </w:r>
      <w:r w:rsidRPr="004B79A5">
        <w:t xml:space="preserve">om arbetstidsdirektivet, en fråga som </w:t>
      </w:r>
      <w:r w:rsidR="00113611" w:rsidRPr="004B79A5">
        <w:t xml:space="preserve">dock </w:t>
      </w:r>
      <w:r w:rsidRPr="004B79A5">
        <w:t>inte kunde lösa</w:t>
      </w:r>
      <w:r w:rsidR="00F81F0D" w:rsidRPr="004B79A5">
        <w:t>s vid efterfö</w:t>
      </w:r>
      <w:r w:rsidR="00F81F0D" w:rsidRPr="004B79A5">
        <w:t>l</w:t>
      </w:r>
      <w:r w:rsidR="00F81F0D" w:rsidRPr="004B79A5">
        <w:t>jande rådsmöte den 5</w:t>
      </w:r>
      <w:r w:rsidR="0083219B" w:rsidRPr="004B79A5">
        <w:t>–</w:t>
      </w:r>
      <w:r w:rsidR="00F81F0D" w:rsidRPr="004B79A5">
        <w:t>6 december. EU-nämnden gav också regeringen stöd i avsikten att framhå</w:t>
      </w:r>
      <w:r w:rsidR="00F81F0D" w:rsidRPr="004B79A5">
        <w:t>l</w:t>
      </w:r>
      <w:r w:rsidR="00F81F0D" w:rsidRPr="004B79A5">
        <w:t>la skillnaden mellan sociala tjänster av allmänt intresse och andra tjänster på den inre marknaden.</w:t>
      </w:r>
    </w:p>
    <w:p w:rsidR="00D47648" w:rsidRPr="004B79A5" w:rsidRDefault="00D47648" w:rsidP="0094142A">
      <w:pPr>
        <w:pStyle w:val="Normaltindrag"/>
      </w:pPr>
      <w:r w:rsidRPr="004B79A5">
        <w:t>Eftersom jämställdhetsarbetet genomförs inom ramen för åtminstone två olika råds</w:t>
      </w:r>
      <w:r w:rsidR="000A752B" w:rsidRPr="004B79A5">
        <w:t>sammansättningar</w:t>
      </w:r>
      <w:r w:rsidR="002147B0" w:rsidRPr="004B79A5">
        <w:t xml:space="preserve"> (</w:t>
      </w:r>
      <w:r w:rsidR="00A0734A" w:rsidRPr="004B79A5">
        <w:t xml:space="preserve">rådet för </w:t>
      </w:r>
      <w:r w:rsidR="00D36E77" w:rsidRPr="004B79A5">
        <w:t>s</w:t>
      </w:r>
      <w:r w:rsidR="002147B0" w:rsidRPr="004B79A5">
        <w:t xml:space="preserve">ysselsättning och socialpolitik, hälso- och sjukvård samt konsumentfrågor och </w:t>
      </w:r>
      <w:r w:rsidR="00FD7898" w:rsidRPr="004B79A5">
        <w:t>RIF-rådet</w:t>
      </w:r>
      <w:r w:rsidRPr="004B79A5">
        <w:t xml:space="preserve">) är det positivt att ta med ett avsnitt om </w:t>
      </w:r>
      <w:r w:rsidR="00863EF5" w:rsidRPr="004B79A5">
        <w:t>j</w:t>
      </w:r>
      <w:r w:rsidRPr="004B79A5">
        <w:t>ämställdhet i olika rådskonstellationer. Framstäl</w:t>
      </w:r>
      <w:r w:rsidRPr="004B79A5">
        <w:t>l</w:t>
      </w:r>
      <w:r w:rsidRPr="004B79A5">
        <w:t>ningen av arbetet</w:t>
      </w:r>
      <w:r w:rsidR="0083219B" w:rsidRPr="004B79A5">
        <w:t xml:space="preserve"> </w:t>
      </w:r>
      <w:r w:rsidRPr="004B79A5">
        <w:t>hade med fördel kunnat kompletteras med en beskrivning av resultatet av det informella jämställdhetsministermötet i Li</w:t>
      </w:r>
      <w:r w:rsidRPr="004B79A5">
        <w:t>s</w:t>
      </w:r>
      <w:r w:rsidRPr="004B79A5">
        <w:t>sabon den 4 oktober</w:t>
      </w:r>
      <w:r w:rsidR="0083219B" w:rsidRPr="004B79A5">
        <w:t xml:space="preserve"> 2007</w:t>
      </w:r>
      <w:r w:rsidRPr="004B79A5">
        <w:t xml:space="preserve">. </w:t>
      </w:r>
    </w:p>
    <w:p w:rsidR="00E9007F" w:rsidRPr="004B79A5" w:rsidRDefault="00DD23D0" w:rsidP="00E9007F">
      <w:pPr>
        <w:pStyle w:val="Rubrik2"/>
      </w:pPr>
      <w:bookmarkStart w:id="14" w:name="_Toc196791515"/>
      <w:r w:rsidRPr="004B79A5">
        <w:t>Konkurrenskra</w:t>
      </w:r>
      <w:r w:rsidR="002811C2" w:rsidRPr="004B79A5">
        <w:t>ft</w:t>
      </w:r>
      <w:r w:rsidRPr="004B79A5">
        <w:t>sfrågor (del 6)</w:t>
      </w:r>
      <w:bookmarkEnd w:id="14"/>
    </w:p>
    <w:p w:rsidR="000952D7" w:rsidRPr="004B79A5" w:rsidRDefault="000952D7" w:rsidP="000952D7">
      <w:r w:rsidRPr="004B79A5">
        <w:t xml:space="preserve">Under avsnittet redogörs </w:t>
      </w:r>
      <w:r w:rsidR="0083219B" w:rsidRPr="004B79A5">
        <w:t xml:space="preserve">för </w:t>
      </w:r>
      <w:r w:rsidRPr="004B79A5">
        <w:t>den inre marknadens utveckling, fri rörlighet för varor, tjänster och kapital, immaterialrätt, näringspolitik, konsumentpolitik, turism, innovation och forskning samt regional- och strukturpolitik.</w:t>
      </w:r>
    </w:p>
    <w:p w:rsidR="005B060A" w:rsidRPr="004B79A5" w:rsidRDefault="005B060A" w:rsidP="005B060A">
      <w:pPr>
        <w:pStyle w:val="Normaltindrag"/>
      </w:pPr>
      <w:r w:rsidRPr="004B79A5">
        <w:t xml:space="preserve">Vad gäller </w:t>
      </w:r>
      <w:r w:rsidR="00863EF5" w:rsidRPr="004B79A5">
        <w:t>i</w:t>
      </w:r>
      <w:r w:rsidRPr="004B79A5">
        <w:t xml:space="preserve">nnovation och forskning har inrättandet av </w:t>
      </w:r>
      <w:r w:rsidR="000A752B" w:rsidRPr="004B79A5">
        <w:t>E</w:t>
      </w:r>
      <w:r w:rsidRPr="004B79A5">
        <w:t>uropeiska tek</w:t>
      </w:r>
      <w:r w:rsidR="001F294A" w:rsidRPr="004B79A5">
        <w:t>ni</w:t>
      </w:r>
      <w:r w:rsidR="001F294A" w:rsidRPr="004B79A5">
        <w:t>s</w:t>
      </w:r>
      <w:r w:rsidR="001F294A" w:rsidRPr="004B79A5">
        <w:t xml:space="preserve">ka institutet (avsnitt 34.1) </w:t>
      </w:r>
      <w:r w:rsidRPr="004B79A5">
        <w:t>diskuterats ett flertal gånger i EU-nämnden under året. Ett villkor för godkännande har i nämnden ansetts vara att institutets finansi</w:t>
      </w:r>
      <w:r w:rsidRPr="004B79A5">
        <w:t>e</w:t>
      </w:r>
      <w:r w:rsidRPr="004B79A5">
        <w:t>ring fått en tillfredsställande lösning. Frågan diskuterades i näm</w:t>
      </w:r>
      <w:r w:rsidRPr="004B79A5">
        <w:t>n</w:t>
      </w:r>
      <w:r w:rsidRPr="004B79A5">
        <w:t xml:space="preserve">den även inför möten i </w:t>
      </w:r>
      <w:r w:rsidR="0083219B" w:rsidRPr="004B79A5">
        <w:t>Ekofin</w:t>
      </w:r>
      <w:r w:rsidR="009810CC" w:rsidRPr="004B79A5">
        <w:t>rådet</w:t>
      </w:r>
      <w:r w:rsidR="000A752B" w:rsidRPr="004B79A5">
        <w:t xml:space="preserve"> </w:t>
      </w:r>
      <w:r w:rsidRPr="004B79A5">
        <w:t>samt vid samråd inför EU</w:t>
      </w:r>
      <w:r w:rsidR="000A752B" w:rsidRPr="004B79A5">
        <w:t>:</w:t>
      </w:r>
      <w:r w:rsidRPr="004B79A5">
        <w:t>s budgetförhandlin</w:t>
      </w:r>
      <w:r w:rsidRPr="004B79A5">
        <w:t>g</w:t>
      </w:r>
      <w:r w:rsidRPr="004B79A5">
        <w:t xml:space="preserve">ar. </w:t>
      </w:r>
    </w:p>
    <w:p w:rsidR="00DD23D0" w:rsidRPr="004B79A5" w:rsidRDefault="00DD23D0" w:rsidP="00DD23D0">
      <w:pPr>
        <w:pStyle w:val="Rubrik2"/>
      </w:pPr>
      <w:bookmarkStart w:id="15" w:name="_Toc196791516"/>
      <w:r w:rsidRPr="004B79A5">
        <w:t>Transporter, elektroniska kommunikationer och energi (del 7)</w:t>
      </w:r>
      <w:bookmarkEnd w:id="15"/>
    </w:p>
    <w:p w:rsidR="00E74FB6" w:rsidRPr="004B79A5" w:rsidRDefault="002B607E" w:rsidP="00E74FB6">
      <w:r w:rsidRPr="004B79A5">
        <w:t xml:space="preserve">I skrivelsen </w:t>
      </w:r>
      <w:r w:rsidR="001C3AB6" w:rsidRPr="004B79A5">
        <w:t xml:space="preserve">behandlas </w:t>
      </w:r>
      <w:r w:rsidRPr="004B79A5">
        <w:t>under denna del transporter, elektroniska kommunik</w:t>
      </w:r>
      <w:r w:rsidRPr="004B79A5">
        <w:t>a</w:t>
      </w:r>
      <w:r w:rsidRPr="004B79A5">
        <w:t xml:space="preserve">tioner och energi. </w:t>
      </w:r>
    </w:p>
    <w:p w:rsidR="002B607E" w:rsidRPr="004B79A5" w:rsidRDefault="002B607E" w:rsidP="002B607E">
      <w:pPr>
        <w:pStyle w:val="Normaltindrag"/>
      </w:pPr>
      <w:r w:rsidRPr="004B79A5">
        <w:t>Galileo (avsnitt 36.1.1) är ett projekt för satellitnavigering vilket behan</w:t>
      </w:r>
      <w:r w:rsidRPr="004B79A5">
        <w:t>d</w:t>
      </w:r>
      <w:r w:rsidRPr="004B79A5">
        <w:t>lats i EU-nämnden ett flertal gånger under året</w:t>
      </w:r>
      <w:r w:rsidR="001F294A" w:rsidRPr="004B79A5">
        <w:t xml:space="preserve"> och som varit en av de frågor som diskuterats mest</w:t>
      </w:r>
      <w:r w:rsidRPr="004B79A5">
        <w:t>. Finansieringsfrågan har varit föremål för ingående di</w:t>
      </w:r>
      <w:r w:rsidRPr="004B79A5">
        <w:t>s</w:t>
      </w:r>
      <w:r w:rsidRPr="004B79A5">
        <w:t>kussioner i nämnden med krav på en budgetneutral finansiering inom budge</w:t>
      </w:r>
      <w:r w:rsidRPr="004B79A5">
        <w:t>t</w:t>
      </w:r>
      <w:r w:rsidRPr="004B79A5">
        <w:t xml:space="preserve">ramen. Stöd för en svensk ståndpunkt med den inriktningen har givits vid samråd </w:t>
      </w:r>
      <w:r w:rsidR="0083219B" w:rsidRPr="004B79A5">
        <w:t>inför</w:t>
      </w:r>
      <w:r w:rsidR="00354F49" w:rsidRPr="004B79A5">
        <w:t xml:space="preserve"> </w:t>
      </w:r>
      <w:r w:rsidR="001C3AB6" w:rsidRPr="004B79A5">
        <w:t xml:space="preserve">möten i flera av </w:t>
      </w:r>
      <w:r w:rsidR="00354F49" w:rsidRPr="004B79A5">
        <w:t>råd</w:t>
      </w:r>
      <w:r w:rsidR="001C3AB6" w:rsidRPr="004B79A5">
        <w:t>ets konstellationer</w:t>
      </w:r>
      <w:r w:rsidR="0023165F" w:rsidRPr="004B79A5">
        <w:t xml:space="preserve">, bl.a. </w:t>
      </w:r>
      <w:r w:rsidR="00382ECD" w:rsidRPr="004B79A5">
        <w:t xml:space="preserve">rådet för </w:t>
      </w:r>
      <w:r w:rsidR="00863EF5" w:rsidRPr="004B79A5">
        <w:t>t</w:t>
      </w:r>
      <w:r w:rsidR="0023165F" w:rsidRPr="004B79A5">
        <w:t>ran</w:t>
      </w:r>
      <w:r w:rsidR="0023165F" w:rsidRPr="004B79A5">
        <w:t>s</w:t>
      </w:r>
      <w:r w:rsidR="0023165F" w:rsidRPr="004B79A5">
        <w:t>port, telekommunikation och energi</w:t>
      </w:r>
      <w:r w:rsidR="0000280A" w:rsidRPr="004B79A5">
        <w:t xml:space="preserve">, </w:t>
      </w:r>
      <w:r w:rsidR="0083219B" w:rsidRPr="004B79A5">
        <w:t>Ekofin</w:t>
      </w:r>
      <w:r w:rsidR="00F4663C" w:rsidRPr="004B79A5">
        <w:t>rådet</w:t>
      </w:r>
      <w:r w:rsidR="001F1F0B" w:rsidRPr="004B79A5">
        <w:t>,</w:t>
      </w:r>
      <w:r w:rsidR="000A752B" w:rsidRPr="004B79A5">
        <w:t xml:space="preserve"> </w:t>
      </w:r>
      <w:r w:rsidR="0083219B" w:rsidRPr="004B79A5">
        <w:t>Ekofin</w:t>
      </w:r>
      <w:r w:rsidR="000A752B" w:rsidRPr="004B79A5">
        <w:t>-budget</w:t>
      </w:r>
      <w:r w:rsidR="001F1F0B" w:rsidRPr="004B79A5">
        <w:t xml:space="preserve"> samt Eur</w:t>
      </w:r>
      <w:r w:rsidR="001F1F0B" w:rsidRPr="004B79A5">
        <w:t>o</w:t>
      </w:r>
      <w:r w:rsidR="001F1F0B" w:rsidRPr="004B79A5">
        <w:t>peiska rådet</w:t>
      </w:r>
      <w:r w:rsidR="00354F49" w:rsidRPr="004B79A5">
        <w:t>.</w:t>
      </w:r>
    </w:p>
    <w:p w:rsidR="00D04AF3" w:rsidRPr="004B79A5" w:rsidRDefault="00D04AF3" w:rsidP="002B607E">
      <w:pPr>
        <w:pStyle w:val="Normaltindrag"/>
      </w:pPr>
      <w:r w:rsidRPr="004B79A5">
        <w:t>Den svenska positionen i förhandlingarna om EU:s politik på området för radiofrekvenser och elektronisk kommunikation (avsnitt 37.5) framgår inte av skrivelsens redogörelse. I fråga om harmonisering av formerna för tilldelning av radiofrekvenstillstånd för mobila sate</w:t>
      </w:r>
      <w:r w:rsidR="0083219B" w:rsidRPr="004B79A5">
        <w:t>l</w:t>
      </w:r>
      <w:r w:rsidRPr="004B79A5">
        <w:t>littjänster fanns stöd i EU-nämnden för att det ska finnas högt ställda grundkrav på största möjliga yttäcknin</w:t>
      </w:r>
      <w:r w:rsidR="001C3AB6" w:rsidRPr="004B79A5">
        <w:t>g</w:t>
      </w:r>
      <w:r w:rsidRPr="004B79A5">
        <w:t xml:space="preserve"> för att få tillstånd.</w:t>
      </w:r>
    </w:p>
    <w:p w:rsidR="00666857" w:rsidRPr="004B79A5" w:rsidRDefault="0059755A" w:rsidP="00E74FB6">
      <w:pPr>
        <w:pStyle w:val="Normaltindrag"/>
      </w:pPr>
      <w:r w:rsidRPr="004B79A5">
        <w:t>Energipolitiken</w:t>
      </w:r>
      <w:r w:rsidR="00E74FB6" w:rsidRPr="004B79A5">
        <w:t xml:space="preserve"> (avsnitt 38) </w:t>
      </w:r>
      <w:r w:rsidRPr="004B79A5">
        <w:t>har hamnat högt på dagordningen inom EU under senare år, trots att EU inte ha</w:t>
      </w:r>
      <w:r w:rsidR="00914881" w:rsidRPr="004B79A5">
        <w:t>r</w:t>
      </w:r>
      <w:r w:rsidRPr="004B79A5">
        <w:t xml:space="preserve"> någon fördragsfäst gemensam energip</w:t>
      </w:r>
      <w:r w:rsidRPr="004B79A5">
        <w:t>o</w:t>
      </w:r>
      <w:r w:rsidRPr="004B79A5">
        <w:t>litik.</w:t>
      </w:r>
      <w:r w:rsidR="00980411" w:rsidRPr="004B79A5">
        <w:t xml:space="preserve"> Bland annat har en energihandlingsplan, en strategisk energiteknikplan (SET-planen) </w:t>
      </w:r>
      <w:r w:rsidR="008D7435" w:rsidRPr="004B79A5">
        <w:t xml:space="preserve">samt </w:t>
      </w:r>
      <w:r w:rsidR="00980411" w:rsidRPr="004B79A5">
        <w:t>ett mar</w:t>
      </w:r>
      <w:r w:rsidR="00980411" w:rsidRPr="004B79A5">
        <w:t>k</w:t>
      </w:r>
      <w:r w:rsidR="00980411" w:rsidRPr="004B79A5">
        <w:t>nadspaket för el och gas behandlats.</w:t>
      </w:r>
      <w:r w:rsidRPr="004B79A5">
        <w:t xml:space="preserve"> I skrivelsen nämns bl.a. att Sverige gav energihandlingspl</w:t>
      </w:r>
      <w:r w:rsidRPr="004B79A5">
        <w:t>a</w:t>
      </w:r>
      <w:r w:rsidRPr="004B79A5">
        <w:t>nen sitt fulla stöd</w:t>
      </w:r>
      <w:r w:rsidR="00980411" w:rsidRPr="004B79A5">
        <w:t xml:space="preserve"> samt att Sverige stödjer ambitionen att fullborda den inre mark</w:t>
      </w:r>
      <w:r w:rsidR="006706DA" w:rsidRPr="004B79A5">
        <w:t>na</w:t>
      </w:r>
      <w:r w:rsidR="00980411" w:rsidRPr="004B79A5">
        <w:t>den för energi. Ene</w:t>
      </w:r>
      <w:r w:rsidR="00980411" w:rsidRPr="004B79A5">
        <w:t>r</w:t>
      </w:r>
      <w:r w:rsidR="00980411" w:rsidRPr="004B79A5">
        <w:t>gifrågo</w:t>
      </w:r>
      <w:r w:rsidR="00980411" w:rsidRPr="004B79A5">
        <w:t>r</w:t>
      </w:r>
      <w:r w:rsidR="00980411" w:rsidRPr="004B79A5">
        <w:t xml:space="preserve">na har under 2007, liksom under </w:t>
      </w:r>
      <w:r w:rsidR="0083219B" w:rsidRPr="004B79A5">
        <w:t>2006</w:t>
      </w:r>
      <w:r w:rsidR="00980411" w:rsidRPr="004B79A5">
        <w:t>, diskuterats ingående i EU-nämnden, både inför rådets möten och inför Europeiska rådets möte i mars</w:t>
      </w:r>
      <w:r w:rsidR="0083219B" w:rsidRPr="004B79A5">
        <w:t xml:space="preserve"> 2007</w:t>
      </w:r>
      <w:r w:rsidR="00980411" w:rsidRPr="004B79A5">
        <w:t xml:space="preserve">. </w:t>
      </w:r>
    </w:p>
    <w:p w:rsidR="00DD23D0" w:rsidRPr="004B79A5" w:rsidRDefault="00357AF8" w:rsidP="00DD23D0">
      <w:pPr>
        <w:pStyle w:val="Rubrik2"/>
      </w:pPr>
      <w:bookmarkStart w:id="16" w:name="_Toc196791517"/>
      <w:r w:rsidRPr="004B79A5">
        <w:t>Jordbruk, fiske och livsmedel (del 8)</w:t>
      </w:r>
      <w:bookmarkEnd w:id="16"/>
    </w:p>
    <w:p w:rsidR="002F4D7F" w:rsidRPr="004B79A5" w:rsidRDefault="00856F32" w:rsidP="00D47648">
      <w:r w:rsidRPr="004B79A5">
        <w:t>Olika aspekter av strategin för moderniseringe</w:t>
      </w:r>
      <w:r w:rsidR="00F41EC7" w:rsidRPr="004B79A5">
        <w:t>n av den gemensamma jor</w:t>
      </w:r>
      <w:r w:rsidR="00F41EC7" w:rsidRPr="004B79A5">
        <w:t>d</w:t>
      </w:r>
      <w:r w:rsidR="00F41EC7" w:rsidRPr="004B79A5">
        <w:t xml:space="preserve">brukspolitiken </w:t>
      </w:r>
      <w:r w:rsidRPr="004B79A5">
        <w:t>(hä</w:t>
      </w:r>
      <w:r w:rsidR="000A752B" w:rsidRPr="004B79A5">
        <w:t>l</w:t>
      </w:r>
      <w:r w:rsidRPr="004B79A5">
        <w:t xml:space="preserve">sokontrollen) </w:t>
      </w:r>
      <w:r w:rsidR="00F41EC7" w:rsidRPr="004B79A5">
        <w:t>samt fiskepolitiken i Öster</w:t>
      </w:r>
      <w:r w:rsidRPr="004B79A5">
        <w:t xml:space="preserve">sjön </w:t>
      </w:r>
      <w:r w:rsidR="006C70F0" w:rsidRPr="004B79A5">
        <w:t>och Väste</w:t>
      </w:r>
      <w:r w:rsidR="006C70F0" w:rsidRPr="004B79A5">
        <w:t>r</w:t>
      </w:r>
      <w:r w:rsidR="006C70F0" w:rsidRPr="004B79A5">
        <w:t xml:space="preserve">havet </w:t>
      </w:r>
      <w:r w:rsidRPr="004B79A5">
        <w:t xml:space="preserve">(inklusive åtgärder mot </w:t>
      </w:r>
      <w:r w:rsidR="00A774BD" w:rsidRPr="004B79A5">
        <w:t xml:space="preserve">olagligt </w:t>
      </w:r>
      <w:r w:rsidRPr="004B79A5">
        <w:t>torskfiske och åtgärder för återhäm</w:t>
      </w:r>
      <w:r w:rsidRPr="004B79A5">
        <w:t>t</w:t>
      </w:r>
      <w:r w:rsidRPr="004B79A5">
        <w:t>ning av det europeiska torskbeståndet</w:t>
      </w:r>
      <w:r w:rsidR="00F41EC7" w:rsidRPr="004B79A5">
        <w:t xml:space="preserve">) har varit återkommande frågor </w:t>
      </w:r>
      <w:r w:rsidR="0083219B" w:rsidRPr="004B79A5">
        <w:t>i EU-nämnden</w:t>
      </w:r>
      <w:r w:rsidR="00F41EC7" w:rsidRPr="004B79A5">
        <w:t xml:space="preserve"> under året. </w:t>
      </w:r>
      <w:r w:rsidRPr="004B79A5">
        <w:t xml:space="preserve">EU-nämnden har också </w:t>
      </w:r>
      <w:r w:rsidR="00717465" w:rsidRPr="004B79A5">
        <w:t xml:space="preserve">bl.a. </w:t>
      </w:r>
      <w:r w:rsidR="0083219B" w:rsidRPr="004B79A5">
        <w:t xml:space="preserve">givit </w:t>
      </w:r>
      <w:r w:rsidRPr="004B79A5">
        <w:t>stöd för regeringens ståndpunkter avseende ett samlat regelverk för organisationen av jordbruk</w:t>
      </w:r>
      <w:r w:rsidRPr="004B79A5">
        <w:t>s</w:t>
      </w:r>
      <w:r w:rsidRPr="004B79A5">
        <w:t xml:space="preserve">marknader, </w:t>
      </w:r>
      <w:r w:rsidR="00717465" w:rsidRPr="004B79A5">
        <w:t>nya regler för definition och märkning av spritdrycker, nytt dire</w:t>
      </w:r>
      <w:r w:rsidR="00717465" w:rsidRPr="004B79A5">
        <w:t>k</w:t>
      </w:r>
      <w:r w:rsidR="00717465" w:rsidRPr="004B79A5">
        <w:t>tiv för hållbar användning av bekämpningsmedel samt nya regler för använ</w:t>
      </w:r>
      <w:r w:rsidR="00717465" w:rsidRPr="004B79A5">
        <w:t>d</w:t>
      </w:r>
      <w:r w:rsidR="00717465" w:rsidRPr="004B79A5">
        <w:t>ning av tillsa</w:t>
      </w:r>
      <w:r w:rsidR="00717465" w:rsidRPr="004B79A5">
        <w:t>t</w:t>
      </w:r>
      <w:r w:rsidR="00717465" w:rsidRPr="004B79A5">
        <w:t xml:space="preserve">ser, aromer och enzymer i livsmedel. </w:t>
      </w:r>
    </w:p>
    <w:p w:rsidR="002F4D7F" w:rsidRPr="004B79A5" w:rsidRDefault="00D47648" w:rsidP="002F4D7F">
      <w:pPr>
        <w:pStyle w:val="Normaltindrag"/>
      </w:pPr>
      <w:r w:rsidRPr="004B79A5">
        <w:t xml:space="preserve">Generellt är detta ett välstrukturerat avsnitt om den budgetmässigt allra </w:t>
      </w:r>
      <w:r w:rsidR="0083219B" w:rsidRPr="004B79A5">
        <w:t xml:space="preserve">största </w:t>
      </w:r>
      <w:r w:rsidRPr="004B79A5">
        <w:t>sektorn inom EU-samarbetet. Till exempel är beskrivningen av ko</w:t>
      </w:r>
      <w:r w:rsidRPr="004B79A5">
        <w:t>n</w:t>
      </w:r>
      <w:r w:rsidRPr="004B79A5">
        <w:t>takterna med riksdagen avseende strategin och direktivet om hållbar använ</w:t>
      </w:r>
      <w:r w:rsidRPr="004B79A5">
        <w:t>d</w:t>
      </w:r>
      <w:r w:rsidRPr="004B79A5">
        <w:t>ning av bekämpningsmedel (avsnitt 39.6)</w:t>
      </w:r>
      <w:r w:rsidR="009367C5" w:rsidRPr="004B79A5">
        <w:t xml:space="preserve"> föredömlig avseende tydli</w:t>
      </w:r>
      <w:r w:rsidR="009367C5" w:rsidRPr="004B79A5">
        <w:t>g</w:t>
      </w:r>
      <w:r w:rsidR="009367C5" w:rsidRPr="004B79A5">
        <w:t>het och</w:t>
      </w:r>
      <w:r w:rsidRPr="004B79A5">
        <w:t xml:space="preserve"> den språkliga korrekthet </w:t>
      </w:r>
      <w:r w:rsidR="0083219B" w:rsidRPr="004B79A5">
        <w:t xml:space="preserve">avseende terminologin </w:t>
      </w:r>
      <w:r w:rsidRPr="004B79A5">
        <w:t>som efte</w:t>
      </w:r>
      <w:r w:rsidRPr="004B79A5">
        <w:t>r</w:t>
      </w:r>
      <w:r w:rsidRPr="004B79A5">
        <w:t>lysts</w:t>
      </w:r>
      <w:r w:rsidR="0083219B" w:rsidRPr="004B79A5">
        <w:t xml:space="preserve"> ovan</w:t>
      </w:r>
      <w:r w:rsidRPr="004B79A5">
        <w:t xml:space="preserve">. </w:t>
      </w:r>
    </w:p>
    <w:p w:rsidR="009367C5" w:rsidRPr="004B79A5" w:rsidRDefault="00D47648" w:rsidP="002F4D7F">
      <w:pPr>
        <w:pStyle w:val="Normaltindrag"/>
      </w:pPr>
      <w:r w:rsidRPr="004B79A5">
        <w:t>I margin</w:t>
      </w:r>
      <w:r w:rsidR="00CD702B" w:rsidRPr="004B79A5">
        <w:t>alen kan dock</w:t>
      </w:r>
      <w:r w:rsidR="009367C5" w:rsidRPr="004B79A5">
        <w:t xml:space="preserve"> noteras att d</w:t>
      </w:r>
      <w:r w:rsidRPr="004B79A5">
        <w:t>atumen för antaganden av b</w:t>
      </w:r>
      <w:r w:rsidRPr="004B79A5">
        <w:t>e</w:t>
      </w:r>
      <w:r w:rsidRPr="004B79A5">
        <w:t xml:space="preserve">slut i rådet vad gäller </w:t>
      </w:r>
      <w:r w:rsidR="008D7435" w:rsidRPr="004B79A5">
        <w:t xml:space="preserve">det </w:t>
      </w:r>
      <w:r w:rsidR="0083219B" w:rsidRPr="004B79A5">
        <w:t xml:space="preserve">s.k. </w:t>
      </w:r>
      <w:r w:rsidRPr="004B79A5">
        <w:t>minipaketet för mjölk och handlingsplanen för förenkling</w:t>
      </w:r>
      <w:r w:rsidRPr="004B79A5">
        <w:t>s</w:t>
      </w:r>
      <w:r w:rsidRPr="004B79A5">
        <w:t>arbetet för den gemensamma jordbruk</w:t>
      </w:r>
      <w:r w:rsidRPr="004B79A5">
        <w:t>s</w:t>
      </w:r>
      <w:r w:rsidRPr="004B79A5">
        <w:t>politiken har kastats om (</w:t>
      </w:r>
      <w:r w:rsidR="00CD702B" w:rsidRPr="004B79A5">
        <w:t xml:space="preserve">avsnitt </w:t>
      </w:r>
      <w:r w:rsidRPr="004B79A5">
        <w:t xml:space="preserve">39.2.3 och 39.2.4). </w:t>
      </w:r>
    </w:p>
    <w:p w:rsidR="00D47648" w:rsidRPr="004B79A5" w:rsidRDefault="00D47648" w:rsidP="00CD702B">
      <w:pPr>
        <w:pStyle w:val="Normaltindrag"/>
      </w:pPr>
      <w:r w:rsidRPr="004B79A5">
        <w:t>Beskrivningen av råvaruavtalet för tropiskt timmer, ITTA</w:t>
      </w:r>
      <w:r w:rsidR="006C19D0" w:rsidRPr="004B79A5">
        <w:t xml:space="preserve"> (avsnitt 39.7.3)</w:t>
      </w:r>
      <w:r w:rsidRPr="004B79A5">
        <w:t xml:space="preserve">, </w:t>
      </w:r>
      <w:r w:rsidR="0083219B" w:rsidRPr="004B79A5">
        <w:t>kan förstås som</w:t>
      </w:r>
      <w:r w:rsidR="008F0A92" w:rsidRPr="004B79A5">
        <w:rPr>
          <w:i/>
        </w:rPr>
        <w:t xml:space="preserve"> </w:t>
      </w:r>
      <w:r w:rsidRPr="004B79A5">
        <w:t>att en diskussion på ministe</w:t>
      </w:r>
      <w:r w:rsidRPr="004B79A5">
        <w:t>r</w:t>
      </w:r>
      <w:r w:rsidRPr="004B79A5">
        <w:t>rådsnivå ägde rum under</w:t>
      </w:r>
      <w:r w:rsidR="00CD702B" w:rsidRPr="004B79A5">
        <w:t xml:space="preserve"> år </w:t>
      </w:r>
      <w:r w:rsidRPr="004B79A5">
        <w:t>20</w:t>
      </w:r>
      <w:r w:rsidR="005C58D0" w:rsidRPr="004B79A5">
        <w:t>07. Nämnden kan konstat</w:t>
      </w:r>
      <w:r w:rsidR="005C58D0" w:rsidRPr="004B79A5">
        <w:t>e</w:t>
      </w:r>
      <w:r w:rsidR="005C58D0" w:rsidRPr="004B79A5">
        <w:t>ra att så</w:t>
      </w:r>
      <w:r w:rsidRPr="004B79A5">
        <w:t xml:space="preserve"> inte var fallet. Frågan antogs som en A-punkt under juli månad. </w:t>
      </w:r>
      <w:r w:rsidR="00064E17" w:rsidRPr="004B79A5">
        <w:t>Enligt up</w:t>
      </w:r>
      <w:r w:rsidR="00064E17" w:rsidRPr="004B79A5">
        <w:t>p</w:t>
      </w:r>
      <w:r w:rsidR="00064E17" w:rsidRPr="004B79A5">
        <w:t xml:space="preserve">gift från </w:t>
      </w:r>
      <w:r w:rsidR="008D7435" w:rsidRPr="004B79A5">
        <w:t>R</w:t>
      </w:r>
      <w:r w:rsidR="00064E17" w:rsidRPr="004B79A5">
        <w:t xml:space="preserve">egeringskansliet </w:t>
      </w:r>
      <w:r w:rsidRPr="004B79A5">
        <w:t>ska intensiva diskussioner ha ägt rum på tjänstemannanivå (rådsarbetsgrupp</w:t>
      </w:r>
      <w:r w:rsidRPr="004B79A5">
        <w:t>s</w:t>
      </w:r>
      <w:r w:rsidRPr="004B79A5">
        <w:t xml:space="preserve">nivå). </w:t>
      </w:r>
    </w:p>
    <w:p w:rsidR="00357AF8" w:rsidRPr="004B79A5" w:rsidRDefault="00357AF8" w:rsidP="00D13B34">
      <w:pPr>
        <w:pStyle w:val="Rubrik2"/>
      </w:pPr>
      <w:bookmarkStart w:id="17" w:name="_Toc196791518"/>
      <w:r w:rsidRPr="004B79A5">
        <w:t>Miljö (del 9)</w:t>
      </w:r>
      <w:bookmarkEnd w:id="17"/>
    </w:p>
    <w:p w:rsidR="00415041" w:rsidRPr="004B79A5" w:rsidRDefault="003B477E" w:rsidP="00E147A5">
      <w:r w:rsidRPr="004B79A5">
        <w:t>Miljöfrågor – och särskilt klimatrelat</w:t>
      </w:r>
      <w:r w:rsidR="005C58D0" w:rsidRPr="004B79A5">
        <w:t>erade sådana – fördes upp på EU:</w:t>
      </w:r>
      <w:r w:rsidRPr="004B79A5">
        <w:t>s hög</w:t>
      </w:r>
      <w:r w:rsidRPr="004B79A5">
        <w:t>s</w:t>
      </w:r>
      <w:r w:rsidRPr="004B79A5">
        <w:t>ta politiska dagordning under 2007. EU-nämnden</w:t>
      </w:r>
      <w:r w:rsidR="00064E17" w:rsidRPr="004B79A5">
        <w:t xml:space="preserve"> </w:t>
      </w:r>
      <w:r w:rsidRPr="004B79A5">
        <w:t>var mycket aktiv i denna fråga inför EU:s vårtoppmöte 2007, där den övergripande politiska överen</w:t>
      </w:r>
      <w:r w:rsidRPr="004B79A5">
        <w:t>s</w:t>
      </w:r>
      <w:r w:rsidRPr="004B79A5">
        <w:t xml:space="preserve">kommelsen träffades. </w:t>
      </w:r>
      <w:r w:rsidR="00E147A5" w:rsidRPr="004B79A5">
        <w:t>Inför mötet fick regeringen nämndens</w:t>
      </w:r>
      <w:r w:rsidR="00953948" w:rsidRPr="004B79A5">
        <w:t xml:space="preserve"> stöd att förespr</w:t>
      </w:r>
      <w:r w:rsidR="00953948" w:rsidRPr="004B79A5">
        <w:t>å</w:t>
      </w:r>
      <w:r w:rsidR="00953948" w:rsidRPr="004B79A5">
        <w:t xml:space="preserve">ka en </w:t>
      </w:r>
      <w:r w:rsidR="00863EF5" w:rsidRPr="004B79A5">
        <w:t>30-</w:t>
      </w:r>
      <w:r w:rsidR="00953948" w:rsidRPr="004B79A5">
        <w:t>procentig minskning av växthusgaserna</w:t>
      </w:r>
      <w:r w:rsidR="00E147A5" w:rsidRPr="004B79A5">
        <w:t>, ett mål</w:t>
      </w:r>
      <w:r w:rsidR="00953948" w:rsidRPr="004B79A5">
        <w:t xml:space="preserve"> som alltså gick län</w:t>
      </w:r>
      <w:r w:rsidR="00953948" w:rsidRPr="004B79A5">
        <w:t>g</w:t>
      </w:r>
      <w:r w:rsidR="00953948" w:rsidRPr="004B79A5">
        <w:t xml:space="preserve">re än kommissionens förslag på en </w:t>
      </w:r>
      <w:r w:rsidR="00863EF5" w:rsidRPr="004B79A5">
        <w:t>20-</w:t>
      </w:r>
      <w:r w:rsidR="00953948" w:rsidRPr="004B79A5">
        <w:t>procentig minskning och som</w:t>
      </w:r>
      <w:r w:rsidR="00E147A5" w:rsidRPr="004B79A5">
        <w:t xml:space="preserve"> inte kunde uppfyllas vid mötet. </w:t>
      </w:r>
      <w:r w:rsidR="00415041" w:rsidRPr="004B79A5">
        <w:t>Inför FN:s klimatkonferens på Bali i dece</w:t>
      </w:r>
      <w:r w:rsidR="00415041" w:rsidRPr="004B79A5">
        <w:t>m</w:t>
      </w:r>
      <w:r w:rsidR="00415041" w:rsidRPr="004B79A5">
        <w:t xml:space="preserve">ber gav nämnden stöd åt regeringens ståndpunkt att anta ett mandat för </w:t>
      </w:r>
      <w:r w:rsidR="00415041" w:rsidRPr="004B79A5">
        <w:rPr>
          <w:spacing w:val="-2"/>
        </w:rPr>
        <w:t>förhan</w:t>
      </w:r>
      <w:r w:rsidR="00415041" w:rsidRPr="004B79A5">
        <w:rPr>
          <w:spacing w:val="-2"/>
        </w:rPr>
        <w:t>d</w:t>
      </w:r>
      <w:r w:rsidR="00415041" w:rsidRPr="004B79A5">
        <w:rPr>
          <w:spacing w:val="-2"/>
        </w:rPr>
        <w:t>lingarna om ett nytt klimatavtal för perioden efter 2012. EU-nämnden beton</w:t>
      </w:r>
      <w:r w:rsidR="00415041" w:rsidRPr="004B79A5">
        <w:rPr>
          <w:spacing w:val="-2"/>
        </w:rPr>
        <w:t>a</w:t>
      </w:r>
      <w:r w:rsidR="00415041" w:rsidRPr="004B79A5">
        <w:rPr>
          <w:spacing w:val="-2"/>
        </w:rPr>
        <w:t>de i samrådet vikten av att EU uppträder enat i de internationella förhandlinga</w:t>
      </w:r>
      <w:r w:rsidR="00415041" w:rsidRPr="004B79A5">
        <w:rPr>
          <w:spacing w:val="-2"/>
        </w:rPr>
        <w:t>r</w:t>
      </w:r>
      <w:r w:rsidR="00415041" w:rsidRPr="004B79A5">
        <w:rPr>
          <w:spacing w:val="-2"/>
        </w:rPr>
        <w:t>na.</w:t>
      </w:r>
      <w:r w:rsidR="00415041" w:rsidRPr="004B79A5">
        <w:t xml:space="preserve"> </w:t>
      </w:r>
    </w:p>
    <w:p w:rsidR="00D95575" w:rsidRPr="004B79A5" w:rsidRDefault="00E147A5" w:rsidP="00415041">
      <w:pPr>
        <w:pStyle w:val="Normaltindrag"/>
      </w:pPr>
      <w:r w:rsidRPr="004B79A5">
        <w:t xml:space="preserve">EU-nämnden har under året även </w:t>
      </w:r>
      <w:r w:rsidR="009D5FF1" w:rsidRPr="004B79A5">
        <w:t>gett stöd</w:t>
      </w:r>
      <w:r w:rsidR="00A8463B" w:rsidRPr="004B79A5">
        <w:t xml:space="preserve"> </w:t>
      </w:r>
      <w:r w:rsidRPr="004B79A5">
        <w:t>för regeringens ståndpunkt</w:t>
      </w:r>
      <w:r w:rsidR="00A8463B" w:rsidRPr="004B79A5">
        <w:t>er</w:t>
      </w:r>
      <w:r w:rsidRPr="004B79A5">
        <w:t xml:space="preserve"> avseende bilars koldioxidutsläpp</w:t>
      </w:r>
      <w:r w:rsidR="000B519D" w:rsidRPr="004B79A5">
        <w:t>, insläppandet av flygsektorn i handeln med u</w:t>
      </w:r>
      <w:r w:rsidR="000B519D" w:rsidRPr="004B79A5">
        <w:t>t</w:t>
      </w:r>
      <w:r w:rsidR="000B519D" w:rsidRPr="004B79A5">
        <w:t>släpps</w:t>
      </w:r>
      <w:r w:rsidR="00A8463B" w:rsidRPr="004B79A5">
        <w:t xml:space="preserve">rätter, </w:t>
      </w:r>
      <w:r w:rsidR="000B519D" w:rsidRPr="004B79A5">
        <w:t>en strategi om hållbar användning av bekämpningsmedel</w:t>
      </w:r>
      <w:r w:rsidR="00A8463B" w:rsidRPr="004B79A5">
        <w:t>, ett nytt avfallsdirektiv, ett direktiv med gränsvärden för vissa prioriterade ämnen i y</w:t>
      </w:r>
      <w:r w:rsidR="00A8463B" w:rsidRPr="004B79A5">
        <w:t>t</w:t>
      </w:r>
      <w:r w:rsidR="00A8463B" w:rsidRPr="004B79A5">
        <w:t>vatten samt ett nytt bränslekvalitetsdirektiv</w:t>
      </w:r>
      <w:r w:rsidR="000B519D" w:rsidRPr="004B79A5">
        <w:t>.</w:t>
      </w:r>
    </w:p>
    <w:p w:rsidR="00AB034A" w:rsidRPr="004B79A5" w:rsidRDefault="00D95575" w:rsidP="005C58D0">
      <w:pPr>
        <w:pStyle w:val="Normaltindrag"/>
      </w:pPr>
      <w:r w:rsidRPr="004B79A5">
        <w:t>Vad gäller genetiskt modifierade organismer (</w:t>
      </w:r>
      <w:r w:rsidR="003B477E" w:rsidRPr="004B79A5">
        <w:t>GMO</w:t>
      </w:r>
      <w:r w:rsidR="005C58D0" w:rsidRPr="004B79A5">
        <w:t>) (avsnitt 43.5),</w:t>
      </w:r>
      <w:r w:rsidR="003B477E" w:rsidRPr="004B79A5">
        <w:t xml:space="preserve"> utöver de beskrivna omröstningarna i rådet om GMO-relaterade ärenden</w:t>
      </w:r>
      <w:r w:rsidR="00B82A2D" w:rsidRPr="004B79A5">
        <w:t>,</w:t>
      </w:r>
      <w:r w:rsidR="003B477E" w:rsidRPr="004B79A5">
        <w:t xml:space="preserve"> vill näm</w:t>
      </w:r>
      <w:r w:rsidR="003B477E" w:rsidRPr="004B79A5">
        <w:t>n</w:t>
      </w:r>
      <w:r w:rsidR="003B477E" w:rsidRPr="004B79A5">
        <w:t>den uppmärksamma at</w:t>
      </w:r>
      <w:r w:rsidR="00AB034A" w:rsidRPr="004B79A5">
        <w:t xml:space="preserve">t </w:t>
      </w:r>
      <w:r w:rsidR="00563EEE" w:rsidRPr="004B79A5">
        <w:t>ministrarna vid</w:t>
      </w:r>
      <w:r w:rsidR="00060423" w:rsidRPr="004B79A5">
        <w:t xml:space="preserve"> mötet i</w:t>
      </w:r>
      <w:r w:rsidR="00563EEE" w:rsidRPr="004B79A5">
        <w:t xml:space="preserve"> rådet </w:t>
      </w:r>
      <w:r w:rsidR="00BC7247" w:rsidRPr="004B79A5">
        <w:t>(</w:t>
      </w:r>
      <w:r w:rsidR="006706DA" w:rsidRPr="004B79A5">
        <w:t>j</w:t>
      </w:r>
      <w:r w:rsidR="00563EEE" w:rsidRPr="004B79A5">
        <w:t>ordbruk och fiske</w:t>
      </w:r>
      <w:r w:rsidR="00BC7247" w:rsidRPr="004B79A5">
        <w:t>)</w:t>
      </w:r>
      <w:r w:rsidR="00AB034A" w:rsidRPr="004B79A5">
        <w:t xml:space="preserve"> i jul</w:t>
      </w:r>
      <w:r w:rsidR="003B477E" w:rsidRPr="004B79A5">
        <w:t xml:space="preserve">i </w:t>
      </w:r>
      <w:r w:rsidR="00B82A2D" w:rsidRPr="004B79A5">
        <w:t xml:space="preserve">2007 </w:t>
      </w:r>
      <w:r w:rsidR="003B477E" w:rsidRPr="004B79A5">
        <w:t>röstade om</w:t>
      </w:r>
      <w:r w:rsidR="003B477E" w:rsidRPr="004B79A5">
        <w:rPr>
          <w:b/>
        </w:rPr>
        <w:t xml:space="preserve"> </w:t>
      </w:r>
      <w:r w:rsidR="003B477E" w:rsidRPr="004B79A5">
        <w:t xml:space="preserve">rådets beslut om utsläppande på marknaden av </w:t>
      </w:r>
      <w:r w:rsidR="003B477E" w:rsidRPr="004B79A5">
        <w:rPr>
          <w:bCs/>
        </w:rPr>
        <w:t>en potati</w:t>
      </w:r>
      <w:r w:rsidR="003B477E" w:rsidRPr="004B79A5">
        <w:rPr>
          <w:bCs/>
        </w:rPr>
        <w:t>s</w:t>
      </w:r>
      <w:r w:rsidR="003B477E" w:rsidRPr="004B79A5">
        <w:rPr>
          <w:bCs/>
        </w:rPr>
        <w:t>produkt</w:t>
      </w:r>
      <w:r w:rsidR="003B477E" w:rsidRPr="004B79A5">
        <w:t xml:space="preserve"> (EH92-527-1).</w:t>
      </w:r>
      <w:r w:rsidR="00AB034A" w:rsidRPr="004B79A5">
        <w:t xml:space="preserve"> Samråd med EU-nämnden skedde den 13 juli</w:t>
      </w:r>
      <w:r w:rsidR="00DA48FA" w:rsidRPr="004B79A5">
        <w:t xml:space="preserve"> 2007</w:t>
      </w:r>
      <w:r w:rsidR="00AB034A" w:rsidRPr="004B79A5">
        <w:t xml:space="preserve">. </w:t>
      </w:r>
    </w:p>
    <w:p w:rsidR="003B477E" w:rsidRPr="004B79A5" w:rsidRDefault="00563EEE" w:rsidP="008D7435">
      <w:pPr>
        <w:pStyle w:val="Normaltindrag"/>
        <w:rPr>
          <w:u w:val="single"/>
        </w:rPr>
      </w:pPr>
      <w:r w:rsidRPr="004B79A5">
        <w:t xml:space="preserve">Rådet </w:t>
      </w:r>
      <w:r w:rsidR="00682D76" w:rsidRPr="004B79A5">
        <w:t>(</w:t>
      </w:r>
      <w:r w:rsidR="00B64836" w:rsidRPr="004B79A5">
        <w:t>j</w:t>
      </w:r>
      <w:r w:rsidRPr="004B79A5">
        <w:t>ordbruk och fiske</w:t>
      </w:r>
      <w:r w:rsidR="00682D76" w:rsidRPr="004B79A5">
        <w:t>)</w:t>
      </w:r>
      <w:r w:rsidR="00AB034A" w:rsidRPr="004B79A5">
        <w:t xml:space="preserve"> röstade även i september</w:t>
      </w:r>
      <w:r w:rsidR="00A40D91" w:rsidRPr="004B79A5">
        <w:t xml:space="preserve"> 2007</w:t>
      </w:r>
      <w:r w:rsidR="00AB034A" w:rsidRPr="004B79A5">
        <w:t xml:space="preserve"> om utsläppa</w:t>
      </w:r>
      <w:r w:rsidR="00AB034A" w:rsidRPr="004B79A5">
        <w:t>n</w:t>
      </w:r>
      <w:r w:rsidR="00AB034A" w:rsidRPr="004B79A5">
        <w:t>de på mar</w:t>
      </w:r>
      <w:r w:rsidR="00AB034A" w:rsidRPr="004B79A5">
        <w:t>k</w:t>
      </w:r>
      <w:r w:rsidR="00AB034A" w:rsidRPr="004B79A5">
        <w:t>naden av tre sorters genmodifierad majs (59122 DAS-59122-7,1507xNK603 samt NK603xMON810). Samråd med EU-nämnden skedde den 21 septe</w:t>
      </w:r>
      <w:r w:rsidR="00AB034A" w:rsidRPr="004B79A5">
        <w:t>m</w:t>
      </w:r>
      <w:r w:rsidR="00AB034A" w:rsidRPr="004B79A5">
        <w:t>ber</w:t>
      </w:r>
      <w:r w:rsidR="0002679B" w:rsidRPr="004B79A5">
        <w:t xml:space="preserve"> 2007</w:t>
      </w:r>
      <w:r w:rsidR="00AB034A" w:rsidRPr="004B79A5">
        <w:t>.</w:t>
      </w:r>
    </w:p>
    <w:p w:rsidR="00357AF8" w:rsidRPr="004B79A5" w:rsidRDefault="00357AF8" w:rsidP="00357AF8">
      <w:pPr>
        <w:pStyle w:val="Rubrik2"/>
      </w:pPr>
      <w:bookmarkStart w:id="18" w:name="_Toc196791519"/>
      <w:r w:rsidRPr="004B79A5">
        <w:t>Utbildning, ungdom och kultur (del 10)</w:t>
      </w:r>
      <w:bookmarkEnd w:id="18"/>
    </w:p>
    <w:p w:rsidR="001251A7" w:rsidRPr="004B79A5" w:rsidRDefault="001251A7" w:rsidP="001251A7">
      <w:r w:rsidRPr="004B79A5">
        <w:t>Regeringen har informerat respektive samrått med EU-nämnden om de fr</w:t>
      </w:r>
      <w:r w:rsidR="00091CE7" w:rsidRPr="004B79A5">
        <w:t xml:space="preserve">ågor som </w:t>
      </w:r>
      <w:r w:rsidR="00064E17" w:rsidRPr="004B79A5">
        <w:t xml:space="preserve">stått </w:t>
      </w:r>
      <w:r w:rsidR="00091CE7" w:rsidRPr="004B79A5">
        <w:t xml:space="preserve">på dagordningarna. </w:t>
      </w:r>
      <w:r w:rsidR="00064E17" w:rsidRPr="004B79A5">
        <w:t>Bland annat</w:t>
      </w:r>
      <w:r w:rsidR="00091CE7" w:rsidRPr="004B79A5">
        <w:t xml:space="preserve"> har EU-nämnden gett regeringen stöd för dess ståndpunkt om strategier </w:t>
      </w:r>
      <w:r w:rsidR="007F5374" w:rsidRPr="004B79A5">
        <w:t>för</w:t>
      </w:r>
      <w:r w:rsidR="00091CE7" w:rsidRPr="004B79A5">
        <w:t xml:space="preserve"> samarbetet på utbildnings- respe</w:t>
      </w:r>
      <w:r w:rsidR="00091CE7" w:rsidRPr="004B79A5">
        <w:t>k</w:t>
      </w:r>
      <w:r w:rsidR="00091CE7" w:rsidRPr="004B79A5">
        <w:t>tive ungdomsområdena, uppföljning av Lissabonmålen på utbildningsomr</w:t>
      </w:r>
      <w:r w:rsidR="00091CE7" w:rsidRPr="004B79A5">
        <w:t>å</w:t>
      </w:r>
      <w:r w:rsidR="00091CE7" w:rsidRPr="004B79A5">
        <w:t>det, en resolution om ungdomar och ungdomars deltagande i arbetslivet samt en resolution om det ungdomspolitiska samarbetet.</w:t>
      </w:r>
      <w:r w:rsidR="008045E8" w:rsidRPr="004B79A5">
        <w:t xml:space="preserve"> Regerin</w:t>
      </w:r>
      <w:r w:rsidR="008045E8" w:rsidRPr="004B79A5">
        <w:t>g</w:t>
      </w:r>
      <w:r w:rsidR="008045E8" w:rsidRPr="004B79A5">
        <w:t>en fick också stöd för sina positioner gällande en överenskommelse om en referen</w:t>
      </w:r>
      <w:r w:rsidR="008045E8" w:rsidRPr="004B79A5">
        <w:t>s</w:t>
      </w:r>
      <w:r w:rsidR="008045E8" w:rsidRPr="004B79A5">
        <w:t>ram för kvalifikationer syftande till att underlätta rörligheten på arbetsmar</w:t>
      </w:r>
      <w:r w:rsidR="008045E8" w:rsidRPr="004B79A5">
        <w:t>k</w:t>
      </w:r>
      <w:r w:rsidR="008045E8" w:rsidRPr="004B79A5">
        <w:t>naden samt en resolution om en kulturagenda för EU.</w:t>
      </w:r>
    </w:p>
    <w:p w:rsidR="00357AF8" w:rsidRPr="004B79A5" w:rsidRDefault="00357AF8" w:rsidP="00D13B34">
      <w:pPr>
        <w:pStyle w:val="Rubrik2"/>
        <w:spacing w:before="0"/>
      </w:pPr>
      <w:bookmarkStart w:id="19" w:name="_Toc196791520"/>
      <w:r w:rsidRPr="004B79A5">
        <w:t>EU:s institutioner m.m. (del 11)</w:t>
      </w:r>
      <w:bookmarkEnd w:id="19"/>
    </w:p>
    <w:p w:rsidR="000A752B" w:rsidRPr="004B79A5" w:rsidRDefault="009D160E" w:rsidP="000A752B">
      <w:r w:rsidRPr="004B79A5">
        <w:t xml:space="preserve">Liksom i tidigare års skrivelser redogörs här för institutionernas och olika organs verksamhet, öppenhet och insyn och </w:t>
      </w:r>
      <w:r w:rsidR="008846C1" w:rsidRPr="004B79A5">
        <w:t xml:space="preserve">för </w:t>
      </w:r>
      <w:r w:rsidRPr="004B79A5">
        <w:t>personalpolitik i EU:s instit</w:t>
      </w:r>
      <w:r w:rsidRPr="004B79A5">
        <w:t>u</w:t>
      </w:r>
      <w:r w:rsidRPr="004B79A5">
        <w:t>tioner. Frågor om språk och regelförenkling finns dock inte med i årets skr</w:t>
      </w:r>
      <w:r w:rsidRPr="004B79A5">
        <w:t>i</w:t>
      </w:r>
      <w:r w:rsidRPr="004B79A5">
        <w:t>velse. Däremot redogörs för förberedelser för Sveriges ordförandeskap i EU:s ministerråd. Som tidigare finns också i bilagor redogörelser för mål och d</w:t>
      </w:r>
      <w:r w:rsidRPr="004B79A5">
        <w:t>o</w:t>
      </w:r>
      <w:r w:rsidRPr="004B79A5">
        <w:t>mar i EG-domstolen och i EG:s förstainstansrätt samt för pågående övertr</w:t>
      </w:r>
      <w:r w:rsidRPr="004B79A5">
        <w:t>ä</w:t>
      </w:r>
      <w:r w:rsidRPr="004B79A5">
        <w:t>delseärenden. En bilaga finns också som upptar beslut i ministerr</w:t>
      </w:r>
      <w:r w:rsidRPr="004B79A5">
        <w:t>å</w:t>
      </w:r>
      <w:r w:rsidRPr="004B79A5">
        <w:t xml:space="preserve">det under 2007 som Sverige inte stöttat. </w:t>
      </w:r>
    </w:p>
    <w:p w:rsidR="00357AF8" w:rsidRPr="004B79A5" w:rsidRDefault="002463F4" w:rsidP="00CF1449">
      <w:pPr>
        <w:pStyle w:val="Rubrik4"/>
        <w:rPr>
          <w:noProof w:val="0"/>
        </w:rPr>
      </w:pPr>
      <w:r w:rsidRPr="004B79A5">
        <w:rPr>
          <w:noProof w:val="0"/>
        </w:rPr>
        <w:t xml:space="preserve">Ministerrådet (avsnitt 47.1) </w:t>
      </w:r>
    </w:p>
    <w:p w:rsidR="002463F4" w:rsidRPr="004B79A5" w:rsidRDefault="00D51ED8" w:rsidP="00024D1F">
      <w:pPr>
        <w:spacing w:before="187"/>
      </w:pPr>
      <w:r w:rsidRPr="004B79A5">
        <w:t>I skrivelsen redogörs bl.a. för rådets öppenhetsformer som uppenbarligen fungerat väl. Genom ändring i riksdagsordningen har såväl EU-nämnden som utskotten möjligheten att bestämma att sammanträden ska vara helt eller delvis offentliga. EU-nämndens överläggningar med regeringen inför möten med Europeiska rådet liksom återrapportering från sådana möten är regelmä</w:t>
      </w:r>
      <w:r w:rsidRPr="004B79A5">
        <w:t>s</w:t>
      </w:r>
      <w:r w:rsidRPr="004B79A5">
        <w:t xml:space="preserve">sigt offentliga. </w:t>
      </w:r>
    </w:p>
    <w:p w:rsidR="00A9674B" w:rsidRPr="004B79A5" w:rsidRDefault="00A9674B" w:rsidP="002463F4">
      <w:pPr>
        <w:pStyle w:val="Normaltindrag"/>
      </w:pPr>
      <w:r w:rsidRPr="004B79A5">
        <w:t xml:space="preserve">Liksom tidigare vill EU-nämnden framhålla att det är ytterst väsentligt att rådsarbetet organiseras så att det finns tillräcklig tid för </w:t>
      </w:r>
      <w:r w:rsidR="007F5374" w:rsidRPr="004B79A5">
        <w:t xml:space="preserve">de </w:t>
      </w:r>
      <w:r w:rsidRPr="004B79A5">
        <w:t>nationella parl</w:t>
      </w:r>
      <w:r w:rsidRPr="004B79A5">
        <w:t>a</w:t>
      </w:r>
      <w:r w:rsidRPr="004B79A5">
        <w:t>mentens EU-organ att överlägga med sina respektive regeringar före rådsm</w:t>
      </w:r>
      <w:r w:rsidRPr="004B79A5">
        <w:t>ö</w:t>
      </w:r>
      <w:r w:rsidRPr="004B79A5">
        <w:t>tena. Vidare bör eftersträvas att en fråga som ska beslutas som en s.k. A-punkt så långt möjligt beslutas av det rådsmöte som behandlar samma sako</w:t>
      </w:r>
      <w:r w:rsidRPr="004B79A5">
        <w:t>m</w:t>
      </w:r>
      <w:r w:rsidRPr="004B79A5">
        <w:t>råde som A-punkten i fråga. En tendens när det gäller rådsdagordningarna är också att dessa ofta belastas med ett antal övriga frågor som är begärda av olika delegationer</w:t>
      </w:r>
      <w:r w:rsidR="00862274" w:rsidRPr="004B79A5">
        <w:t xml:space="preserve"> utan att det finns någon information om anledningen.</w:t>
      </w:r>
      <w:r w:rsidRPr="004B79A5">
        <w:t xml:space="preserve"> </w:t>
      </w:r>
      <w:r w:rsidR="00862274" w:rsidRPr="004B79A5">
        <w:t>E</w:t>
      </w:r>
      <w:r w:rsidR="00862274" w:rsidRPr="004B79A5">
        <w:t>n</w:t>
      </w:r>
      <w:r w:rsidR="00862274" w:rsidRPr="004B79A5">
        <w:t xml:space="preserve">ligt </w:t>
      </w:r>
      <w:r w:rsidRPr="004B79A5">
        <w:t>bestä</w:t>
      </w:r>
      <w:r w:rsidRPr="004B79A5">
        <w:t>m</w:t>
      </w:r>
      <w:r w:rsidRPr="004B79A5">
        <w:t>melserna i rådets arbetsordning</w:t>
      </w:r>
      <w:r w:rsidR="00133B06" w:rsidRPr="004B79A5">
        <w:t xml:space="preserve"> </w:t>
      </w:r>
      <w:r w:rsidR="00862274" w:rsidRPr="004B79A5">
        <w:t>ska en delegation dock lämna en skriftlig motivering till att den vill föra upp en övrig fråga på dagordningen.</w:t>
      </w:r>
      <w:r w:rsidR="00133B06" w:rsidRPr="004B79A5">
        <w:t xml:space="preserve"> </w:t>
      </w:r>
      <w:r w:rsidR="008846C1" w:rsidRPr="004B79A5">
        <w:t>Vidare vill nämnden, liksom i tidigare yttranden, framhålla att det är mycket angeläget att relevant b</w:t>
      </w:r>
      <w:r w:rsidR="008846C1" w:rsidRPr="004B79A5">
        <w:t>e</w:t>
      </w:r>
      <w:r w:rsidR="008846C1" w:rsidRPr="004B79A5">
        <w:t xml:space="preserve">slutsunderlag föreligger på svenska. </w:t>
      </w:r>
    </w:p>
    <w:p w:rsidR="002463F4" w:rsidRPr="004B79A5" w:rsidRDefault="00133B06" w:rsidP="00CF1449">
      <w:pPr>
        <w:pStyle w:val="Rubrik4"/>
        <w:rPr>
          <w:noProof w:val="0"/>
        </w:rPr>
      </w:pPr>
      <w:r w:rsidRPr="004B79A5">
        <w:rPr>
          <w:noProof w:val="0"/>
        </w:rPr>
        <w:t>K</w:t>
      </w:r>
      <w:r w:rsidR="002463F4" w:rsidRPr="004B79A5">
        <w:rPr>
          <w:noProof w:val="0"/>
        </w:rPr>
        <w:t>ommissionen (avsnitt 47.2)</w:t>
      </w:r>
    </w:p>
    <w:p w:rsidR="00133B06" w:rsidRPr="004B79A5" w:rsidRDefault="00133B06" w:rsidP="00133B06">
      <w:r w:rsidRPr="004B79A5">
        <w:t>I avsnittet redogörs för genomförande av direktiv (avsnitt 47.2.1) och för öve</w:t>
      </w:r>
      <w:r w:rsidRPr="004B79A5">
        <w:t>r</w:t>
      </w:r>
      <w:r w:rsidRPr="004B79A5">
        <w:t>trädelseärenden mot Sverige (avsnitt 47.2.2).</w:t>
      </w:r>
    </w:p>
    <w:p w:rsidR="00133B06" w:rsidRPr="004B79A5" w:rsidRDefault="00133B06" w:rsidP="00133B06">
      <w:pPr>
        <w:pStyle w:val="Normaltindrag"/>
      </w:pPr>
      <w:r w:rsidRPr="004B79A5">
        <w:t>EU-nämnden framhöll i förra årets yttrande att det i propositioner om g</w:t>
      </w:r>
      <w:r w:rsidRPr="004B79A5">
        <w:t>e</w:t>
      </w:r>
      <w:r w:rsidRPr="004B79A5">
        <w:t>nomförande av dire</w:t>
      </w:r>
      <w:r w:rsidRPr="004B79A5">
        <w:t>k</w:t>
      </w:r>
      <w:r w:rsidRPr="004B79A5">
        <w:t>tiv och godkännande av rambeslut borde redogöras för det informations- och samrådsförf</w:t>
      </w:r>
      <w:r w:rsidRPr="004B79A5">
        <w:t>a</w:t>
      </w:r>
      <w:r w:rsidRPr="004B79A5">
        <w:t>rande som ägt rum visavi riksdagen i de aktuella ärendena, och som sedan den 1 januari 2003 är inskrive</w:t>
      </w:r>
      <w:r w:rsidR="007F5374" w:rsidRPr="004B79A5">
        <w:t>t</w:t>
      </w:r>
      <w:r w:rsidRPr="004B79A5">
        <w:t xml:space="preserve"> i regering</w:t>
      </w:r>
      <w:r w:rsidRPr="004B79A5">
        <w:t>s</w:t>
      </w:r>
      <w:r w:rsidRPr="004B79A5">
        <w:t>formen (10 kap. 6 §). Konstitutionsut</w:t>
      </w:r>
      <w:r w:rsidRPr="004B79A5">
        <w:t>s</w:t>
      </w:r>
      <w:r w:rsidRPr="004B79A5">
        <w:t>kottet tog också upp frågan för flera år sedan (</w:t>
      </w:r>
      <w:r w:rsidR="00343509" w:rsidRPr="004B79A5">
        <w:t>b</w:t>
      </w:r>
      <w:r w:rsidR="00863EF5" w:rsidRPr="004B79A5">
        <w:t xml:space="preserve">et. </w:t>
      </w:r>
      <w:r w:rsidRPr="004B79A5">
        <w:t>1999/200</w:t>
      </w:r>
      <w:r w:rsidR="008846C1" w:rsidRPr="004B79A5">
        <w:t>0</w:t>
      </w:r>
      <w:r w:rsidRPr="004B79A5">
        <w:t>:KU10 s. 38</w:t>
      </w:r>
      <w:r w:rsidR="007F5374" w:rsidRPr="004B79A5">
        <w:t>–</w:t>
      </w:r>
      <w:r w:rsidRPr="004B79A5">
        <w:t>39). En viss förbättring i detta avseende har kunnat skönjas men ofta anges bara att regeri</w:t>
      </w:r>
      <w:r w:rsidR="00BA3752" w:rsidRPr="004B79A5">
        <w:t>ngen</w:t>
      </w:r>
      <w:r w:rsidRPr="004B79A5">
        <w:t xml:space="preserve"> </w:t>
      </w:r>
      <w:r w:rsidRPr="004B79A5">
        <w:rPr>
          <w:i/>
        </w:rPr>
        <w:t>informerat</w:t>
      </w:r>
      <w:r w:rsidRPr="004B79A5">
        <w:t xml:space="preserve"> utskott och EU-nämnd när det i </w:t>
      </w:r>
      <w:r w:rsidR="00BA3752" w:rsidRPr="004B79A5">
        <w:t>s</w:t>
      </w:r>
      <w:r w:rsidRPr="004B79A5">
        <w:t>jälva verket varit fråga</w:t>
      </w:r>
      <w:r w:rsidR="009D5FF1" w:rsidRPr="004B79A5">
        <w:t xml:space="preserve"> om</w:t>
      </w:r>
      <w:r w:rsidR="00BA3752" w:rsidRPr="004B79A5">
        <w:t xml:space="preserve"> </w:t>
      </w:r>
      <w:r w:rsidR="00D91172" w:rsidRPr="004B79A5">
        <w:rPr>
          <w:i/>
        </w:rPr>
        <w:t>överläggning</w:t>
      </w:r>
      <w:r w:rsidR="00D91172" w:rsidRPr="004B79A5">
        <w:t xml:space="preserve"> och </w:t>
      </w:r>
      <w:r w:rsidR="00064E17" w:rsidRPr="004B79A5">
        <w:rPr>
          <w:i/>
        </w:rPr>
        <w:t>samråd</w:t>
      </w:r>
      <w:r w:rsidR="00DA48FA" w:rsidRPr="004B79A5">
        <w:t>.</w:t>
      </w:r>
    </w:p>
    <w:p w:rsidR="00FA6343" w:rsidRPr="004B79A5" w:rsidRDefault="00BA3752" w:rsidP="00FA6343">
      <w:pPr>
        <w:pStyle w:val="Normaltindrag"/>
      </w:pPr>
      <w:r w:rsidRPr="004B79A5">
        <w:t xml:space="preserve">Beträffande överträdelseärenden mot Sverige </w:t>
      </w:r>
      <w:r w:rsidR="00FA6343" w:rsidRPr="004B79A5">
        <w:t>finns en bra och utförlig r</w:t>
      </w:r>
      <w:r w:rsidR="00FA6343" w:rsidRPr="004B79A5">
        <w:t>e</w:t>
      </w:r>
      <w:r w:rsidR="00FA6343" w:rsidRPr="004B79A5">
        <w:t xml:space="preserve">dogörelse. Det anges att antalet motiverade yttranden från kommissionen har sjunkit något mot </w:t>
      </w:r>
      <w:r w:rsidR="00DA48FA" w:rsidRPr="004B79A5">
        <w:t xml:space="preserve">år </w:t>
      </w:r>
      <w:r w:rsidR="00FA6343" w:rsidRPr="004B79A5">
        <w:t>2006. Nämnden kan dock konstatera att ant</w:t>
      </w:r>
      <w:r w:rsidR="00FA6343" w:rsidRPr="004B79A5">
        <w:t>a</w:t>
      </w:r>
      <w:r w:rsidR="00FA6343" w:rsidRPr="004B79A5">
        <w:t xml:space="preserve">let ärenden </w:t>
      </w:r>
      <w:r w:rsidR="007F5374" w:rsidRPr="004B79A5">
        <w:t xml:space="preserve">mot Sverige under år 2007 (tio ärenden) </w:t>
      </w:r>
      <w:r w:rsidR="00FA6343" w:rsidRPr="004B79A5">
        <w:t xml:space="preserve">som kommissionen fört till EG-domstolen mer än fördubblats mot </w:t>
      </w:r>
      <w:r w:rsidR="00DA48FA" w:rsidRPr="004B79A5">
        <w:t xml:space="preserve">år </w:t>
      </w:r>
      <w:r w:rsidR="00FA6343" w:rsidRPr="004B79A5">
        <w:t>2006 (fyra ärenden). När det gäl</w:t>
      </w:r>
      <w:r w:rsidR="00976D36" w:rsidRPr="004B79A5">
        <w:t>ler</w:t>
      </w:r>
      <w:r w:rsidR="00FA6343" w:rsidRPr="004B79A5">
        <w:t xml:space="preserve"> överträdelseärenden mot övriga me</w:t>
      </w:r>
      <w:r w:rsidR="00FA6343" w:rsidRPr="004B79A5">
        <w:t>d</w:t>
      </w:r>
      <w:r w:rsidR="00FA6343" w:rsidRPr="004B79A5">
        <w:t xml:space="preserve">lemsstater hänvisas i skrivelsen </w:t>
      </w:r>
      <w:r w:rsidR="00976D36" w:rsidRPr="004B79A5">
        <w:t xml:space="preserve">liksom förra året </w:t>
      </w:r>
      <w:r w:rsidR="00FA6343" w:rsidRPr="004B79A5">
        <w:t>till kommissionens årl</w:t>
      </w:r>
      <w:r w:rsidR="00976D36" w:rsidRPr="004B79A5">
        <w:t>iga</w:t>
      </w:r>
      <w:r w:rsidR="00FA6343" w:rsidRPr="004B79A5">
        <w:t xml:space="preserve"> rapport om kontroll av gemens</w:t>
      </w:r>
      <w:r w:rsidR="00976D36" w:rsidRPr="004B79A5">
        <w:t>kapsrätten</w:t>
      </w:r>
      <w:r w:rsidR="00FA6343" w:rsidRPr="004B79A5">
        <w:t xml:space="preserve">. </w:t>
      </w:r>
      <w:r w:rsidR="00976D36" w:rsidRPr="004B79A5">
        <w:t>E</w:t>
      </w:r>
      <w:r w:rsidR="00FA6343" w:rsidRPr="004B79A5">
        <w:t xml:space="preserve">U-nämnden </w:t>
      </w:r>
      <w:r w:rsidR="00976D36" w:rsidRPr="004B79A5">
        <w:t>välkomnar detta men anser li</w:t>
      </w:r>
      <w:r w:rsidR="00976D36" w:rsidRPr="004B79A5">
        <w:t>k</w:t>
      </w:r>
      <w:r w:rsidR="00976D36" w:rsidRPr="004B79A5">
        <w:t xml:space="preserve">som tidigare att </w:t>
      </w:r>
      <w:r w:rsidR="00FA6343" w:rsidRPr="004B79A5">
        <w:t>en uppgift om var rapporten kan hämtas hade varit av vä</w:t>
      </w:r>
      <w:r w:rsidR="00FA6343" w:rsidRPr="004B79A5">
        <w:t>r</w:t>
      </w:r>
      <w:r w:rsidR="00FA6343" w:rsidRPr="004B79A5">
        <w:t xml:space="preserve">de. </w:t>
      </w:r>
    </w:p>
    <w:p w:rsidR="00552047" w:rsidRPr="004B79A5" w:rsidRDefault="00626190" w:rsidP="00FA6343">
      <w:pPr>
        <w:pStyle w:val="Normaltindrag"/>
        <w:rPr>
          <w:u w:val="single"/>
        </w:rPr>
      </w:pPr>
      <w:r w:rsidRPr="004B79A5">
        <w:t>I förra årets yttrande redogjorde EU-nämnden också för kommissionens r</w:t>
      </w:r>
      <w:r w:rsidRPr="004B79A5">
        <w:t>e</w:t>
      </w:r>
      <w:r w:rsidRPr="004B79A5">
        <w:t xml:space="preserve">lationer med de nationella parlamenten. </w:t>
      </w:r>
      <w:r w:rsidR="001758C8" w:rsidRPr="004B79A5">
        <w:t xml:space="preserve">Efter kammarens behandling </w:t>
      </w:r>
      <w:r w:rsidR="00C51933" w:rsidRPr="004B79A5">
        <w:t xml:space="preserve">av utskottens </w:t>
      </w:r>
      <w:r w:rsidRPr="004B79A5">
        <w:t xml:space="preserve">utlåtanden över grön- och vitböcker </w:t>
      </w:r>
      <w:r w:rsidR="00C51933" w:rsidRPr="004B79A5">
        <w:t xml:space="preserve">samt </w:t>
      </w:r>
      <w:r w:rsidRPr="004B79A5">
        <w:t>andra EU-dokument</w:t>
      </w:r>
      <w:r w:rsidR="00C51933" w:rsidRPr="004B79A5">
        <w:t xml:space="preserve"> delges nu dessa</w:t>
      </w:r>
      <w:r w:rsidRPr="004B79A5">
        <w:t xml:space="preserve"> </w:t>
      </w:r>
      <w:r w:rsidR="001758C8" w:rsidRPr="004B79A5">
        <w:t>regelmässigt</w:t>
      </w:r>
      <w:r w:rsidRPr="004B79A5">
        <w:t xml:space="preserve"> kommissionen. För en utförlig beskrivning av ko</w:t>
      </w:r>
      <w:r w:rsidRPr="004B79A5">
        <w:t>m</w:t>
      </w:r>
      <w:r w:rsidRPr="004B79A5">
        <w:t>missionens förbindelser med de nationella parlamenten kan hänvisas till kommissionens allmänna rapport till Europaparlamentet för år 2007. Rappo</w:t>
      </w:r>
      <w:r w:rsidRPr="004B79A5">
        <w:t>r</w:t>
      </w:r>
      <w:r w:rsidRPr="004B79A5">
        <w:t>ten finns tillgänglig på EU:s he</w:t>
      </w:r>
      <w:r w:rsidRPr="004B79A5">
        <w:t>m</w:t>
      </w:r>
      <w:r w:rsidRPr="004B79A5">
        <w:t>sida</w:t>
      </w:r>
      <w:r w:rsidR="000F23C0" w:rsidRPr="004B79A5">
        <w:t>:</w:t>
      </w:r>
      <w:r w:rsidRPr="004B79A5">
        <w:t xml:space="preserve"> </w:t>
      </w:r>
      <w:r w:rsidR="00E62C63" w:rsidRPr="004B79A5">
        <w:rPr>
          <w:u w:val="single"/>
        </w:rPr>
        <w:t>Allmänna ra</w:t>
      </w:r>
      <w:r w:rsidR="00E62C63" w:rsidRPr="004B79A5">
        <w:rPr>
          <w:u w:val="single"/>
        </w:rPr>
        <w:t>p</w:t>
      </w:r>
      <w:r w:rsidR="00E62C63" w:rsidRPr="004B79A5">
        <w:rPr>
          <w:u w:val="single"/>
        </w:rPr>
        <w:t>porten 2007</w:t>
      </w:r>
      <w:r w:rsidR="003D21F5" w:rsidRPr="004B79A5">
        <w:rPr>
          <w:u w:val="single"/>
        </w:rPr>
        <w:t>.</w:t>
      </w:r>
    </w:p>
    <w:p w:rsidR="002463F4" w:rsidRPr="004B79A5" w:rsidRDefault="002463F4" w:rsidP="00CF1449">
      <w:pPr>
        <w:pStyle w:val="Rubrik4"/>
        <w:rPr>
          <w:noProof w:val="0"/>
        </w:rPr>
      </w:pPr>
      <w:r w:rsidRPr="004B79A5">
        <w:rPr>
          <w:noProof w:val="0"/>
        </w:rPr>
        <w:t>Europeiska revisionsrätten (avsnitt 47.5)</w:t>
      </w:r>
    </w:p>
    <w:p w:rsidR="00626190" w:rsidRPr="004B79A5" w:rsidRDefault="00626190" w:rsidP="002E7487">
      <w:pPr>
        <w:spacing w:before="187"/>
      </w:pPr>
      <w:r w:rsidRPr="004B79A5">
        <w:t xml:space="preserve">Frågor om revisionsrättens verksamhet har engagerat </w:t>
      </w:r>
      <w:r w:rsidR="00613DD4" w:rsidRPr="004B79A5">
        <w:t>E</w:t>
      </w:r>
      <w:r w:rsidRPr="004B79A5">
        <w:t xml:space="preserve">U-nämnden i </w:t>
      </w:r>
      <w:r w:rsidR="00613DD4" w:rsidRPr="004B79A5">
        <w:t>sa</w:t>
      </w:r>
      <w:r w:rsidR="00613DD4" w:rsidRPr="004B79A5">
        <w:t>m</w:t>
      </w:r>
      <w:r w:rsidR="00613DD4" w:rsidRPr="004B79A5">
        <w:t>band med frågan om ansvarsfrihet för</w:t>
      </w:r>
      <w:r w:rsidRPr="004B79A5">
        <w:t xml:space="preserve"> unionens allmänna budget och också i s</w:t>
      </w:r>
      <w:r w:rsidR="00613DD4" w:rsidRPr="004B79A5">
        <w:t>a</w:t>
      </w:r>
      <w:r w:rsidR="00613DD4" w:rsidRPr="004B79A5">
        <w:t>m</w:t>
      </w:r>
      <w:r w:rsidR="00613DD4" w:rsidRPr="004B79A5">
        <w:t>band med översynen av EU:s budget 2008–2009.</w:t>
      </w:r>
      <w:r w:rsidR="008846C1" w:rsidRPr="004B79A5">
        <w:t xml:space="preserve"> Nämnden får här hänv</w:t>
      </w:r>
      <w:r w:rsidR="008846C1" w:rsidRPr="004B79A5">
        <w:t>i</w:t>
      </w:r>
      <w:r w:rsidR="008846C1" w:rsidRPr="004B79A5">
        <w:t>sa till sitt ovan nämnda yttrande till finansutskottet i frågan.</w:t>
      </w:r>
      <w:r w:rsidR="00665D7E" w:rsidRPr="004B79A5">
        <w:t xml:space="preserve"> </w:t>
      </w:r>
      <w:r w:rsidR="00D91172" w:rsidRPr="004B79A5">
        <w:t>Nämnden har också under året informerats om Europeiska revisionsrättens årsrapport av Lars Heikensten, ledamot av Europeiska revisionsrätten.</w:t>
      </w:r>
    </w:p>
    <w:p w:rsidR="002463F4" w:rsidRPr="004B79A5" w:rsidRDefault="002463F4" w:rsidP="00CF1449">
      <w:pPr>
        <w:pStyle w:val="Rubrik4"/>
        <w:rPr>
          <w:noProof w:val="0"/>
        </w:rPr>
      </w:pPr>
      <w:r w:rsidRPr="004B79A5">
        <w:rPr>
          <w:noProof w:val="0"/>
        </w:rPr>
        <w:t>Öppenhet och insyn (avsnitt 47.7)</w:t>
      </w:r>
    </w:p>
    <w:p w:rsidR="002463F4" w:rsidRPr="004B79A5" w:rsidRDefault="008846C1" w:rsidP="00CF1449">
      <w:pPr>
        <w:spacing w:before="187"/>
      </w:pPr>
      <w:r w:rsidRPr="004B79A5">
        <w:t xml:space="preserve">En utförlig redovisning finns här om hur regeringen har fortsatt det tidigare  arbetet med att öka öppenhet och insyn i EU. De nu redovisade framstegen, som nämnden också fått del av genom föredragning av Regeringskansliet om arbetet med målen i EG-domstolen, välkomnas givetvis. </w:t>
      </w:r>
    </w:p>
    <w:p w:rsidR="002463F4" w:rsidRPr="004B79A5" w:rsidRDefault="002463F4" w:rsidP="00CF1449">
      <w:pPr>
        <w:pStyle w:val="Rubrik4"/>
        <w:rPr>
          <w:noProof w:val="0"/>
        </w:rPr>
      </w:pPr>
      <w:r w:rsidRPr="004B79A5">
        <w:rPr>
          <w:noProof w:val="0"/>
        </w:rPr>
        <w:t>Förberedelser för Sveriges ordförandeskap i EU:s ministerråd (avsnitt 47.9)</w:t>
      </w:r>
    </w:p>
    <w:p w:rsidR="00344307" w:rsidRPr="004B79A5" w:rsidRDefault="00344307" w:rsidP="00CF1449">
      <w:pPr>
        <w:pStyle w:val="Utskriftsdatum"/>
        <w:spacing w:before="125"/>
      </w:pPr>
      <w:r w:rsidRPr="004B79A5">
        <w:t xml:space="preserve">Regeringen har ordförandeskapet i EU:s ministerråd under andra halvåret 2009. En beredningsgrupp inom EU-nämnden, liksom riksdagen, har fått information om förberedelserna. </w:t>
      </w:r>
      <w:r w:rsidR="009A6A49" w:rsidRPr="004B79A5">
        <w:t>Det s.k. 18</w:t>
      </w:r>
      <w:r w:rsidR="00064E17" w:rsidRPr="004B79A5">
        <w:t>-</w:t>
      </w:r>
      <w:r w:rsidR="009A6A49" w:rsidRPr="004B79A5">
        <w:t>månadersprogrammet ska också fastställas av ministerrådet</w:t>
      </w:r>
      <w:r w:rsidR="003D21F5" w:rsidRPr="004B79A5">
        <w:t>,</w:t>
      </w:r>
      <w:r w:rsidR="009A6A49" w:rsidRPr="004B79A5">
        <w:t xml:space="preserve"> vilket innebär att samråd </w:t>
      </w:r>
      <w:r w:rsidR="000C4BD5" w:rsidRPr="004B79A5">
        <w:t xml:space="preserve">om detta ska ske i EU-nämnden. </w:t>
      </w:r>
      <w:r w:rsidRPr="004B79A5">
        <w:t>I övrigt vill nämnden framhålla vik</w:t>
      </w:r>
      <w:r w:rsidR="00665D7E" w:rsidRPr="004B79A5">
        <w:t>t</w:t>
      </w:r>
      <w:r w:rsidRPr="004B79A5">
        <w:t>en av att rege</w:t>
      </w:r>
      <w:r w:rsidRPr="004B79A5">
        <w:t>r</w:t>
      </w:r>
      <w:r w:rsidRPr="004B79A5">
        <w:t>ingens agerande som ordförande i rådet förankras i riksdagen</w:t>
      </w:r>
      <w:r w:rsidR="00C5355E" w:rsidRPr="004B79A5">
        <w:t>.</w:t>
      </w:r>
    </w:p>
    <w:p w:rsidR="0093216D" w:rsidRPr="004B79A5" w:rsidRDefault="00006728" w:rsidP="0093216D">
      <w:pPr>
        <w:pStyle w:val="Utskriftsdatum"/>
      </w:pPr>
      <w:r w:rsidRPr="004B79A5">
        <w:br w:type="page"/>
      </w:r>
      <w:r w:rsidR="0093216D" w:rsidRPr="004B79A5">
        <w:t>Stockholm den</w:t>
      </w:r>
      <w:r w:rsidR="00D90B82" w:rsidRPr="004B79A5">
        <w:t xml:space="preserve"> </w:t>
      </w:r>
      <w:r w:rsidR="00D91172" w:rsidRPr="004B79A5">
        <w:t>17</w:t>
      </w:r>
      <w:r w:rsidR="003D21F5" w:rsidRPr="004B79A5">
        <w:t xml:space="preserve"> </w:t>
      </w:r>
      <w:r w:rsidR="00D90B82" w:rsidRPr="004B79A5">
        <w:t>april 2008</w:t>
      </w:r>
      <w:r w:rsidR="0093216D" w:rsidRPr="004B79A5">
        <w:t xml:space="preserve"> </w:t>
      </w:r>
    </w:p>
    <w:p w:rsidR="0093216D" w:rsidRPr="004B79A5" w:rsidRDefault="0093216D" w:rsidP="0093216D">
      <w:r w:rsidRPr="004B79A5">
        <w:t xml:space="preserve">På </w:t>
      </w:r>
      <w:r w:rsidR="002811C2" w:rsidRPr="004B79A5">
        <w:t>EU</w:t>
      </w:r>
      <w:r w:rsidRPr="004B79A5">
        <w:t>-nämndens vägnar</w:t>
      </w:r>
    </w:p>
    <w:p w:rsidR="00D91172" w:rsidRPr="004B79A5" w:rsidRDefault="00D91172" w:rsidP="00D91172">
      <w:pPr>
        <w:pStyle w:val="Normaltindrag"/>
      </w:pPr>
    </w:p>
    <w:p w:rsidR="00D91172" w:rsidRPr="004B79A5" w:rsidRDefault="00D91172" w:rsidP="00CF1449">
      <w:pPr>
        <w:rPr>
          <w:i/>
        </w:rPr>
      </w:pPr>
      <w:r w:rsidRPr="004B79A5">
        <w:rPr>
          <w:i/>
        </w:rPr>
        <w:t>Anna Kinberg Batra</w:t>
      </w:r>
    </w:p>
    <w:p w:rsidR="00D90B82" w:rsidRPr="004B79A5" w:rsidRDefault="00D90B82" w:rsidP="00D90B82">
      <w:pPr>
        <w:pStyle w:val="Normaltindrag"/>
        <w:rPr>
          <w:i/>
        </w:rPr>
      </w:pPr>
    </w:p>
    <w:p w:rsidR="002378D7" w:rsidRPr="004B79A5" w:rsidRDefault="00D90B82" w:rsidP="003D1B7A">
      <w:pPr>
        <w:spacing w:line="240" w:lineRule="auto"/>
      </w:pPr>
      <w:bookmarkStart w:id="20" w:name="Ordförande"/>
      <w:bookmarkStart w:id="21" w:name="Deltagare"/>
      <w:bookmarkEnd w:id="20"/>
      <w:bookmarkEnd w:id="21"/>
      <w:r w:rsidRPr="004B79A5">
        <w:t>Följande ledamöter har deltagit i beslutet:</w:t>
      </w:r>
      <w:r w:rsidR="00D91172" w:rsidRPr="004B79A5">
        <w:t xml:space="preserve"> Anna Kinberg Batra (m), Susa</w:t>
      </w:r>
      <w:r w:rsidR="00D91172" w:rsidRPr="004B79A5">
        <w:t>n</w:t>
      </w:r>
      <w:r w:rsidR="00D91172" w:rsidRPr="004B79A5">
        <w:t>ne Eberstein (s), Sonia Karlsson (s), Bengt-Anders Johansson (m), Staffan Dan</w:t>
      </w:r>
      <w:r w:rsidR="00D91172" w:rsidRPr="004B79A5">
        <w:t>i</w:t>
      </w:r>
      <w:r w:rsidR="00D91172" w:rsidRPr="004B79A5">
        <w:t>elsson (c), Peder Wachtmeister (m), Sven</w:t>
      </w:r>
      <w:r w:rsidR="00D01206" w:rsidRPr="004B79A5">
        <w:t xml:space="preserve"> </w:t>
      </w:r>
      <w:r w:rsidR="00D91172" w:rsidRPr="004B79A5">
        <w:t>Gunnar</w:t>
      </w:r>
      <w:r w:rsidR="00D01206" w:rsidRPr="004B79A5">
        <w:t xml:space="preserve"> </w:t>
      </w:r>
      <w:r w:rsidR="00D91172" w:rsidRPr="004B79A5">
        <w:t>Persson (kd), Jacob Joh</w:t>
      </w:r>
      <w:r w:rsidR="00D91172" w:rsidRPr="004B79A5">
        <w:t>n</w:t>
      </w:r>
      <w:r w:rsidR="00D91172" w:rsidRPr="004B79A5">
        <w:t xml:space="preserve">son (v), </w:t>
      </w:r>
      <w:r w:rsidR="00D01206" w:rsidRPr="004B79A5">
        <w:t xml:space="preserve">Lars Lilja (s), </w:t>
      </w:r>
      <w:r w:rsidR="00544D4D" w:rsidRPr="004B79A5">
        <w:t xml:space="preserve">Christer Winbäck (fp), </w:t>
      </w:r>
      <w:r w:rsidR="00D91172" w:rsidRPr="004B79A5">
        <w:t>Ulf Holm</w:t>
      </w:r>
      <w:r w:rsidR="00D01206" w:rsidRPr="004B79A5">
        <w:t xml:space="preserve"> (mp),</w:t>
      </w:r>
      <w:r w:rsidR="00D91172" w:rsidRPr="004B79A5">
        <w:t xml:space="preserve"> Krister Ha</w:t>
      </w:r>
      <w:r w:rsidR="00D91172" w:rsidRPr="004B79A5">
        <w:t>m</w:t>
      </w:r>
      <w:r w:rsidR="00D91172" w:rsidRPr="004B79A5">
        <w:t>marbergh (m),</w:t>
      </w:r>
      <w:r w:rsidR="00D01206" w:rsidRPr="004B79A5">
        <w:t xml:space="preserve"> Fredrik Olovsson (s), Karl Sigfrid (m), Magdalena S</w:t>
      </w:r>
      <w:r w:rsidR="009157A2" w:rsidRPr="004B79A5">
        <w:t>t</w:t>
      </w:r>
      <w:r w:rsidR="00D01206" w:rsidRPr="004B79A5">
        <w:t>r</w:t>
      </w:r>
      <w:r w:rsidR="00D01206" w:rsidRPr="004B79A5">
        <w:t>e</w:t>
      </w:r>
      <w:r w:rsidR="00D01206" w:rsidRPr="004B79A5">
        <w:t>ijffert (s), Agneta Berliner (fp) och Christina Axel</w:t>
      </w:r>
      <w:r w:rsidR="00D01206" w:rsidRPr="004B79A5">
        <w:t>s</w:t>
      </w:r>
      <w:r w:rsidR="00D01206" w:rsidRPr="004B79A5">
        <w:t>son (s)</w:t>
      </w:r>
    </w:p>
    <w:p w:rsidR="00B101D1" w:rsidRPr="004B79A5" w:rsidRDefault="00B101D1" w:rsidP="002519FC"/>
    <w:p w:rsidR="00B101D1" w:rsidRPr="004B79A5" w:rsidRDefault="00B101D1" w:rsidP="00B101D1">
      <w:pPr>
        <w:pStyle w:val="Normaltindrag"/>
      </w:pPr>
    </w:p>
    <w:p w:rsidR="0093216D" w:rsidRPr="004B79A5" w:rsidRDefault="0093216D" w:rsidP="003D1B7A">
      <w:pPr>
        <w:spacing w:line="240" w:lineRule="auto"/>
        <w:sectPr w:rsidR="0093216D" w:rsidRPr="004B79A5" w:rsidSect="00CA10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3216D" w:rsidRPr="004B79A5" w:rsidRDefault="002378D7" w:rsidP="002378D7">
      <w:pPr>
        <w:pStyle w:val="R1"/>
      </w:pPr>
      <w:r w:rsidRPr="004B79A5">
        <w:t>Innehållsförteckning</w:t>
      </w:r>
    </w:p>
    <w:p w:rsidR="000C4BD5" w:rsidRPr="004B79A5" w:rsidRDefault="000C4BD5">
      <w:pPr>
        <w:pStyle w:val="Innehll1"/>
        <w:rPr>
          <w:sz w:val="24"/>
          <w:szCs w:val="24"/>
        </w:rPr>
      </w:pPr>
      <w:r w:rsidRPr="004B79A5">
        <w:t>Regeringens skrivelse</w:t>
      </w:r>
      <w:r w:rsidRPr="004B79A5">
        <w:tab/>
      </w:r>
      <w:r w:rsidR="00393DBE" w:rsidRPr="004B79A5">
        <w:t>1</w:t>
      </w:r>
    </w:p>
    <w:p w:rsidR="000C4BD5" w:rsidRPr="004B79A5" w:rsidRDefault="000C4BD5">
      <w:pPr>
        <w:pStyle w:val="Innehll1"/>
        <w:rPr>
          <w:sz w:val="24"/>
          <w:szCs w:val="24"/>
        </w:rPr>
      </w:pPr>
      <w:r w:rsidRPr="004B79A5">
        <w:t>EU-nämnden</w:t>
      </w:r>
      <w:r w:rsidRPr="004B79A5">
        <w:tab/>
      </w:r>
      <w:r w:rsidR="00393DBE" w:rsidRPr="004B79A5">
        <w:t>2</w:t>
      </w:r>
    </w:p>
    <w:p w:rsidR="000C4BD5" w:rsidRPr="004B79A5" w:rsidRDefault="000C4BD5">
      <w:pPr>
        <w:pStyle w:val="Innehll2"/>
        <w:rPr>
          <w:sz w:val="24"/>
          <w:szCs w:val="24"/>
        </w:rPr>
      </w:pPr>
      <w:r w:rsidRPr="004B79A5">
        <w:t>Allmänna synpunkter på innehållet i skrivelsen</w:t>
      </w:r>
      <w:r w:rsidRPr="004B79A5">
        <w:tab/>
      </w:r>
      <w:r w:rsidR="00393DBE" w:rsidRPr="004B79A5">
        <w:t>2</w:t>
      </w:r>
    </w:p>
    <w:p w:rsidR="000C4BD5" w:rsidRPr="004B79A5" w:rsidRDefault="000C4BD5">
      <w:pPr>
        <w:pStyle w:val="Innehll2"/>
        <w:rPr>
          <w:sz w:val="24"/>
          <w:szCs w:val="24"/>
        </w:rPr>
      </w:pPr>
      <w:r w:rsidRPr="004B79A5">
        <w:t>Den övergripande utvecklingen i EU (del 1)</w:t>
      </w:r>
      <w:r w:rsidRPr="004B79A5">
        <w:tab/>
      </w:r>
      <w:r w:rsidR="00393DBE" w:rsidRPr="004B79A5">
        <w:t>3</w:t>
      </w:r>
    </w:p>
    <w:p w:rsidR="000C4BD5" w:rsidRPr="004B79A5" w:rsidRDefault="000C4BD5">
      <w:pPr>
        <w:pStyle w:val="Innehll2"/>
        <w:rPr>
          <w:sz w:val="24"/>
          <w:szCs w:val="24"/>
        </w:rPr>
      </w:pPr>
      <w:r w:rsidRPr="004B79A5">
        <w:t>EU:s förbindelser med omvärlden (del 2)</w:t>
      </w:r>
      <w:r w:rsidRPr="004B79A5">
        <w:tab/>
      </w:r>
      <w:r w:rsidR="00393DBE" w:rsidRPr="004B79A5">
        <w:t>4</w:t>
      </w:r>
    </w:p>
    <w:p w:rsidR="000C4BD5" w:rsidRPr="004B79A5" w:rsidRDefault="000C4BD5">
      <w:pPr>
        <w:pStyle w:val="Innehll2"/>
        <w:rPr>
          <w:sz w:val="24"/>
          <w:szCs w:val="24"/>
        </w:rPr>
      </w:pPr>
      <w:r w:rsidRPr="004B79A5">
        <w:t>Ekonomiska och finansiella frågor (del 3)</w:t>
      </w:r>
      <w:r w:rsidRPr="004B79A5">
        <w:tab/>
      </w:r>
      <w:r w:rsidR="00393DBE" w:rsidRPr="004B79A5">
        <w:t>5</w:t>
      </w:r>
    </w:p>
    <w:p w:rsidR="000C4BD5" w:rsidRPr="004B79A5" w:rsidRDefault="000C4BD5">
      <w:pPr>
        <w:pStyle w:val="Innehll2"/>
        <w:rPr>
          <w:sz w:val="24"/>
          <w:szCs w:val="24"/>
        </w:rPr>
      </w:pPr>
      <w:r w:rsidRPr="004B79A5">
        <w:t>Rättsliga och inrikes frågor (del 4)</w:t>
      </w:r>
      <w:r w:rsidRPr="004B79A5">
        <w:tab/>
      </w:r>
      <w:r w:rsidR="00393DBE" w:rsidRPr="004B79A5">
        <w:t>5</w:t>
      </w:r>
    </w:p>
    <w:p w:rsidR="000C4BD5" w:rsidRPr="004B79A5" w:rsidRDefault="000C4BD5">
      <w:pPr>
        <w:pStyle w:val="Innehll2"/>
        <w:rPr>
          <w:sz w:val="24"/>
          <w:szCs w:val="24"/>
        </w:rPr>
      </w:pPr>
      <w:r w:rsidRPr="004B79A5">
        <w:t>Sysselsättning och socialpolitik, hälso- och sjukvård (del 5)</w:t>
      </w:r>
      <w:r w:rsidRPr="004B79A5">
        <w:tab/>
      </w:r>
      <w:r w:rsidR="00393DBE" w:rsidRPr="004B79A5">
        <w:t>7</w:t>
      </w:r>
    </w:p>
    <w:p w:rsidR="000C4BD5" w:rsidRPr="004B79A5" w:rsidRDefault="000C4BD5">
      <w:pPr>
        <w:pStyle w:val="Innehll2"/>
        <w:rPr>
          <w:sz w:val="24"/>
          <w:szCs w:val="24"/>
        </w:rPr>
      </w:pPr>
      <w:r w:rsidRPr="004B79A5">
        <w:t>Konkurrenskraftsfrågor (del 6)</w:t>
      </w:r>
      <w:r w:rsidRPr="004B79A5">
        <w:tab/>
      </w:r>
      <w:r w:rsidR="00393DBE" w:rsidRPr="004B79A5">
        <w:t>7</w:t>
      </w:r>
    </w:p>
    <w:p w:rsidR="000C4BD5" w:rsidRPr="004B79A5" w:rsidRDefault="000C4BD5">
      <w:pPr>
        <w:pStyle w:val="Innehll2"/>
        <w:rPr>
          <w:sz w:val="24"/>
          <w:szCs w:val="24"/>
        </w:rPr>
      </w:pPr>
      <w:r w:rsidRPr="004B79A5">
        <w:t>Transporter, elektroniska kommunikationer och energi (del 7)</w:t>
      </w:r>
      <w:r w:rsidRPr="004B79A5">
        <w:tab/>
      </w:r>
      <w:r w:rsidR="00393DBE" w:rsidRPr="004B79A5">
        <w:t>7</w:t>
      </w:r>
    </w:p>
    <w:p w:rsidR="000C4BD5" w:rsidRPr="004B79A5" w:rsidRDefault="000C4BD5">
      <w:pPr>
        <w:pStyle w:val="Innehll2"/>
        <w:rPr>
          <w:sz w:val="24"/>
          <w:szCs w:val="24"/>
        </w:rPr>
      </w:pPr>
      <w:r w:rsidRPr="004B79A5">
        <w:t>Jordbruk, fiske och livsmedel (del 8)</w:t>
      </w:r>
      <w:r w:rsidRPr="004B79A5">
        <w:tab/>
      </w:r>
      <w:r w:rsidR="00393DBE" w:rsidRPr="004B79A5">
        <w:t>8</w:t>
      </w:r>
    </w:p>
    <w:p w:rsidR="000C4BD5" w:rsidRPr="004B79A5" w:rsidRDefault="000C4BD5">
      <w:pPr>
        <w:pStyle w:val="Innehll2"/>
        <w:rPr>
          <w:sz w:val="24"/>
          <w:szCs w:val="24"/>
        </w:rPr>
      </w:pPr>
      <w:r w:rsidRPr="004B79A5">
        <w:t>Miljö (del 9)</w:t>
      </w:r>
      <w:r w:rsidRPr="004B79A5">
        <w:tab/>
      </w:r>
      <w:r w:rsidR="00393DBE" w:rsidRPr="004B79A5">
        <w:t>9</w:t>
      </w:r>
    </w:p>
    <w:p w:rsidR="000C4BD5" w:rsidRPr="004B79A5" w:rsidRDefault="000C4BD5">
      <w:pPr>
        <w:pStyle w:val="Innehll2"/>
        <w:rPr>
          <w:sz w:val="24"/>
          <w:szCs w:val="24"/>
        </w:rPr>
      </w:pPr>
      <w:r w:rsidRPr="004B79A5">
        <w:t>Utbildning, ungdom och kultur (del 10)</w:t>
      </w:r>
      <w:r w:rsidRPr="004B79A5">
        <w:tab/>
      </w:r>
      <w:r w:rsidR="00393DBE" w:rsidRPr="004B79A5">
        <w:t>9</w:t>
      </w:r>
    </w:p>
    <w:p w:rsidR="000C4BD5" w:rsidRPr="004B79A5" w:rsidRDefault="000C4BD5">
      <w:pPr>
        <w:pStyle w:val="Innehll2"/>
        <w:rPr>
          <w:sz w:val="24"/>
          <w:szCs w:val="24"/>
        </w:rPr>
      </w:pPr>
      <w:r w:rsidRPr="004B79A5">
        <w:t>EU:s institutioner m.m. (del 11)</w:t>
      </w:r>
      <w:r w:rsidRPr="004B79A5">
        <w:tab/>
      </w:r>
      <w:r w:rsidR="00393DBE" w:rsidRPr="004B79A5">
        <w:t>10</w:t>
      </w:r>
    </w:p>
    <w:p w:rsidR="00393DBE" w:rsidRPr="004B79A5" w:rsidRDefault="00393DBE" w:rsidP="002378D7"/>
    <w:p w:rsidR="00393DBE" w:rsidRPr="004B79A5" w:rsidRDefault="00393DBE" w:rsidP="00393DBE">
      <w:pPr>
        <w:pStyle w:val="Tryckort"/>
        <w:framePr w:wrap="around"/>
      </w:pPr>
      <w:r w:rsidRPr="004B79A5">
        <w:t>Elanders, Vällingby  2008</w:t>
      </w:r>
    </w:p>
    <w:p w:rsidR="002378D7" w:rsidRPr="004B79A5" w:rsidRDefault="002378D7" w:rsidP="00393DBE">
      <w:pPr>
        <w:pStyle w:val="Normaltindrag"/>
      </w:pPr>
    </w:p>
    <w:sectPr w:rsidR="002378D7" w:rsidRPr="004B79A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A21" w:rsidRPr="004B79A5" w:rsidRDefault="00306A21">
      <w:r w:rsidRPr="004B79A5">
        <w:separator/>
      </w:r>
    </w:p>
  </w:endnote>
  <w:endnote w:type="continuationSeparator" w:id="0">
    <w:p w:rsidR="00306A21" w:rsidRPr="004B79A5" w:rsidRDefault="00306A21">
      <w:r w:rsidRPr="004B79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t>10</w:t>
    </w:r>
    <w:r w:rsidRPr="004B79A5">
      <w:fldChar w:fldCharType="end"/>
    </w:r>
  </w:p>
  <w:p w:rsidR="00561761" w:rsidRPr="004B79A5" w:rsidRDefault="005617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H"/>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t>11</w:t>
    </w:r>
    <w:r w:rsidRPr="004B79A5">
      <w:fldChar w:fldCharType="end"/>
    </w:r>
  </w:p>
  <w:p w:rsidR="00561761" w:rsidRPr="004B79A5" w:rsidRDefault="005617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if </w:instrText>
    </w:r>
    <w:r w:rsidRPr="004B79A5">
      <w:fldChar w:fldCharType="begin" w:fldLock="1"/>
    </w:r>
    <w:r w:rsidRPr="004B79A5">
      <w:instrText xml:space="preserve"> = </w:instrText>
    </w:r>
    <w:r w:rsidRPr="004B79A5">
      <w:fldChar w:fldCharType="begin" w:fldLock="1"/>
    </w:r>
    <w:r w:rsidRPr="004B79A5">
      <w:instrText xml:space="preserve"> = </w:instrText>
    </w:r>
    <w:r w:rsidRPr="004B79A5">
      <w:fldChar w:fldCharType="begin" w:fldLock="1"/>
    </w:r>
    <w:r w:rsidRPr="004B79A5">
      <w:instrText xml:space="preserve"> page</w:instrText>
    </w:r>
    <w:r w:rsidRPr="004B79A5">
      <w:fldChar w:fldCharType="separate"/>
    </w:r>
    <w:r w:rsidR="004B79A5">
      <w:rPr>
        <w:noProof/>
      </w:rPr>
      <w:instrText>1</w:instrText>
    </w:r>
    <w:r w:rsidRPr="004B79A5">
      <w:fldChar w:fldCharType="end"/>
    </w:r>
    <w:r w:rsidRPr="004B79A5">
      <w:instrText xml:space="preserve">/2 </w:instrText>
    </w:r>
    <w:r w:rsidRPr="004B79A5">
      <w:fldChar w:fldCharType="separate"/>
    </w:r>
    <w:r w:rsidR="004B79A5">
      <w:rPr>
        <w:noProof/>
      </w:rPr>
      <w:instrText>0,5</w:instrText>
    </w:r>
    <w:r w:rsidRPr="004B79A5">
      <w:fldChar w:fldCharType="end"/>
    </w:r>
    <w:r w:rsidRPr="004B79A5">
      <w:instrText xml:space="preserve"> - </w:instrText>
    </w:r>
    <w:r w:rsidRPr="004B79A5">
      <w:fldChar w:fldCharType="begin" w:fldLock="1"/>
    </w:r>
    <w:r w:rsidRPr="004B79A5">
      <w:instrText xml:space="preserve"> = int(</w:instrText>
    </w:r>
    <w:r w:rsidRPr="004B79A5">
      <w:fldChar w:fldCharType="begin" w:fldLock="1"/>
    </w:r>
    <w:r w:rsidRPr="004B79A5">
      <w:instrText xml:space="preserve"> page</w:instrText>
    </w:r>
    <w:r w:rsidRPr="004B79A5">
      <w:fldChar w:fldCharType="separate"/>
    </w:r>
    <w:r w:rsidR="004B79A5">
      <w:rPr>
        <w:noProof/>
      </w:rPr>
      <w:instrText>1</w:instrText>
    </w:r>
    <w:r w:rsidRPr="004B79A5">
      <w:fldChar w:fldCharType="end"/>
    </w:r>
    <w:r w:rsidRPr="004B79A5">
      <w:instrText xml:space="preserve">/2) </w:instrText>
    </w:r>
    <w:r w:rsidRPr="004B79A5">
      <w:fldChar w:fldCharType="separate"/>
    </w:r>
    <w:r w:rsidR="004B79A5">
      <w:rPr>
        <w:noProof/>
      </w:rPr>
      <w:instrText>0</w:instrText>
    </w:r>
    <w:r w:rsidRPr="004B79A5">
      <w:fldChar w:fldCharType="end"/>
    </w:r>
    <w:r w:rsidRPr="004B79A5">
      <w:fldChar w:fldCharType="separate"/>
    </w:r>
    <w:r w:rsidR="004B79A5">
      <w:rPr>
        <w:noProof/>
      </w:rPr>
      <w:instrText>0,5</w:instrText>
    </w:r>
    <w:r w:rsidRPr="004B79A5">
      <w:fldChar w:fldCharType="end"/>
    </w:r>
    <w:r w:rsidRPr="004B79A5">
      <w:instrText xml:space="preserve"> = 0 "</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instrText>14</w:instrText>
    </w:r>
    <w:r w:rsidRPr="004B79A5">
      <w:fldChar w:fldCharType="end"/>
    </w:r>
  </w:p>
  <w:p w:rsidR="00561761" w:rsidRPr="004B79A5" w:rsidRDefault="00561761">
    <w:pPr>
      <w:pStyle w:val="SidfotH"/>
      <w:framePr w:w="8732" w:h="284" w:hRule="exact" w:hSpace="0" w:vSpace="0" w:wrap="around" w:xAlign="inside" w:y="13042" w:anchorLock="0"/>
    </w:pPr>
    <w:r w:rsidRPr="004B79A5">
      <w:instrText>""</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004B79A5">
      <w:rPr>
        <w:noProof/>
      </w:rPr>
      <w:instrText>1</w:instrText>
    </w:r>
    <w:r w:rsidRPr="004B79A5">
      <w:fldChar w:fldCharType="end"/>
    </w:r>
    <w:r w:rsidRPr="004B79A5">
      <w:instrText>"</w:instrText>
    </w:r>
    <w:r w:rsidRPr="004B79A5">
      <w:fldChar w:fldCharType="separate"/>
    </w:r>
    <w:r w:rsidR="004B79A5">
      <w:rPr>
        <w:noProof/>
      </w:rPr>
      <w:t>1</w:t>
    </w:r>
    <w:r w:rsidRPr="004B79A5">
      <w:fldChar w:fldCharType="end"/>
    </w:r>
  </w:p>
  <w:p w:rsidR="00561761" w:rsidRPr="004B79A5" w:rsidRDefault="0056176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00617BD3" w:rsidRPr="004B79A5">
      <w:t>12</w:t>
    </w:r>
    <w:r w:rsidRPr="004B79A5">
      <w:fldChar w:fldCharType="end"/>
    </w:r>
  </w:p>
  <w:p w:rsidR="00561761" w:rsidRPr="004B79A5" w:rsidRDefault="0056176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H"/>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00617BD3" w:rsidRPr="004B79A5">
      <w:t>11</w:t>
    </w:r>
    <w:r w:rsidRPr="004B79A5">
      <w:fldChar w:fldCharType="end"/>
    </w:r>
  </w:p>
  <w:p w:rsidR="00561761" w:rsidRPr="004B79A5" w:rsidRDefault="0056176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if </w:instrText>
    </w:r>
    <w:r w:rsidRPr="004B79A5">
      <w:fldChar w:fldCharType="begin" w:fldLock="1"/>
    </w:r>
    <w:r w:rsidRPr="004B79A5">
      <w:instrText xml:space="preserve"> = </w:instrText>
    </w:r>
    <w:r w:rsidRPr="004B79A5">
      <w:fldChar w:fldCharType="begin" w:fldLock="1"/>
    </w:r>
    <w:r w:rsidRPr="004B79A5">
      <w:instrText xml:space="preserve"> = </w:instrText>
    </w:r>
    <w:r w:rsidRPr="004B79A5">
      <w:fldChar w:fldCharType="begin" w:fldLock="1"/>
    </w:r>
    <w:r w:rsidRPr="004B79A5">
      <w:instrText xml:space="preserve"> page</w:instrText>
    </w:r>
    <w:r w:rsidRPr="004B79A5">
      <w:fldChar w:fldCharType="separate"/>
    </w:r>
    <w:r w:rsidR="00617BD3" w:rsidRPr="004B79A5">
      <w:instrText>2</w:instrText>
    </w:r>
    <w:r w:rsidRPr="004B79A5">
      <w:fldChar w:fldCharType="end"/>
    </w:r>
    <w:r w:rsidRPr="004B79A5">
      <w:instrText xml:space="preserve">/2 </w:instrText>
    </w:r>
    <w:r w:rsidRPr="004B79A5">
      <w:fldChar w:fldCharType="separate"/>
    </w:r>
    <w:r w:rsidR="00617BD3" w:rsidRPr="004B79A5">
      <w:instrText>1</w:instrText>
    </w:r>
    <w:r w:rsidRPr="004B79A5">
      <w:fldChar w:fldCharType="end"/>
    </w:r>
    <w:r w:rsidRPr="004B79A5">
      <w:instrText xml:space="preserve"> - </w:instrText>
    </w:r>
    <w:r w:rsidRPr="004B79A5">
      <w:fldChar w:fldCharType="begin" w:fldLock="1"/>
    </w:r>
    <w:r w:rsidRPr="004B79A5">
      <w:instrText xml:space="preserve"> = int(</w:instrText>
    </w:r>
    <w:r w:rsidRPr="004B79A5">
      <w:fldChar w:fldCharType="begin" w:fldLock="1"/>
    </w:r>
    <w:r w:rsidRPr="004B79A5">
      <w:instrText xml:space="preserve"> page</w:instrText>
    </w:r>
    <w:r w:rsidRPr="004B79A5">
      <w:fldChar w:fldCharType="separate"/>
    </w:r>
    <w:r w:rsidR="00617BD3" w:rsidRPr="004B79A5">
      <w:instrText>2</w:instrText>
    </w:r>
    <w:r w:rsidRPr="004B79A5">
      <w:fldChar w:fldCharType="end"/>
    </w:r>
    <w:r w:rsidRPr="004B79A5">
      <w:instrText xml:space="preserve">/2) </w:instrText>
    </w:r>
    <w:r w:rsidRPr="004B79A5">
      <w:fldChar w:fldCharType="separate"/>
    </w:r>
    <w:r w:rsidR="00617BD3" w:rsidRPr="004B79A5">
      <w:instrText>1</w:instrText>
    </w:r>
    <w:r w:rsidRPr="004B79A5">
      <w:fldChar w:fldCharType="end"/>
    </w:r>
    <w:r w:rsidRPr="004B79A5">
      <w:fldChar w:fldCharType="separate"/>
    </w:r>
    <w:r w:rsidR="00617BD3" w:rsidRPr="004B79A5">
      <w:instrText>0</w:instrText>
    </w:r>
    <w:r w:rsidRPr="004B79A5">
      <w:fldChar w:fldCharType="end"/>
    </w:r>
    <w:r w:rsidRPr="004B79A5">
      <w:instrText xml:space="preserve"> = 0 "</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00617BD3" w:rsidRPr="004B79A5">
      <w:instrText>2</w:instrText>
    </w:r>
    <w:r w:rsidRPr="004B79A5">
      <w:fldChar w:fldCharType="end"/>
    </w:r>
  </w:p>
  <w:p w:rsidR="00617BD3" w:rsidRPr="004B79A5" w:rsidRDefault="00561761">
    <w:pPr>
      <w:pStyle w:val="SidfotV"/>
      <w:framePr w:w="8732" w:h="284" w:hRule="exact" w:hSpace="0" w:vSpace="0" w:wrap="around" w:xAlign="inside" w:y="13042" w:anchorLock="0"/>
    </w:pPr>
    <w:r w:rsidRPr="004B79A5">
      <w:instrText>""</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instrText>3</w:instrText>
    </w:r>
    <w:r w:rsidRPr="004B79A5">
      <w:fldChar w:fldCharType="end"/>
    </w:r>
    <w:r w:rsidRPr="004B79A5">
      <w:instrText>"</w:instrText>
    </w:r>
    <w:r w:rsidRPr="004B79A5">
      <w:fldChar w:fldCharType="separate"/>
    </w:r>
    <w:r w:rsidR="00617BD3" w:rsidRPr="004B79A5">
      <w:t>2</w:t>
    </w:r>
  </w:p>
  <w:p w:rsidR="00561761" w:rsidRPr="004B79A5" w:rsidRDefault="00561761">
    <w:pPr>
      <w:pStyle w:val="SidfotH"/>
      <w:framePr w:w="8732" w:h="284" w:hRule="exact" w:hSpace="0" w:vSpace="0" w:wrap="around" w:xAlign="inside" w:y="13042" w:anchorLock="0"/>
    </w:pPr>
    <w:r w:rsidRPr="004B79A5">
      <w:fldChar w:fldCharType="end"/>
    </w:r>
  </w:p>
  <w:p w:rsidR="00561761" w:rsidRPr="004B79A5" w:rsidRDefault="0056176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t>2</w:t>
    </w:r>
    <w:r w:rsidRPr="004B79A5">
      <w:fldChar w:fldCharType="end"/>
    </w:r>
  </w:p>
  <w:p w:rsidR="00561761" w:rsidRPr="004B79A5" w:rsidRDefault="0056176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H"/>
      <w:framePr w:w="8732" w:h="284" w:hRule="exact" w:hSpace="0" w:vSpace="0" w:wrap="around" w:xAlign="inside" w:y="13042" w:anchorLock="0"/>
    </w:pP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t>3</w:t>
    </w:r>
    <w:r w:rsidRPr="004B79A5">
      <w:fldChar w:fldCharType="end"/>
    </w:r>
  </w:p>
  <w:p w:rsidR="00561761" w:rsidRPr="004B79A5" w:rsidRDefault="0056176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fotV"/>
      <w:framePr w:w="8732" w:h="284" w:hRule="exact" w:hSpace="0" w:vSpace="0" w:wrap="around" w:xAlign="inside" w:y="13042" w:anchorLock="0"/>
    </w:pPr>
    <w:r w:rsidRPr="004B79A5">
      <w:fldChar w:fldCharType="begin" w:fldLock="1"/>
    </w:r>
    <w:r w:rsidRPr="004B79A5">
      <w:instrText xml:space="preserve"> if </w:instrText>
    </w:r>
    <w:r w:rsidRPr="004B79A5">
      <w:fldChar w:fldCharType="begin" w:fldLock="1"/>
    </w:r>
    <w:r w:rsidRPr="004B79A5">
      <w:instrText xml:space="preserve"> = </w:instrText>
    </w:r>
    <w:r w:rsidRPr="004B79A5">
      <w:fldChar w:fldCharType="begin" w:fldLock="1"/>
    </w:r>
    <w:r w:rsidRPr="004B79A5">
      <w:instrText xml:space="preserve"> = </w:instrText>
    </w:r>
    <w:r w:rsidRPr="004B79A5">
      <w:fldChar w:fldCharType="begin" w:fldLock="1"/>
    </w:r>
    <w:r w:rsidRPr="004B79A5">
      <w:instrText xml:space="preserve"> page</w:instrText>
    </w:r>
    <w:r w:rsidRPr="004B79A5">
      <w:fldChar w:fldCharType="separate"/>
    </w:r>
    <w:r w:rsidR="00617BD3" w:rsidRPr="004B79A5">
      <w:instrText>13</w:instrText>
    </w:r>
    <w:r w:rsidRPr="004B79A5">
      <w:fldChar w:fldCharType="end"/>
    </w:r>
    <w:r w:rsidRPr="004B79A5">
      <w:instrText xml:space="preserve">/2 </w:instrText>
    </w:r>
    <w:r w:rsidRPr="004B79A5">
      <w:fldChar w:fldCharType="separate"/>
    </w:r>
    <w:r w:rsidR="00617BD3" w:rsidRPr="004B79A5">
      <w:instrText>6,5</w:instrText>
    </w:r>
    <w:r w:rsidRPr="004B79A5">
      <w:fldChar w:fldCharType="end"/>
    </w:r>
    <w:r w:rsidRPr="004B79A5">
      <w:instrText xml:space="preserve"> - </w:instrText>
    </w:r>
    <w:r w:rsidRPr="004B79A5">
      <w:fldChar w:fldCharType="begin" w:fldLock="1"/>
    </w:r>
    <w:r w:rsidRPr="004B79A5">
      <w:instrText xml:space="preserve"> = int(</w:instrText>
    </w:r>
    <w:r w:rsidRPr="004B79A5">
      <w:fldChar w:fldCharType="begin" w:fldLock="1"/>
    </w:r>
    <w:r w:rsidRPr="004B79A5">
      <w:instrText xml:space="preserve"> page</w:instrText>
    </w:r>
    <w:r w:rsidRPr="004B79A5">
      <w:fldChar w:fldCharType="separate"/>
    </w:r>
    <w:r w:rsidR="00617BD3" w:rsidRPr="004B79A5">
      <w:instrText>13</w:instrText>
    </w:r>
    <w:r w:rsidRPr="004B79A5">
      <w:fldChar w:fldCharType="end"/>
    </w:r>
    <w:r w:rsidRPr="004B79A5">
      <w:instrText xml:space="preserve">/2) </w:instrText>
    </w:r>
    <w:r w:rsidRPr="004B79A5">
      <w:fldChar w:fldCharType="separate"/>
    </w:r>
    <w:r w:rsidR="00617BD3" w:rsidRPr="004B79A5">
      <w:instrText>6</w:instrText>
    </w:r>
    <w:r w:rsidRPr="004B79A5">
      <w:fldChar w:fldCharType="end"/>
    </w:r>
    <w:r w:rsidRPr="004B79A5">
      <w:fldChar w:fldCharType="separate"/>
    </w:r>
    <w:r w:rsidR="00617BD3" w:rsidRPr="004B79A5">
      <w:instrText>0,5</w:instrText>
    </w:r>
    <w:r w:rsidRPr="004B79A5">
      <w:fldChar w:fldCharType="end"/>
    </w:r>
    <w:r w:rsidRPr="004B79A5">
      <w:instrText xml:space="preserve"> = 0 "</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Pr="004B79A5">
      <w:instrText>14</w:instrText>
    </w:r>
    <w:r w:rsidRPr="004B79A5">
      <w:fldChar w:fldCharType="end"/>
    </w:r>
  </w:p>
  <w:p w:rsidR="00561761" w:rsidRPr="004B79A5" w:rsidRDefault="00561761">
    <w:pPr>
      <w:pStyle w:val="SidfotH"/>
      <w:framePr w:w="8732" w:h="284" w:hRule="exact" w:hSpace="0" w:vSpace="0" w:wrap="around" w:xAlign="inside" w:y="13042" w:anchorLock="0"/>
    </w:pPr>
    <w:r w:rsidRPr="004B79A5">
      <w:instrText>""</w:instrText>
    </w:r>
    <w:r w:rsidRPr="004B79A5">
      <w:fldChar w:fldCharType="begin" w:fldLock="1"/>
    </w:r>
    <w:r w:rsidRPr="004B79A5">
      <w:instrText xml:space="preserve"> P</w:instrText>
    </w:r>
    <w:r w:rsidRPr="004B79A5">
      <w:instrText>A</w:instrText>
    </w:r>
    <w:r w:rsidRPr="004B79A5">
      <w:instrText xml:space="preserve">GE </w:instrText>
    </w:r>
    <w:r w:rsidRPr="004B79A5">
      <w:fldChar w:fldCharType="separate"/>
    </w:r>
    <w:r w:rsidR="00617BD3" w:rsidRPr="004B79A5">
      <w:instrText>13</w:instrText>
    </w:r>
    <w:r w:rsidRPr="004B79A5">
      <w:fldChar w:fldCharType="end"/>
    </w:r>
    <w:r w:rsidRPr="004B79A5">
      <w:instrText>"</w:instrText>
    </w:r>
    <w:r w:rsidRPr="004B79A5">
      <w:fldChar w:fldCharType="separate"/>
    </w:r>
    <w:r w:rsidR="00617BD3" w:rsidRPr="004B79A5">
      <w:t>13</w:t>
    </w:r>
    <w:r w:rsidRPr="004B79A5">
      <w:fldChar w:fldCharType="end"/>
    </w:r>
  </w:p>
  <w:p w:rsidR="00561761" w:rsidRPr="004B79A5" w:rsidRDefault="00561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A21" w:rsidRPr="004B79A5" w:rsidRDefault="00306A21">
      <w:r w:rsidRPr="004B79A5">
        <w:separator/>
      </w:r>
    </w:p>
  </w:footnote>
  <w:footnote w:type="continuationSeparator" w:id="0">
    <w:p w:rsidR="00306A21" w:rsidRPr="004B79A5" w:rsidRDefault="00306A21">
      <w:r w:rsidRPr="004B79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huvudKantJmn"/>
      <w:framePr w:w="8732" w:h="567" w:hRule="exact" w:vSpace="0" w:wrap="around" w:vAnchor="page" w:y="341" w:anchorLock="0"/>
    </w:pPr>
    <w:r w:rsidRPr="004B79A5">
      <w:rPr>
        <w:rStyle w:val="SidhuvudUtskott"/>
      </w:rPr>
      <w:fldChar w:fldCharType="begin" w:fldLock="1"/>
    </w:r>
    <w:r w:rsidRPr="004B79A5">
      <w:rPr>
        <w:rStyle w:val="SidhuvudUtskott"/>
      </w:rPr>
      <w:instrText xml:space="preserve"> DOCPROPERTY BetänkandeÅr</w:instrText>
    </w:r>
    <w:r w:rsidRPr="004B79A5">
      <w:rPr>
        <w:rStyle w:val="SidhuvudUtskott"/>
      </w:rPr>
      <w:fldChar w:fldCharType="separate"/>
    </w:r>
    <w:r w:rsidRPr="004B79A5">
      <w:rPr>
        <w:rStyle w:val="SidhuvudUtskott"/>
      </w:rPr>
      <w:t>2007/08</w:t>
    </w:r>
    <w:r w:rsidRPr="004B79A5">
      <w:rPr>
        <w:rStyle w:val="SidhuvudUtskott"/>
      </w:rPr>
      <w:fldChar w:fldCharType="end"/>
    </w:r>
    <w:r w:rsidRPr="004B79A5">
      <w:rPr>
        <w:rStyle w:val="SidhuvudUtskott"/>
      </w:rPr>
      <w:t>:</w:t>
    </w:r>
    <w:r w:rsidRPr="004B79A5">
      <w:rPr>
        <w:rStyle w:val="SidhuvudUtskott"/>
      </w:rPr>
      <w:fldChar w:fldCharType="begin" w:fldLock="1"/>
    </w:r>
    <w:r w:rsidRPr="004B79A5">
      <w:rPr>
        <w:rStyle w:val="SidhuvudUtskott"/>
      </w:rPr>
      <w:instrText xml:space="preserve"> DOCPROPERTY Utskott</w:instrText>
    </w:r>
    <w:r w:rsidRPr="004B79A5">
      <w:rPr>
        <w:rStyle w:val="SidhuvudUtskott"/>
      </w:rPr>
      <w:fldChar w:fldCharType="separate"/>
    </w:r>
    <w:r w:rsidRPr="004B79A5">
      <w:rPr>
        <w:rStyle w:val="SidhuvudUtskott"/>
      </w:rPr>
      <w:t>EUN</w: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DOCPROPERTY BetänkandeNr</w:instrText>
    </w:r>
    <w:r w:rsidRPr="004B79A5">
      <w:rPr>
        <w:rStyle w:val="SidhuvudUtskott"/>
      </w:rPr>
      <w:fldChar w:fldCharType="separate"/>
    </w:r>
    <w:r w:rsidRPr="004B79A5">
      <w:rPr>
        <w:rStyle w:val="SidhuvudUtskott"/>
      </w:rPr>
      <w:t>2Y</w:t>
    </w:r>
    <w:r w:rsidRPr="004B79A5">
      <w:rPr>
        <w:rStyle w:val="SidhuvudUtskott"/>
      </w:rPr>
      <w:fldChar w:fldCharType="end"/>
    </w:r>
    <w:r w:rsidRPr="004B79A5">
      <w:t xml:space="preserve">     </w:t>
    </w:r>
    <w:r w:rsidRPr="004B79A5">
      <w:rPr>
        <w:rStyle w:val="SidhuvudBilaga"/>
      </w:rPr>
      <w:t xml:space="preserve"> </w:t>
    </w:r>
    <w:r w:rsidRPr="004B79A5">
      <w:rPr>
        <w:rStyle w:val="SidhuvudRubrikReferens"/>
      </w:rPr>
      <w:fldChar w:fldCharType="begin" w:fldLock="1"/>
    </w:r>
    <w:r w:rsidRPr="004B79A5">
      <w:rPr>
        <w:rStyle w:val="SidhuvudRubrikReferens"/>
      </w:rPr>
      <w:instrText xml:space="preserve"> StyleREF "Rubrik 1" EU-nämnden</w:instrText>
    </w:r>
    <w:r w:rsidRPr="004B79A5">
      <w:rPr>
        <w:rStyle w:val="SidhuvudRubrikReferens"/>
      </w:rPr>
      <w:fldChar w:fldCharType="separate"/>
    </w:r>
    <w:r w:rsidRPr="004B79A5">
      <w:rPr>
        <w:rStyle w:val="SidhuvudRubrikReferens"/>
        <w:b/>
        <w:bCs/>
      </w:rPr>
      <w:t>Fel! Formatmallen är inte definierad.</w:t>
    </w:r>
    <w:r w:rsidRPr="004B79A5">
      <w:rPr>
        <w:rStyle w:val="SidhuvudRubrikReferens"/>
      </w:rPr>
      <w:fldChar w:fldCharType="end"/>
    </w:r>
  </w:p>
  <w:p w:rsidR="00561761" w:rsidRPr="004B79A5" w:rsidRDefault="00561761">
    <w:pPr>
      <w:pStyle w:val="SidhuvudKantJmn"/>
      <w:framePr w:w="8732" w:h="567" w:hRule="exact" w:vSpace="0" w:wrap="around" w:vAnchor="page" w:y="341" w:anchorLock="0"/>
    </w:pPr>
    <w:r w:rsidRPr="004B79A5">
      <w:rPr>
        <w:rStyle w:val="SidhuvudUtskott"/>
      </w:rPr>
      <w:fldChar w:fldCharType="begin" w:fldLock="1"/>
    </w:r>
    <w:r w:rsidRPr="004B79A5">
      <w:rPr>
        <w:rStyle w:val="SidhuvudUtskott"/>
      </w:rPr>
      <w:instrText xml:space="preserve"> DOCPROPERTY Status</w:instrText>
    </w:r>
    <w:r w:rsidRPr="004B79A5">
      <w:rPr>
        <w:rStyle w:val="SidhuvudUtskott"/>
      </w:rPr>
      <w:fldChar w:fldCharType="end"/>
    </w:r>
    <w:r w:rsidRPr="004B79A5">
      <w:rPr>
        <w:rStyle w:val="SidhuvudUtskott"/>
      </w:rPr>
      <w:fldChar w:fldCharType="begin" w:fldLock="1"/>
    </w:r>
    <w:r w:rsidRPr="004B79A5">
      <w:rPr>
        <w:rStyle w:val="SidhuvudUtskott"/>
      </w:rPr>
      <w:instrText xml:space="preserve"> if </w:instrText>
    </w:r>
    <w:r w:rsidRPr="004B79A5">
      <w:rPr>
        <w:rStyle w:val="SidhuvudUtskott"/>
      </w:rPr>
      <w:fldChar w:fldCharType="begin" w:fldLock="1"/>
    </w:r>
    <w:r w:rsidRPr="004B79A5">
      <w:rPr>
        <w:rStyle w:val="SidhuvudUtskott"/>
      </w:rPr>
      <w:instrText xml:space="preserve"> DOCPROPERTY "UtkastDatum"</w:instrText>
    </w:r>
    <w:r w:rsidRPr="004B79A5">
      <w:rPr>
        <w:rStyle w:val="SidhuvudUtskott"/>
      </w:rPr>
      <w:fldChar w:fldCharType="separate"/>
    </w:r>
    <w:r w:rsidRPr="004B79A5">
      <w:rPr>
        <w:rStyle w:val="SidhuvudUtskott"/>
      </w:rPr>
      <w:instrText>Nej</w:instrText>
    </w:r>
    <w:r w:rsidRPr="004B79A5">
      <w:rPr>
        <w:rStyle w:val="SidhuvudUtskott"/>
      </w:rPr>
      <w:fldChar w:fldCharType="end"/>
    </w:r>
    <w:r w:rsidRPr="004B79A5">
      <w:rPr>
        <w:rStyle w:val="SidhuvudUtskott"/>
      </w:rPr>
      <w:instrText xml:space="preserve"> = "Ja" "    </w:instrText>
    </w:r>
    <w:r w:rsidRPr="004B79A5">
      <w:rPr>
        <w:rStyle w:val="SidhuvudUtskott"/>
      </w:rPr>
      <w:fldChar w:fldCharType="begin" w:fldLock="1"/>
    </w:r>
    <w:r w:rsidRPr="004B79A5">
      <w:rPr>
        <w:rStyle w:val="SidhuvudUtskott"/>
      </w:rPr>
      <w:instrText xml:space="preserve"> PRINTDATE \@ "yyyy-MM-dd HH.mm" </w:instrText>
    </w:r>
    <w:r w:rsidRPr="004B79A5">
      <w:rPr>
        <w:rStyle w:val="SidhuvudUtskott"/>
      </w:rPr>
      <w:fldChar w:fldCharType="separate"/>
    </w:r>
    <w:r w:rsidRPr="004B79A5">
      <w:rPr>
        <w:rStyle w:val="SidhuvudUtskott"/>
      </w:rPr>
      <w:instrText>2000-08-11 16.42</w:instrText>
    </w:r>
    <w:r w:rsidRPr="004B79A5">
      <w:rPr>
        <w:rStyle w:val="SidhuvudUtskott"/>
      </w:rPr>
      <w:fldChar w:fldCharType="end"/>
    </w:r>
    <w:r w:rsidRPr="004B79A5">
      <w:rPr>
        <w:rStyle w:val="SidhuvudUtskott"/>
      </w:rPr>
      <w:instrText xml:space="preserve">" </w:instrText>
    </w:r>
    <w:r w:rsidRPr="004B79A5">
      <w:rPr>
        <w:rStyle w:val="SidhuvudUtskott"/>
      </w:rPr>
      <w:fldChar w:fldCharType="end"/>
    </w:r>
  </w:p>
  <w:p w:rsidR="00561761" w:rsidRPr="004B79A5" w:rsidRDefault="0056176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huvudKantUdda"/>
      <w:framePr w:w="8732" w:h="567" w:hRule="exact" w:vSpace="0" w:wrap="around" w:vAnchor="page" w:y="341" w:anchorLock="0"/>
    </w:pPr>
    <w:r w:rsidRPr="004B79A5">
      <w:rPr>
        <w:rStyle w:val="SidhuvudRubrikReferens"/>
      </w:rPr>
      <w:fldChar w:fldCharType="begin" w:fldLock="1"/>
    </w:r>
    <w:r w:rsidRPr="004B79A5">
      <w:rPr>
        <w:rStyle w:val="SidhuvudRubrikReferens"/>
      </w:rPr>
      <w:instrText xml:space="preserve"> StyleREF "Rubrik 1" </w:instrText>
    </w:r>
    <w:r w:rsidRPr="004B79A5">
      <w:rPr>
        <w:rStyle w:val="SidhuvudRubrikReferens"/>
      </w:rPr>
      <w:fldChar w:fldCharType="separate"/>
    </w:r>
    <w:r w:rsidRPr="004B79A5">
      <w:rPr>
        <w:rStyle w:val="SidhuvudRubrikReferens"/>
      </w:rPr>
      <w:t>Regeringens skrivelse</w:t>
    </w:r>
    <w:r w:rsidRPr="004B79A5">
      <w:rPr>
        <w:rStyle w:val="SidhuvudRubrikReferens"/>
      </w:rPr>
      <w:fldChar w:fldCharType="end"/>
    </w:r>
    <w:r w:rsidRPr="004B79A5">
      <w:rPr>
        <w:rStyle w:val="SidhuvudBilaga"/>
      </w:rPr>
      <w:t xml:space="preserve"> </w:t>
    </w:r>
    <w:r w:rsidRPr="004B79A5">
      <w:t xml:space="preserve">     </w:t>
    </w:r>
    <w:r w:rsidRPr="004B79A5">
      <w:rPr>
        <w:rStyle w:val="SidhuvudUtskott"/>
      </w:rPr>
      <w:fldChar w:fldCharType="begin" w:fldLock="1"/>
    </w:r>
    <w:r w:rsidRPr="004B79A5">
      <w:rPr>
        <w:rStyle w:val="SidhuvudUtskott"/>
      </w:rPr>
      <w:instrText xml:space="preserve"> DOCPROPERTY BetänkandeÅr</w:instrText>
    </w:r>
    <w:r w:rsidRPr="004B79A5">
      <w:rPr>
        <w:rStyle w:val="SidhuvudUtskott"/>
      </w:rPr>
      <w:fldChar w:fldCharType="separate"/>
    </w:r>
    <w:r w:rsidRPr="004B79A5">
      <w:rPr>
        <w:rStyle w:val="SidhuvudUtskott"/>
      </w:rPr>
      <w:t>2007/08</w:t>
    </w:r>
    <w:r w:rsidRPr="004B79A5">
      <w:rPr>
        <w:rStyle w:val="SidhuvudUtskott"/>
      </w:rPr>
      <w:fldChar w:fldCharType="end"/>
    </w:r>
    <w:r w:rsidRPr="004B79A5">
      <w:rPr>
        <w:rStyle w:val="SidhuvudUtskott"/>
      </w:rPr>
      <w:t>:</w:t>
    </w:r>
    <w:r w:rsidRPr="004B79A5">
      <w:rPr>
        <w:rStyle w:val="SidhuvudUtskott"/>
      </w:rPr>
      <w:fldChar w:fldCharType="begin" w:fldLock="1"/>
    </w:r>
    <w:r w:rsidRPr="004B79A5">
      <w:rPr>
        <w:rStyle w:val="SidhuvudUtskott"/>
      </w:rPr>
      <w:instrText xml:space="preserve"> DOCPROPERTY</w:instrText>
    </w:r>
    <w:r w:rsidRPr="004B79A5">
      <w:instrText xml:space="preserve"> </w:instrText>
    </w:r>
    <w:r w:rsidRPr="004B79A5">
      <w:rPr>
        <w:rStyle w:val="SidhuvudUtskott"/>
      </w:rPr>
      <w:instrText>Utskott</w:instrText>
    </w:r>
    <w:r w:rsidRPr="004B79A5">
      <w:rPr>
        <w:rStyle w:val="SidhuvudUtskott"/>
      </w:rPr>
      <w:fldChar w:fldCharType="separate"/>
    </w:r>
    <w:r w:rsidRPr="004B79A5">
      <w:rPr>
        <w:rStyle w:val="SidhuvudUtskott"/>
      </w:rPr>
      <w:t>EUN</w: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DOCPROPERTY Betä</w:instrText>
    </w:r>
    <w:r w:rsidRPr="004B79A5">
      <w:rPr>
        <w:rStyle w:val="SidhuvudUtskott"/>
      </w:rPr>
      <w:instrText>n</w:instrText>
    </w:r>
    <w:r w:rsidRPr="004B79A5">
      <w:rPr>
        <w:rStyle w:val="SidhuvudUtskott"/>
      </w:rPr>
      <w:instrText>kandeNr</w:instrText>
    </w:r>
    <w:r w:rsidRPr="004B79A5">
      <w:rPr>
        <w:rStyle w:val="SidhuvudUtskott"/>
      </w:rPr>
      <w:fldChar w:fldCharType="separate"/>
    </w:r>
    <w:r w:rsidRPr="004B79A5">
      <w:rPr>
        <w:rStyle w:val="SidhuvudUtskott"/>
      </w:rPr>
      <w:t>2Y</w:t>
    </w:r>
    <w:r w:rsidRPr="004B79A5">
      <w:rPr>
        <w:rStyle w:val="SidhuvudUtskott"/>
      </w:rPr>
      <w:fldChar w:fldCharType="end"/>
    </w:r>
  </w:p>
  <w:p w:rsidR="00561761" w:rsidRPr="004B79A5" w:rsidRDefault="00561761">
    <w:pPr>
      <w:pStyle w:val="SidhuvudKantUdda"/>
      <w:framePr w:w="8732" w:h="567" w:hRule="exact" w:vSpace="0" w:wrap="around" w:vAnchor="page" w:y="341" w:anchorLock="0"/>
    </w:pPr>
    <w:r w:rsidRPr="004B79A5">
      <w:rPr>
        <w:rStyle w:val="SidhuvudUtskott"/>
      </w:rPr>
      <w:fldChar w:fldCharType="begin" w:fldLock="1"/>
    </w:r>
    <w:r w:rsidRPr="004B79A5">
      <w:rPr>
        <w:rStyle w:val="SidhuvudUtskott"/>
      </w:rPr>
      <w:instrText xml:space="preserve"> if </w:instrText>
    </w:r>
    <w:r w:rsidRPr="004B79A5">
      <w:rPr>
        <w:rStyle w:val="SidhuvudUtskott"/>
      </w:rPr>
      <w:fldChar w:fldCharType="begin" w:fldLock="1"/>
    </w:r>
    <w:r w:rsidRPr="004B79A5">
      <w:rPr>
        <w:rStyle w:val="SidhuvudUtskott"/>
      </w:rPr>
      <w:instrText xml:space="preserve"> DOCPROPERTY "UtkastDatum"</w:instrText>
    </w:r>
    <w:r w:rsidRPr="004B79A5">
      <w:rPr>
        <w:rStyle w:val="SidhuvudUtskott"/>
      </w:rPr>
      <w:fldChar w:fldCharType="separate"/>
    </w:r>
    <w:r w:rsidRPr="004B79A5">
      <w:rPr>
        <w:rStyle w:val="SidhuvudUtskott"/>
      </w:rPr>
      <w:instrText>Nej</w:instrText>
    </w:r>
    <w:r w:rsidRPr="004B79A5">
      <w:rPr>
        <w:rStyle w:val="SidhuvudUtskott"/>
      </w:rPr>
      <w:fldChar w:fldCharType="end"/>
    </w:r>
    <w:r w:rsidRPr="004B79A5">
      <w:rPr>
        <w:rStyle w:val="SidhuvudUtskott"/>
      </w:rPr>
      <w:instrText xml:space="preserve"> = "Ja" "</w:instrText>
    </w:r>
    <w:r w:rsidRPr="004B79A5">
      <w:rPr>
        <w:rStyle w:val="SidhuvudUtskott"/>
      </w:rPr>
      <w:fldChar w:fldCharType="begin" w:fldLock="1"/>
    </w:r>
    <w:r w:rsidRPr="004B79A5">
      <w:rPr>
        <w:rStyle w:val="SidhuvudUtskott"/>
      </w:rPr>
      <w:instrText xml:space="preserve"> PRINTDATE \@ "yyyy-MM-dd HH.mm    " </w:instrText>
    </w:r>
    <w:r w:rsidRPr="004B79A5">
      <w:rPr>
        <w:rStyle w:val="SidhuvudUtskott"/>
      </w:rPr>
      <w:fldChar w:fldCharType="separate"/>
    </w:r>
    <w:r w:rsidRPr="004B79A5">
      <w:rPr>
        <w:rStyle w:val="SidhuvudUtskott"/>
      </w:rPr>
      <w:instrText>2000-08-11 16.42</w:instrText>
    </w:r>
    <w:r w:rsidRPr="004B79A5">
      <w:rPr>
        <w:rStyle w:val="SidhuvudUtskott"/>
      </w:rPr>
      <w:fldChar w:fldCharType="end"/>
    </w:r>
    <w:r w:rsidRPr="004B79A5">
      <w:rPr>
        <w:rStyle w:val="SidhuvudUtskott"/>
      </w:rPr>
      <w:instrText xml:space="preserve">" </w:instrTex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w:instrText>
    </w:r>
    <w:r w:rsidRPr="004B79A5">
      <w:rPr>
        <w:rStyle w:val="SidhuvudUtskott"/>
      </w:rPr>
      <w:instrText>O</w:instrText>
    </w:r>
    <w:r w:rsidRPr="004B79A5">
      <w:rPr>
        <w:rStyle w:val="SidhuvudUtskott"/>
      </w:rPr>
      <w:instrText>PERTY Status</w:instrText>
    </w:r>
    <w:r w:rsidRPr="004B79A5">
      <w:rPr>
        <w:rStyle w:val="SidhuvudUtskott"/>
      </w:rPr>
      <w:fldChar w:fldCharType="end"/>
    </w:r>
  </w:p>
  <w:p w:rsidR="00561761" w:rsidRPr="004B79A5" w:rsidRDefault="0056176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617BD3">
    <w:pPr>
      <w:pStyle w:val="SidhuvudKantUdda"/>
      <w:framePr w:w="8732" w:h="567" w:hRule="exact" w:vSpace="0" w:wrap="around" w:vAnchor="page" w:y="341" w:anchorLock="0"/>
    </w:pPr>
    <w:r w:rsidRPr="004B79A5">
      <w:t xml:space="preserve"> </w:t>
    </w:r>
  </w:p>
  <w:p w:rsidR="00561761" w:rsidRPr="004B79A5" w:rsidRDefault="0056176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rsidP="00093B8C">
    <w:pPr>
      <w:pStyle w:val="SidhuvudKantJmn"/>
      <w:framePr w:w="8732" w:h="567" w:hRule="exact" w:vSpace="0" w:wrap="around" w:vAnchor="page" w:y="341" w:anchorLock="0"/>
    </w:pPr>
    <w:r w:rsidRPr="004B79A5">
      <w:rPr>
        <w:rStyle w:val="SidhuvudUtskott"/>
      </w:rPr>
      <w:t>2007/08:EUN2Y</w:t>
    </w:r>
    <w:r w:rsidRPr="004B79A5">
      <w:t xml:space="preserve">     </w:t>
    </w:r>
    <w:r w:rsidRPr="004B79A5">
      <w:rPr>
        <w:rStyle w:val="SidhuvudBilaga"/>
      </w:rPr>
      <w:t xml:space="preserve"> </w:t>
    </w:r>
    <w:r w:rsidR="00617BD3" w:rsidRPr="004B79A5">
      <w:rPr>
        <w:rStyle w:val="SidhuvudRubrikReferens"/>
      </w:rPr>
      <w:t>EU-nämnden</w:t>
    </w:r>
  </w:p>
  <w:p w:rsidR="00561761" w:rsidRPr="004B79A5" w:rsidRDefault="00561761" w:rsidP="00093B8C">
    <w:pPr>
      <w:pStyle w:val="SidhuvudKantJmn"/>
      <w:framePr w:w="8732" w:h="567" w:hRule="exact" w:vSpace="0" w:wrap="around" w:vAnchor="page" w:y="341" w:anchorLock="0"/>
    </w:pPr>
  </w:p>
  <w:p w:rsidR="00561761" w:rsidRPr="004B79A5" w:rsidRDefault="0056176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617BD3" w:rsidP="002519FC">
    <w:pPr>
      <w:pStyle w:val="SidhuvudKantUdda"/>
      <w:framePr w:w="8732" w:h="567" w:hRule="exact" w:vSpace="0" w:wrap="around" w:vAnchor="page" w:y="368" w:anchorLock="0"/>
    </w:pPr>
    <w:r w:rsidRPr="004B79A5">
      <w:rPr>
        <w:rStyle w:val="SidhuvudRubrikReferens"/>
      </w:rPr>
      <w:t>EU-nämnden</w:t>
    </w:r>
    <w:r w:rsidR="00561761" w:rsidRPr="004B79A5">
      <w:rPr>
        <w:rStyle w:val="SidhuvudBilaga"/>
      </w:rPr>
      <w:t xml:space="preserve"> </w:t>
    </w:r>
    <w:r w:rsidR="00561761" w:rsidRPr="004B79A5">
      <w:t xml:space="preserve">     </w:t>
    </w:r>
    <w:r w:rsidR="00561761" w:rsidRPr="004B79A5">
      <w:rPr>
        <w:rStyle w:val="SidhuvudUtskott"/>
      </w:rPr>
      <w:t>2007/08:EUN2Y</w:t>
    </w:r>
  </w:p>
  <w:p w:rsidR="00561761" w:rsidRPr="004B79A5" w:rsidRDefault="00561761" w:rsidP="002519FC">
    <w:pPr>
      <w:pStyle w:val="SidhuvudKantUdda"/>
      <w:framePr w:w="8732" w:h="567" w:hRule="exact" w:vSpace="0" w:wrap="around" w:vAnchor="page" w:y="368" w:anchorLock="0"/>
    </w:pPr>
  </w:p>
  <w:p w:rsidR="00561761" w:rsidRPr="004B79A5" w:rsidRDefault="0056176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BD3" w:rsidRPr="004B79A5" w:rsidRDefault="00617BD3">
    <w:pPr>
      <w:pStyle w:val="SidhuvudKantJmn"/>
      <w:framePr w:w="8732" w:h="567" w:hRule="exact" w:vSpace="0" w:wrap="around" w:vAnchor="page" w:y="341" w:anchorLock="0"/>
    </w:pPr>
    <w:r w:rsidRPr="004B79A5">
      <w:rPr>
        <w:rStyle w:val="SidhuvudUtskott"/>
      </w:rPr>
      <w:t>2007/08:EUN2Y</w:t>
    </w:r>
    <w:r w:rsidRPr="004B79A5">
      <w:t xml:space="preserve">    </w:t>
    </w:r>
  </w:p>
  <w:p w:rsidR="00617BD3" w:rsidRPr="004B79A5" w:rsidRDefault="00617BD3">
    <w:pPr>
      <w:pStyle w:val="SidhuvudKantJmn"/>
      <w:framePr w:w="8732" w:h="567" w:hRule="exact" w:vSpace="0" w:wrap="around" w:vAnchor="page" w:y="341" w:anchorLock="0"/>
    </w:pPr>
  </w:p>
  <w:p w:rsidR="00561761" w:rsidRPr="004B79A5" w:rsidRDefault="00617BD3">
    <w:pPr>
      <w:pStyle w:val="SidhuvudKantUdda"/>
      <w:framePr w:w="8732" w:h="567" w:hRule="exact" w:vSpace="0" w:wrap="around" w:vAnchor="page" w:y="341" w:anchorLock="0"/>
    </w:pPr>
    <w:r w:rsidRPr="004B79A5">
      <w:rPr>
        <w:rStyle w:val="SidhuvudRubrikReferens"/>
        <w:smallCaps w:val="0"/>
      </w:rPr>
      <w:t xml:space="preserve"> </w:t>
    </w:r>
  </w:p>
  <w:p w:rsidR="00561761" w:rsidRPr="004B79A5" w:rsidRDefault="0056176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huvudKantJmn"/>
      <w:framePr w:w="8732" w:h="567" w:hRule="exact" w:vSpace="0" w:wrap="around" w:vAnchor="page" w:y="341" w:anchorLock="0"/>
    </w:pPr>
    <w:r w:rsidRPr="004B79A5">
      <w:rPr>
        <w:rStyle w:val="SidhuvudUtskott"/>
      </w:rPr>
      <w:fldChar w:fldCharType="begin" w:fldLock="1"/>
    </w:r>
    <w:r w:rsidRPr="004B79A5">
      <w:rPr>
        <w:rStyle w:val="SidhuvudUtskott"/>
      </w:rPr>
      <w:instrText xml:space="preserve"> DOCPROPERTY BetänkandeÅr</w:instrText>
    </w:r>
    <w:r w:rsidRPr="004B79A5">
      <w:rPr>
        <w:rStyle w:val="SidhuvudUtskott"/>
      </w:rPr>
      <w:fldChar w:fldCharType="separate"/>
    </w:r>
    <w:r w:rsidRPr="004B79A5">
      <w:rPr>
        <w:rStyle w:val="SidhuvudUtskott"/>
      </w:rPr>
      <w:t>2007/08</w:t>
    </w:r>
    <w:r w:rsidRPr="004B79A5">
      <w:rPr>
        <w:rStyle w:val="SidhuvudUtskott"/>
      </w:rPr>
      <w:fldChar w:fldCharType="end"/>
    </w:r>
    <w:r w:rsidRPr="004B79A5">
      <w:rPr>
        <w:rStyle w:val="SidhuvudUtskott"/>
      </w:rPr>
      <w:t>:</w:t>
    </w:r>
    <w:r w:rsidRPr="004B79A5">
      <w:rPr>
        <w:rStyle w:val="SidhuvudUtskott"/>
      </w:rPr>
      <w:fldChar w:fldCharType="begin" w:fldLock="1"/>
    </w:r>
    <w:r w:rsidRPr="004B79A5">
      <w:rPr>
        <w:rStyle w:val="SidhuvudUtskott"/>
      </w:rPr>
      <w:instrText xml:space="preserve"> DOCPROPERTY Utskott</w:instrText>
    </w:r>
    <w:r w:rsidRPr="004B79A5">
      <w:rPr>
        <w:rStyle w:val="SidhuvudUtskott"/>
      </w:rPr>
      <w:fldChar w:fldCharType="separate"/>
    </w:r>
    <w:r w:rsidRPr="004B79A5">
      <w:rPr>
        <w:rStyle w:val="SidhuvudUtskott"/>
      </w:rPr>
      <w:t>EUN</w: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DOCPROPERTY BetänkandeNr</w:instrText>
    </w:r>
    <w:r w:rsidRPr="004B79A5">
      <w:rPr>
        <w:rStyle w:val="SidhuvudUtskott"/>
      </w:rPr>
      <w:fldChar w:fldCharType="separate"/>
    </w:r>
    <w:r w:rsidRPr="004B79A5">
      <w:rPr>
        <w:rStyle w:val="SidhuvudUtskott"/>
      </w:rPr>
      <w:t>2Y</w:t>
    </w:r>
    <w:r w:rsidRPr="004B79A5">
      <w:rPr>
        <w:rStyle w:val="SidhuvudUtskott"/>
      </w:rPr>
      <w:fldChar w:fldCharType="end"/>
    </w:r>
    <w:r w:rsidRPr="004B79A5">
      <w:t xml:space="preserve">     </w:t>
    </w:r>
    <w:r w:rsidRPr="004B79A5">
      <w:rPr>
        <w:rStyle w:val="SidhuvudBilaga"/>
      </w:rPr>
      <w:t xml:space="preserve"> </w:t>
    </w:r>
    <w:r w:rsidRPr="004B79A5">
      <w:rPr>
        <w:rStyle w:val="SidhuvudRubrikReferens"/>
      </w:rPr>
      <w:fldChar w:fldCharType="begin" w:fldLock="1"/>
    </w:r>
    <w:r w:rsidRPr="004B79A5">
      <w:rPr>
        <w:rStyle w:val="SidhuvudRubrikReferens"/>
      </w:rPr>
      <w:instrText xml:space="preserve"> StyleREF "Rubrik 1" </w:instrText>
    </w:r>
    <w:r w:rsidRPr="004B79A5">
      <w:rPr>
        <w:rStyle w:val="SidhuvudRubrikReferens"/>
      </w:rPr>
      <w:fldChar w:fldCharType="separate"/>
    </w:r>
    <w:r w:rsidRPr="004B79A5">
      <w:rPr>
        <w:rStyle w:val="SidhuvudRubrikReferens"/>
      </w:rPr>
      <w:t>EU-nämnden</w:t>
    </w:r>
    <w:r w:rsidRPr="004B79A5">
      <w:rPr>
        <w:rStyle w:val="SidhuvudRubrikReferens"/>
      </w:rPr>
      <w:fldChar w:fldCharType="end"/>
    </w:r>
  </w:p>
  <w:p w:rsidR="00561761" w:rsidRPr="004B79A5" w:rsidRDefault="00561761">
    <w:pPr>
      <w:pStyle w:val="SidhuvudKantJmn"/>
      <w:framePr w:w="8732" w:h="567" w:hRule="exact" w:vSpace="0" w:wrap="around" w:vAnchor="page" w:y="341" w:anchorLock="0"/>
    </w:pPr>
    <w:r w:rsidRPr="004B79A5">
      <w:rPr>
        <w:rStyle w:val="SidhuvudUtskott"/>
      </w:rPr>
      <w:fldChar w:fldCharType="begin" w:fldLock="1"/>
    </w:r>
    <w:r w:rsidRPr="004B79A5">
      <w:rPr>
        <w:rStyle w:val="SidhuvudUtskott"/>
      </w:rPr>
      <w:instrText xml:space="preserve"> DOCPROPERTY Status</w:instrText>
    </w:r>
    <w:r w:rsidRPr="004B79A5">
      <w:rPr>
        <w:rStyle w:val="SidhuvudUtskott"/>
      </w:rPr>
      <w:fldChar w:fldCharType="end"/>
    </w:r>
    <w:r w:rsidRPr="004B79A5">
      <w:rPr>
        <w:rStyle w:val="SidhuvudUtskott"/>
      </w:rPr>
      <w:fldChar w:fldCharType="begin" w:fldLock="1"/>
    </w:r>
    <w:r w:rsidRPr="004B79A5">
      <w:rPr>
        <w:rStyle w:val="SidhuvudUtskott"/>
      </w:rPr>
      <w:instrText xml:space="preserve"> if </w:instrText>
    </w:r>
    <w:r w:rsidRPr="004B79A5">
      <w:rPr>
        <w:rStyle w:val="SidhuvudUtskott"/>
      </w:rPr>
      <w:fldChar w:fldCharType="begin" w:fldLock="1"/>
    </w:r>
    <w:r w:rsidRPr="004B79A5">
      <w:rPr>
        <w:rStyle w:val="SidhuvudUtskott"/>
      </w:rPr>
      <w:instrText xml:space="preserve"> DOCPROPERTY "UtkastDatum"</w:instrText>
    </w:r>
    <w:r w:rsidRPr="004B79A5">
      <w:rPr>
        <w:rStyle w:val="SidhuvudUtskott"/>
      </w:rPr>
      <w:fldChar w:fldCharType="separate"/>
    </w:r>
    <w:r w:rsidRPr="004B79A5">
      <w:rPr>
        <w:rStyle w:val="SidhuvudUtskott"/>
      </w:rPr>
      <w:instrText>Nej</w:instrText>
    </w:r>
    <w:r w:rsidRPr="004B79A5">
      <w:rPr>
        <w:rStyle w:val="SidhuvudUtskott"/>
      </w:rPr>
      <w:fldChar w:fldCharType="end"/>
    </w:r>
    <w:r w:rsidRPr="004B79A5">
      <w:rPr>
        <w:rStyle w:val="SidhuvudUtskott"/>
      </w:rPr>
      <w:instrText xml:space="preserve"> = "Ja" "    </w:instrText>
    </w:r>
    <w:r w:rsidRPr="004B79A5">
      <w:rPr>
        <w:rStyle w:val="SidhuvudUtskott"/>
      </w:rPr>
      <w:fldChar w:fldCharType="begin" w:fldLock="1"/>
    </w:r>
    <w:r w:rsidRPr="004B79A5">
      <w:rPr>
        <w:rStyle w:val="SidhuvudUtskott"/>
      </w:rPr>
      <w:instrText xml:space="preserve"> PRINTDATE \@ "yyyy-MM-dd HH.mm" </w:instrText>
    </w:r>
    <w:r w:rsidRPr="004B79A5">
      <w:rPr>
        <w:rStyle w:val="SidhuvudUtskott"/>
      </w:rPr>
      <w:fldChar w:fldCharType="separate"/>
    </w:r>
    <w:r w:rsidRPr="004B79A5">
      <w:rPr>
        <w:rStyle w:val="SidhuvudUtskott"/>
      </w:rPr>
      <w:instrText>2000-08-11 16.42</w:instrText>
    </w:r>
    <w:r w:rsidRPr="004B79A5">
      <w:rPr>
        <w:rStyle w:val="SidhuvudUtskott"/>
      </w:rPr>
      <w:fldChar w:fldCharType="end"/>
    </w:r>
    <w:r w:rsidRPr="004B79A5">
      <w:rPr>
        <w:rStyle w:val="SidhuvudUtskott"/>
      </w:rPr>
      <w:instrText xml:space="preserve">" </w:instrText>
    </w:r>
    <w:r w:rsidRPr="004B79A5">
      <w:rPr>
        <w:rStyle w:val="SidhuvudUtskott"/>
      </w:rPr>
      <w:fldChar w:fldCharType="end"/>
    </w:r>
  </w:p>
  <w:p w:rsidR="00561761" w:rsidRPr="004B79A5" w:rsidRDefault="0056176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761" w:rsidRPr="004B79A5" w:rsidRDefault="00561761">
    <w:pPr>
      <w:pStyle w:val="SidhuvudKantUdda"/>
      <w:framePr w:w="8732" w:h="567" w:hRule="exact" w:vSpace="0" w:wrap="around" w:vAnchor="page" w:y="341" w:anchorLock="0"/>
    </w:pPr>
    <w:r w:rsidRPr="004B79A5">
      <w:rPr>
        <w:rStyle w:val="SidhuvudRubrikReferens"/>
      </w:rPr>
      <w:fldChar w:fldCharType="begin" w:fldLock="1"/>
    </w:r>
    <w:r w:rsidRPr="004B79A5">
      <w:rPr>
        <w:rStyle w:val="SidhuvudRubrikReferens"/>
      </w:rPr>
      <w:instrText xml:space="preserve"> StyleREF "Rubrik 1" </w:instrText>
    </w:r>
    <w:r w:rsidRPr="004B79A5">
      <w:rPr>
        <w:rStyle w:val="SidhuvudRubrikReferens"/>
      </w:rPr>
      <w:fldChar w:fldCharType="separate"/>
    </w:r>
    <w:r w:rsidRPr="004B79A5">
      <w:rPr>
        <w:rStyle w:val="SidhuvudRubrikReferens"/>
      </w:rPr>
      <w:t>EU-nämnden</w:t>
    </w:r>
    <w:r w:rsidRPr="004B79A5">
      <w:rPr>
        <w:rStyle w:val="SidhuvudRubrikReferens"/>
      </w:rPr>
      <w:fldChar w:fldCharType="end"/>
    </w:r>
    <w:r w:rsidRPr="004B79A5">
      <w:rPr>
        <w:rStyle w:val="SidhuvudBilaga"/>
      </w:rPr>
      <w:t xml:space="preserve"> </w:t>
    </w:r>
    <w:r w:rsidRPr="004B79A5">
      <w:t xml:space="preserve">     </w:t>
    </w:r>
    <w:r w:rsidRPr="004B79A5">
      <w:rPr>
        <w:rStyle w:val="SidhuvudUtskott"/>
      </w:rPr>
      <w:fldChar w:fldCharType="begin" w:fldLock="1"/>
    </w:r>
    <w:r w:rsidRPr="004B79A5">
      <w:rPr>
        <w:rStyle w:val="SidhuvudUtskott"/>
      </w:rPr>
      <w:instrText xml:space="preserve"> DOCPROPERTY BetänkandeÅr</w:instrText>
    </w:r>
    <w:r w:rsidRPr="004B79A5">
      <w:rPr>
        <w:rStyle w:val="SidhuvudUtskott"/>
      </w:rPr>
      <w:fldChar w:fldCharType="separate"/>
    </w:r>
    <w:r w:rsidRPr="004B79A5">
      <w:rPr>
        <w:rStyle w:val="SidhuvudUtskott"/>
      </w:rPr>
      <w:t>2007/08</w:t>
    </w:r>
    <w:r w:rsidRPr="004B79A5">
      <w:rPr>
        <w:rStyle w:val="SidhuvudUtskott"/>
      </w:rPr>
      <w:fldChar w:fldCharType="end"/>
    </w:r>
    <w:r w:rsidRPr="004B79A5">
      <w:rPr>
        <w:rStyle w:val="SidhuvudUtskott"/>
      </w:rPr>
      <w:t>:</w:t>
    </w:r>
    <w:r w:rsidRPr="004B79A5">
      <w:rPr>
        <w:rStyle w:val="SidhuvudUtskott"/>
      </w:rPr>
      <w:fldChar w:fldCharType="begin" w:fldLock="1"/>
    </w:r>
    <w:r w:rsidRPr="004B79A5">
      <w:rPr>
        <w:rStyle w:val="SidhuvudUtskott"/>
      </w:rPr>
      <w:instrText xml:space="preserve"> DOCPROPERTY</w:instrText>
    </w:r>
    <w:r w:rsidRPr="004B79A5">
      <w:instrText xml:space="preserve"> </w:instrText>
    </w:r>
    <w:r w:rsidRPr="004B79A5">
      <w:rPr>
        <w:rStyle w:val="SidhuvudUtskott"/>
      </w:rPr>
      <w:instrText>Utskott</w:instrText>
    </w:r>
    <w:r w:rsidRPr="004B79A5">
      <w:rPr>
        <w:rStyle w:val="SidhuvudUtskott"/>
      </w:rPr>
      <w:fldChar w:fldCharType="separate"/>
    </w:r>
    <w:r w:rsidRPr="004B79A5">
      <w:rPr>
        <w:rStyle w:val="SidhuvudUtskott"/>
      </w:rPr>
      <w:t>EUN</w: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DOCPROPERTY Betä</w:instrText>
    </w:r>
    <w:r w:rsidRPr="004B79A5">
      <w:rPr>
        <w:rStyle w:val="SidhuvudUtskott"/>
      </w:rPr>
      <w:instrText>n</w:instrText>
    </w:r>
    <w:r w:rsidRPr="004B79A5">
      <w:rPr>
        <w:rStyle w:val="SidhuvudUtskott"/>
      </w:rPr>
      <w:instrText>kandeNr</w:instrText>
    </w:r>
    <w:r w:rsidRPr="004B79A5">
      <w:rPr>
        <w:rStyle w:val="SidhuvudUtskott"/>
      </w:rPr>
      <w:fldChar w:fldCharType="separate"/>
    </w:r>
    <w:r w:rsidRPr="004B79A5">
      <w:rPr>
        <w:rStyle w:val="SidhuvudUtskott"/>
      </w:rPr>
      <w:t>2Y</w:t>
    </w:r>
    <w:r w:rsidRPr="004B79A5">
      <w:rPr>
        <w:rStyle w:val="SidhuvudUtskott"/>
      </w:rPr>
      <w:fldChar w:fldCharType="end"/>
    </w:r>
  </w:p>
  <w:p w:rsidR="00561761" w:rsidRPr="004B79A5" w:rsidRDefault="00561761">
    <w:pPr>
      <w:pStyle w:val="SidhuvudKantUdda"/>
      <w:framePr w:w="8732" w:h="567" w:hRule="exact" w:vSpace="0" w:wrap="around" w:vAnchor="page" w:y="341" w:anchorLock="0"/>
    </w:pPr>
    <w:r w:rsidRPr="004B79A5">
      <w:rPr>
        <w:rStyle w:val="SidhuvudUtskott"/>
      </w:rPr>
      <w:fldChar w:fldCharType="begin" w:fldLock="1"/>
    </w:r>
    <w:r w:rsidRPr="004B79A5">
      <w:rPr>
        <w:rStyle w:val="SidhuvudUtskott"/>
      </w:rPr>
      <w:instrText xml:space="preserve"> if </w:instrText>
    </w:r>
    <w:r w:rsidRPr="004B79A5">
      <w:rPr>
        <w:rStyle w:val="SidhuvudUtskott"/>
      </w:rPr>
      <w:fldChar w:fldCharType="begin" w:fldLock="1"/>
    </w:r>
    <w:r w:rsidRPr="004B79A5">
      <w:rPr>
        <w:rStyle w:val="SidhuvudUtskott"/>
      </w:rPr>
      <w:instrText xml:space="preserve"> DOCPROPERTY "UtkastDatum"</w:instrText>
    </w:r>
    <w:r w:rsidRPr="004B79A5">
      <w:rPr>
        <w:rStyle w:val="SidhuvudUtskott"/>
      </w:rPr>
      <w:fldChar w:fldCharType="separate"/>
    </w:r>
    <w:r w:rsidRPr="004B79A5">
      <w:rPr>
        <w:rStyle w:val="SidhuvudUtskott"/>
      </w:rPr>
      <w:instrText>Nej</w:instrText>
    </w:r>
    <w:r w:rsidRPr="004B79A5">
      <w:rPr>
        <w:rStyle w:val="SidhuvudUtskott"/>
      </w:rPr>
      <w:fldChar w:fldCharType="end"/>
    </w:r>
    <w:r w:rsidRPr="004B79A5">
      <w:rPr>
        <w:rStyle w:val="SidhuvudUtskott"/>
      </w:rPr>
      <w:instrText xml:space="preserve"> = "Ja" "</w:instrText>
    </w:r>
    <w:r w:rsidRPr="004B79A5">
      <w:rPr>
        <w:rStyle w:val="SidhuvudUtskott"/>
      </w:rPr>
      <w:fldChar w:fldCharType="begin" w:fldLock="1"/>
    </w:r>
    <w:r w:rsidRPr="004B79A5">
      <w:rPr>
        <w:rStyle w:val="SidhuvudUtskott"/>
      </w:rPr>
      <w:instrText xml:space="preserve"> PRINTDATE \@ "yyyy-MM-dd HH.mm    " </w:instrText>
    </w:r>
    <w:r w:rsidRPr="004B79A5">
      <w:rPr>
        <w:rStyle w:val="SidhuvudUtskott"/>
      </w:rPr>
      <w:fldChar w:fldCharType="separate"/>
    </w:r>
    <w:r w:rsidRPr="004B79A5">
      <w:rPr>
        <w:rStyle w:val="SidhuvudUtskott"/>
      </w:rPr>
      <w:instrText>2000-08-11 16.42</w:instrText>
    </w:r>
    <w:r w:rsidRPr="004B79A5">
      <w:rPr>
        <w:rStyle w:val="SidhuvudUtskott"/>
      </w:rPr>
      <w:fldChar w:fldCharType="end"/>
    </w:r>
    <w:r w:rsidRPr="004B79A5">
      <w:rPr>
        <w:rStyle w:val="SidhuvudUtskott"/>
      </w:rPr>
      <w:instrText xml:space="preserve">" </w:instrText>
    </w:r>
    <w:r w:rsidRPr="004B79A5">
      <w:rPr>
        <w:rStyle w:val="SidhuvudUtskott"/>
      </w:rPr>
      <w:fldChar w:fldCharType="end"/>
    </w:r>
    <w:r w:rsidRPr="004B79A5">
      <w:rPr>
        <w:rStyle w:val="SidhuvudUtskott"/>
      </w:rPr>
      <w:fldChar w:fldCharType="begin" w:fldLock="1"/>
    </w:r>
    <w:r w:rsidRPr="004B79A5">
      <w:rPr>
        <w:rStyle w:val="SidhuvudUtskott"/>
      </w:rPr>
      <w:instrText xml:space="preserve"> DOCPR</w:instrText>
    </w:r>
    <w:r w:rsidRPr="004B79A5">
      <w:rPr>
        <w:rStyle w:val="SidhuvudUtskott"/>
      </w:rPr>
      <w:instrText>O</w:instrText>
    </w:r>
    <w:r w:rsidRPr="004B79A5">
      <w:rPr>
        <w:rStyle w:val="SidhuvudUtskott"/>
      </w:rPr>
      <w:instrText>PERTY Status</w:instrText>
    </w:r>
    <w:r w:rsidRPr="004B79A5">
      <w:rPr>
        <w:rStyle w:val="SidhuvudUtskott"/>
      </w:rPr>
      <w:fldChar w:fldCharType="end"/>
    </w:r>
  </w:p>
  <w:p w:rsidR="00561761" w:rsidRPr="004B79A5" w:rsidRDefault="0056176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BD3" w:rsidRPr="004B79A5" w:rsidRDefault="00617BD3">
    <w:pPr>
      <w:pStyle w:val="SidhuvudKantUdda"/>
      <w:framePr w:w="8732" w:h="567" w:hRule="exact" w:vSpace="0" w:wrap="around" w:vAnchor="page" w:y="341" w:anchorLock="0"/>
    </w:pPr>
    <w:r w:rsidRPr="004B79A5">
      <w:t xml:space="preserve">  </w:t>
    </w:r>
    <w:r w:rsidRPr="004B79A5">
      <w:rPr>
        <w:rStyle w:val="SidhuvudUtskott"/>
      </w:rPr>
      <w:t>2007/08:EUN2Y</w:t>
    </w:r>
  </w:p>
  <w:p w:rsidR="00561761" w:rsidRPr="004B79A5" w:rsidRDefault="00561761">
    <w:pPr>
      <w:pStyle w:val="SidhuvudKantUdda"/>
      <w:framePr w:w="8732" w:h="567" w:hRule="exact" w:vSpace="0" w:wrap="around" w:vAnchor="page" w:y="341" w:anchorLock="0"/>
    </w:pPr>
  </w:p>
  <w:p w:rsidR="00561761" w:rsidRPr="004B79A5" w:rsidRDefault="0056176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94116594">
    <w:abstractNumId w:val="10"/>
  </w:num>
  <w:num w:numId="2" w16cid:durableId="1859002719">
    <w:abstractNumId w:val="8"/>
  </w:num>
  <w:num w:numId="3" w16cid:durableId="1738434335">
    <w:abstractNumId w:val="3"/>
  </w:num>
  <w:num w:numId="4" w16cid:durableId="1294795335">
    <w:abstractNumId w:val="2"/>
  </w:num>
  <w:num w:numId="5" w16cid:durableId="237326299">
    <w:abstractNumId w:val="1"/>
  </w:num>
  <w:num w:numId="6" w16cid:durableId="1424296448">
    <w:abstractNumId w:val="0"/>
  </w:num>
  <w:num w:numId="7" w16cid:durableId="1685016528">
    <w:abstractNumId w:val="9"/>
  </w:num>
  <w:num w:numId="8" w16cid:durableId="500313249">
    <w:abstractNumId w:val="7"/>
  </w:num>
  <w:num w:numId="9" w16cid:durableId="1578126443">
    <w:abstractNumId w:val="6"/>
  </w:num>
  <w:num w:numId="10" w16cid:durableId="1897692653">
    <w:abstractNumId w:val="5"/>
  </w:num>
  <w:num w:numId="11" w16cid:durableId="875776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708"/>
  </w:docVars>
  <w:rsids>
    <w:rsidRoot w:val="0093216D"/>
    <w:rsid w:val="0000280A"/>
    <w:rsid w:val="00006728"/>
    <w:rsid w:val="000123EA"/>
    <w:rsid w:val="00014D18"/>
    <w:rsid w:val="00024D1F"/>
    <w:rsid w:val="0002679B"/>
    <w:rsid w:val="0003556D"/>
    <w:rsid w:val="00041095"/>
    <w:rsid w:val="00055D85"/>
    <w:rsid w:val="00057281"/>
    <w:rsid w:val="00060423"/>
    <w:rsid w:val="00063A51"/>
    <w:rsid w:val="00064E17"/>
    <w:rsid w:val="00072589"/>
    <w:rsid w:val="000750DC"/>
    <w:rsid w:val="0008508B"/>
    <w:rsid w:val="00091CE7"/>
    <w:rsid w:val="00093B8C"/>
    <w:rsid w:val="000952D7"/>
    <w:rsid w:val="000A2F0F"/>
    <w:rsid w:val="000A752B"/>
    <w:rsid w:val="000B519D"/>
    <w:rsid w:val="000B7D04"/>
    <w:rsid w:val="000C4BD5"/>
    <w:rsid w:val="000C6AA6"/>
    <w:rsid w:val="000D40F3"/>
    <w:rsid w:val="000D54BC"/>
    <w:rsid w:val="000F23C0"/>
    <w:rsid w:val="001017A4"/>
    <w:rsid w:val="00107933"/>
    <w:rsid w:val="00113611"/>
    <w:rsid w:val="00117E34"/>
    <w:rsid w:val="001233AD"/>
    <w:rsid w:val="001251A7"/>
    <w:rsid w:val="00133B06"/>
    <w:rsid w:val="00145770"/>
    <w:rsid w:val="00153277"/>
    <w:rsid w:val="001546EF"/>
    <w:rsid w:val="001727A0"/>
    <w:rsid w:val="0017303D"/>
    <w:rsid w:val="001758C8"/>
    <w:rsid w:val="0019399E"/>
    <w:rsid w:val="00194AE3"/>
    <w:rsid w:val="001B6C58"/>
    <w:rsid w:val="001C3AB6"/>
    <w:rsid w:val="001C44E7"/>
    <w:rsid w:val="001C5D84"/>
    <w:rsid w:val="001E1FCE"/>
    <w:rsid w:val="001E4C87"/>
    <w:rsid w:val="001F1F0B"/>
    <w:rsid w:val="001F294A"/>
    <w:rsid w:val="00203518"/>
    <w:rsid w:val="00204A76"/>
    <w:rsid w:val="002058FE"/>
    <w:rsid w:val="0021440B"/>
    <w:rsid w:val="002147B0"/>
    <w:rsid w:val="00222E32"/>
    <w:rsid w:val="002262C8"/>
    <w:rsid w:val="002301F5"/>
    <w:rsid w:val="0023165F"/>
    <w:rsid w:val="002378D7"/>
    <w:rsid w:val="002463F4"/>
    <w:rsid w:val="002519FC"/>
    <w:rsid w:val="00253342"/>
    <w:rsid w:val="0025488D"/>
    <w:rsid w:val="00262D01"/>
    <w:rsid w:val="00280C23"/>
    <w:rsid w:val="002811C2"/>
    <w:rsid w:val="002A13EC"/>
    <w:rsid w:val="002A5158"/>
    <w:rsid w:val="002A6717"/>
    <w:rsid w:val="002B0969"/>
    <w:rsid w:val="002B607E"/>
    <w:rsid w:val="002E5A79"/>
    <w:rsid w:val="002E7487"/>
    <w:rsid w:val="002F19B5"/>
    <w:rsid w:val="002F4D7F"/>
    <w:rsid w:val="002F4F07"/>
    <w:rsid w:val="00306A21"/>
    <w:rsid w:val="00313BE9"/>
    <w:rsid w:val="00322737"/>
    <w:rsid w:val="00324509"/>
    <w:rsid w:val="00335B35"/>
    <w:rsid w:val="00342A4D"/>
    <w:rsid w:val="00343509"/>
    <w:rsid w:val="00344307"/>
    <w:rsid w:val="00345554"/>
    <w:rsid w:val="00350C91"/>
    <w:rsid w:val="00354F49"/>
    <w:rsid w:val="003571E4"/>
    <w:rsid w:val="00357AF8"/>
    <w:rsid w:val="00357BFA"/>
    <w:rsid w:val="003640B2"/>
    <w:rsid w:val="00370658"/>
    <w:rsid w:val="00373918"/>
    <w:rsid w:val="003748CF"/>
    <w:rsid w:val="00380942"/>
    <w:rsid w:val="00382ECD"/>
    <w:rsid w:val="00383467"/>
    <w:rsid w:val="00392036"/>
    <w:rsid w:val="00393DBE"/>
    <w:rsid w:val="003B477E"/>
    <w:rsid w:val="003B709E"/>
    <w:rsid w:val="003C318B"/>
    <w:rsid w:val="003D1B7A"/>
    <w:rsid w:val="003D1BF1"/>
    <w:rsid w:val="003D21F5"/>
    <w:rsid w:val="003E1609"/>
    <w:rsid w:val="003E1D0B"/>
    <w:rsid w:val="003F7C28"/>
    <w:rsid w:val="00414FAF"/>
    <w:rsid w:val="00415041"/>
    <w:rsid w:val="0041767A"/>
    <w:rsid w:val="00427398"/>
    <w:rsid w:val="0044601F"/>
    <w:rsid w:val="00451691"/>
    <w:rsid w:val="00454B08"/>
    <w:rsid w:val="00455F02"/>
    <w:rsid w:val="00474437"/>
    <w:rsid w:val="00480B9E"/>
    <w:rsid w:val="004811EC"/>
    <w:rsid w:val="00484F62"/>
    <w:rsid w:val="00492AF3"/>
    <w:rsid w:val="004B0001"/>
    <w:rsid w:val="004B05FC"/>
    <w:rsid w:val="004B173D"/>
    <w:rsid w:val="004B79A5"/>
    <w:rsid w:val="004D5B6B"/>
    <w:rsid w:val="004D6943"/>
    <w:rsid w:val="004D7253"/>
    <w:rsid w:val="004F559F"/>
    <w:rsid w:val="004F59C2"/>
    <w:rsid w:val="005038ED"/>
    <w:rsid w:val="005334D5"/>
    <w:rsid w:val="00535B40"/>
    <w:rsid w:val="005440E9"/>
    <w:rsid w:val="00544D4D"/>
    <w:rsid w:val="00552047"/>
    <w:rsid w:val="00561761"/>
    <w:rsid w:val="00563EEE"/>
    <w:rsid w:val="00565965"/>
    <w:rsid w:val="0058318D"/>
    <w:rsid w:val="00587212"/>
    <w:rsid w:val="00587692"/>
    <w:rsid w:val="0059755A"/>
    <w:rsid w:val="005A51EE"/>
    <w:rsid w:val="005B060A"/>
    <w:rsid w:val="005C5728"/>
    <w:rsid w:val="005C58D0"/>
    <w:rsid w:val="005D63E4"/>
    <w:rsid w:val="005D6F87"/>
    <w:rsid w:val="005E2241"/>
    <w:rsid w:val="005E7826"/>
    <w:rsid w:val="005F00F3"/>
    <w:rsid w:val="005F711A"/>
    <w:rsid w:val="006071DC"/>
    <w:rsid w:val="00613DD4"/>
    <w:rsid w:val="00617BD3"/>
    <w:rsid w:val="00620686"/>
    <w:rsid w:val="00626190"/>
    <w:rsid w:val="00630515"/>
    <w:rsid w:val="00632F09"/>
    <w:rsid w:val="00634DC3"/>
    <w:rsid w:val="00665D7E"/>
    <w:rsid w:val="00666857"/>
    <w:rsid w:val="00666953"/>
    <w:rsid w:val="006706DA"/>
    <w:rsid w:val="00682583"/>
    <w:rsid w:val="00682D76"/>
    <w:rsid w:val="006B1343"/>
    <w:rsid w:val="006B44DC"/>
    <w:rsid w:val="006C19D0"/>
    <w:rsid w:val="006C1C64"/>
    <w:rsid w:val="006C70F0"/>
    <w:rsid w:val="006D0BF6"/>
    <w:rsid w:val="006D4425"/>
    <w:rsid w:val="006E0E42"/>
    <w:rsid w:val="006E3FE4"/>
    <w:rsid w:val="006E5E3C"/>
    <w:rsid w:val="006E70A8"/>
    <w:rsid w:val="006F452C"/>
    <w:rsid w:val="00705CF8"/>
    <w:rsid w:val="007076B0"/>
    <w:rsid w:val="00717465"/>
    <w:rsid w:val="00717F6F"/>
    <w:rsid w:val="00734406"/>
    <w:rsid w:val="0073521B"/>
    <w:rsid w:val="00754680"/>
    <w:rsid w:val="00760772"/>
    <w:rsid w:val="0076231C"/>
    <w:rsid w:val="00766BD7"/>
    <w:rsid w:val="00782752"/>
    <w:rsid w:val="0078379B"/>
    <w:rsid w:val="007B62E5"/>
    <w:rsid w:val="007C452A"/>
    <w:rsid w:val="007C6462"/>
    <w:rsid w:val="007E5341"/>
    <w:rsid w:val="007E5E39"/>
    <w:rsid w:val="007F5374"/>
    <w:rsid w:val="007F5503"/>
    <w:rsid w:val="008045E8"/>
    <w:rsid w:val="0080542E"/>
    <w:rsid w:val="00806EF3"/>
    <w:rsid w:val="00824252"/>
    <w:rsid w:val="00824A2F"/>
    <w:rsid w:val="0083219B"/>
    <w:rsid w:val="0083357B"/>
    <w:rsid w:val="00852DFE"/>
    <w:rsid w:val="00856F32"/>
    <w:rsid w:val="00862274"/>
    <w:rsid w:val="00863EF5"/>
    <w:rsid w:val="008846C1"/>
    <w:rsid w:val="00896F49"/>
    <w:rsid w:val="008A4984"/>
    <w:rsid w:val="008A6C84"/>
    <w:rsid w:val="008B4924"/>
    <w:rsid w:val="008C1599"/>
    <w:rsid w:val="008C5273"/>
    <w:rsid w:val="008C540E"/>
    <w:rsid w:val="008D5507"/>
    <w:rsid w:val="008D7435"/>
    <w:rsid w:val="008E4A63"/>
    <w:rsid w:val="008F0A92"/>
    <w:rsid w:val="008F1C9B"/>
    <w:rsid w:val="00902CBA"/>
    <w:rsid w:val="00906733"/>
    <w:rsid w:val="00914881"/>
    <w:rsid w:val="009157A2"/>
    <w:rsid w:val="009221B1"/>
    <w:rsid w:val="00925A48"/>
    <w:rsid w:val="009267D9"/>
    <w:rsid w:val="0093216D"/>
    <w:rsid w:val="009367C5"/>
    <w:rsid w:val="00936839"/>
    <w:rsid w:val="00937DBA"/>
    <w:rsid w:val="0094142A"/>
    <w:rsid w:val="00953948"/>
    <w:rsid w:val="00955BE6"/>
    <w:rsid w:val="00962E26"/>
    <w:rsid w:val="00963577"/>
    <w:rsid w:val="00970A3F"/>
    <w:rsid w:val="00970BF1"/>
    <w:rsid w:val="00976D36"/>
    <w:rsid w:val="00980411"/>
    <w:rsid w:val="009810CC"/>
    <w:rsid w:val="00983168"/>
    <w:rsid w:val="009A6A49"/>
    <w:rsid w:val="009B0F2B"/>
    <w:rsid w:val="009B5EBD"/>
    <w:rsid w:val="009C0392"/>
    <w:rsid w:val="009D160E"/>
    <w:rsid w:val="009D5FF1"/>
    <w:rsid w:val="009E14FA"/>
    <w:rsid w:val="00A01E16"/>
    <w:rsid w:val="00A0734A"/>
    <w:rsid w:val="00A07D12"/>
    <w:rsid w:val="00A123FD"/>
    <w:rsid w:val="00A22185"/>
    <w:rsid w:val="00A2493B"/>
    <w:rsid w:val="00A3555B"/>
    <w:rsid w:val="00A40D91"/>
    <w:rsid w:val="00A43C8D"/>
    <w:rsid w:val="00A722CD"/>
    <w:rsid w:val="00A774BD"/>
    <w:rsid w:val="00A8226B"/>
    <w:rsid w:val="00A82F46"/>
    <w:rsid w:val="00A8463B"/>
    <w:rsid w:val="00A90751"/>
    <w:rsid w:val="00A92294"/>
    <w:rsid w:val="00A9674B"/>
    <w:rsid w:val="00AB034A"/>
    <w:rsid w:val="00AB0506"/>
    <w:rsid w:val="00AD29F6"/>
    <w:rsid w:val="00AD2CC5"/>
    <w:rsid w:val="00AF6400"/>
    <w:rsid w:val="00B101D1"/>
    <w:rsid w:val="00B244EB"/>
    <w:rsid w:val="00B34226"/>
    <w:rsid w:val="00B36774"/>
    <w:rsid w:val="00B422C2"/>
    <w:rsid w:val="00B43B0C"/>
    <w:rsid w:val="00B63FB5"/>
    <w:rsid w:val="00B64836"/>
    <w:rsid w:val="00B7375C"/>
    <w:rsid w:val="00B80DE9"/>
    <w:rsid w:val="00B82A2D"/>
    <w:rsid w:val="00B83232"/>
    <w:rsid w:val="00B900F7"/>
    <w:rsid w:val="00BA1802"/>
    <w:rsid w:val="00BA3752"/>
    <w:rsid w:val="00BB425C"/>
    <w:rsid w:val="00BB7FC1"/>
    <w:rsid w:val="00BC37BD"/>
    <w:rsid w:val="00BC7247"/>
    <w:rsid w:val="00BD09F3"/>
    <w:rsid w:val="00BF52D6"/>
    <w:rsid w:val="00BF68D3"/>
    <w:rsid w:val="00C03002"/>
    <w:rsid w:val="00C139C3"/>
    <w:rsid w:val="00C25185"/>
    <w:rsid w:val="00C25AA4"/>
    <w:rsid w:val="00C32A6A"/>
    <w:rsid w:val="00C51933"/>
    <w:rsid w:val="00C5355E"/>
    <w:rsid w:val="00C5621A"/>
    <w:rsid w:val="00CA1060"/>
    <w:rsid w:val="00CB4111"/>
    <w:rsid w:val="00CB4E69"/>
    <w:rsid w:val="00CC3814"/>
    <w:rsid w:val="00CC50E1"/>
    <w:rsid w:val="00CC796B"/>
    <w:rsid w:val="00CD702B"/>
    <w:rsid w:val="00CF1449"/>
    <w:rsid w:val="00D01206"/>
    <w:rsid w:val="00D021D4"/>
    <w:rsid w:val="00D03418"/>
    <w:rsid w:val="00D04A4B"/>
    <w:rsid w:val="00D04AF3"/>
    <w:rsid w:val="00D13B34"/>
    <w:rsid w:val="00D16ADA"/>
    <w:rsid w:val="00D22AE5"/>
    <w:rsid w:val="00D36E77"/>
    <w:rsid w:val="00D47648"/>
    <w:rsid w:val="00D51ED8"/>
    <w:rsid w:val="00D54C62"/>
    <w:rsid w:val="00D55FC4"/>
    <w:rsid w:val="00D64941"/>
    <w:rsid w:val="00D65EBE"/>
    <w:rsid w:val="00D74792"/>
    <w:rsid w:val="00D81F48"/>
    <w:rsid w:val="00D85245"/>
    <w:rsid w:val="00D90B82"/>
    <w:rsid w:val="00D91172"/>
    <w:rsid w:val="00D93DC3"/>
    <w:rsid w:val="00D95575"/>
    <w:rsid w:val="00DA2D00"/>
    <w:rsid w:val="00DA48FA"/>
    <w:rsid w:val="00DB640E"/>
    <w:rsid w:val="00DD08D8"/>
    <w:rsid w:val="00DD23D0"/>
    <w:rsid w:val="00DE31F4"/>
    <w:rsid w:val="00E02AA7"/>
    <w:rsid w:val="00E03BE6"/>
    <w:rsid w:val="00E147A5"/>
    <w:rsid w:val="00E22381"/>
    <w:rsid w:val="00E22700"/>
    <w:rsid w:val="00E41CAE"/>
    <w:rsid w:val="00E62C63"/>
    <w:rsid w:val="00E67FFB"/>
    <w:rsid w:val="00E74FB6"/>
    <w:rsid w:val="00E76E9A"/>
    <w:rsid w:val="00E829DD"/>
    <w:rsid w:val="00E84C39"/>
    <w:rsid w:val="00E85786"/>
    <w:rsid w:val="00E9007F"/>
    <w:rsid w:val="00E96957"/>
    <w:rsid w:val="00EA7F42"/>
    <w:rsid w:val="00EA7FC7"/>
    <w:rsid w:val="00EB1909"/>
    <w:rsid w:val="00EE008A"/>
    <w:rsid w:val="00EE5601"/>
    <w:rsid w:val="00F07126"/>
    <w:rsid w:val="00F12FDB"/>
    <w:rsid w:val="00F37E55"/>
    <w:rsid w:val="00F41EC7"/>
    <w:rsid w:val="00F4663C"/>
    <w:rsid w:val="00F51EDA"/>
    <w:rsid w:val="00F53A97"/>
    <w:rsid w:val="00F81F0D"/>
    <w:rsid w:val="00F834DF"/>
    <w:rsid w:val="00F9424D"/>
    <w:rsid w:val="00FA4C92"/>
    <w:rsid w:val="00FA6343"/>
    <w:rsid w:val="00FB18F7"/>
    <w:rsid w:val="00FB3DCA"/>
    <w:rsid w:val="00FB4903"/>
    <w:rsid w:val="00FC62D3"/>
    <w:rsid w:val="00FD15B9"/>
    <w:rsid w:val="00FD7898"/>
    <w:rsid w:val="00FF20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AB0EE-A09E-4AE6-8CE4-9FF0F3E9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Hyperlnk">
    <w:name w:val="Hyperlink"/>
    <w:basedOn w:val="Standardstycketeckensnitt"/>
    <w:rsid w:val="00E41CAE"/>
    <w:rPr>
      <w:color w:val="0000FF"/>
      <w:u w:val="single"/>
    </w:rPr>
  </w:style>
  <w:style w:type="character" w:customStyle="1" w:styleId="NormaltindragChar">
    <w:name w:val="Normalt indrag Char"/>
    <w:basedOn w:val="Standardstycketeckensnitt"/>
    <w:link w:val="Normaltindrag"/>
    <w:rsid w:val="00C5621A"/>
    <w:rPr>
      <w:sz w:val="19"/>
      <w:lang w:val="sv-SE" w:eastAsia="sv-SE" w:bidi="ar-SA"/>
    </w:rPr>
  </w:style>
  <w:style w:type="paragraph" w:styleId="Ballongtext">
    <w:name w:val="Balloon Text"/>
    <w:basedOn w:val="Normal"/>
    <w:semiHidden/>
    <w:rsid w:val="006E5E3C"/>
    <w:rPr>
      <w:rFonts w:ascii="Tahoma" w:hAnsi="Tahoma" w:cs="Tahoma"/>
      <w:sz w:val="16"/>
      <w:szCs w:val="16"/>
    </w:rPr>
  </w:style>
  <w:style w:type="paragraph" w:styleId="Kommentarsmne">
    <w:name w:val="annotation subject"/>
    <w:basedOn w:val="Kommentarer"/>
    <w:next w:val="Kommentarer"/>
    <w:semiHidden/>
    <w:rsid w:val="00C139C3"/>
    <w:pPr>
      <w:spacing w:before="62"/>
    </w:pPr>
    <w:rPr>
      <w:b/>
      <w:bCs/>
    </w:rPr>
  </w:style>
  <w:style w:type="character" w:styleId="AnvndHyperlnk">
    <w:name w:val="FollowedHyperlink"/>
    <w:basedOn w:val="Standardstycketeckensnitt"/>
    <w:rsid w:val="007C452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0151">
      <w:bodyDiv w:val="1"/>
      <w:marLeft w:val="0"/>
      <w:marRight w:val="0"/>
      <w:marTop w:val="0"/>
      <w:marBottom w:val="0"/>
      <w:divBdr>
        <w:top w:val="none" w:sz="0" w:space="0" w:color="auto"/>
        <w:left w:val="none" w:sz="0" w:space="0" w:color="auto"/>
        <w:bottom w:val="none" w:sz="0" w:space="0" w:color="auto"/>
        <w:right w:val="none" w:sz="0" w:space="0" w:color="auto"/>
      </w:divBdr>
      <w:divsChild>
        <w:div w:id="1311713854">
          <w:marLeft w:val="-15"/>
          <w:marRight w:val="-15"/>
          <w:marTop w:val="0"/>
          <w:marBottom w:val="0"/>
          <w:divBdr>
            <w:top w:val="none" w:sz="0" w:space="0" w:color="auto"/>
            <w:left w:val="single" w:sz="6" w:space="0" w:color="DADADA"/>
            <w:bottom w:val="none" w:sz="0" w:space="0" w:color="auto"/>
            <w:right w:val="single" w:sz="6" w:space="0" w:color="DADADA"/>
          </w:divBdr>
          <w:divsChild>
            <w:div w:id="62800659">
              <w:marLeft w:val="0"/>
              <w:marRight w:val="0"/>
              <w:marTop w:val="0"/>
              <w:marBottom w:val="0"/>
              <w:divBdr>
                <w:top w:val="none" w:sz="0" w:space="0" w:color="auto"/>
                <w:left w:val="single" w:sz="48" w:space="0" w:color="FFFFFF"/>
                <w:bottom w:val="none" w:sz="0" w:space="0" w:color="auto"/>
                <w:right w:val="none" w:sz="0" w:space="0" w:color="auto"/>
              </w:divBdr>
              <w:divsChild>
                <w:div w:id="1453868360">
                  <w:marLeft w:val="-15"/>
                  <w:marRight w:val="-15"/>
                  <w:marTop w:val="0"/>
                  <w:marBottom w:val="0"/>
                  <w:divBdr>
                    <w:top w:val="none" w:sz="0" w:space="0" w:color="auto"/>
                    <w:left w:val="single" w:sz="6" w:space="0" w:color="F9C661"/>
                    <w:bottom w:val="none" w:sz="0" w:space="0" w:color="auto"/>
                    <w:right w:val="single" w:sz="6" w:space="0" w:color="DADADA"/>
                  </w:divBdr>
                  <w:divsChild>
                    <w:div w:id="1226912287">
                      <w:marLeft w:val="-30"/>
                      <w:marRight w:val="-45"/>
                      <w:marTop w:val="0"/>
                      <w:marBottom w:val="0"/>
                      <w:divBdr>
                        <w:top w:val="none" w:sz="0" w:space="0" w:color="auto"/>
                        <w:left w:val="none" w:sz="0" w:space="0" w:color="auto"/>
                        <w:bottom w:val="none" w:sz="0" w:space="0" w:color="auto"/>
                        <w:right w:val="none" w:sz="0" w:space="0" w:color="auto"/>
                      </w:divBdr>
                      <w:divsChild>
                        <w:div w:id="1084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1996">
      <w:bodyDiv w:val="1"/>
      <w:marLeft w:val="0"/>
      <w:marRight w:val="0"/>
      <w:marTop w:val="0"/>
      <w:marBottom w:val="0"/>
      <w:divBdr>
        <w:top w:val="none" w:sz="0" w:space="0" w:color="auto"/>
        <w:left w:val="none" w:sz="0" w:space="0" w:color="auto"/>
        <w:bottom w:val="none" w:sz="0" w:space="0" w:color="auto"/>
        <w:right w:val="none" w:sz="0" w:space="0" w:color="auto"/>
      </w:divBdr>
      <w:divsChild>
        <w:div w:id="1774665659">
          <w:marLeft w:val="-15"/>
          <w:marRight w:val="-15"/>
          <w:marTop w:val="0"/>
          <w:marBottom w:val="0"/>
          <w:divBdr>
            <w:top w:val="none" w:sz="0" w:space="0" w:color="auto"/>
            <w:left w:val="single" w:sz="6" w:space="0" w:color="DADADA"/>
            <w:bottom w:val="none" w:sz="0" w:space="0" w:color="auto"/>
            <w:right w:val="single" w:sz="6" w:space="0" w:color="DADADA"/>
          </w:divBdr>
          <w:divsChild>
            <w:div w:id="182863729">
              <w:marLeft w:val="0"/>
              <w:marRight w:val="0"/>
              <w:marTop w:val="0"/>
              <w:marBottom w:val="0"/>
              <w:divBdr>
                <w:top w:val="none" w:sz="0" w:space="0" w:color="auto"/>
                <w:left w:val="single" w:sz="48" w:space="0" w:color="FFFFFF"/>
                <w:bottom w:val="none" w:sz="0" w:space="0" w:color="auto"/>
                <w:right w:val="none" w:sz="0" w:space="0" w:color="auto"/>
              </w:divBdr>
              <w:divsChild>
                <w:div w:id="150218471">
                  <w:marLeft w:val="-15"/>
                  <w:marRight w:val="-15"/>
                  <w:marTop w:val="0"/>
                  <w:marBottom w:val="0"/>
                  <w:divBdr>
                    <w:top w:val="none" w:sz="0" w:space="0" w:color="auto"/>
                    <w:left w:val="single" w:sz="6" w:space="0" w:color="F9C661"/>
                    <w:bottom w:val="none" w:sz="0" w:space="0" w:color="auto"/>
                    <w:right w:val="single" w:sz="6" w:space="0" w:color="DADADA"/>
                  </w:divBdr>
                  <w:divsChild>
                    <w:div w:id="1577090981">
                      <w:marLeft w:val="-30"/>
                      <w:marRight w:val="-45"/>
                      <w:marTop w:val="0"/>
                      <w:marBottom w:val="0"/>
                      <w:divBdr>
                        <w:top w:val="none" w:sz="0" w:space="0" w:color="auto"/>
                        <w:left w:val="none" w:sz="0" w:space="0" w:color="auto"/>
                        <w:bottom w:val="none" w:sz="0" w:space="0" w:color="auto"/>
                        <w:right w:val="none" w:sz="0" w:space="0" w:color="auto"/>
                      </w:divBdr>
                      <w:divsChild>
                        <w:div w:id="18292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4053</Words>
  <Characters>25334</Characters>
  <Application>Microsoft Office Word</Application>
  <DocSecurity>4</DocSecurity>
  <Lines>469</Lines>
  <Paragraphs>117</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2008-04-24T13:28:00Z</cp:lastPrinted>
  <dcterms:created xsi:type="dcterms:W3CDTF">2025-12-17T04:13:00Z</dcterms:created>
  <dcterms:modified xsi:type="dcterms:W3CDTF">2025-12-17T04:13:00Z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EUN</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