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A55" w:rsidRPr="0044436A" w:rsidRDefault="008E1A55">
      <w:pPr>
        <w:pStyle w:val="Rubrik1"/>
        <w:shd w:val="clear" w:color="000000" w:fill="auto"/>
      </w:pPr>
      <w:r w:rsidRPr="0044436A">
        <w:t>Sammanfattning</w:t>
      </w:r>
    </w:p>
    <w:p w:rsidR="008E1A55" w:rsidRPr="0044436A" w:rsidRDefault="008E1A55">
      <w:pPr>
        <w:shd w:val="clear" w:color="000000" w:fill="auto"/>
      </w:pPr>
      <w:r w:rsidRPr="0044436A">
        <w:t>Vänsterpartiet föreslår en höjning av studiemedlen till 9 080 kronor för fyra veckors studier. I denna summa ingår även en höjning av studiebidraget till 3 130 kronor för fyra veckor, vilket motsvarar en ökning av bidragsdelen från 31,4 till 34,5 procent av totalbeloppet. Det högre bidraget höjer vi samtidigt till 7 266 kronor för fyra veckor, vilket blir 80 procent av totalbeloppet. U</w:t>
      </w:r>
      <w:r w:rsidRPr="0044436A">
        <w:t>n</w:t>
      </w:r>
      <w:r w:rsidRPr="0044436A">
        <w:t>der 2013 och 2014 vill vi dessutom höja bidragsdelen successivt till 37,7 procent.</w:t>
      </w:r>
    </w:p>
    <w:p w:rsidR="008E1A55" w:rsidRPr="0044436A" w:rsidRDefault="008E1A55">
      <w:pPr>
        <w:pStyle w:val="Normaltindrag"/>
        <w:shd w:val="clear" w:color="000000" w:fill="auto"/>
      </w:pPr>
      <w:r w:rsidRPr="0044436A">
        <w:t>Det ökade antalet utbildningsplatser, som vi föreslår, leder till att studi</w:t>
      </w:r>
      <w:r w:rsidRPr="0044436A">
        <w:t>e</w:t>
      </w:r>
      <w:r w:rsidRPr="0044436A">
        <w:t>medelstagarna blir omkring 40 000 fler. De flesta kommer att studera med det vanliga studiemedlet, men även antalet studiemedelstagare med det högre bidraget kommer att öka. Vi inrättar dessutom ett nytt ungdomsstudiestöd för unga som deltar i jobbgarantin för ungdomar, vilket ska omfatta 5 000 unga.</w:t>
      </w:r>
    </w:p>
    <w:p w:rsidR="008E1A55" w:rsidRPr="0044436A" w:rsidRDefault="008E1A55">
      <w:pPr>
        <w:pStyle w:val="Frslagsrubrik"/>
        <w:shd w:val="clear" w:color="000000" w:fill="auto"/>
      </w:pPr>
      <w:r w:rsidRPr="0044436A">
        <w:t>Förslag till riksdagsbeslut</w:t>
      </w:r>
    </w:p>
    <w:p w:rsidR="008E1A55" w:rsidRPr="0044436A" w:rsidRDefault="008E1A55">
      <w:pPr>
        <w:pStyle w:val="Hemstlatt"/>
        <w:numPr>
          <w:ilvl w:val="0"/>
          <w:numId w:val="1"/>
        </w:numPr>
        <w:shd w:val="clear" w:color="000000" w:fill="auto"/>
      </w:pPr>
      <w:r w:rsidRPr="0044436A">
        <w:t>Riksdagen beslutar om ändring av 3 kap. 11–13 §§ studiestödslagen (1999:1395) enligt vad som anges i moti</w:t>
      </w:r>
      <w:r w:rsidRPr="0044436A">
        <w:t>o</w:t>
      </w:r>
      <w:r w:rsidRPr="0044436A">
        <w:t>nen.</w:t>
      </w:r>
    </w:p>
    <w:p w:rsidR="008E1A55" w:rsidRPr="0044436A" w:rsidRDefault="008E1A55">
      <w:pPr>
        <w:pStyle w:val="Hemstlatt"/>
        <w:numPr>
          <w:ilvl w:val="0"/>
          <w:numId w:val="1"/>
        </w:numPr>
        <w:shd w:val="clear" w:color="000000" w:fill="auto"/>
      </w:pPr>
      <w:r w:rsidRPr="0044436A">
        <w:t>Riksdagen godkänner att lån tas upp i Riksgäldskontoret under 2012 för studielån intill ett belopp om 175 700 000 kr.</w:t>
      </w:r>
    </w:p>
    <w:p w:rsidR="008E1A55" w:rsidRPr="0044436A" w:rsidRDefault="008E1A55">
      <w:pPr>
        <w:pStyle w:val="Hemstlatt"/>
        <w:numPr>
          <w:ilvl w:val="0"/>
          <w:numId w:val="1"/>
        </w:numPr>
        <w:shd w:val="clear" w:color="000000" w:fill="auto"/>
      </w:pPr>
      <w:r w:rsidRPr="0044436A">
        <w:t>Riksdagen anvisar med följande ändringar i förhållande till regeringens förslag anslagen under utgiftsområde 15 Studiestöd enligt uppställning:</w:t>
      </w:r>
    </w:p>
    <w:p w:rsidR="008E1A55" w:rsidRPr="0044436A" w:rsidRDefault="008E1A55">
      <w:pPr>
        <w:shd w:val="clear" w:color="000000" w:fill="auto"/>
      </w:pPr>
    </w:p>
    <w:tbl>
      <w:tblPr>
        <w:tblW w:w="6010" w:type="dxa"/>
        <w:tblInd w:w="55" w:type="dxa"/>
        <w:tblLayout w:type="fixed"/>
        <w:tblCellMar>
          <w:left w:w="70" w:type="dxa"/>
          <w:right w:w="70" w:type="dxa"/>
        </w:tblCellMar>
        <w:tblLook w:val="0000" w:firstRow="0" w:lastRow="0" w:firstColumn="0" w:lastColumn="0" w:noHBand="0" w:noVBand="0"/>
      </w:tblPr>
      <w:tblGrid>
        <w:gridCol w:w="615"/>
        <w:gridCol w:w="2280"/>
        <w:gridCol w:w="1560"/>
        <w:gridCol w:w="1555"/>
      </w:tblGrid>
      <w:tr w:rsidR="00000000" w:rsidRPr="0044436A">
        <w:tc>
          <w:tcPr>
            <w:tcW w:w="615" w:type="dxa"/>
            <w:tcBorders>
              <w:top w:val="single" w:sz="4" w:space="0" w:color="auto"/>
              <w:left w:val="nil"/>
              <w:bottom w:val="single" w:sz="8" w:space="0" w:color="000000"/>
              <w:right w:val="nil"/>
            </w:tcBorders>
          </w:tcPr>
          <w:p w:rsidR="008E1A55" w:rsidRPr="0044436A" w:rsidRDefault="008E1A55">
            <w:pPr>
              <w:shd w:val="clear" w:color="000000" w:fill="auto"/>
              <w:spacing w:before="60" w:line="200" w:lineRule="exact"/>
              <w:rPr>
                <w:b/>
                <w:sz w:val="16"/>
                <w:szCs w:val="16"/>
              </w:rPr>
            </w:pPr>
            <w:r w:rsidRPr="0044436A">
              <w:rPr>
                <w:b/>
                <w:sz w:val="16"/>
                <w:szCs w:val="16"/>
              </w:rPr>
              <w:t>Anslag</w:t>
            </w:r>
          </w:p>
        </w:tc>
        <w:tc>
          <w:tcPr>
            <w:tcW w:w="2280" w:type="dxa"/>
            <w:tcBorders>
              <w:top w:val="single" w:sz="4" w:space="0" w:color="auto"/>
              <w:left w:val="nil"/>
              <w:bottom w:val="single" w:sz="8" w:space="0" w:color="000000"/>
              <w:right w:val="nil"/>
            </w:tcBorders>
          </w:tcPr>
          <w:p w:rsidR="008E1A55" w:rsidRPr="0044436A" w:rsidRDefault="008E1A55">
            <w:pPr>
              <w:shd w:val="clear" w:color="000000" w:fill="auto"/>
              <w:spacing w:before="60" w:line="200" w:lineRule="exact"/>
              <w:rPr>
                <w:b/>
                <w:sz w:val="16"/>
                <w:szCs w:val="16"/>
              </w:rPr>
            </w:pPr>
          </w:p>
        </w:tc>
        <w:tc>
          <w:tcPr>
            <w:tcW w:w="1560" w:type="dxa"/>
            <w:tcBorders>
              <w:top w:val="single" w:sz="4" w:space="0" w:color="auto"/>
              <w:left w:val="nil"/>
              <w:bottom w:val="single" w:sz="8" w:space="0" w:color="000000"/>
              <w:right w:val="nil"/>
            </w:tcBorders>
          </w:tcPr>
          <w:p w:rsidR="008E1A55" w:rsidRPr="0044436A" w:rsidRDefault="008E1A55">
            <w:pPr>
              <w:shd w:val="clear" w:color="000000" w:fill="auto"/>
              <w:spacing w:before="60" w:line="200" w:lineRule="exact"/>
              <w:jc w:val="right"/>
              <w:rPr>
                <w:b/>
                <w:sz w:val="16"/>
                <w:szCs w:val="16"/>
              </w:rPr>
            </w:pPr>
            <w:r w:rsidRPr="0044436A">
              <w:rPr>
                <w:b/>
                <w:sz w:val="16"/>
                <w:szCs w:val="16"/>
              </w:rPr>
              <w:t>Regeringens förslag (tkr)</w:t>
            </w:r>
          </w:p>
        </w:tc>
        <w:tc>
          <w:tcPr>
            <w:tcW w:w="1555" w:type="dxa"/>
            <w:tcBorders>
              <w:top w:val="single" w:sz="4" w:space="0" w:color="auto"/>
              <w:left w:val="nil"/>
              <w:bottom w:val="single" w:sz="8" w:space="0" w:color="000000"/>
              <w:right w:val="nil"/>
            </w:tcBorders>
          </w:tcPr>
          <w:p w:rsidR="008E1A55" w:rsidRPr="0044436A" w:rsidRDefault="008E1A55">
            <w:pPr>
              <w:shd w:val="clear" w:color="000000" w:fill="auto"/>
              <w:spacing w:before="60" w:line="200" w:lineRule="exact"/>
              <w:jc w:val="right"/>
              <w:rPr>
                <w:b/>
                <w:sz w:val="16"/>
                <w:szCs w:val="16"/>
              </w:rPr>
            </w:pPr>
            <w:r w:rsidRPr="0044436A">
              <w:rPr>
                <w:b/>
                <w:sz w:val="16"/>
                <w:szCs w:val="16"/>
              </w:rPr>
              <w:t>Anslagsförändring (tkr)</w:t>
            </w:r>
          </w:p>
        </w:tc>
      </w:tr>
      <w:tr w:rsidR="00000000" w:rsidRPr="0044436A">
        <w:tc>
          <w:tcPr>
            <w:tcW w:w="615" w:type="dxa"/>
          </w:tcPr>
          <w:p w:rsidR="008E1A55" w:rsidRPr="0044436A" w:rsidRDefault="008E1A55">
            <w:pPr>
              <w:shd w:val="clear" w:color="000000" w:fill="auto"/>
              <w:spacing w:before="60" w:line="200" w:lineRule="exact"/>
              <w:rPr>
                <w:sz w:val="16"/>
                <w:szCs w:val="16"/>
              </w:rPr>
            </w:pPr>
            <w:r w:rsidRPr="0044436A">
              <w:rPr>
                <w:sz w:val="16"/>
                <w:szCs w:val="16"/>
              </w:rPr>
              <w:t>1:2</w:t>
            </w:r>
          </w:p>
        </w:tc>
        <w:tc>
          <w:tcPr>
            <w:tcW w:w="2280" w:type="dxa"/>
          </w:tcPr>
          <w:p w:rsidR="008E1A55" w:rsidRPr="0044436A" w:rsidRDefault="008E1A55">
            <w:pPr>
              <w:shd w:val="clear" w:color="000000" w:fill="auto"/>
              <w:spacing w:before="60" w:line="200" w:lineRule="exact"/>
              <w:rPr>
                <w:sz w:val="16"/>
                <w:szCs w:val="16"/>
              </w:rPr>
            </w:pPr>
            <w:r w:rsidRPr="0044436A">
              <w:rPr>
                <w:sz w:val="16"/>
                <w:szCs w:val="16"/>
              </w:rPr>
              <w:t>Studiemedel m.m.</w:t>
            </w:r>
          </w:p>
        </w:tc>
        <w:tc>
          <w:tcPr>
            <w:tcW w:w="1560" w:type="dxa"/>
          </w:tcPr>
          <w:p w:rsidR="008E1A55" w:rsidRPr="0044436A" w:rsidRDefault="008E1A55">
            <w:pPr>
              <w:shd w:val="clear" w:color="000000" w:fill="auto"/>
              <w:spacing w:before="60" w:line="200" w:lineRule="exact"/>
              <w:jc w:val="right"/>
              <w:rPr>
                <w:sz w:val="16"/>
                <w:szCs w:val="16"/>
              </w:rPr>
            </w:pPr>
            <w:r w:rsidRPr="0044436A">
              <w:rPr>
                <w:sz w:val="16"/>
                <w:szCs w:val="16"/>
              </w:rPr>
              <w:t>13 779 499</w:t>
            </w:r>
          </w:p>
        </w:tc>
        <w:tc>
          <w:tcPr>
            <w:tcW w:w="1555" w:type="dxa"/>
          </w:tcPr>
          <w:p w:rsidR="008E1A55" w:rsidRPr="0044436A" w:rsidRDefault="008E1A55">
            <w:pPr>
              <w:shd w:val="clear" w:color="000000" w:fill="auto"/>
              <w:spacing w:before="60" w:line="200" w:lineRule="exact"/>
              <w:jc w:val="right"/>
              <w:rPr>
                <w:sz w:val="16"/>
                <w:szCs w:val="16"/>
              </w:rPr>
            </w:pPr>
            <w:r w:rsidRPr="0044436A">
              <w:rPr>
                <w:sz w:val="16"/>
                <w:szCs w:val="16"/>
              </w:rPr>
              <w:t>2 969 000</w:t>
            </w:r>
          </w:p>
        </w:tc>
      </w:tr>
      <w:tr w:rsidR="00000000" w:rsidRPr="0044436A">
        <w:tc>
          <w:tcPr>
            <w:tcW w:w="615" w:type="dxa"/>
          </w:tcPr>
          <w:p w:rsidR="008E1A55" w:rsidRPr="0044436A" w:rsidRDefault="008E1A55">
            <w:pPr>
              <w:shd w:val="clear" w:color="000000" w:fill="auto"/>
              <w:spacing w:before="60" w:line="200" w:lineRule="exact"/>
              <w:rPr>
                <w:sz w:val="16"/>
                <w:szCs w:val="16"/>
              </w:rPr>
            </w:pPr>
            <w:r w:rsidRPr="0044436A">
              <w:rPr>
                <w:sz w:val="16"/>
                <w:szCs w:val="16"/>
              </w:rPr>
              <w:t>1:3</w:t>
            </w:r>
          </w:p>
        </w:tc>
        <w:tc>
          <w:tcPr>
            <w:tcW w:w="2280" w:type="dxa"/>
          </w:tcPr>
          <w:p w:rsidR="008E1A55" w:rsidRPr="0044436A" w:rsidRDefault="008E1A55">
            <w:pPr>
              <w:shd w:val="clear" w:color="000000" w:fill="auto"/>
              <w:spacing w:before="60" w:line="200" w:lineRule="exact"/>
              <w:rPr>
                <w:sz w:val="16"/>
                <w:szCs w:val="16"/>
              </w:rPr>
            </w:pPr>
            <w:r w:rsidRPr="0044436A">
              <w:rPr>
                <w:sz w:val="16"/>
                <w:szCs w:val="16"/>
              </w:rPr>
              <w:t>Studiemedelsräntor m.m.</w:t>
            </w:r>
          </w:p>
        </w:tc>
        <w:tc>
          <w:tcPr>
            <w:tcW w:w="1560" w:type="dxa"/>
          </w:tcPr>
          <w:p w:rsidR="008E1A55" w:rsidRPr="0044436A" w:rsidRDefault="008E1A55">
            <w:pPr>
              <w:shd w:val="clear" w:color="000000" w:fill="auto"/>
              <w:spacing w:before="60" w:line="200" w:lineRule="exact"/>
              <w:jc w:val="right"/>
              <w:rPr>
                <w:sz w:val="16"/>
                <w:szCs w:val="16"/>
              </w:rPr>
            </w:pPr>
            <w:r w:rsidRPr="0044436A">
              <w:rPr>
                <w:sz w:val="16"/>
                <w:szCs w:val="16"/>
              </w:rPr>
              <w:t>4 308 454</w:t>
            </w:r>
          </w:p>
        </w:tc>
        <w:tc>
          <w:tcPr>
            <w:tcW w:w="1555" w:type="dxa"/>
          </w:tcPr>
          <w:p w:rsidR="008E1A55" w:rsidRPr="0044436A" w:rsidRDefault="008E1A55">
            <w:pPr>
              <w:shd w:val="clear" w:color="000000" w:fill="auto"/>
              <w:spacing w:before="60" w:line="200" w:lineRule="exact"/>
              <w:jc w:val="right"/>
              <w:rPr>
                <w:sz w:val="16"/>
                <w:szCs w:val="16"/>
              </w:rPr>
            </w:pPr>
            <w:r w:rsidRPr="0044436A">
              <w:rPr>
                <w:sz w:val="16"/>
                <w:szCs w:val="16"/>
              </w:rPr>
              <w:t>–17 000</w:t>
            </w:r>
          </w:p>
        </w:tc>
      </w:tr>
      <w:tr w:rsidR="00000000" w:rsidRPr="0044436A">
        <w:tc>
          <w:tcPr>
            <w:tcW w:w="615" w:type="dxa"/>
            <w:tcBorders>
              <w:bottom w:val="single" w:sz="4" w:space="0" w:color="auto"/>
            </w:tcBorders>
          </w:tcPr>
          <w:p w:rsidR="008E1A55" w:rsidRPr="0044436A" w:rsidRDefault="008E1A55">
            <w:pPr>
              <w:shd w:val="clear" w:color="000000" w:fill="auto"/>
              <w:spacing w:before="60" w:line="200" w:lineRule="exact"/>
              <w:rPr>
                <w:b/>
                <w:sz w:val="16"/>
                <w:szCs w:val="16"/>
              </w:rPr>
            </w:pPr>
          </w:p>
        </w:tc>
        <w:tc>
          <w:tcPr>
            <w:tcW w:w="2280" w:type="dxa"/>
            <w:tcBorders>
              <w:bottom w:val="single" w:sz="4" w:space="0" w:color="auto"/>
            </w:tcBorders>
          </w:tcPr>
          <w:p w:rsidR="008E1A55" w:rsidRPr="0044436A" w:rsidRDefault="008E1A55">
            <w:pPr>
              <w:shd w:val="clear" w:color="000000" w:fill="auto"/>
              <w:spacing w:before="60" w:line="200" w:lineRule="exact"/>
              <w:rPr>
                <w:b/>
                <w:sz w:val="16"/>
                <w:szCs w:val="16"/>
              </w:rPr>
            </w:pPr>
            <w:r w:rsidRPr="0044436A">
              <w:rPr>
                <w:b/>
                <w:sz w:val="16"/>
                <w:szCs w:val="16"/>
              </w:rPr>
              <w:t>Summa</w:t>
            </w:r>
          </w:p>
        </w:tc>
        <w:tc>
          <w:tcPr>
            <w:tcW w:w="1560" w:type="dxa"/>
            <w:tcBorders>
              <w:bottom w:val="single" w:sz="4" w:space="0" w:color="auto"/>
            </w:tcBorders>
          </w:tcPr>
          <w:p w:rsidR="008E1A55" w:rsidRPr="0044436A" w:rsidRDefault="008E1A55">
            <w:pPr>
              <w:shd w:val="clear" w:color="000000" w:fill="auto"/>
              <w:spacing w:before="60" w:line="200" w:lineRule="exact"/>
              <w:jc w:val="right"/>
              <w:rPr>
                <w:b/>
                <w:sz w:val="16"/>
                <w:szCs w:val="16"/>
              </w:rPr>
            </w:pPr>
          </w:p>
        </w:tc>
        <w:tc>
          <w:tcPr>
            <w:tcW w:w="1555" w:type="dxa"/>
            <w:tcBorders>
              <w:bottom w:val="single" w:sz="4" w:space="0" w:color="auto"/>
            </w:tcBorders>
          </w:tcPr>
          <w:p w:rsidR="008E1A55" w:rsidRPr="0044436A" w:rsidRDefault="008E1A55">
            <w:pPr>
              <w:shd w:val="clear" w:color="000000" w:fill="auto"/>
              <w:spacing w:before="60" w:line="200" w:lineRule="exact"/>
              <w:jc w:val="right"/>
              <w:rPr>
                <w:b/>
                <w:sz w:val="16"/>
                <w:szCs w:val="16"/>
              </w:rPr>
            </w:pPr>
            <w:r w:rsidRPr="0044436A">
              <w:rPr>
                <w:b/>
                <w:sz w:val="16"/>
                <w:szCs w:val="16"/>
              </w:rPr>
              <w:t>2 952 000</w:t>
            </w:r>
          </w:p>
        </w:tc>
      </w:tr>
    </w:tbl>
    <w:p w:rsidR="008E1A55" w:rsidRPr="0044436A" w:rsidRDefault="008E1A55">
      <w:pPr>
        <w:shd w:val="clear" w:color="000000" w:fill="auto"/>
      </w:pPr>
    </w:p>
    <w:p w:rsidR="008E1A55" w:rsidRPr="0044436A" w:rsidRDefault="008E1A55">
      <w:pPr>
        <w:pStyle w:val="Rubrik1"/>
        <w:shd w:val="clear" w:color="000000" w:fill="auto"/>
        <w:spacing w:before="0"/>
      </w:pPr>
      <w:r w:rsidRPr="0044436A">
        <w:t>1:2 Studiemedel m.m.</w:t>
      </w:r>
    </w:p>
    <w:p w:rsidR="008E1A55" w:rsidRPr="0044436A" w:rsidRDefault="008E1A55">
      <w:pPr>
        <w:shd w:val="clear" w:color="000000" w:fill="auto"/>
      </w:pPr>
      <w:r w:rsidRPr="0044436A">
        <w:t>Vänsterpartiet föreslår en studiemedelshöjning till 2 270 kronor i veckan år 2012. I denna höjning ingår ett höjt studiebidrag med 82 kronor i veckan. Det innebär att bidragsdelens andel ökar från 31,4 procent till 34,5 procent av totalbeloppet. Det motsvarar 31 300 kronor för 40 veckors heltidsstudier. För studerande med det högre bidraget höjs bidragets andel från 73 till 80 procent eller till 72 660 kronor för 40 veckors studier. Vi ökar därför anslag 1:2 St</w:t>
      </w:r>
      <w:r w:rsidRPr="0044436A">
        <w:t>u</w:t>
      </w:r>
      <w:r w:rsidRPr="0044436A">
        <w:t>diemedel m.m. med 1 283 miljoner kronor. Förslagen beskrivs närmare i vår motion Höjd kvalitet på högskolan (2011/12:Ub353).</w:t>
      </w:r>
    </w:p>
    <w:p w:rsidR="008E1A55" w:rsidRPr="0044436A" w:rsidRDefault="008E1A55">
      <w:pPr>
        <w:pStyle w:val="Normaltindrag"/>
        <w:shd w:val="clear" w:color="000000" w:fill="auto"/>
      </w:pPr>
      <w:r w:rsidRPr="0044436A">
        <w:t>Som en följd av vår satsning på fler utbildningsplatser inom komvux, y</w:t>
      </w:r>
      <w:r w:rsidRPr="0044436A">
        <w:t>r</w:t>
      </w:r>
      <w:r w:rsidRPr="0044436A">
        <w:t>keshögskolan och högskolan kommer fler studerande att få studiemedel med både det generella bidraget och det högre bidraget. Vi inför dessutom ett särskilt studiestöd för arbetslösa ungdomar där bidraget utgör 100 procent av totalbeloppet. Sammanlagt blir det ca 38 000 fler studiemedelstagare och anslag 1:2 Studiemedel m.m. behöver öka med 1 734 miljoner kronor. I m</w:t>
      </w:r>
      <w:r w:rsidRPr="0044436A">
        <w:t>o</w:t>
      </w:r>
      <w:r w:rsidRPr="0044436A">
        <w:t>tionen Utbildning för ökad sysselsättning och kunskap (2011/12:Ub287) r</w:t>
      </w:r>
      <w:r w:rsidRPr="0044436A">
        <w:t>e</w:t>
      </w:r>
      <w:r w:rsidRPr="0044436A">
        <w:t>dogör vi för dessa förslag.</w:t>
      </w:r>
    </w:p>
    <w:p w:rsidR="008E1A55" w:rsidRPr="0044436A" w:rsidRDefault="008E1A55">
      <w:pPr>
        <w:pStyle w:val="Normaltindrag"/>
        <w:shd w:val="clear" w:color="000000" w:fill="auto"/>
      </w:pPr>
      <w:r w:rsidRPr="0044436A">
        <w:t>Vi föreslår i motionen Förbättringar i för</w:t>
      </w:r>
      <w:r w:rsidRPr="0044436A">
        <w:t>skola och fritidshem (2011/12:Ub285) en förlängning av vissa examina på lärarutbildningen, vilket gör att utbetalningarna av studiemedel ökar och anslag 1:2 Studiemedel höjs med 88 miljoner kronor.</w:t>
      </w:r>
    </w:p>
    <w:p w:rsidR="008E1A55" w:rsidRPr="0044436A" w:rsidRDefault="008E1A55">
      <w:pPr>
        <w:pStyle w:val="Normaltindrag"/>
        <w:shd w:val="clear" w:color="000000" w:fill="auto"/>
      </w:pPr>
      <w:r w:rsidRPr="0044436A">
        <w:t>För att öka antalet specialistsjuksköterskor föreslår vi i motion Specialis</w:t>
      </w:r>
      <w:r w:rsidRPr="0044436A">
        <w:t>t</w:t>
      </w:r>
      <w:r w:rsidRPr="0044436A">
        <w:t>utbildning för sjuksköterskor (2011/12:Ub373) att det införs en betald speci</w:t>
      </w:r>
      <w:r w:rsidRPr="0044436A">
        <w:t>a</w:t>
      </w:r>
      <w:r w:rsidRPr="0044436A">
        <w:t>listutbildning. Anslag 1:2 Studiemedel m.m. minskas därför med 136 miljoner kronor.</w:t>
      </w:r>
    </w:p>
    <w:p w:rsidR="008E1A55" w:rsidRPr="0044436A" w:rsidRDefault="008E1A55">
      <w:pPr>
        <w:pStyle w:val="Normaltindrag"/>
        <w:shd w:val="clear" w:color="000000" w:fill="auto"/>
      </w:pPr>
      <w:r w:rsidRPr="0044436A">
        <w:t>Sammantaget föreslår Vänsterpartiet en ökning av anslaget 1:1 med 2 952 miljoner kronor 2012 jämfört med regeringens förslag.</w:t>
      </w:r>
    </w:p>
    <w:p w:rsidR="008E1A55" w:rsidRPr="0044436A" w:rsidRDefault="008E1A55">
      <w:pPr>
        <w:pStyle w:val="Normaltindrag"/>
        <w:shd w:val="clear" w:color="000000" w:fill="auto"/>
      </w:pPr>
      <w:r w:rsidRPr="0044436A">
        <w:t>För att höja studiemedlet föreslår Vänsterpartiet följande lagändringar i 3 kap. studiestödslagen (1999:1395):</w:t>
      </w:r>
    </w:p>
    <w:p w:rsidR="008E1A55" w:rsidRPr="0044436A" w:rsidRDefault="008E1A55">
      <w:pPr>
        <w:shd w:val="clear" w:color="000000" w:fill="auto"/>
        <w:jc w:val="center"/>
      </w:pPr>
      <w:r w:rsidRPr="0044436A">
        <w:t>11 §</w:t>
      </w:r>
    </w:p>
    <w:p w:rsidR="008E1A55" w:rsidRPr="0044436A" w:rsidRDefault="008E1A55">
      <w:pPr>
        <w:shd w:val="clear" w:color="000000" w:fill="auto"/>
        <w:spacing w:after="120"/>
      </w:pPr>
      <w:r w:rsidRPr="0044436A">
        <w:t>Studiemedel får lämnas med ett belopp som för varje vecka då den studerande har rätt till studiemedel utgör</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44436A">
        <w:tc>
          <w:tcPr>
            <w:tcW w:w="4322" w:type="dxa"/>
          </w:tcPr>
          <w:p w:rsidR="008E1A55" w:rsidRPr="0044436A" w:rsidRDefault="008E1A55">
            <w:pPr>
              <w:pStyle w:val="Lagtext"/>
              <w:shd w:val="clear" w:color="000000" w:fill="auto"/>
              <w:spacing w:line="240" w:lineRule="exact"/>
            </w:pPr>
            <w:r w:rsidRPr="0044436A">
              <w:t>Nuvarande lydelse</w:t>
            </w:r>
          </w:p>
        </w:tc>
        <w:tc>
          <w:tcPr>
            <w:tcW w:w="4322" w:type="dxa"/>
          </w:tcPr>
          <w:p w:rsidR="008E1A55" w:rsidRPr="0044436A" w:rsidRDefault="008E1A55">
            <w:pPr>
              <w:pStyle w:val="Lagtext"/>
              <w:shd w:val="clear" w:color="000000" w:fill="auto"/>
              <w:spacing w:line="240" w:lineRule="exact"/>
            </w:pPr>
            <w:r w:rsidRPr="0044436A">
              <w:t>Föreslagen lydelse</w:t>
            </w:r>
          </w:p>
        </w:tc>
      </w:tr>
      <w:tr w:rsidR="00000000" w:rsidRPr="0044436A">
        <w:tc>
          <w:tcPr>
            <w:tcW w:w="4322" w:type="dxa"/>
          </w:tcPr>
          <w:p w:rsidR="008E1A55" w:rsidRPr="0044436A" w:rsidRDefault="008E1A55">
            <w:pPr>
              <w:shd w:val="clear" w:color="000000" w:fill="auto"/>
              <w:spacing w:before="0" w:line="240" w:lineRule="exact"/>
            </w:pPr>
            <w:r w:rsidRPr="0044436A">
              <w:t>1. 5,07 procent av prisbasbeloppet vid studier på heltid,2. 3,80 procent av prisbasbeloppet vid studier på minst 75 procent men mindre än 100 procent av heltid, och 3. 2,54 procent av pri</w:t>
            </w:r>
            <w:r w:rsidRPr="0044436A">
              <w:t>s</w:t>
            </w:r>
            <w:r w:rsidRPr="0044436A">
              <w:t>basbeloppet vid studier på minst 50 procent men mindre än 75 procent av heltid.</w:t>
            </w:r>
          </w:p>
        </w:tc>
        <w:tc>
          <w:tcPr>
            <w:tcW w:w="4322" w:type="dxa"/>
          </w:tcPr>
          <w:p w:rsidR="008E1A55" w:rsidRPr="0044436A" w:rsidRDefault="008E1A55">
            <w:pPr>
              <w:shd w:val="clear" w:color="000000" w:fill="auto"/>
              <w:spacing w:before="0" w:line="240" w:lineRule="exact"/>
            </w:pPr>
            <w:r w:rsidRPr="0044436A">
              <w:t xml:space="preserve">1. </w:t>
            </w:r>
            <w:r w:rsidRPr="0044436A">
              <w:rPr>
                <w:i/>
              </w:rPr>
              <w:t>5,16</w:t>
            </w:r>
            <w:r w:rsidRPr="0044436A">
              <w:t xml:space="preserve"> procent av prisbasbeloppet vid studier på heltid, 2. </w:t>
            </w:r>
            <w:r w:rsidRPr="0044436A">
              <w:rPr>
                <w:i/>
              </w:rPr>
              <w:t>3,87</w:t>
            </w:r>
            <w:r w:rsidRPr="0044436A">
              <w:t xml:space="preserve"> procent av prisbasbeloppet vid studier på minst 75 procent men mindre än 100 procent av heltid, och 3. </w:t>
            </w:r>
            <w:r w:rsidRPr="0044436A">
              <w:rPr>
                <w:i/>
              </w:rPr>
              <w:t>2,58</w:t>
            </w:r>
            <w:r w:rsidRPr="0044436A">
              <w:t xml:space="preserve"> procent av pri</w:t>
            </w:r>
            <w:r w:rsidRPr="0044436A">
              <w:t>s</w:t>
            </w:r>
            <w:r w:rsidRPr="0044436A">
              <w:t>basbeloppet vid studier på minst 50 procent men mindre än 75 procent av heltid.</w:t>
            </w:r>
          </w:p>
        </w:tc>
      </w:tr>
    </w:tbl>
    <w:p w:rsidR="008E1A55" w:rsidRPr="0044436A" w:rsidRDefault="008E1A55">
      <w:pPr>
        <w:shd w:val="clear" w:color="000000" w:fill="auto"/>
        <w:jc w:val="center"/>
      </w:pPr>
    </w:p>
    <w:p w:rsidR="008E1A55" w:rsidRPr="0044436A" w:rsidRDefault="008E1A55">
      <w:pPr>
        <w:shd w:val="clear" w:color="000000" w:fill="auto"/>
        <w:jc w:val="center"/>
      </w:pPr>
    </w:p>
    <w:p w:rsidR="008E1A55" w:rsidRPr="0044436A" w:rsidRDefault="008E1A55">
      <w:pPr>
        <w:shd w:val="clear" w:color="000000" w:fill="auto"/>
        <w:jc w:val="center"/>
      </w:pPr>
      <w:r w:rsidRPr="0044436A">
        <w:t>12 §</w:t>
      </w:r>
    </w:p>
    <w:p w:rsidR="008E1A55" w:rsidRPr="0044436A" w:rsidRDefault="008E1A55">
      <w:pPr>
        <w:shd w:val="clear" w:color="000000" w:fill="auto"/>
        <w:spacing w:after="120"/>
      </w:pPr>
      <w:r w:rsidRPr="0044436A">
        <w:t>Om inte något annat följer av 13 § får studiebidrag lämnas med ett belopp som för varje vecka som den studerande har rätt till studiemedel utgör</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44436A">
        <w:tc>
          <w:tcPr>
            <w:tcW w:w="4322" w:type="dxa"/>
          </w:tcPr>
          <w:p w:rsidR="008E1A55" w:rsidRPr="0044436A" w:rsidRDefault="008E1A55">
            <w:pPr>
              <w:pStyle w:val="Lagtext"/>
              <w:shd w:val="clear" w:color="000000" w:fill="auto"/>
              <w:spacing w:line="240" w:lineRule="exact"/>
            </w:pPr>
            <w:r w:rsidRPr="0044436A">
              <w:t>Nuvarande lydelse</w:t>
            </w:r>
          </w:p>
        </w:tc>
        <w:tc>
          <w:tcPr>
            <w:tcW w:w="4322" w:type="dxa"/>
          </w:tcPr>
          <w:p w:rsidR="008E1A55" w:rsidRPr="0044436A" w:rsidRDefault="008E1A55">
            <w:pPr>
              <w:pStyle w:val="Lagtext"/>
              <w:shd w:val="clear" w:color="000000" w:fill="auto"/>
              <w:spacing w:line="240" w:lineRule="exact"/>
            </w:pPr>
            <w:r w:rsidRPr="0044436A">
              <w:t>Föreslagen lydelse</w:t>
            </w:r>
          </w:p>
        </w:tc>
      </w:tr>
      <w:tr w:rsidR="00000000" w:rsidRPr="0044436A">
        <w:tc>
          <w:tcPr>
            <w:tcW w:w="4322" w:type="dxa"/>
          </w:tcPr>
          <w:p w:rsidR="008E1A55" w:rsidRPr="0044436A" w:rsidRDefault="008E1A55">
            <w:pPr>
              <w:shd w:val="clear" w:color="000000" w:fill="auto"/>
              <w:spacing w:before="0" w:line="240" w:lineRule="exact"/>
            </w:pPr>
            <w:r w:rsidRPr="0044436A">
              <w:t>1. 1,59 procent av prisbasbeloppet vid studier på heltid, 2. 1,19 procent av prisbasbeloppet vid studier på minst 75 procent men mindre än 100 procent av heltid, och 3. 0,79 procent av pri</w:t>
            </w:r>
            <w:r w:rsidRPr="0044436A">
              <w:t>s</w:t>
            </w:r>
            <w:r w:rsidRPr="0044436A">
              <w:t>basbeloppet vid studier på minst 50 procent men mindre än 75 procent av heltid.</w:t>
            </w:r>
          </w:p>
        </w:tc>
        <w:tc>
          <w:tcPr>
            <w:tcW w:w="4322" w:type="dxa"/>
          </w:tcPr>
          <w:p w:rsidR="008E1A55" w:rsidRPr="0044436A" w:rsidRDefault="008E1A55">
            <w:pPr>
              <w:shd w:val="clear" w:color="000000" w:fill="auto"/>
              <w:spacing w:before="0" w:line="240" w:lineRule="exact"/>
            </w:pPr>
            <w:r w:rsidRPr="0044436A">
              <w:t xml:space="preserve">1. </w:t>
            </w:r>
            <w:r w:rsidRPr="0044436A">
              <w:rPr>
                <w:i/>
              </w:rPr>
              <w:t>1,78</w:t>
            </w:r>
            <w:r w:rsidRPr="0044436A">
              <w:t xml:space="preserve"> procent av prisbasbeloppet vid studier på heltid, 2. </w:t>
            </w:r>
            <w:r w:rsidRPr="0044436A">
              <w:rPr>
                <w:i/>
              </w:rPr>
              <w:t>1,33</w:t>
            </w:r>
            <w:r w:rsidRPr="0044436A">
              <w:t xml:space="preserve"> procent av prisbasbeloppet vid studier på minst 75 procent men mindre än 100 procent av heltid, och 3. </w:t>
            </w:r>
            <w:r w:rsidRPr="0044436A">
              <w:rPr>
                <w:i/>
              </w:rPr>
              <w:t>0,89</w:t>
            </w:r>
            <w:r w:rsidRPr="0044436A">
              <w:t xml:space="preserve"> procent av pri</w:t>
            </w:r>
            <w:r w:rsidRPr="0044436A">
              <w:t>s</w:t>
            </w:r>
            <w:r w:rsidRPr="0044436A">
              <w:t>basbeloppet vid studier på minst 50 procent men mindre än 75 procent av heltid.</w:t>
            </w:r>
          </w:p>
        </w:tc>
      </w:tr>
    </w:tbl>
    <w:p w:rsidR="008E1A55" w:rsidRPr="0044436A" w:rsidRDefault="008E1A55">
      <w:pPr>
        <w:pStyle w:val="Normaltindrag"/>
        <w:shd w:val="clear" w:color="000000" w:fill="auto"/>
        <w:jc w:val="center"/>
      </w:pPr>
      <w:r w:rsidRPr="0044436A">
        <w:t>13 §</w:t>
      </w:r>
    </w:p>
    <w:p w:rsidR="008E1A55" w:rsidRPr="0044436A" w:rsidRDefault="008E1A55">
      <w:pPr>
        <w:shd w:val="clear" w:color="000000" w:fill="auto"/>
        <w:spacing w:after="120"/>
      </w:pPr>
      <w:r w:rsidRPr="0044436A">
        <w:t>Till studerande i sådan utbildning som avses i 2 § andra stycket får studieb</w:t>
      </w:r>
      <w:r w:rsidRPr="0044436A">
        <w:t>i</w:t>
      </w:r>
      <w:r w:rsidRPr="0044436A">
        <w:t>drag lämnas med ett högre belopp per vecka, nämligen med</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44436A">
        <w:tc>
          <w:tcPr>
            <w:tcW w:w="4322" w:type="dxa"/>
          </w:tcPr>
          <w:p w:rsidR="008E1A55" w:rsidRPr="0044436A" w:rsidRDefault="008E1A55">
            <w:pPr>
              <w:pStyle w:val="Lagtext"/>
              <w:shd w:val="clear" w:color="000000" w:fill="auto"/>
              <w:spacing w:line="240" w:lineRule="exact"/>
            </w:pPr>
            <w:r w:rsidRPr="0044436A">
              <w:t>Nuvarande lydelse</w:t>
            </w:r>
          </w:p>
        </w:tc>
        <w:tc>
          <w:tcPr>
            <w:tcW w:w="4322" w:type="dxa"/>
          </w:tcPr>
          <w:p w:rsidR="008E1A55" w:rsidRPr="0044436A" w:rsidRDefault="008E1A55">
            <w:pPr>
              <w:pStyle w:val="Lagtext"/>
              <w:shd w:val="clear" w:color="000000" w:fill="auto"/>
              <w:spacing w:line="240" w:lineRule="exact"/>
            </w:pPr>
            <w:r w:rsidRPr="0044436A">
              <w:t>Föreslagen lydelse</w:t>
            </w:r>
          </w:p>
        </w:tc>
      </w:tr>
      <w:tr w:rsidR="00000000" w:rsidRPr="0044436A">
        <w:tc>
          <w:tcPr>
            <w:tcW w:w="4322" w:type="dxa"/>
          </w:tcPr>
          <w:p w:rsidR="008E1A55" w:rsidRPr="0044436A" w:rsidRDefault="008E1A55">
            <w:pPr>
              <w:shd w:val="clear" w:color="000000" w:fill="auto"/>
              <w:spacing w:before="0" w:line="240" w:lineRule="exact"/>
            </w:pPr>
            <w:r w:rsidRPr="0044436A">
              <w:t>1. 3,70 procent av prisbasbeloppet vid studier på heltid, 2. 2,77 procent av prisbasbeloppet vid studier på minst 75 procent men mindre än 100 procent av heltid, och 3. 1,85 procent av pri</w:t>
            </w:r>
            <w:r w:rsidRPr="0044436A">
              <w:t>s</w:t>
            </w:r>
            <w:r w:rsidRPr="0044436A">
              <w:t>basbeloppet vid studier på minst 50 procent men mindre än 75 procent av heltid.</w:t>
            </w:r>
          </w:p>
        </w:tc>
        <w:tc>
          <w:tcPr>
            <w:tcW w:w="4322" w:type="dxa"/>
          </w:tcPr>
          <w:p w:rsidR="008E1A55" w:rsidRPr="0044436A" w:rsidRDefault="008E1A55">
            <w:pPr>
              <w:shd w:val="clear" w:color="000000" w:fill="auto"/>
              <w:spacing w:before="0" w:line="240" w:lineRule="exact"/>
            </w:pPr>
            <w:r w:rsidRPr="0044436A">
              <w:t xml:space="preserve">1. </w:t>
            </w:r>
            <w:r w:rsidRPr="0044436A">
              <w:rPr>
                <w:i/>
              </w:rPr>
              <w:t>4,13</w:t>
            </w:r>
            <w:r w:rsidRPr="0044436A">
              <w:t xml:space="preserve"> procent av prisbasbeloppet vid studier på heltid, 2. </w:t>
            </w:r>
            <w:r w:rsidRPr="0044436A">
              <w:rPr>
                <w:i/>
              </w:rPr>
              <w:t>3,10</w:t>
            </w:r>
            <w:r w:rsidRPr="0044436A">
              <w:t xml:space="preserve"> procent av prisbasbeloppet vid studier på minst 75 procent men mindre än 100 procent av heltid, och 3. </w:t>
            </w:r>
            <w:r w:rsidRPr="0044436A">
              <w:rPr>
                <w:i/>
              </w:rPr>
              <w:t>2,06</w:t>
            </w:r>
            <w:r w:rsidRPr="0044436A">
              <w:t xml:space="preserve"> procent av pri</w:t>
            </w:r>
            <w:r w:rsidRPr="0044436A">
              <w:t>s</w:t>
            </w:r>
            <w:r w:rsidRPr="0044436A">
              <w:t>basbeloppet vid studier på minst 50 procent men mindre än 75 procent av heltid.</w:t>
            </w:r>
          </w:p>
        </w:tc>
      </w:tr>
    </w:tbl>
    <w:p w:rsidR="008E1A55" w:rsidRPr="0044436A" w:rsidRDefault="008E1A55">
      <w:pPr>
        <w:pStyle w:val="Rubrik1"/>
        <w:shd w:val="clear" w:color="000000" w:fill="auto"/>
      </w:pPr>
      <w:r w:rsidRPr="0044436A">
        <w:t>1:3 Studiemedelsräntor m.m.</w:t>
      </w:r>
    </w:p>
    <w:p w:rsidR="008E1A55" w:rsidRPr="0044436A" w:rsidRDefault="008E1A55">
      <w:pPr>
        <w:shd w:val="clear" w:color="000000" w:fill="auto"/>
      </w:pPr>
      <w:r w:rsidRPr="0044436A">
        <w:t>Höjningen av studiebidraget gör att lånedelens andel minskar och därmed minskar också låneutbetalningarna med 890 miljoner kronor. Utgifterna för räntor på lån som tas upp i Riksgäldskontoret minskar därför med 17 miljoner kronor.</w:t>
      </w:r>
    </w:p>
    <w:p w:rsidR="008E1A55" w:rsidRPr="0044436A" w:rsidRDefault="008E1A55">
      <w:pPr>
        <w:pStyle w:val="Normaltindrag"/>
        <w:shd w:val="clear" w:color="000000" w:fill="auto"/>
      </w:pPr>
      <w:r w:rsidRPr="0044436A">
        <w:t>Sammantaget föreslår Vänsterpartiet en minskning av anslaget 1:3 med 17 miljoner kronor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36A">
        <w:trPr>
          <w:cantSplit/>
        </w:trPr>
        <w:tc>
          <w:tcPr>
            <w:tcW w:w="3046" w:type="dxa"/>
          </w:tcPr>
          <w:p w:rsidR="008E1A55" w:rsidRPr="0044436A" w:rsidRDefault="008E1A55">
            <w:pPr>
              <w:pStyle w:val="UnderskriftDatum"/>
              <w:shd w:val="clear" w:color="000000" w:fill="auto"/>
              <w:spacing w:before="240"/>
            </w:pPr>
            <w:r w:rsidRPr="0044436A">
              <w:t>Stockholm den 4 oktober 2011</w:t>
            </w:r>
          </w:p>
        </w:tc>
        <w:tc>
          <w:tcPr>
            <w:tcW w:w="3047" w:type="dxa"/>
          </w:tcPr>
          <w:p w:rsidR="008E1A55" w:rsidRPr="0044436A" w:rsidRDefault="008E1A55">
            <w:pPr>
              <w:pStyle w:val="Underskrifter"/>
              <w:shd w:val="clear" w:color="000000" w:fill="auto"/>
              <w:spacing w:before="240"/>
            </w:pPr>
          </w:p>
        </w:tc>
      </w:tr>
      <w:tr w:rsidR="00000000" w:rsidRPr="0044436A">
        <w:trPr>
          <w:cantSplit/>
        </w:trPr>
        <w:tc>
          <w:tcPr>
            <w:tcW w:w="3046" w:type="dxa"/>
          </w:tcPr>
          <w:p w:rsidR="008E1A55" w:rsidRPr="0044436A" w:rsidRDefault="008E1A55">
            <w:pPr>
              <w:pStyle w:val="Underskrifter"/>
              <w:shd w:val="clear" w:color="000000" w:fill="auto"/>
            </w:pPr>
            <w:r w:rsidRPr="0044436A">
              <w:t>Lars Ohly (V)</w:t>
            </w:r>
          </w:p>
        </w:tc>
        <w:tc>
          <w:tcPr>
            <w:tcW w:w="3046" w:type="dxa"/>
          </w:tcPr>
          <w:p w:rsidR="008E1A55" w:rsidRPr="0044436A" w:rsidRDefault="008E1A55">
            <w:pPr>
              <w:pStyle w:val="Underskrifter"/>
              <w:shd w:val="clear" w:color="000000" w:fill="auto"/>
            </w:pPr>
          </w:p>
        </w:tc>
      </w:tr>
      <w:tr w:rsidR="00000000" w:rsidRPr="0044436A">
        <w:trPr>
          <w:cantSplit/>
        </w:trPr>
        <w:tc>
          <w:tcPr>
            <w:tcW w:w="3046" w:type="dxa"/>
          </w:tcPr>
          <w:p w:rsidR="008E1A55" w:rsidRPr="0044436A" w:rsidRDefault="008E1A55">
            <w:pPr>
              <w:pStyle w:val="Underskrifter"/>
              <w:shd w:val="clear" w:color="000000" w:fill="auto"/>
            </w:pPr>
            <w:r w:rsidRPr="0044436A">
              <w:t>Ulla Andersson (V)</w:t>
            </w:r>
          </w:p>
        </w:tc>
        <w:tc>
          <w:tcPr>
            <w:tcW w:w="3046" w:type="dxa"/>
          </w:tcPr>
          <w:p w:rsidR="008E1A55" w:rsidRPr="0044436A" w:rsidRDefault="008E1A55">
            <w:pPr>
              <w:pStyle w:val="Underskrifter"/>
              <w:shd w:val="clear" w:color="000000" w:fill="auto"/>
            </w:pPr>
            <w:r w:rsidRPr="0044436A">
              <w:t>Hans Linde (V)</w:t>
            </w:r>
          </w:p>
        </w:tc>
      </w:tr>
      <w:tr w:rsidR="00000000" w:rsidRPr="0044436A">
        <w:trPr>
          <w:cantSplit/>
        </w:trPr>
        <w:tc>
          <w:tcPr>
            <w:tcW w:w="3046" w:type="dxa"/>
          </w:tcPr>
          <w:p w:rsidR="008E1A55" w:rsidRPr="0044436A" w:rsidRDefault="008E1A55">
            <w:pPr>
              <w:pStyle w:val="Underskrifter"/>
              <w:shd w:val="clear" w:color="000000" w:fill="auto"/>
            </w:pPr>
            <w:r w:rsidRPr="0044436A">
              <w:t>Eva Olofsson (V)</w:t>
            </w:r>
          </w:p>
        </w:tc>
        <w:tc>
          <w:tcPr>
            <w:tcW w:w="3046" w:type="dxa"/>
          </w:tcPr>
          <w:p w:rsidR="008E1A55" w:rsidRPr="0044436A" w:rsidRDefault="008E1A55">
            <w:pPr>
              <w:pStyle w:val="Underskrifter"/>
              <w:shd w:val="clear" w:color="000000" w:fill="auto"/>
            </w:pPr>
            <w:r w:rsidRPr="0044436A">
              <w:t>Jonas Sjöstedt (V)</w:t>
            </w:r>
          </w:p>
        </w:tc>
      </w:tr>
      <w:tr w:rsidR="00000000" w:rsidRPr="0044436A">
        <w:trPr>
          <w:cantSplit/>
        </w:trPr>
        <w:tc>
          <w:tcPr>
            <w:tcW w:w="3046" w:type="dxa"/>
          </w:tcPr>
          <w:p w:rsidR="008E1A55" w:rsidRPr="0044436A" w:rsidRDefault="008E1A55">
            <w:pPr>
              <w:pStyle w:val="Underskrifter"/>
              <w:shd w:val="clear" w:color="000000" w:fill="auto"/>
            </w:pPr>
            <w:r w:rsidRPr="0044436A">
              <w:t>Mia Sydow Mölleby (V)</w:t>
            </w:r>
          </w:p>
        </w:tc>
        <w:tc>
          <w:tcPr>
            <w:tcW w:w="3046" w:type="dxa"/>
          </w:tcPr>
          <w:p w:rsidR="008E1A55" w:rsidRPr="0044436A" w:rsidRDefault="008E1A55">
            <w:pPr>
              <w:pStyle w:val="Underskrifter"/>
              <w:shd w:val="clear" w:color="000000" w:fill="auto"/>
            </w:pPr>
            <w:r w:rsidRPr="0044436A">
              <w:t>Rossana Dinamarca (V)</w:t>
            </w:r>
          </w:p>
        </w:tc>
      </w:tr>
    </w:tbl>
    <w:p w:rsidR="008E1A55" w:rsidRPr="0044436A" w:rsidRDefault="008E1A55">
      <w:pPr>
        <w:pStyle w:val="Normaltindrag"/>
        <w:shd w:val="clear" w:color="000000" w:fill="auto"/>
      </w:pPr>
    </w:p>
    <w:sectPr w:rsidR="008E1A55" w:rsidRPr="00444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A55" w:rsidRPr="0044436A" w:rsidRDefault="008E1A55">
      <w:r w:rsidRPr="0044436A">
        <w:separator/>
      </w:r>
    </w:p>
  </w:endnote>
  <w:endnote w:type="continuationSeparator" w:id="0">
    <w:p w:rsidR="008E1A55" w:rsidRPr="0044436A" w:rsidRDefault="008E1A55">
      <w:r w:rsidRPr="00444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44436A">
    <w:pPr>
      <w:pStyle w:val="Sidfot"/>
    </w:pPr>
    <w:r w:rsidRPr="00444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845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55" w:rsidRDefault="008E1A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1A55" w:rsidRDefault="008E1A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44436A">
    <w:pPr>
      <w:pStyle w:val="Sidfot"/>
    </w:pPr>
    <w:r w:rsidRPr="00444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639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55" w:rsidRDefault="008E1A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1A55" w:rsidRDefault="008E1A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44436A">
    <w:pPr>
      <w:pStyle w:val="Sidfot"/>
    </w:pPr>
    <w:r w:rsidRPr="00444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075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55" w:rsidRDefault="008E1A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1A55" w:rsidRDefault="008E1A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A55" w:rsidRPr="0044436A" w:rsidRDefault="008E1A55">
      <w:r w:rsidRPr="0044436A">
        <w:separator/>
      </w:r>
    </w:p>
  </w:footnote>
  <w:footnote w:type="continuationSeparator" w:id="0">
    <w:p w:rsidR="008E1A55" w:rsidRPr="0044436A" w:rsidRDefault="008E1A55">
      <w:r w:rsidRPr="00444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44436A">
    <w:pPr>
      <w:pStyle w:val="Sidhuvud"/>
    </w:pPr>
    <w:r w:rsidRPr="00444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248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55" w:rsidRDefault="008E1A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1A55" w:rsidRDefault="008E1A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44436A">
    <w:pPr>
      <w:pStyle w:val="Sidhuvud"/>
    </w:pPr>
    <w:r w:rsidRPr="00444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859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55" w:rsidRDefault="008E1A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1A55" w:rsidRDefault="008E1A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A55" w:rsidRPr="0044436A" w:rsidRDefault="008E1A55">
    <w:pPr>
      <w:pStyle w:val="FSHNormal"/>
      <w:tabs>
        <w:tab w:val="right" w:pos="5840"/>
      </w:tabs>
    </w:pPr>
    <w:r w:rsidRPr="0044436A">
      <w:br/>
    </w:r>
    <w:r w:rsidRPr="0044436A">
      <w:fldChar w:fldCharType="begin" w:fldLock="1"/>
    </w:r>
    <w:r w:rsidRPr="0044436A">
      <w:instrText xml:space="preserve"> DOCPROPERTY</w:instrText>
    </w:r>
    <w:r w:rsidRPr="0044436A">
      <w:rPr>
        <w:sz w:val="18"/>
      </w:rPr>
      <w:instrText xml:space="preserve"> "YearUser" *\charformat </w:instrText>
    </w:r>
    <w:r w:rsidRPr="0044436A">
      <w:fldChar w:fldCharType="separate"/>
    </w:r>
    <w:r w:rsidRPr="0044436A">
      <w:t>2011/12</w:t>
    </w:r>
    <w:r w:rsidRPr="0044436A">
      <w:fldChar w:fldCharType="end"/>
    </w:r>
    <w:r w:rsidRPr="0044436A">
      <w:t xml:space="preserve"> </w:t>
    </w:r>
    <w:r w:rsidRPr="0044436A">
      <w:tab/>
      <w:t xml:space="preserve">mnr: </w:t>
    </w:r>
    <w:r w:rsidRPr="0044436A">
      <w:fldChar w:fldCharType="begin" w:fldLock="1"/>
    </w:r>
    <w:r w:rsidRPr="0044436A">
      <w:instrText xml:space="preserve"> DOCPROPERTY</w:instrText>
    </w:r>
    <w:r w:rsidRPr="0044436A">
      <w:rPr>
        <w:sz w:val="18"/>
      </w:rPr>
      <w:instrText xml:space="preserve"> "Motionsnummer" *\charformat </w:instrText>
    </w:r>
    <w:r w:rsidRPr="0044436A">
      <w:fldChar w:fldCharType="separate"/>
    </w:r>
    <w:r w:rsidRPr="0044436A">
      <w:t>Ub475</w:t>
    </w:r>
    <w:r w:rsidRPr="0044436A">
      <w:fldChar w:fldCharType="end"/>
    </w:r>
    <w:r w:rsidRPr="0044436A">
      <w:br/>
    </w:r>
    <w:r w:rsidRPr="0044436A">
      <w:fldChar w:fldCharType="begin" w:fldLock="1"/>
    </w:r>
    <w:r w:rsidRPr="0044436A">
      <w:instrText xml:space="preserve"> DOCPROPERTY</w:instrText>
    </w:r>
    <w:r w:rsidRPr="0044436A">
      <w:rPr>
        <w:sz w:val="18"/>
      </w:rPr>
      <w:instrText xml:space="preserve"> "Samling" *\charformat </w:instrText>
    </w:r>
    <w:r w:rsidRPr="0044436A">
      <w:fldChar w:fldCharType="end"/>
    </w:r>
    <w:r w:rsidRPr="0044436A">
      <w:tab/>
      <w:t xml:space="preserve">pnr: </w:t>
    </w:r>
    <w:r w:rsidRPr="0044436A">
      <w:fldChar w:fldCharType="begin" w:fldLock="1"/>
    </w:r>
    <w:r w:rsidRPr="0044436A">
      <w:instrText xml:space="preserve"> DOCPROPERTY</w:instrText>
    </w:r>
    <w:r w:rsidRPr="0044436A">
      <w:rPr>
        <w:sz w:val="18"/>
      </w:rPr>
      <w:instrText xml:space="preserve"> "Partinummer" *\charformat </w:instrText>
    </w:r>
    <w:r w:rsidRPr="0044436A">
      <w:fldChar w:fldCharType="separate"/>
    </w:r>
    <w:r w:rsidRPr="0044436A">
      <w:t>V360</w:t>
    </w:r>
    <w:r w:rsidRPr="0044436A">
      <w:fldChar w:fldCharType="end"/>
    </w:r>
  </w:p>
  <w:p w:rsidR="008E1A55" w:rsidRPr="0044436A" w:rsidRDefault="008E1A55">
    <w:pPr>
      <w:pStyle w:val="FSHRub1"/>
    </w:pPr>
    <w:r w:rsidRPr="0044436A">
      <w:t>Motion till riksdagen</w:t>
    </w:r>
    <w:r w:rsidRPr="0044436A">
      <w:br/>
    </w:r>
    <w:r w:rsidRPr="0044436A">
      <w:fldChar w:fldCharType="begin" w:fldLock="1"/>
    </w:r>
    <w:r w:rsidRPr="0044436A">
      <w:instrText xml:space="preserve"> DOCPROPERTY "YearUser" *\charformat </w:instrText>
    </w:r>
    <w:r w:rsidRPr="0044436A">
      <w:fldChar w:fldCharType="separate"/>
    </w:r>
    <w:r w:rsidRPr="0044436A">
      <w:t>2011/12</w:t>
    </w:r>
    <w:r w:rsidRPr="0044436A">
      <w:fldChar w:fldCharType="end"/>
    </w:r>
    <w:r w:rsidRPr="0044436A">
      <w:t>:</w:t>
    </w:r>
    <w:r w:rsidRPr="0044436A">
      <w:fldChar w:fldCharType="begin" w:fldLock="1"/>
    </w:r>
    <w:r w:rsidRPr="0044436A">
      <w:instrText xml:space="preserve"> DOCPROPERTY "Motionsnummer" *\charformat </w:instrText>
    </w:r>
    <w:r w:rsidRPr="0044436A">
      <w:fldChar w:fldCharType="separate"/>
    </w:r>
    <w:r w:rsidRPr="0044436A">
      <w:t>Ub475</w:t>
    </w:r>
    <w:r w:rsidRPr="0044436A">
      <w:fldChar w:fldCharType="end"/>
    </w:r>
  </w:p>
  <w:p w:rsidR="008E1A55" w:rsidRPr="0044436A" w:rsidRDefault="008E1A55">
    <w:pPr>
      <w:pStyle w:val="FSHNormalS5"/>
    </w:pPr>
    <w:r w:rsidRPr="0044436A">
      <w:fldChar w:fldCharType="begin" w:fldLock="1"/>
    </w:r>
    <w:r w:rsidRPr="0044436A">
      <w:instrText xml:space="preserve"> DOCPROPERTY "MotionarText" *\charformat </w:instrText>
    </w:r>
    <w:r w:rsidRPr="0044436A">
      <w:fldChar w:fldCharType="separate"/>
    </w:r>
    <w:r w:rsidRPr="0044436A">
      <w:t>av Lars Ohly m.fl. (V)</w:t>
    </w:r>
    <w:r w:rsidRPr="0044436A">
      <w:fldChar w:fldCharType="end"/>
    </w:r>
    <w:r w:rsidRPr="0044436A">
      <w:br/>
    </w:r>
    <w:r w:rsidRPr="0044436A">
      <w:fldChar w:fldCharType="begin" w:fldLock="1"/>
    </w:r>
    <w:r w:rsidRPr="0044436A">
      <w:instrText xml:space="preserve"> DOCPROPERTY "SvarFrasKort" *\charformat </w:instrText>
    </w:r>
    <w:r w:rsidRPr="0044436A">
      <w:fldChar w:fldCharType="end"/>
    </w:r>
  </w:p>
  <w:p w:rsidR="008E1A55" w:rsidRPr="0044436A" w:rsidRDefault="008E1A55">
    <w:pPr>
      <w:pStyle w:val="FSHTitel"/>
    </w:pPr>
    <w:r w:rsidRPr="0044436A">
      <w:fldChar w:fldCharType="begin" w:fldLock="1"/>
    </w:r>
    <w:r w:rsidRPr="0044436A">
      <w:instrText xml:space="preserve"> DOCPROPERTY</w:instrText>
    </w:r>
    <w:r w:rsidRPr="0044436A">
      <w:rPr>
        <w:sz w:val="18"/>
      </w:rPr>
      <w:instrText xml:space="preserve"> "RubrikSvar" *\charformat </w:instrText>
    </w:r>
    <w:r w:rsidRPr="0044436A">
      <w:fldChar w:fldCharType="separate"/>
    </w:r>
    <w:r w:rsidRPr="0044436A">
      <w:t>Utgiftsområde 15 Studiestöd</w:t>
    </w:r>
    <w:r w:rsidRPr="0044436A">
      <w:fldChar w:fldCharType="end"/>
    </w:r>
  </w:p>
  <w:p w:rsidR="008E1A55" w:rsidRPr="0044436A" w:rsidRDefault="008E1A55">
    <w:pPr>
      <w:pStyle w:val="Normal00"/>
    </w:pPr>
  </w:p>
  <w:p w:rsidR="008E1A55" w:rsidRPr="0044436A" w:rsidRDefault="008E1A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7E220C"/>
    <w:multiLevelType w:val="hybridMultilevel"/>
    <w:tmpl w:val="527CF3E4"/>
    <w:lvl w:ilvl="0" w:tplc="72ACAC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B81034"/>
    <w:multiLevelType w:val="hybridMultilevel"/>
    <w:tmpl w:val="915C0896"/>
    <w:lvl w:ilvl="0" w:tplc="295E51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0398498">
    <w:abstractNumId w:val="3"/>
  </w:num>
  <w:num w:numId="2" w16cid:durableId="804935467">
    <w:abstractNumId w:val="2"/>
  </w:num>
  <w:num w:numId="3" w16cid:durableId="1232500548">
    <w:abstractNumId w:val="1"/>
  </w:num>
  <w:num w:numId="4" w16cid:durableId="716974220">
    <w:abstractNumId w:val="0"/>
  </w:num>
  <w:num w:numId="5" w16cid:durableId="1027292959">
    <w:abstractNumId w:val="7"/>
  </w:num>
  <w:num w:numId="6" w16cid:durableId="1142039421">
    <w:abstractNumId w:val="6"/>
  </w:num>
  <w:num w:numId="7" w16cid:durableId="557932696">
    <w:abstractNumId w:val="5"/>
  </w:num>
  <w:num w:numId="8" w16cid:durableId="1676687792">
    <w:abstractNumId w:val="4"/>
  </w:num>
  <w:num w:numId="9" w16cid:durableId="1580170400">
    <w:abstractNumId w:val="8"/>
  </w:num>
  <w:num w:numId="10" w16cid:durableId="1640964163">
    <w:abstractNumId w:val="9"/>
  </w:num>
  <w:num w:numId="11" w16cid:durableId="1746563774">
    <w:abstractNumId w:val="10"/>
  </w:num>
  <w:num w:numId="12" w16cid:durableId="1024794354">
    <w:abstractNumId w:val="14"/>
  </w:num>
  <w:num w:numId="13" w16cid:durableId="1663392308">
    <w:abstractNumId w:val="17"/>
  </w:num>
  <w:num w:numId="14" w16cid:durableId="1345403147">
    <w:abstractNumId w:val="18"/>
  </w:num>
  <w:num w:numId="15" w16cid:durableId="616261135">
    <w:abstractNumId w:val="12"/>
  </w:num>
  <w:num w:numId="16" w16cid:durableId="352220749">
    <w:abstractNumId w:val="20"/>
  </w:num>
  <w:num w:numId="17" w16cid:durableId="750395688">
    <w:abstractNumId w:val="19"/>
  </w:num>
  <w:num w:numId="18" w16cid:durableId="764152422">
    <w:abstractNumId w:val="16"/>
  </w:num>
  <w:num w:numId="19" w16cid:durableId="343553593">
    <w:abstractNumId w:val="13"/>
  </w:num>
  <w:num w:numId="20" w16cid:durableId="1704935580">
    <w:abstractNumId w:val="15"/>
  </w:num>
  <w:num w:numId="21" w16cid:durableId="1715539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653F0F50-6F1F-4A36-9FEB-9B3CE8CAF153},{9757EBE9-5352-471C-B04A-E35C112BD16A},{00468181-7122-42C5-877E-69489063FE94},{A3B7BC79-15BA-4C82-9CD3-12632F50DBA0},{DA248C4D-AFF6-4AC5-94CA-AED252C8C8C8},{A7313DCE-0B34-4C27-86F8-BEBB9AB9F316},{A91A0519-8886-4C65-9424-5F1F036166D5}"/>
  </w:docVars>
  <w:rsids>
    <w:rsidRoot w:val="002C0F9F"/>
    <w:rsid w:val="002C0F9F"/>
    <w:rsid w:val="0044436A"/>
    <w:rsid w:val="008E1A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F32FC-14EB-4FC8-BC24-14322835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5056</Characters>
  <Application>Microsoft Office Word</Application>
  <DocSecurity>4</DocSecurity>
  <Lines>153</Lines>
  <Paragraphs>65</Paragraphs>
  <ScaleCrop>false</ScaleCrop>
  <HeadingPairs>
    <vt:vector size="2" baseType="variant">
      <vt:variant>
        <vt:lpstr>Rubrik</vt:lpstr>
      </vt:variant>
      <vt:variant>
        <vt:i4>1</vt:i4>
      </vt:variant>
    </vt:vector>
  </HeadingPairs>
  <TitlesOfParts>
    <vt:vector size="1" baseType="lpstr">
      <vt:lpstr>V360</vt:lpstr>
    </vt:vector>
  </TitlesOfParts>
  <Company>Riksdagen</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V360</dc:title>
  <dc:subject>V360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2011-11-15T08:08:00Z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20112012000000000086000003600080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20112012000000000086000003600080</vt:lpwstr>
  </property>
  <property fmtid="{D5CDD505-2E9C-101B-9397-08002B2CF9AE}" pid="50" name="nummer">
    <vt:lpwstr>475</vt:lpwstr>
  </property>
  <property fmtid="{D5CDD505-2E9C-101B-9397-08002B2CF9AE}" pid="51" name="utskottsbeteckning">
    <vt:lpwstr>Ub</vt:lpwstr>
  </property>
  <property fmtid="{D5CDD505-2E9C-101B-9397-08002B2CF9AE}" pid="52" name="GlobalUID">
    <vt:lpwstr>{8F0A70B6-71DA-4357-A5EE-C36C8DA0F248}</vt:lpwstr>
  </property>
  <property fmtid="{D5CDD505-2E9C-101B-9397-08002B2CF9AE}" pid="53" name="Överföringar">
    <vt:i4>0</vt:i4>
  </property>
  <property fmtid="{D5CDD505-2E9C-101B-9397-08002B2CF9AE}" pid="54" name="Checksum">
    <vt:lpwstr>*0000748204722*</vt:lpwstr>
  </property>
  <property fmtid="{D5CDD505-2E9C-101B-9397-08002B2CF9AE}" pid="55" name="skuggnummer">
    <vt:lpwstr>2699</vt:lpwstr>
  </property>
  <property fmtid="{D5CDD505-2E9C-101B-9397-08002B2CF9AE}" pid="56" name="urixVersion">
    <vt:lpwstr>4.5.0.25</vt:lpwstr>
  </property>
  <property fmtid="{D5CDD505-2E9C-101B-9397-08002B2CF9AE}" pid="57" name="urixOrigin">
    <vt:lpwstr>111115 09:08:59.208</vt:lpwstr>
  </property>
  <property fmtid="{D5CDD505-2E9C-101B-9397-08002B2CF9AE}" pid="58" name="urixGuid">
    <vt:lpwstr>{3A491647-E30A-4800-9842-8C256A7E784C}</vt:lpwstr>
  </property>
</Properties>
</file>