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FC0" w:rsidRPr="00CD2FC0" w:rsidRDefault="00CD2FC0">
      <w:pPr>
        <w:pStyle w:val="Hemstlrubrik"/>
        <w:shd w:val="clear" w:color="000000" w:fill="auto"/>
        <w:rPr>
          <w:snapToGrid w:val="0"/>
        </w:rPr>
      </w:pPr>
      <w:r w:rsidRPr="00CD2FC0">
        <w:rPr>
          <w:snapToGrid w:val="0"/>
        </w:rPr>
        <w:t>Förslag till riksdagsbeslut</w:t>
      </w:r>
    </w:p>
    <w:p w:rsidR="00CD2FC0" w:rsidRPr="00CD2FC0" w:rsidRDefault="00CD2FC0">
      <w:pPr>
        <w:pStyle w:val="Hemstlatt"/>
        <w:numPr>
          <w:ilvl w:val="0"/>
          <w:numId w:val="1"/>
        </w:numPr>
        <w:shd w:val="clear" w:color="000000" w:fill="auto"/>
      </w:pPr>
      <w:r w:rsidRPr="00CD2FC0">
        <w:t>Riksdagen anvisar med följande ändringar i fö</w:t>
      </w:r>
      <w:r w:rsidRPr="00CD2FC0">
        <w:t>r</w:t>
      </w:r>
      <w:r w:rsidRPr="00CD2FC0">
        <w:t>hållande till regeringens förslag anslagen under utgiftsområde 22 enligt uppställning:</w:t>
      </w:r>
    </w:p>
    <w:tbl>
      <w:tblPr>
        <w:tblW w:w="5954" w:type="dxa"/>
        <w:tblInd w:w="120" w:type="dxa"/>
        <w:tblLayout w:type="fixed"/>
        <w:tblCellMar>
          <w:top w:w="15" w:type="dxa"/>
          <w:left w:w="15" w:type="dxa"/>
          <w:bottom w:w="15" w:type="dxa"/>
          <w:right w:w="15" w:type="dxa"/>
        </w:tblCellMar>
        <w:tblLook w:val="0000" w:firstRow="0" w:lastRow="0" w:firstColumn="0" w:lastColumn="0" w:noHBand="0" w:noVBand="0"/>
      </w:tblPr>
      <w:tblGrid>
        <w:gridCol w:w="3437"/>
        <w:gridCol w:w="1260"/>
        <w:gridCol w:w="1257"/>
      </w:tblGrid>
      <w:tr w:rsidR="00000000" w:rsidRPr="00CD2FC0">
        <w:tc>
          <w:tcPr>
            <w:tcW w:w="3566" w:type="dxa"/>
            <w:tcBorders>
              <w:top w:val="single" w:sz="4" w:space="0" w:color="auto"/>
              <w:bottom w:val="single" w:sz="4" w:space="0" w:color="auto"/>
            </w:tcBorders>
            <w:tcMar>
              <w:top w:w="0" w:type="dxa"/>
              <w:left w:w="57" w:type="dxa"/>
              <w:bottom w:w="0" w:type="dxa"/>
              <w:right w:w="57" w:type="dxa"/>
            </w:tcMar>
          </w:tcPr>
          <w:p w:rsidR="00CD2FC0" w:rsidRPr="00CD2FC0" w:rsidRDefault="00CD2FC0">
            <w:pPr>
              <w:shd w:val="clear" w:color="000000" w:fill="auto"/>
              <w:spacing w:line="200" w:lineRule="exact"/>
              <w:rPr>
                <w:b/>
                <w:bCs/>
                <w:color w:val="000000"/>
                <w:sz w:val="16"/>
                <w:szCs w:val="16"/>
              </w:rPr>
            </w:pPr>
            <w:r w:rsidRPr="00CD2FC0">
              <w:rPr>
                <w:b/>
                <w:bCs/>
                <w:color w:val="000000"/>
                <w:sz w:val="16"/>
                <w:szCs w:val="16"/>
              </w:rPr>
              <w:t>Anslag</w:t>
            </w:r>
          </w:p>
        </w:tc>
        <w:tc>
          <w:tcPr>
            <w:tcW w:w="1304" w:type="dxa"/>
            <w:tcBorders>
              <w:top w:val="single" w:sz="4" w:space="0" w:color="auto"/>
              <w:bottom w:val="single" w:sz="4" w:space="0" w:color="auto"/>
            </w:tcBorders>
            <w:tcMar>
              <w:top w:w="0" w:type="dxa"/>
              <w:left w:w="57" w:type="dxa"/>
              <w:bottom w:w="0" w:type="dxa"/>
              <w:right w:w="57" w:type="dxa"/>
            </w:tcMar>
          </w:tcPr>
          <w:p w:rsidR="00CD2FC0" w:rsidRPr="00CD2FC0" w:rsidRDefault="00CD2FC0">
            <w:pPr>
              <w:shd w:val="clear" w:color="000000" w:fill="auto"/>
              <w:spacing w:line="200" w:lineRule="exact"/>
              <w:jc w:val="right"/>
              <w:rPr>
                <w:b/>
                <w:bCs/>
                <w:color w:val="000000"/>
                <w:sz w:val="16"/>
                <w:szCs w:val="16"/>
              </w:rPr>
            </w:pPr>
            <w:r w:rsidRPr="00CD2FC0">
              <w:rPr>
                <w:b/>
                <w:bCs/>
                <w:color w:val="000000"/>
                <w:sz w:val="16"/>
                <w:szCs w:val="16"/>
              </w:rPr>
              <w:t>Regeringens förslag 2009</w:t>
            </w:r>
          </w:p>
        </w:tc>
        <w:tc>
          <w:tcPr>
            <w:tcW w:w="1304" w:type="dxa"/>
            <w:tcBorders>
              <w:top w:val="single" w:sz="4" w:space="0" w:color="auto"/>
              <w:bottom w:val="single" w:sz="4" w:space="0" w:color="auto"/>
            </w:tcBorders>
          </w:tcPr>
          <w:p w:rsidR="00CD2FC0" w:rsidRPr="00CD2FC0" w:rsidRDefault="00CD2FC0">
            <w:pPr>
              <w:shd w:val="clear" w:color="000000" w:fill="auto"/>
              <w:spacing w:line="200" w:lineRule="exact"/>
              <w:jc w:val="right"/>
              <w:rPr>
                <w:b/>
                <w:bCs/>
                <w:color w:val="000000"/>
                <w:sz w:val="16"/>
                <w:szCs w:val="16"/>
              </w:rPr>
            </w:pPr>
            <w:r w:rsidRPr="00CD2FC0">
              <w:rPr>
                <w:b/>
                <w:bCs/>
                <w:color w:val="000000"/>
                <w:sz w:val="16"/>
                <w:szCs w:val="16"/>
              </w:rPr>
              <w:t>Anslags</w:t>
            </w:r>
            <w:r w:rsidRPr="00CD2FC0">
              <w:rPr>
                <w:b/>
                <w:bCs/>
                <w:color w:val="000000"/>
                <w:sz w:val="16"/>
                <w:szCs w:val="16"/>
              </w:rPr>
              <w:softHyphen/>
              <w:t>förändring 2009</w:t>
            </w:r>
          </w:p>
        </w:tc>
      </w:tr>
      <w:tr w:rsidR="00000000" w:rsidRPr="00CD2FC0">
        <w:tc>
          <w:tcPr>
            <w:tcW w:w="3566" w:type="dxa"/>
            <w:tcBorders>
              <w:top w:val="single" w:sz="4" w:space="0" w:color="auto"/>
            </w:tcBorders>
            <w:tcMar>
              <w:top w:w="0" w:type="dxa"/>
              <w:left w:w="57" w:type="dxa"/>
              <w:bottom w:w="0" w:type="dxa"/>
              <w:right w:w="57" w:type="dxa"/>
            </w:tcMar>
            <w:vAlign w:val="bottom"/>
          </w:tcPr>
          <w:p w:rsidR="00CD2FC0" w:rsidRPr="00CD2FC0" w:rsidRDefault="00CD2FC0">
            <w:pPr>
              <w:shd w:val="clear" w:color="000000" w:fill="auto"/>
              <w:spacing w:before="60" w:line="200" w:lineRule="exact"/>
              <w:rPr>
                <w:color w:val="000000"/>
                <w:sz w:val="16"/>
                <w:szCs w:val="16"/>
              </w:rPr>
            </w:pPr>
            <w:r w:rsidRPr="00CD2FC0">
              <w:rPr>
                <w:color w:val="000000"/>
                <w:sz w:val="16"/>
                <w:szCs w:val="16"/>
              </w:rPr>
              <w:t>1:2 Närtidssatsning vägar</w:t>
            </w:r>
          </w:p>
        </w:tc>
        <w:tc>
          <w:tcPr>
            <w:tcW w:w="1304" w:type="dxa"/>
            <w:tcBorders>
              <w:top w:val="single" w:sz="4" w:space="0" w:color="auto"/>
            </w:tcBorders>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1 140</w:t>
            </w:r>
          </w:p>
        </w:tc>
        <w:tc>
          <w:tcPr>
            <w:tcW w:w="1304" w:type="dxa"/>
            <w:tcBorders>
              <w:top w:val="single" w:sz="4" w:space="0" w:color="auto"/>
            </w:tcBorders>
            <w:vAlign w:val="bottom"/>
          </w:tcPr>
          <w:p w:rsidR="00CD2FC0" w:rsidRPr="00CD2FC0" w:rsidRDefault="00CD2FC0">
            <w:pPr>
              <w:shd w:val="clear" w:color="000000" w:fill="auto"/>
              <w:spacing w:before="60" w:line="200" w:lineRule="exact"/>
              <w:jc w:val="right"/>
              <w:rPr>
                <w:color w:val="000000"/>
                <w:sz w:val="16"/>
                <w:szCs w:val="16"/>
              </w:rPr>
            </w:pP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color w:val="000000"/>
                <w:sz w:val="16"/>
                <w:szCs w:val="16"/>
              </w:rPr>
            </w:pPr>
            <w:r w:rsidRPr="00CD2FC0">
              <w:rPr>
                <w:color w:val="000000"/>
                <w:sz w:val="16"/>
                <w:szCs w:val="16"/>
              </w:rPr>
              <w:t>1:2 Närtidssatsning kollektivtrafik</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0</w:t>
            </w:r>
          </w:p>
        </w:tc>
        <w:tc>
          <w:tcPr>
            <w:tcW w:w="1304" w:type="dxa"/>
            <w:vAlign w:val="bottom"/>
          </w:tcPr>
          <w:p w:rsidR="00CD2FC0" w:rsidRPr="00CD2FC0" w:rsidRDefault="00CD2FC0">
            <w:pPr>
              <w:shd w:val="clear" w:color="000000" w:fill="auto"/>
              <w:spacing w:before="60" w:line="200" w:lineRule="exact"/>
              <w:jc w:val="right"/>
              <w:rPr>
                <w:color w:val="000000"/>
                <w:sz w:val="16"/>
                <w:szCs w:val="16"/>
              </w:rPr>
            </w:pPr>
            <w:r w:rsidRPr="00CD2FC0">
              <w:rPr>
                <w:color w:val="000000"/>
                <w:sz w:val="16"/>
                <w:szCs w:val="16"/>
              </w:rPr>
              <w:t>+649</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color w:val="000000"/>
                <w:sz w:val="16"/>
                <w:szCs w:val="16"/>
              </w:rPr>
            </w:pPr>
            <w:r w:rsidRPr="00CD2FC0">
              <w:rPr>
                <w:color w:val="000000"/>
                <w:sz w:val="16"/>
                <w:szCs w:val="16"/>
              </w:rPr>
              <w:t>1:4 Närtidssatsning järnväg</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2 660</w:t>
            </w:r>
          </w:p>
        </w:tc>
        <w:tc>
          <w:tcPr>
            <w:tcW w:w="1304" w:type="dxa"/>
            <w:vAlign w:val="bottom"/>
          </w:tcPr>
          <w:p w:rsidR="00CD2FC0" w:rsidRPr="00CD2FC0" w:rsidRDefault="00CD2FC0">
            <w:pPr>
              <w:shd w:val="clear" w:color="000000" w:fill="auto"/>
              <w:spacing w:before="60" w:line="200" w:lineRule="exact"/>
              <w:jc w:val="right"/>
              <w:rPr>
                <w:color w:val="000000"/>
                <w:sz w:val="16"/>
                <w:szCs w:val="16"/>
              </w:rPr>
            </w:pPr>
            <w:r w:rsidRPr="00CD2FC0">
              <w:rPr>
                <w:color w:val="000000"/>
                <w:sz w:val="16"/>
                <w:szCs w:val="16"/>
              </w:rPr>
              <w:t>+816</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color w:val="000000"/>
                <w:sz w:val="16"/>
                <w:szCs w:val="16"/>
              </w:rPr>
            </w:pPr>
            <w:r w:rsidRPr="00CD2FC0">
              <w:rPr>
                <w:color w:val="000000"/>
                <w:sz w:val="16"/>
                <w:szCs w:val="16"/>
              </w:rPr>
              <w:t>Lånefinansiering av strategiska gröna infrastruktu</w:t>
            </w:r>
            <w:r w:rsidRPr="00CD2FC0">
              <w:rPr>
                <w:color w:val="000000"/>
                <w:sz w:val="16"/>
                <w:szCs w:val="16"/>
              </w:rPr>
              <w:t>r</w:t>
            </w:r>
            <w:r w:rsidRPr="00CD2FC0">
              <w:rPr>
                <w:color w:val="000000"/>
                <w:sz w:val="16"/>
                <w:szCs w:val="16"/>
              </w:rPr>
              <w:t>investeringar</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0</w:t>
            </w:r>
          </w:p>
        </w:tc>
        <w:tc>
          <w:tcPr>
            <w:tcW w:w="1304" w:type="dxa"/>
            <w:vAlign w:val="bottom"/>
          </w:tcPr>
          <w:p w:rsidR="00CD2FC0" w:rsidRPr="00CD2FC0" w:rsidRDefault="00CD2FC0">
            <w:pPr>
              <w:shd w:val="clear" w:color="000000" w:fill="auto"/>
              <w:spacing w:before="60" w:line="200" w:lineRule="exact"/>
              <w:jc w:val="right"/>
              <w:rPr>
                <w:color w:val="000000"/>
                <w:sz w:val="16"/>
                <w:szCs w:val="16"/>
              </w:rPr>
            </w:pPr>
            <w:r w:rsidRPr="00CD2FC0">
              <w:rPr>
                <w:color w:val="000000"/>
                <w:sz w:val="16"/>
                <w:szCs w:val="16"/>
              </w:rPr>
              <w:t>+450</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bCs/>
                <w:color w:val="000000"/>
                <w:sz w:val="16"/>
                <w:szCs w:val="16"/>
              </w:rPr>
            </w:pPr>
            <w:r w:rsidRPr="00CD2FC0">
              <w:rPr>
                <w:bCs/>
                <w:color w:val="000000"/>
                <w:sz w:val="16"/>
                <w:szCs w:val="16"/>
              </w:rPr>
              <w:t>2:4 Bredbandssatsning</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0</w:t>
            </w:r>
          </w:p>
        </w:tc>
        <w:tc>
          <w:tcPr>
            <w:tcW w:w="1304" w:type="dxa"/>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+45</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bCs/>
                <w:color w:val="000000"/>
                <w:sz w:val="16"/>
                <w:szCs w:val="16"/>
              </w:rPr>
            </w:pPr>
            <w:r w:rsidRPr="00CD2FC0">
              <w:rPr>
                <w:bCs/>
                <w:color w:val="000000"/>
                <w:sz w:val="16"/>
                <w:szCs w:val="16"/>
              </w:rPr>
              <w:t>1:4 Investeringar i Stockholms kollektivtrafik till följd av trängselavgift</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0</w:t>
            </w:r>
          </w:p>
        </w:tc>
        <w:tc>
          <w:tcPr>
            <w:tcW w:w="1304" w:type="dxa"/>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+284</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bCs/>
                <w:color w:val="000000"/>
                <w:sz w:val="16"/>
                <w:szCs w:val="16"/>
              </w:rPr>
            </w:pPr>
            <w:r w:rsidRPr="00CD2FC0">
              <w:rPr>
                <w:bCs/>
                <w:color w:val="000000"/>
                <w:sz w:val="16"/>
                <w:szCs w:val="16"/>
              </w:rPr>
              <w:t>1:2 Investeringar i Stockholms vägtrafik till följd av trängselavgift</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284</w:t>
            </w:r>
          </w:p>
        </w:tc>
        <w:tc>
          <w:tcPr>
            <w:tcW w:w="1304" w:type="dxa"/>
            <w:vAlign w:val="bottom"/>
          </w:tcPr>
          <w:p w:rsidR="00CD2FC0" w:rsidRPr="00CD2FC0" w:rsidRDefault="00CD2FC0">
            <w:pPr>
              <w:pStyle w:val="PunktlistaTankstreck"/>
              <w:numPr>
                <w:ilvl w:val="0"/>
                <w:numId w:val="0"/>
              </w:numPr>
              <w:shd w:val="clear" w:color="000000" w:fill="auto"/>
              <w:spacing w:before="60" w:line="200" w:lineRule="exact"/>
              <w:jc w:val="right"/>
              <w:rPr>
                <w:sz w:val="16"/>
              </w:rPr>
            </w:pPr>
            <w:r w:rsidRPr="00CD2FC0">
              <w:rPr>
                <w:sz w:val="16"/>
              </w:rPr>
              <w:t>–284</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bCs/>
                <w:color w:val="000000"/>
                <w:sz w:val="16"/>
                <w:szCs w:val="16"/>
              </w:rPr>
            </w:pPr>
            <w:r w:rsidRPr="00CD2FC0">
              <w:rPr>
                <w:bCs/>
                <w:color w:val="000000"/>
                <w:sz w:val="16"/>
                <w:szCs w:val="16"/>
              </w:rPr>
              <w:t>1:2 Trafiksäkerhet</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0</w:t>
            </w:r>
          </w:p>
        </w:tc>
        <w:tc>
          <w:tcPr>
            <w:tcW w:w="1304" w:type="dxa"/>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+50</w:t>
            </w:r>
          </w:p>
        </w:tc>
      </w:tr>
      <w:tr w:rsidR="00000000" w:rsidRPr="00CD2FC0">
        <w:tc>
          <w:tcPr>
            <w:tcW w:w="3566" w:type="dxa"/>
            <w:tcMar>
              <w:top w:w="0" w:type="dxa"/>
              <w:left w:w="57" w:type="dxa"/>
              <w:bottom w:w="0" w:type="dxa"/>
              <w:right w:w="57" w:type="dxa"/>
            </w:tcMar>
            <w:vAlign w:val="bottom"/>
          </w:tcPr>
          <w:p w:rsidR="00CD2FC0" w:rsidRPr="00CD2FC0" w:rsidRDefault="00CD2FC0">
            <w:pPr>
              <w:shd w:val="clear" w:color="000000" w:fill="auto"/>
              <w:spacing w:before="60" w:line="200" w:lineRule="exact"/>
              <w:rPr>
                <w:bCs/>
                <w:color w:val="000000"/>
                <w:sz w:val="16"/>
                <w:szCs w:val="16"/>
              </w:rPr>
            </w:pPr>
            <w:r w:rsidRPr="00CD2FC0">
              <w:rPr>
                <w:bCs/>
                <w:color w:val="000000"/>
                <w:sz w:val="16"/>
                <w:szCs w:val="16"/>
              </w:rPr>
              <w:t>1:2 Mindre resurser för merkostnader till Tran</w:t>
            </w:r>
            <w:r w:rsidRPr="00CD2FC0">
              <w:rPr>
                <w:bCs/>
                <w:color w:val="000000"/>
                <w:sz w:val="16"/>
                <w:szCs w:val="16"/>
              </w:rPr>
              <w:t>s</w:t>
            </w:r>
            <w:r w:rsidRPr="00CD2FC0">
              <w:rPr>
                <w:bCs/>
                <w:color w:val="000000"/>
                <w:sz w:val="16"/>
                <w:szCs w:val="16"/>
              </w:rPr>
              <w:t>portstyrelsen</w:t>
            </w:r>
          </w:p>
        </w:tc>
        <w:tc>
          <w:tcPr>
            <w:tcW w:w="1304" w:type="dxa"/>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Cs/>
                <w:color w:val="000000"/>
                <w:sz w:val="16"/>
                <w:szCs w:val="16"/>
              </w:rPr>
            </w:pPr>
            <w:r w:rsidRPr="00CD2FC0">
              <w:rPr>
                <w:bCs/>
                <w:color w:val="000000"/>
                <w:sz w:val="16"/>
                <w:szCs w:val="16"/>
              </w:rPr>
              <w:t>10</w:t>
            </w:r>
          </w:p>
        </w:tc>
        <w:tc>
          <w:tcPr>
            <w:tcW w:w="1304" w:type="dxa"/>
            <w:vAlign w:val="bottom"/>
          </w:tcPr>
          <w:p w:rsidR="00CD2FC0" w:rsidRPr="00CD2FC0" w:rsidRDefault="00CD2FC0">
            <w:pPr>
              <w:pStyle w:val="PunktlistaTankstreck"/>
              <w:numPr>
                <w:ilvl w:val="0"/>
                <w:numId w:val="0"/>
              </w:numPr>
              <w:shd w:val="clear" w:color="000000" w:fill="auto"/>
              <w:spacing w:before="60" w:line="200" w:lineRule="exact"/>
              <w:jc w:val="right"/>
              <w:rPr>
                <w:sz w:val="16"/>
              </w:rPr>
            </w:pPr>
            <w:r w:rsidRPr="00CD2FC0">
              <w:rPr>
                <w:sz w:val="16"/>
              </w:rPr>
              <w:t>–10</w:t>
            </w:r>
          </w:p>
        </w:tc>
      </w:tr>
      <w:tr w:rsidR="00000000" w:rsidRPr="00CD2FC0">
        <w:tc>
          <w:tcPr>
            <w:tcW w:w="3566" w:type="dxa"/>
            <w:tcBorders>
              <w:bottom w:val="single" w:sz="4" w:space="0" w:color="auto"/>
            </w:tcBorders>
            <w:tcMar>
              <w:top w:w="0" w:type="dxa"/>
              <w:left w:w="57" w:type="dxa"/>
              <w:bottom w:w="0" w:type="dxa"/>
              <w:right w:w="57" w:type="dxa"/>
            </w:tcMar>
            <w:vAlign w:val="bottom"/>
          </w:tcPr>
          <w:p w:rsidR="00CD2FC0" w:rsidRPr="00CD2FC0" w:rsidRDefault="00CD2FC0">
            <w:pPr>
              <w:shd w:val="clear" w:color="000000" w:fill="auto"/>
              <w:spacing w:before="60" w:line="200" w:lineRule="exact"/>
              <w:rPr>
                <w:b/>
                <w:bCs/>
                <w:color w:val="000000"/>
                <w:sz w:val="16"/>
                <w:szCs w:val="16"/>
              </w:rPr>
            </w:pPr>
            <w:r w:rsidRPr="00CD2FC0">
              <w:rPr>
                <w:b/>
                <w:bCs/>
                <w:color w:val="000000"/>
                <w:sz w:val="16"/>
                <w:szCs w:val="16"/>
              </w:rPr>
              <w:t>Summa</w:t>
            </w:r>
          </w:p>
        </w:tc>
        <w:tc>
          <w:tcPr>
            <w:tcW w:w="1304" w:type="dxa"/>
            <w:tcBorders>
              <w:bottom w:val="single" w:sz="4" w:space="0" w:color="auto"/>
            </w:tcBorders>
            <w:tcMar>
              <w:top w:w="0" w:type="dxa"/>
              <w:left w:w="57" w:type="dxa"/>
              <w:bottom w:w="0" w:type="dxa"/>
              <w:right w:w="57" w:type="dxa"/>
            </w:tcMar>
            <w:vAlign w:val="bottom"/>
          </w:tcPr>
          <w:p w:rsidR="00CD2FC0" w:rsidRPr="00CD2FC0" w:rsidRDefault="00CD2FC0">
            <w:pPr>
              <w:shd w:val="clear" w:color="000000" w:fill="auto"/>
              <w:spacing w:before="60" w:line="200" w:lineRule="exact"/>
              <w:jc w:val="right"/>
              <w:rPr>
                <w:b/>
                <w:bCs/>
                <w:color w:val="000000"/>
                <w:sz w:val="16"/>
                <w:szCs w:val="16"/>
              </w:rPr>
            </w:pPr>
            <w:r w:rsidRPr="00CD2FC0">
              <w:rPr>
                <w:b/>
                <w:bCs/>
                <w:color w:val="000000"/>
                <w:sz w:val="16"/>
                <w:szCs w:val="16"/>
              </w:rPr>
              <w:t>4 094</w:t>
            </w:r>
          </w:p>
        </w:tc>
        <w:tc>
          <w:tcPr>
            <w:tcW w:w="1304" w:type="dxa"/>
            <w:tcBorders>
              <w:bottom w:val="single" w:sz="4" w:space="0" w:color="auto"/>
            </w:tcBorders>
            <w:vAlign w:val="bottom"/>
          </w:tcPr>
          <w:p w:rsidR="00CD2FC0" w:rsidRPr="00CD2FC0" w:rsidRDefault="00CD2FC0">
            <w:pPr>
              <w:shd w:val="clear" w:color="000000" w:fill="auto"/>
              <w:spacing w:before="60" w:line="200" w:lineRule="exact"/>
              <w:jc w:val="right"/>
              <w:rPr>
                <w:b/>
                <w:bCs/>
                <w:color w:val="000000"/>
                <w:sz w:val="16"/>
                <w:szCs w:val="16"/>
              </w:rPr>
            </w:pPr>
            <w:r w:rsidRPr="00CD2FC0">
              <w:rPr>
                <w:b/>
                <w:bCs/>
                <w:color w:val="000000"/>
                <w:sz w:val="16"/>
                <w:szCs w:val="16"/>
              </w:rPr>
              <w:t>2 000</w:t>
            </w:r>
          </w:p>
        </w:tc>
      </w:tr>
    </w:tbl>
    <w:p w:rsidR="00CD2FC0" w:rsidRPr="00CD2FC0" w:rsidRDefault="00CD2FC0">
      <w:pPr>
        <w:shd w:val="clear" w:color="000000" w:fill="auto"/>
      </w:pPr>
    </w:p>
    <w:p w:rsidR="00CD2FC0" w:rsidRPr="00CD2FC0" w:rsidRDefault="00CD2FC0">
      <w:pPr>
        <w:pStyle w:val="Hemstlatt"/>
        <w:numPr>
          <w:ilvl w:val="0"/>
          <w:numId w:val="1"/>
        </w:numPr>
        <w:shd w:val="clear" w:color="000000" w:fill="auto"/>
      </w:pPr>
      <w:r w:rsidRPr="00CD2FC0">
        <w:t>Riksdagen tillkännager för regeringen som sin mening vad som anförs i motionen om behovet av ökade närtidssatsningar på järnv</w:t>
      </w:r>
      <w:r w:rsidRPr="00CD2FC0">
        <w:t>ä</w:t>
      </w:r>
      <w:r w:rsidRPr="00CD2FC0">
        <w:t>gar och kollektivtrafik.</w:t>
      </w:r>
    </w:p>
    <w:p w:rsidR="00CD2FC0" w:rsidRPr="00CD2FC0" w:rsidRDefault="00CD2FC0">
      <w:pPr>
        <w:pStyle w:val="Hemstlatt"/>
        <w:numPr>
          <w:ilvl w:val="0"/>
          <w:numId w:val="1"/>
        </w:numPr>
        <w:shd w:val="clear" w:color="000000" w:fill="auto"/>
      </w:pPr>
      <w:r w:rsidRPr="00CD2FC0">
        <w:t>Riksdagen tillkännager för regeringen som sin mening vad som anförs i motionen om en utbyggnad av E 22 i Skåne.</w:t>
      </w:r>
    </w:p>
    <w:p w:rsidR="00CD2FC0" w:rsidRPr="00CD2FC0" w:rsidRDefault="00CD2FC0">
      <w:pPr>
        <w:pStyle w:val="Hemstlatt"/>
        <w:numPr>
          <w:ilvl w:val="0"/>
          <w:numId w:val="1"/>
        </w:numPr>
        <w:shd w:val="clear" w:color="000000" w:fill="auto"/>
      </w:pPr>
      <w:r w:rsidRPr="00CD2FC0">
        <w:t>Riksdagen tillkännager för regeringen som sin mening vad som anförs i motionen om strategiska gröna infrastruktursatsnin</w:t>
      </w:r>
      <w:r w:rsidRPr="00CD2FC0">
        <w:t>g</w:t>
      </w:r>
      <w:r w:rsidRPr="00CD2FC0">
        <w:t>ar.</w:t>
      </w:r>
    </w:p>
    <w:p w:rsidR="00CD2FC0" w:rsidRPr="00CD2FC0" w:rsidRDefault="00CD2FC0">
      <w:pPr>
        <w:pStyle w:val="Hemstlatt"/>
        <w:numPr>
          <w:ilvl w:val="0"/>
          <w:numId w:val="1"/>
        </w:numPr>
        <w:shd w:val="clear" w:color="000000" w:fill="auto"/>
      </w:pPr>
      <w:r w:rsidRPr="00CD2FC0">
        <w:t>Riksdagen tillkännager för regeringen som sin mening vad som anförs i motionen om behovet av stöd till bredbandsutbyg</w:t>
      </w:r>
      <w:r w:rsidRPr="00CD2FC0">
        <w:t>g</w:t>
      </w:r>
      <w:r w:rsidRPr="00CD2FC0">
        <w:t>nad.</w:t>
      </w:r>
    </w:p>
    <w:p w:rsidR="00CD2FC0" w:rsidRPr="00CD2FC0" w:rsidRDefault="00CD2FC0">
      <w:pPr>
        <w:pStyle w:val="Hemstlatt"/>
        <w:numPr>
          <w:ilvl w:val="0"/>
          <w:numId w:val="1"/>
        </w:numPr>
        <w:shd w:val="clear" w:color="000000" w:fill="auto"/>
      </w:pPr>
      <w:r w:rsidRPr="00CD2FC0">
        <w:lastRenderedPageBreak/>
        <w:t>Riksdagen tillkännager för regeringen som sin mening vad som anförs i motionen om hur intäkterna från trängselskatten i Stoc</w:t>
      </w:r>
      <w:r w:rsidRPr="00CD2FC0">
        <w:t>k</w:t>
      </w:r>
      <w:r w:rsidRPr="00CD2FC0">
        <w:t>holm ska användas.</w:t>
      </w:r>
    </w:p>
    <w:p w:rsidR="00CD2FC0" w:rsidRPr="00CD2FC0" w:rsidRDefault="00CD2FC0">
      <w:pPr>
        <w:pStyle w:val="Hemstlatt"/>
        <w:numPr>
          <w:ilvl w:val="0"/>
          <w:numId w:val="1"/>
        </w:numPr>
        <w:shd w:val="clear" w:color="000000" w:fill="auto"/>
      </w:pPr>
      <w:r w:rsidRPr="00CD2FC0">
        <w:t>Riksdagen tillkännager för regeringen som sin mening vad som anförs i motionen om trafiksäkerhet.</w:t>
      </w:r>
    </w:p>
    <w:p w:rsidR="00CD2FC0" w:rsidRPr="00CD2FC0" w:rsidRDefault="00CD2FC0">
      <w:pPr>
        <w:pStyle w:val="Hemstlatt"/>
        <w:numPr>
          <w:ilvl w:val="0"/>
          <w:numId w:val="1"/>
        </w:numPr>
        <w:shd w:val="clear" w:color="000000" w:fill="auto"/>
      </w:pPr>
      <w:r w:rsidRPr="00CD2FC0">
        <w:t>Riksdagen tillkännager för regeringen som sin mening vad som anförs i motionen om bildandet av den nya myndigheten Transportstyrelsen.</w:t>
      </w:r>
    </w:p>
    <w:p w:rsidR="00CD2FC0" w:rsidRPr="00CD2FC0" w:rsidRDefault="00CD2FC0">
      <w:pPr>
        <w:pStyle w:val="Rubrik1"/>
        <w:shd w:val="clear" w:color="000000" w:fill="auto"/>
      </w:pPr>
      <w:r w:rsidRPr="00CD2FC0">
        <w:t>Politikens inriktning</w:t>
      </w:r>
    </w:p>
    <w:p w:rsidR="00CD2FC0" w:rsidRPr="00CD2FC0" w:rsidRDefault="00CD2FC0">
      <w:pPr>
        <w:shd w:val="clear" w:color="000000" w:fill="auto"/>
      </w:pPr>
      <w:r w:rsidRPr="00CD2FC0">
        <w:t>De globala miljöhoten, inte minst klimatförändringarna, ställer höga krav på att alla politikområden samverkar för att minska växthusgasutsläppen. I sy</w:t>
      </w:r>
      <w:r w:rsidRPr="00CD2FC0">
        <w:t>n</w:t>
      </w:r>
      <w:r w:rsidRPr="00CD2FC0">
        <w:t>nerhet transporter på väg har ett stort ansvar för dagens ökade koldioxidu</w:t>
      </w:r>
      <w:r w:rsidRPr="00CD2FC0">
        <w:t>t</w:t>
      </w:r>
      <w:r w:rsidRPr="00CD2FC0">
        <w:t>släpp. Hela transportsystemet står i dag för 30 procent av de svenska växthu</w:t>
      </w:r>
      <w:r w:rsidRPr="00CD2FC0">
        <w:t>s</w:t>
      </w:r>
      <w:r w:rsidRPr="00CD2FC0">
        <w:t>gasutsläppen. De åtgärder som görs på trafikområdet måste syfta till att min</w:t>
      </w:r>
      <w:r w:rsidRPr="00CD2FC0">
        <w:t>s</w:t>
      </w:r>
      <w:r w:rsidRPr="00CD2FC0">
        <w:t>ka transporternas negativa inverkan på miljön. Oljeberoendet inom transpor</w:t>
      </w:r>
      <w:r w:rsidRPr="00CD2FC0">
        <w:t>t</w:t>
      </w:r>
      <w:r w:rsidRPr="00CD2FC0">
        <w:t>sektorn måste brytas, inte bara i vårt land. Vi socialdemokrater vill att Sverige ska vara ett föregångsland i de internationella samverkansorganen och må</w:t>
      </w:r>
      <w:r w:rsidRPr="00CD2FC0">
        <w:t>l</w:t>
      </w:r>
      <w:r w:rsidRPr="00CD2FC0">
        <w:t>medvetet driva en politik som minskar transporternas</w:t>
      </w:r>
      <w:r w:rsidRPr="00CD2FC0">
        <w:t xml:space="preserve"> negativa miljöpåverkan. Samtidigt ser vi att ett väl fungerande transportsystem är avgörande för att öka rörligheten och vidga arbetsmarknaden. Transporter möjliggör ekonomisk och social utveckling och är en förutsättning för fortsatt välfärd och hållbar tillväxt i hela landet. Ett väl utbyggt utbud av väg- och järnvägstransporter, sjöfart och flyg i hela landet skapar ökade valmöjligheter för människor att möjliggöra sina drömmar med att bo, arbeta, utbilda sig och skapa sig en aktiv fritid. Ett effektivt</w:t>
      </w:r>
      <w:r w:rsidRPr="00CD2FC0">
        <w:t xml:space="preserve"> transportsystem gör det även möjligt för företag att konkurrera med sina produkter på såväl den svenska som den internationella marknaden.</w:t>
      </w:r>
    </w:p>
    <w:p w:rsidR="00CD2FC0" w:rsidRPr="00CD2FC0" w:rsidRDefault="00CD2FC0">
      <w:pPr>
        <w:pStyle w:val="Normaltindrag"/>
        <w:shd w:val="clear" w:color="000000" w:fill="auto"/>
      </w:pPr>
      <w:r w:rsidRPr="00CD2FC0">
        <w:t>Vi anser att transportsystemet ska fortsätta att utvecklas i hållbar riktning och erbjuda både medborgare och näringsliv en hög transportkvalitet. Det ska, helt i enlighet med de transportpolitiska målen, vara tillgängligt, jämställt och säkert samt verka för en positiv regional utveckling och en god miljö. Säke</w:t>
      </w:r>
      <w:r w:rsidRPr="00CD2FC0">
        <w:t>r</w:t>
      </w:r>
      <w:r w:rsidRPr="00CD2FC0">
        <w:t>het, snabbhet och minimal miljöpåverkan ska känneteckna framtidens tran</w:t>
      </w:r>
      <w:r w:rsidRPr="00CD2FC0">
        <w:t>s</w:t>
      </w:r>
      <w:r w:rsidRPr="00CD2FC0">
        <w:t>porter.</w:t>
      </w:r>
    </w:p>
    <w:p w:rsidR="00CD2FC0" w:rsidRPr="00CD2FC0" w:rsidRDefault="00CD2FC0">
      <w:pPr>
        <w:pStyle w:val="Normaltindrag"/>
        <w:shd w:val="clear" w:color="000000" w:fill="auto"/>
      </w:pPr>
      <w:r w:rsidRPr="00CD2FC0">
        <w:t>Sverige är en del av Europeiska unionen, mer och mer binds vi samman genom transporter. Vi socialdemokrater vill medverka till att de satsningar som görs i övriga länder också kommer oss till godo genom snabba förbinde</w:t>
      </w:r>
      <w:r w:rsidRPr="00CD2FC0">
        <w:t>l</w:t>
      </w:r>
      <w:r w:rsidRPr="00CD2FC0">
        <w:t>ser. Byggandet av bron över Fehmarn bält mellan Danmark och Tyskland kommer också att påverka Sveriges möjligheter till effektiva transporter ut i Europa.</w:t>
      </w:r>
    </w:p>
    <w:p w:rsidR="00CD2FC0" w:rsidRPr="00CD2FC0" w:rsidRDefault="00CD2FC0">
      <w:pPr>
        <w:pStyle w:val="Rubrik1"/>
        <w:shd w:val="clear" w:color="000000" w:fill="auto"/>
      </w:pPr>
      <w:r w:rsidRPr="00CD2FC0">
        <w:t>Budgetförslag utgiftsområde 22</w:t>
      </w:r>
    </w:p>
    <w:p w:rsidR="00CD2FC0" w:rsidRPr="00CD2FC0" w:rsidRDefault="00CD2FC0">
      <w:pPr>
        <w:shd w:val="clear" w:color="000000" w:fill="auto"/>
      </w:pPr>
      <w:r w:rsidRPr="00CD2FC0">
        <w:t>Närtidssatsningen på infrastruktur motiveras av regeringen med att anslagen inte räcker till eftersom kostnadsutvecklingen i bygg- och anläggningsbra</w:t>
      </w:r>
      <w:r w:rsidRPr="00CD2FC0">
        <w:t>n</w:t>
      </w:r>
      <w:r w:rsidRPr="00CD2FC0">
        <w:t>schen lett till fördyringar vid ny- och ombyggnationer och därigenom till förseningar av projekten. Satsningen är alltså i själva verket en kompensation till trafikverken för de ökade kostnaderna. Att kostnader ökar för infrastru</w:t>
      </w:r>
      <w:r w:rsidRPr="00CD2FC0">
        <w:t>k</w:t>
      </w:r>
      <w:r w:rsidRPr="00CD2FC0">
        <w:t>turprojekt under högkonjunktur är inte förvånande, särskilt med tanke på hur inflationen och räntorna har stigit de två senaste åren. Vi socialdemokrater anser därför att regeringen måste lägga till ytterligare resurser även i närtid, för att möta ökade kostnader för investeringar</w:t>
      </w:r>
      <w:r w:rsidRPr="00CD2FC0">
        <w:t>, drift och personal samt kos</w:t>
      </w:r>
      <w:r w:rsidRPr="00CD2FC0">
        <w:t>t</w:t>
      </w:r>
      <w:r w:rsidRPr="00CD2FC0">
        <w:t>nadsökningar för trafikökningen vad gäller såväl person- som godstrafik.</w:t>
      </w:r>
    </w:p>
    <w:p w:rsidR="00CD2FC0" w:rsidRPr="00CD2FC0" w:rsidRDefault="00CD2FC0">
      <w:pPr>
        <w:pStyle w:val="Normaltindrag"/>
        <w:shd w:val="clear" w:color="000000" w:fill="auto"/>
      </w:pPr>
      <w:r w:rsidRPr="00CD2FC0">
        <w:t>I regeringens tilläggsbudget för utgiftsområde 22 Kommunikationer för</w:t>
      </w:r>
      <w:r w:rsidRPr="00CD2FC0">
        <w:t>e</w:t>
      </w:r>
      <w:r w:rsidRPr="00CD2FC0">
        <w:t>slås en amortering av lån inom infrastrukturområdet på sammantaget 25,3 miljarder kronor. Det innebär att ett ökat utrymme ges för investeringar m.m., eftersom kostnaderna för amorteringar och räntor minskar. Det är pos</w:t>
      </w:r>
      <w:r w:rsidRPr="00CD2FC0">
        <w:t>i</w:t>
      </w:r>
      <w:r w:rsidRPr="00CD2FC0">
        <w:t>tivt att regeringen använder sig av statens gynnsamma ekonomiska läge till investeringar på infrastrukturområdet. Ändå räcker den årliga satsningen på 3,8 miljarder kronor inte långt för att åtgärda de upprustnings- och investe</w:t>
      </w:r>
      <w:r w:rsidRPr="00CD2FC0">
        <w:t>r</w:t>
      </w:r>
      <w:r w:rsidRPr="00CD2FC0">
        <w:t>ingsbehov som finns inom väg- och järnvägssektorerna.</w:t>
      </w:r>
    </w:p>
    <w:p w:rsidR="00CD2FC0" w:rsidRPr="00CD2FC0" w:rsidRDefault="00CD2FC0">
      <w:pPr>
        <w:pStyle w:val="Normaltindrag"/>
        <w:shd w:val="clear" w:color="000000" w:fill="auto"/>
      </w:pPr>
      <w:r w:rsidRPr="00CD2FC0">
        <w:t>Regeringe</w:t>
      </w:r>
      <w:r w:rsidRPr="00CD2FC0">
        <w:t>n har i budgetpropositionen pekat ut ett antal projekt som ska t</w:t>
      </w:r>
      <w:r w:rsidRPr="00CD2FC0">
        <w:t>i</w:t>
      </w:r>
      <w:r w:rsidRPr="00CD2FC0">
        <w:t>digareläggas i en så kallad närtidssatsning 2009–2010. Totalt satsar regerin</w:t>
      </w:r>
      <w:r w:rsidRPr="00CD2FC0">
        <w:t>g</w:t>
      </w:r>
      <w:r w:rsidRPr="00CD2FC0">
        <w:t>en 7,6 miljarder kronor, och av dessa fördelas två tredjedelar till vägar och endast en tredjedel till järnväg. Vi socialdemokrater menar att regeringen saknar en tydlig strategi för klimatfrågorna. Man kan inte ena dagen sätta upp höga ambitioner för att minska utsläppen – och nästa dag försumma satsnin</w:t>
      </w:r>
      <w:r w:rsidRPr="00CD2FC0">
        <w:t>g</w:t>
      </w:r>
      <w:r w:rsidRPr="00CD2FC0">
        <w:t>ar på järnväg och kollektivtrafik.</w:t>
      </w:r>
    </w:p>
    <w:p w:rsidR="00CD2FC0" w:rsidRPr="00CD2FC0" w:rsidRDefault="00CD2FC0">
      <w:pPr>
        <w:pStyle w:val="Normaltindrag"/>
        <w:shd w:val="clear" w:color="000000" w:fill="auto"/>
      </w:pPr>
      <w:r w:rsidRPr="00CD2FC0">
        <w:t>Under de senaste åren har tra</w:t>
      </w:r>
      <w:r w:rsidRPr="00CD2FC0">
        <w:t>fikvolymerna ökat kraftigt på många sträc</w:t>
      </w:r>
      <w:r w:rsidRPr="00CD2FC0">
        <w:t>k</w:t>
      </w:r>
      <w:r w:rsidRPr="00CD2FC0">
        <w:t>ningar. Och den infrastruktur som finns idag räcker inte till. Samtidigt beh</w:t>
      </w:r>
      <w:r w:rsidRPr="00CD2FC0">
        <w:t>ö</w:t>
      </w:r>
      <w:r w:rsidRPr="00CD2FC0">
        <w:t>ver vi uppmuntra fler att resa miljövänligare. Då behöver också kapaciteten på järnvägen och i kollektivtrafiken byggas ut. Vi socialdemokrater vill inv</w:t>
      </w:r>
      <w:r w:rsidRPr="00CD2FC0">
        <w:t>e</w:t>
      </w:r>
      <w:r w:rsidRPr="00CD2FC0">
        <w:t>stera 2 miljarder mer per år än regeringen på infrastruktur. Av dessa tillskott vill vi fördela 1 700 miljoner (85 procent) till nya investeringar i järnväg, kollektivtrafik och strategiska gröna framtidsinvesteringar. Vår totala närtid</w:t>
      </w:r>
      <w:r w:rsidRPr="00CD2FC0">
        <w:t>s</w:t>
      </w:r>
      <w:r w:rsidRPr="00CD2FC0">
        <w:t>sat</w:t>
      </w:r>
      <w:r w:rsidRPr="00CD2FC0">
        <w:t>sning uppgår till 11,6 miljarder kronor – att jämföra med regeringens 7,6.</w:t>
      </w:r>
    </w:p>
    <w:p w:rsidR="00CD2FC0" w:rsidRPr="00CD2FC0" w:rsidRDefault="00CD2FC0">
      <w:pPr>
        <w:pStyle w:val="Rubrik1"/>
        <w:shd w:val="clear" w:color="000000" w:fill="auto"/>
      </w:pPr>
      <w:r w:rsidRPr="00CD2FC0">
        <w:br w:type="page"/>
        <w:t>Närtidssatsning järnvägar</w:t>
      </w:r>
    </w:p>
    <w:p w:rsidR="00CD2FC0" w:rsidRPr="00CD2FC0" w:rsidRDefault="00CD2FC0">
      <w:pPr>
        <w:shd w:val="clear" w:color="000000" w:fill="auto"/>
      </w:pPr>
      <w:r w:rsidRPr="00CD2FC0">
        <w:t>Följande järnvägsinvesteringar föreslås i vår närtidssatsning:</w:t>
      </w:r>
    </w:p>
    <w:tbl>
      <w:tblPr>
        <w:tblStyle w:val="Tabellrutnt"/>
        <w:tblW w:w="6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42"/>
        <w:gridCol w:w="1285"/>
        <w:gridCol w:w="981"/>
      </w:tblGrid>
      <w:tr w:rsidR="00000000" w:rsidRPr="00CD2FC0">
        <w:tc>
          <w:tcPr>
            <w:tcW w:w="3842"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0" w:line="240" w:lineRule="exact"/>
              <w:jc w:val="left"/>
              <w:rPr>
                <w:i/>
                <w:sz w:val="16"/>
                <w:szCs w:val="16"/>
              </w:rPr>
            </w:pPr>
          </w:p>
        </w:tc>
        <w:tc>
          <w:tcPr>
            <w:tcW w:w="1285"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0" w:line="240" w:lineRule="exact"/>
              <w:jc w:val="center"/>
              <w:rPr>
                <w:b/>
                <w:sz w:val="16"/>
                <w:szCs w:val="16"/>
              </w:rPr>
            </w:pPr>
            <w:r w:rsidRPr="00CD2FC0">
              <w:rPr>
                <w:b/>
                <w:sz w:val="16"/>
                <w:szCs w:val="16"/>
              </w:rPr>
              <w:t>2009</w:t>
            </w:r>
          </w:p>
        </w:tc>
        <w:tc>
          <w:tcPr>
            <w:tcW w:w="981"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0" w:line="240" w:lineRule="exact"/>
              <w:jc w:val="center"/>
              <w:rPr>
                <w:b/>
                <w:sz w:val="16"/>
                <w:szCs w:val="16"/>
              </w:rPr>
            </w:pPr>
            <w:r w:rsidRPr="00CD2FC0">
              <w:rPr>
                <w:b/>
                <w:sz w:val="16"/>
                <w:szCs w:val="16"/>
              </w:rPr>
              <w:t>2010</w:t>
            </w:r>
          </w:p>
        </w:tc>
      </w:tr>
      <w:tr w:rsidR="00000000" w:rsidRPr="00CD2FC0">
        <w:tc>
          <w:tcPr>
            <w:tcW w:w="3842" w:type="dxa"/>
            <w:tcBorders>
              <w:top w:val="single" w:sz="4" w:space="0" w:color="auto"/>
            </w:tcBorders>
          </w:tcPr>
          <w:p w:rsidR="00CD2FC0" w:rsidRPr="00CD2FC0" w:rsidRDefault="00CD2FC0">
            <w:pPr>
              <w:shd w:val="clear" w:color="000000" w:fill="auto"/>
              <w:autoSpaceDE w:val="0"/>
              <w:autoSpaceDN w:val="0"/>
              <w:adjustRightInd w:val="0"/>
              <w:spacing w:before="0" w:line="240" w:lineRule="exact"/>
              <w:ind w:right="-385"/>
              <w:jc w:val="left"/>
              <w:rPr>
                <w:sz w:val="16"/>
                <w:szCs w:val="16"/>
              </w:rPr>
            </w:pPr>
            <w:r w:rsidRPr="00CD2FC0">
              <w:rPr>
                <w:sz w:val="16"/>
                <w:szCs w:val="16"/>
              </w:rPr>
              <w:t>Hamnbanan Göteborg dubbelspår  Pölsebobangården–Skandiahamn</w:t>
            </w:r>
          </w:p>
        </w:tc>
        <w:tc>
          <w:tcPr>
            <w:tcW w:w="1285" w:type="dxa"/>
            <w:tcBorders>
              <w:top w:val="single" w:sz="4" w:space="0" w:color="auto"/>
            </w:tcBorders>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80</w:t>
            </w:r>
          </w:p>
        </w:tc>
        <w:tc>
          <w:tcPr>
            <w:tcW w:w="981" w:type="dxa"/>
            <w:tcBorders>
              <w:top w:val="single" w:sz="4" w:space="0" w:color="auto"/>
            </w:tcBorders>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80</w:t>
            </w:r>
          </w:p>
        </w:tc>
      </w:tr>
      <w:tr w:rsidR="00000000" w:rsidRPr="00CD2FC0">
        <w:trPr>
          <w:trHeight w:val="412"/>
        </w:trPr>
        <w:tc>
          <w:tcPr>
            <w:tcW w:w="3842" w:type="dxa"/>
          </w:tcPr>
          <w:p w:rsidR="00CD2FC0" w:rsidRPr="00CD2FC0" w:rsidRDefault="00CD2FC0">
            <w:pPr>
              <w:shd w:val="clear" w:color="000000" w:fill="auto"/>
              <w:autoSpaceDE w:val="0"/>
              <w:autoSpaceDN w:val="0"/>
              <w:adjustRightInd w:val="0"/>
              <w:spacing w:before="0" w:line="240" w:lineRule="exact"/>
              <w:jc w:val="left"/>
              <w:rPr>
                <w:sz w:val="16"/>
                <w:szCs w:val="16"/>
              </w:rPr>
            </w:pPr>
            <w:r w:rsidRPr="00CD2FC0">
              <w:rPr>
                <w:sz w:val="16"/>
                <w:szCs w:val="16"/>
              </w:rPr>
              <w:t>Dubbelspår Hallsberg–Degerön ny mötesstation</w:t>
            </w:r>
          </w:p>
        </w:tc>
        <w:tc>
          <w:tcPr>
            <w:tcW w:w="1285"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26</w:t>
            </w:r>
          </w:p>
        </w:tc>
        <w:tc>
          <w:tcPr>
            <w:tcW w:w="981"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26</w:t>
            </w: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sz w:val="16"/>
                <w:szCs w:val="16"/>
              </w:rPr>
            </w:pPr>
            <w:r w:rsidRPr="00CD2FC0">
              <w:rPr>
                <w:sz w:val="16"/>
                <w:szCs w:val="16"/>
              </w:rPr>
              <w:t>Ostkustbanan: Dubbelspår Skutskär–Furuvik**</w:t>
            </w:r>
          </w:p>
        </w:tc>
        <w:tc>
          <w:tcPr>
            <w:tcW w:w="1285"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175</w:t>
            </w:r>
          </w:p>
        </w:tc>
        <w:tc>
          <w:tcPr>
            <w:tcW w:w="981"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175</w:t>
            </w: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sz w:val="16"/>
                <w:szCs w:val="16"/>
              </w:rPr>
            </w:pPr>
            <w:r w:rsidRPr="00CD2FC0">
              <w:rPr>
                <w:sz w:val="16"/>
                <w:szCs w:val="16"/>
              </w:rPr>
              <w:t>Dubbelspår Centrumbanan i Södertälje mellan Södertä</w:t>
            </w:r>
            <w:r w:rsidRPr="00CD2FC0">
              <w:rPr>
                <w:sz w:val="16"/>
                <w:szCs w:val="16"/>
              </w:rPr>
              <w:t>l</w:t>
            </w:r>
            <w:r w:rsidRPr="00CD2FC0">
              <w:rPr>
                <w:sz w:val="16"/>
                <w:szCs w:val="16"/>
              </w:rPr>
              <w:t>je hamn och Södertälje central</w:t>
            </w:r>
          </w:p>
        </w:tc>
        <w:tc>
          <w:tcPr>
            <w:tcW w:w="1285"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375</w:t>
            </w:r>
          </w:p>
        </w:tc>
        <w:tc>
          <w:tcPr>
            <w:tcW w:w="981"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375</w:t>
            </w: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sz w:val="16"/>
                <w:szCs w:val="16"/>
              </w:rPr>
            </w:pPr>
            <w:r w:rsidRPr="00CD2FC0">
              <w:rPr>
                <w:sz w:val="16"/>
                <w:szCs w:val="16"/>
              </w:rPr>
              <w:t>Kombiterminal Händelö, Pampushamnen i Norrköping, anslutningsspår – etapp 1</w:t>
            </w:r>
          </w:p>
        </w:tc>
        <w:tc>
          <w:tcPr>
            <w:tcW w:w="1285"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160</w:t>
            </w:r>
          </w:p>
        </w:tc>
        <w:tc>
          <w:tcPr>
            <w:tcW w:w="981"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160</w:t>
            </w: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sz w:val="16"/>
                <w:szCs w:val="16"/>
              </w:rPr>
            </w:pPr>
            <w:r w:rsidRPr="00CD2FC0">
              <w:rPr>
                <w:sz w:val="16"/>
                <w:szCs w:val="16"/>
              </w:rPr>
              <w:t>Vägsatsning, E 22 i Skåne</w:t>
            </w:r>
          </w:p>
        </w:tc>
        <w:tc>
          <w:tcPr>
            <w:tcW w:w="1285"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p>
        </w:tc>
        <w:tc>
          <w:tcPr>
            <w:tcW w:w="981"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r w:rsidRPr="00CD2FC0">
              <w:rPr>
                <w:sz w:val="16"/>
                <w:szCs w:val="16"/>
              </w:rPr>
              <w:t>620</w:t>
            </w: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i/>
                <w:sz w:val="16"/>
                <w:szCs w:val="16"/>
              </w:rPr>
            </w:pPr>
            <w:r w:rsidRPr="00CD2FC0">
              <w:rPr>
                <w:i/>
                <w:sz w:val="16"/>
                <w:szCs w:val="16"/>
              </w:rPr>
              <w:t>Haparandabanan*</w:t>
            </w:r>
          </w:p>
        </w:tc>
        <w:tc>
          <w:tcPr>
            <w:tcW w:w="1285"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p>
        </w:tc>
        <w:tc>
          <w:tcPr>
            <w:tcW w:w="981" w:type="dxa"/>
          </w:tcPr>
          <w:p w:rsidR="00CD2FC0" w:rsidRPr="00CD2FC0" w:rsidRDefault="00CD2FC0">
            <w:pPr>
              <w:shd w:val="clear" w:color="000000" w:fill="auto"/>
              <w:autoSpaceDE w:val="0"/>
              <w:autoSpaceDN w:val="0"/>
              <w:adjustRightInd w:val="0"/>
              <w:spacing w:before="0" w:line="240" w:lineRule="exact"/>
              <w:ind w:right="397"/>
              <w:jc w:val="right"/>
              <w:rPr>
                <w:sz w:val="16"/>
                <w:szCs w:val="16"/>
              </w:rPr>
            </w:pP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i/>
                <w:sz w:val="16"/>
                <w:szCs w:val="16"/>
              </w:rPr>
            </w:pPr>
            <w:r w:rsidRPr="00CD2FC0">
              <w:rPr>
                <w:i/>
                <w:sz w:val="16"/>
                <w:szCs w:val="16"/>
              </w:rPr>
              <w:t>Emmaboda–Karlskrona*</w:t>
            </w:r>
          </w:p>
        </w:tc>
        <w:tc>
          <w:tcPr>
            <w:tcW w:w="1285"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c>
          <w:tcPr>
            <w:tcW w:w="981"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i/>
                <w:sz w:val="16"/>
                <w:szCs w:val="16"/>
              </w:rPr>
            </w:pPr>
            <w:r w:rsidRPr="00CD2FC0">
              <w:rPr>
                <w:i/>
                <w:sz w:val="16"/>
                <w:szCs w:val="16"/>
              </w:rPr>
              <w:t>Kapacitetsåtgärder Bergslagen, Ostkustbanan och norra Sverige*</w:t>
            </w:r>
          </w:p>
        </w:tc>
        <w:tc>
          <w:tcPr>
            <w:tcW w:w="1285"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c>
          <w:tcPr>
            <w:tcW w:w="981"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i/>
                <w:sz w:val="16"/>
                <w:szCs w:val="16"/>
              </w:rPr>
            </w:pPr>
            <w:r w:rsidRPr="00CD2FC0">
              <w:rPr>
                <w:i/>
                <w:sz w:val="16"/>
                <w:szCs w:val="16"/>
              </w:rPr>
              <w:t>Elektrifiering Nykroppa Kristinehamn*</w:t>
            </w:r>
          </w:p>
        </w:tc>
        <w:tc>
          <w:tcPr>
            <w:tcW w:w="1285"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c>
          <w:tcPr>
            <w:tcW w:w="981"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r>
      <w:tr w:rsidR="00000000" w:rsidRPr="00CD2FC0">
        <w:tc>
          <w:tcPr>
            <w:tcW w:w="3842" w:type="dxa"/>
          </w:tcPr>
          <w:p w:rsidR="00CD2FC0" w:rsidRPr="00CD2FC0" w:rsidRDefault="00CD2FC0">
            <w:pPr>
              <w:shd w:val="clear" w:color="000000" w:fill="auto"/>
              <w:autoSpaceDE w:val="0"/>
              <w:autoSpaceDN w:val="0"/>
              <w:adjustRightInd w:val="0"/>
              <w:spacing w:before="0" w:line="240" w:lineRule="exact"/>
              <w:jc w:val="left"/>
              <w:rPr>
                <w:i/>
                <w:sz w:val="16"/>
                <w:szCs w:val="16"/>
              </w:rPr>
            </w:pPr>
            <w:r w:rsidRPr="00CD2FC0">
              <w:rPr>
                <w:i/>
                <w:sz w:val="16"/>
                <w:szCs w:val="16"/>
              </w:rPr>
              <w:t>Handikappanpassning järnväg*</w:t>
            </w:r>
          </w:p>
        </w:tc>
        <w:tc>
          <w:tcPr>
            <w:tcW w:w="1285"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c>
          <w:tcPr>
            <w:tcW w:w="981" w:type="dxa"/>
          </w:tcPr>
          <w:p w:rsidR="00CD2FC0" w:rsidRPr="00CD2FC0" w:rsidRDefault="00CD2FC0">
            <w:pPr>
              <w:shd w:val="clear" w:color="000000" w:fill="auto"/>
              <w:autoSpaceDE w:val="0"/>
              <w:autoSpaceDN w:val="0"/>
              <w:adjustRightInd w:val="0"/>
              <w:spacing w:before="0" w:line="240" w:lineRule="exact"/>
              <w:ind w:right="454"/>
              <w:jc w:val="right"/>
              <w:rPr>
                <w:b/>
                <w:sz w:val="16"/>
                <w:szCs w:val="16"/>
              </w:rPr>
            </w:pPr>
          </w:p>
        </w:tc>
      </w:tr>
    </w:tbl>
    <w:p w:rsidR="00CD2FC0" w:rsidRPr="00CD2FC0" w:rsidRDefault="00CD2FC0">
      <w:pPr>
        <w:shd w:val="clear" w:color="000000" w:fill="auto"/>
        <w:spacing w:before="0" w:line="200" w:lineRule="atLeast"/>
        <w:rPr>
          <w:sz w:val="16"/>
          <w:szCs w:val="16"/>
        </w:rPr>
      </w:pPr>
      <w:r w:rsidRPr="00CD2FC0">
        <w:rPr>
          <w:sz w:val="16"/>
          <w:szCs w:val="16"/>
        </w:rPr>
        <w:t>* Enligt förslag i regeringens närtidssatsning.</w:t>
      </w:r>
    </w:p>
    <w:p w:rsidR="00CD2FC0" w:rsidRPr="00CD2FC0" w:rsidRDefault="00CD2FC0">
      <w:pPr>
        <w:shd w:val="clear" w:color="000000" w:fill="auto"/>
        <w:spacing w:before="0" w:line="200" w:lineRule="atLeast"/>
        <w:rPr>
          <w:sz w:val="16"/>
          <w:szCs w:val="16"/>
        </w:rPr>
      </w:pPr>
      <w:r w:rsidRPr="00CD2FC0">
        <w:rPr>
          <w:sz w:val="16"/>
          <w:szCs w:val="16"/>
        </w:rPr>
        <w:t>** Dessutom ingår byggande av tre nya stationer och upprustning av 14 stationer på Os</w:t>
      </w:r>
      <w:r w:rsidRPr="00CD2FC0">
        <w:rPr>
          <w:sz w:val="16"/>
          <w:szCs w:val="16"/>
        </w:rPr>
        <w:t>t</w:t>
      </w:r>
      <w:r w:rsidRPr="00CD2FC0">
        <w:rPr>
          <w:sz w:val="16"/>
          <w:szCs w:val="16"/>
        </w:rPr>
        <w:t>kustbanan mellan Gävle och Sundsvall som redan är finansierat genom regeringens närtid</w:t>
      </w:r>
      <w:r w:rsidRPr="00CD2FC0">
        <w:rPr>
          <w:sz w:val="16"/>
          <w:szCs w:val="16"/>
        </w:rPr>
        <w:t>s</w:t>
      </w:r>
      <w:r w:rsidRPr="00CD2FC0">
        <w:rPr>
          <w:sz w:val="16"/>
          <w:szCs w:val="16"/>
        </w:rPr>
        <w:t>satsning.</w:t>
      </w:r>
    </w:p>
    <w:p w:rsidR="00CD2FC0" w:rsidRPr="00CD2FC0" w:rsidRDefault="00CD2FC0">
      <w:pPr>
        <w:shd w:val="clear" w:color="000000" w:fill="auto"/>
      </w:pPr>
      <w:r w:rsidRPr="00CD2FC0">
        <w:t>Ovanstående järnvägsinvesteringar innebär att alla de järnvägsprojekt som är möjliga att byggstartas under 2009 och 2010 får de medel som krävs.</w:t>
      </w:r>
    </w:p>
    <w:p w:rsidR="00CD2FC0" w:rsidRPr="00CD2FC0" w:rsidRDefault="00CD2FC0">
      <w:pPr>
        <w:pStyle w:val="Rubrik1"/>
        <w:shd w:val="clear" w:color="000000" w:fill="auto"/>
      </w:pPr>
      <w:r w:rsidRPr="00CD2FC0">
        <w:t>Närtidssatsning kollektivtrafik</w:t>
      </w:r>
    </w:p>
    <w:p w:rsidR="00CD2FC0" w:rsidRPr="00CD2FC0" w:rsidRDefault="00CD2FC0">
      <w:pPr>
        <w:shd w:val="clear" w:color="000000" w:fill="auto"/>
      </w:pPr>
      <w:r w:rsidRPr="00CD2FC0">
        <w:t>Ökade investeringar i kollektivtrafiken är en av de viktigaste nycklarna för att nå målet om hållbara transporter. Med den ytterst allvarliga klimat- och mi</w:t>
      </w:r>
      <w:r w:rsidRPr="00CD2FC0">
        <w:t>l</w:t>
      </w:r>
      <w:r w:rsidRPr="00CD2FC0">
        <w:t>jösituation som råder globalt är det ytterst märkligt att regeringen inte satsar något alls på kollektivtrafik i budgeten. Vi vill dessutom höja statsbidragen till kollektivtrafikinvesteringar med 883 miljoner kronor 2009 och 2010, så att de regioner som vill investera i ökad kapacitet i kollektivtrafiken kan få bidrag till exempelvis spår, perronger och resecentrum.</w:t>
      </w:r>
    </w:p>
    <w:tbl>
      <w:tblPr>
        <w:tblStyle w:val="Tabellrutnt"/>
        <w:tblW w:w="5954" w:type="dxa"/>
        <w:tblBorders>
          <w:left w:val="none" w:sz="0" w:space="0" w:color="auto"/>
          <w:right w:val="none" w:sz="0" w:space="0" w:color="auto"/>
        </w:tblBorders>
        <w:tblLook w:val="01E0" w:firstRow="1" w:lastRow="1" w:firstColumn="1" w:lastColumn="1" w:noHBand="0" w:noVBand="0"/>
      </w:tblPr>
      <w:tblGrid>
        <w:gridCol w:w="3431"/>
        <w:gridCol w:w="1316"/>
        <w:gridCol w:w="1207"/>
      </w:tblGrid>
      <w:tr w:rsidR="00000000" w:rsidRPr="00CD2FC0">
        <w:tc>
          <w:tcPr>
            <w:tcW w:w="3070" w:type="dxa"/>
            <w:tcBorders>
              <w:right w:val="nil"/>
            </w:tcBorders>
          </w:tcPr>
          <w:p w:rsidR="00CD2FC0" w:rsidRPr="00CD2FC0" w:rsidRDefault="00CD2FC0">
            <w:pPr>
              <w:shd w:val="clear" w:color="000000" w:fill="auto"/>
              <w:autoSpaceDE w:val="0"/>
              <w:autoSpaceDN w:val="0"/>
              <w:adjustRightInd w:val="0"/>
              <w:spacing w:before="60" w:line="200" w:lineRule="exact"/>
              <w:jc w:val="center"/>
              <w:rPr>
                <w:b/>
                <w:sz w:val="16"/>
                <w:szCs w:val="16"/>
              </w:rPr>
            </w:pPr>
          </w:p>
        </w:tc>
        <w:tc>
          <w:tcPr>
            <w:tcW w:w="1178" w:type="dxa"/>
            <w:tcBorders>
              <w:left w:val="nil"/>
              <w:right w:val="nil"/>
            </w:tcBorders>
          </w:tcPr>
          <w:p w:rsidR="00CD2FC0" w:rsidRPr="00CD2FC0" w:rsidRDefault="00CD2FC0">
            <w:pPr>
              <w:shd w:val="clear" w:color="000000" w:fill="auto"/>
              <w:autoSpaceDE w:val="0"/>
              <w:autoSpaceDN w:val="0"/>
              <w:adjustRightInd w:val="0"/>
              <w:spacing w:before="60" w:line="200" w:lineRule="exact"/>
              <w:jc w:val="center"/>
              <w:rPr>
                <w:b/>
                <w:sz w:val="16"/>
                <w:szCs w:val="16"/>
              </w:rPr>
            </w:pPr>
            <w:r w:rsidRPr="00CD2FC0">
              <w:rPr>
                <w:b/>
                <w:sz w:val="16"/>
                <w:szCs w:val="16"/>
              </w:rPr>
              <w:t>2009</w:t>
            </w:r>
          </w:p>
        </w:tc>
        <w:tc>
          <w:tcPr>
            <w:tcW w:w="1080" w:type="dxa"/>
            <w:tcBorders>
              <w:left w:val="nil"/>
            </w:tcBorders>
          </w:tcPr>
          <w:p w:rsidR="00CD2FC0" w:rsidRPr="00CD2FC0" w:rsidRDefault="00CD2FC0">
            <w:pPr>
              <w:shd w:val="clear" w:color="000000" w:fill="auto"/>
              <w:autoSpaceDE w:val="0"/>
              <w:autoSpaceDN w:val="0"/>
              <w:adjustRightInd w:val="0"/>
              <w:spacing w:before="60" w:line="200" w:lineRule="exact"/>
              <w:jc w:val="center"/>
              <w:rPr>
                <w:b/>
                <w:sz w:val="16"/>
                <w:szCs w:val="16"/>
              </w:rPr>
            </w:pPr>
            <w:r w:rsidRPr="00CD2FC0">
              <w:rPr>
                <w:b/>
                <w:sz w:val="16"/>
                <w:szCs w:val="16"/>
              </w:rPr>
              <w:t>2010</w:t>
            </w:r>
          </w:p>
        </w:tc>
      </w:tr>
      <w:tr w:rsidR="00000000" w:rsidRPr="00CD2FC0">
        <w:tc>
          <w:tcPr>
            <w:tcW w:w="3070" w:type="dxa"/>
            <w:tcBorders>
              <w:right w:val="nil"/>
            </w:tcBorders>
          </w:tcPr>
          <w:p w:rsidR="00CD2FC0" w:rsidRPr="00CD2FC0" w:rsidRDefault="00CD2FC0">
            <w:pPr>
              <w:shd w:val="clear" w:color="000000" w:fill="auto"/>
              <w:autoSpaceDE w:val="0"/>
              <w:autoSpaceDN w:val="0"/>
              <w:adjustRightInd w:val="0"/>
              <w:spacing w:before="60" w:line="200" w:lineRule="exact"/>
              <w:rPr>
                <w:sz w:val="16"/>
                <w:szCs w:val="16"/>
              </w:rPr>
            </w:pPr>
            <w:r w:rsidRPr="00CD2FC0">
              <w:rPr>
                <w:sz w:val="16"/>
                <w:szCs w:val="16"/>
              </w:rPr>
              <w:t xml:space="preserve">Statsbidrag till kollektivtrafik </w:t>
            </w:r>
          </w:p>
        </w:tc>
        <w:tc>
          <w:tcPr>
            <w:tcW w:w="1178" w:type="dxa"/>
            <w:tcBorders>
              <w:left w:val="nil"/>
              <w:right w:val="nil"/>
            </w:tcBorders>
          </w:tcPr>
          <w:p w:rsidR="00CD2FC0" w:rsidRPr="00CD2FC0" w:rsidRDefault="00CD2FC0">
            <w:pPr>
              <w:shd w:val="clear" w:color="000000" w:fill="auto"/>
              <w:autoSpaceDE w:val="0"/>
              <w:autoSpaceDN w:val="0"/>
              <w:adjustRightInd w:val="0"/>
              <w:spacing w:before="60" w:line="200" w:lineRule="exact"/>
              <w:ind w:right="397"/>
              <w:jc w:val="right"/>
              <w:rPr>
                <w:sz w:val="16"/>
                <w:szCs w:val="16"/>
              </w:rPr>
            </w:pPr>
            <w:r w:rsidRPr="00CD2FC0">
              <w:rPr>
                <w:sz w:val="16"/>
                <w:szCs w:val="16"/>
              </w:rPr>
              <w:t>649</w:t>
            </w:r>
          </w:p>
        </w:tc>
        <w:tc>
          <w:tcPr>
            <w:tcW w:w="1080" w:type="dxa"/>
            <w:tcBorders>
              <w:left w:val="nil"/>
            </w:tcBorders>
          </w:tcPr>
          <w:p w:rsidR="00CD2FC0" w:rsidRPr="00CD2FC0" w:rsidRDefault="00CD2FC0">
            <w:pPr>
              <w:shd w:val="clear" w:color="000000" w:fill="auto"/>
              <w:autoSpaceDE w:val="0"/>
              <w:autoSpaceDN w:val="0"/>
              <w:adjustRightInd w:val="0"/>
              <w:spacing w:before="60" w:line="200" w:lineRule="exact"/>
              <w:ind w:right="397"/>
              <w:jc w:val="right"/>
              <w:rPr>
                <w:sz w:val="16"/>
                <w:szCs w:val="16"/>
              </w:rPr>
            </w:pPr>
            <w:r w:rsidRPr="00CD2FC0">
              <w:rPr>
                <w:sz w:val="16"/>
                <w:szCs w:val="16"/>
              </w:rPr>
              <w:t>234</w:t>
            </w:r>
          </w:p>
        </w:tc>
      </w:tr>
    </w:tbl>
    <w:p w:rsidR="00CD2FC0" w:rsidRPr="00CD2FC0" w:rsidRDefault="00CD2FC0">
      <w:pPr>
        <w:pStyle w:val="Rubrik1"/>
        <w:shd w:val="clear" w:color="000000" w:fill="auto"/>
      </w:pPr>
      <w:r w:rsidRPr="00CD2FC0">
        <w:t>Närtidssatsning vägar</w:t>
      </w:r>
    </w:p>
    <w:p w:rsidR="00CD2FC0" w:rsidRPr="00CD2FC0" w:rsidRDefault="00CD2FC0">
      <w:pPr>
        <w:shd w:val="clear" w:color="000000" w:fill="auto"/>
      </w:pPr>
      <w:r w:rsidRPr="00CD2FC0">
        <w:t>När det gäller vägar vill vi, utöver regeringens närtidssatsning, göra en större satsning på E 22. Regeringen skjuter till 150 miljoner kronor till sträckningen Sölve–Stensnäs samt mitträcke på andra delar av E 22, samt 200 miljoner kronor till E 22 i Skåne mellan Hurva och Gualöv. Problemet är bara att dessa 200 miljoner inte räcker särskilt långt.</w:t>
      </w:r>
    </w:p>
    <w:p w:rsidR="00CD2FC0" w:rsidRPr="00CD2FC0" w:rsidRDefault="00CD2FC0">
      <w:pPr>
        <w:pStyle w:val="Normaltindrag"/>
        <w:shd w:val="clear" w:color="000000" w:fill="auto"/>
      </w:pPr>
      <w:r w:rsidRPr="00CD2FC0">
        <w:t>För att klara att bredda de fyra delsträckor på E 22 mellan Hurva och Gu</w:t>
      </w:r>
      <w:r w:rsidRPr="00CD2FC0">
        <w:t>a</w:t>
      </w:r>
      <w:r w:rsidRPr="00CD2FC0">
        <w:t>löv som är möjliga att påbörja redan 2010 krävs ett tillskott på totalt 820 miljoner kronor 2010. Vi socialdemokrater menar att E 22 är en priorit</w:t>
      </w:r>
      <w:r w:rsidRPr="00CD2FC0">
        <w:t>e</w:t>
      </w:r>
      <w:r w:rsidRPr="00CD2FC0">
        <w:t>rad väg, och föreslår därför att dessa resurser satsas redan 2010.</w:t>
      </w:r>
    </w:p>
    <w:p w:rsidR="00CD2FC0" w:rsidRPr="00CD2FC0" w:rsidRDefault="00CD2FC0">
      <w:pPr>
        <w:pStyle w:val="Rubrik1"/>
        <w:shd w:val="clear" w:color="000000" w:fill="auto"/>
      </w:pPr>
      <w:r w:rsidRPr="00CD2FC0">
        <w:t>E 22 i Skåne med närtidssatsning (s)</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5"/>
        <w:gridCol w:w="2928"/>
      </w:tblGrid>
      <w:tr w:rsidR="00000000" w:rsidRPr="00CD2FC0">
        <w:tc>
          <w:tcPr>
            <w:tcW w:w="3046" w:type="dxa"/>
          </w:tcPr>
          <w:p w:rsidR="00CD2FC0" w:rsidRPr="00CD2FC0" w:rsidRDefault="00CD2FC0">
            <w:pPr>
              <w:shd w:val="clear" w:color="000000" w:fill="auto"/>
              <w:spacing w:before="60" w:line="200" w:lineRule="exact"/>
              <w:jc w:val="left"/>
              <w:rPr>
                <w:sz w:val="16"/>
                <w:szCs w:val="16"/>
              </w:rPr>
            </w:pPr>
            <w:r w:rsidRPr="00CD2FC0">
              <w:rPr>
                <w:sz w:val="16"/>
                <w:szCs w:val="16"/>
              </w:rPr>
              <w:t>Del 1 Hurva–Rolsberga</w:t>
            </w:r>
          </w:p>
        </w:tc>
        <w:tc>
          <w:tcPr>
            <w:tcW w:w="2942" w:type="dxa"/>
          </w:tcPr>
          <w:p w:rsidR="00CD2FC0" w:rsidRPr="00CD2FC0" w:rsidRDefault="00CD2FC0">
            <w:pPr>
              <w:shd w:val="clear" w:color="000000" w:fill="auto"/>
              <w:spacing w:before="60" w:line="200" w:lineRule="exact"/>
              <w:ind w:right="972"/>
              <w:jc w:val="right"/>
              <w:rPr>
                <w:sz w:val="16"/>
                <w:szCs w:val="16"/>
              </w:rPr>
            </w:pPr>
            <w:r w:rsidRPr="00CD2FC0">
              <w:rPr>
                <w:sz w:val="16"/>
                <w:szCs w:val="16"/>
              </w:rPr>
              <w:t>240 mnkr</w:t>
            </w:r>
          </w:p>
        </w:tc>
      </w:tr>
      <w:tr w:rsidR="00000000" w:rsidRPr="00CD2FC0">
        <w:tc>
          <w:tcPr>
            <w:tcW w:w="3046" w:type="dxa"/>
          </w:tcPr>
          <w:p w:rsidR="00CD2FC0" w:rsidRPr="00CD2FC0" w:rsidRDefault="00CD2FC0">
            <w:pPr>
              <w:shd w:val="clear" w:color="000000" w:fill="auto"/>
              <w:spacing w:before="60" w:line="200" w:lineRule="exact"/>
              <w:jc w:val="left"/>
              <w:rPr>
                <w:sz w:val="16"/>
                <w:szCs w:val="16"/>
              </w:rPr>
            </w:pPr>
            <w:r w:rsidRPr="00CD2FC0">
              <w:rPr>
                <w:sz w:val="16"/>
                <w:szCs w:val="16"/>
              </w:rPr>
              <w:t>Del 2 Rolsberga–Fogdarp</w:t>
            </w:r>
          </w:p>
        </w:tc>
        <w:tc>
          <w:tcPr>
            <w:tcW w:w="2942" w:type="dxa"/>
          </w:tcPr>
          <w:p w:rsidR="00CD2FC0" w:rsidRPr="00CD2FC0" w:rsidRDefault="00CD2FC0">
            <w:pPr>
              <w:shd w:val="clear" w:color="000000" w:fill="auto"/>
              <w:spacing w:before="60" w:line="200" w:lineRule="exact"/>
              <w:ind w:right="972"/>
              <w:jc w:val="right"/>
              <w:rPr>
                <w:sz w:val="16"/>
                <w:szCs w:val="16"/>
              </w:rPr>
            </w:pPr>
            <w:r w:rsidRPr="00CD2FC0">
              <w:rPr>
                <w:sz w:val="16"/>
                <w:szCs w:val="16"/>
              </w:rPr>
              <w:t>130 mnkr</w:t>
            </w:r>
          </w:p>
        </w:tc>
      </w:tr>
      <w:tr w:rsidR="00000000" w:rsidRPr="00CD2FC0">
        <w:tc>
          <w:tcPr>
            <w:tcW w:w="3046" w:type="dxa"/>
          </w:tcPr>
          <w:p w:rsidR="00CD2FC0" w:rsidRPr="00CD2FC0" w:rsidRDefault="00CD2FC0">
            <w:pPr>
              <w:shd w:val="clear" w:color="000000" w:fill="auto"/>
              <w:spacing w:before="60" w:line="200" w:lineRule="exact"/>
              <w:jc w:val="left"/>
              <w:rPr>
                <w:sz w:val="16"/>
                <w:szCs w:val="16"/>
              </w:rPr>
            </w:pPr>
            <w:r w:rsidRPr="00CD2FC0">
              <w:rPr>
                <w:sz w:val="16"/>
                <w:szCs w:val="16"/>
              </w:rPr>
              <w:t>Del 3 Fogdarp–Hörby N</w:t>
            </w:r>
          </w:p>
        </w:tc>
        <w:tc>
          <w:tcPr>
            <w:tcW w:w="2942" w:type="dxa"/>
          </w:tcPr>
          <w:p w:rsidR="00CD2FC0" w:rsidRPr="00CD2FC0" w:rsidRDefault="00CD2FC0">
            <w:pPr>
              <w:shd w:val="clear" w:color="000000" w:fill="auto"/>
              <w:spacing w:before="60" w:line="200" w:lineRule="exact"/>
              <w:ind w:right="972"/>
              <w:jc w:val="right"/>
              <w:rPr>
                <w:sz w:val="16"/>
                <w:szCs w:val="16"/>
              </w:rPr>
            </w:pPr>
            <w:r w:rsidRPr="00CD2FC0">
              <w:rPr>
                <w:sz w:val="16"/>
                <w:szCs w:val="16"/>
              </w:rPr>
              <w:t>150 mnkr</w:t>
            </w:r>
          </w:p>
        </w:tc>
      </w:tr>
      <w:tr w:rsidR="00000000" w:rsidRPr="00CD2FC0">
        <w:tc>
          <w:tcPr>
            <w:tcW w:w="3046" w:type="dxa"/>
          </w:tcPr>
          <w:p w:rsidR="00CD2FC0" w:rsidRPr="00CD2FC0" w:rsidRDefault="00CD2FC0">
            <w:pPr>
              <w:shd w:val="clear" w:color="000000" w:fill="auto"/>
              <w:spacing w:before="60" w:line="200" w:lineRule="exact"/>
              <w:jc w:val="left"/>
              <w:rPr>
                <w:sz w:val="16"/>
                <w:szCs w:val="16"/>
              </w:rPr>
            </w:pPr>
            <w:r w:rsidRPr="00CD2FC0">
              <w:rPr>
                <w:sz w:val="16"/>
                <w:szCs w:val="16"/>
              </w:rPr>
              <w:t>Del 4 Hörby–Linderöd</w:t>
            </w:r>
          </w:p>
        </w:tc>
        <w:tc>
          <w:tcPr>
            <w:tcW w:w="2942" w:type="dxa"/>
          </w:tcPr>
          <w:p w:rsidR="00CD2FC0" w:rsidRPr="00CD2FC0" w:rsidRDefault="00CD2FC0">
            <w:pPr>
              <w:shd w:val="clear" w:color="000000" w:fill="auto"/>
              <w:spacing w:before="60" w:line="200" w:lineRule="exact"/>
              <w:ind w:right="972"/>
              <w:jc w:val="right"/>
              <w:rPr>
                <w:sz w:val="16"/>
                <w:szCs w:val="16"/>
              </w:rPr>
            </w:pPr>
            <w:r w:rsidRPr="00CD2FC0">
              <w:rPr>
                <w:sz w:val="16"/>
                <w:szCs w:val="16"/>
              </w:rPr>
              <w:t>300 mnkr</w:t>
            </w:r>
          </w:p>
        </w:tc>
      </w:tr>
      <w:tr w:rsidR="00000000" w:rsidRPr="00CD2FC0">
        <w:tc>
          <w:tcPr>
            <w:tcW w:w="3046" w:type="dxa"/>
          </w:tcPr>
          <w:p w:rsidR="00CD2FC0" w:rsidRPr="00CD2FC0" w:rsidRDefault="00CD2FC0">
            <w:pPr>
              <w:shd w:val="clear" w:color="000000" w:fill="auto"/>
              <w:spacing w:before="60" w:line="200" w:lineRule="exact"/>
              <w:jc w:val="left"/>
              <w:rPr>
                <w:sz w:val="16"/>
                <w:szCs w:val="16"/>
              </w:rPr>
            </w:pPr>
            <w:r w:rsidRPr="00CD2FC0">
              <w:rPr>
                <w:b/>
                <w:sz w:val="16"/>
                <w:szCs w:val="16"/>
              </w:rPr>
              <w:t>Summa kostnad</w:t>
            </w:r>
          </w:p>
        </w:tc>
        <w:tc>
          <w:tcPr>
            <w:tcW w:w="2942" w:type="dxa"/>
          </w:tcPr>
          <w:p w:rsidR="00CD2FC0" w:rsidRPr="00CD2FC0" w:rsidRDefault="00CD2FC0">
            <w:pPr>
              <w:shd w:val="clear" w:color="000000" w:fill="auto"/>
              <w:spacing w:before="60" w:line="200" w:lineRule="exact"/>
              <w:ind w:right="972"/>
              <w:jc w:val="right"/>
              <w:rPr>
                <w:sz w:val="16"/>
                <w:szCs w:val="16"/>
              </w:rPr>
            </w:pPr>
            <w:r w:rsidRPr="00CD2FC0">
              <w:rPr>
                <w:b/>
                <w:sz w:val="16"/>
                <w:szCs w:val="16"/>
              </w:rPr>
              <w:t>820 mnkr</w:t>
            </w:r>
          </w:p>
        </w:tc>
      </w:tr>
    </w:tbl>
    <w:p w:rsidR="00CD2FC0" w:rsidRPr="00CD2FC0" w:rsidRDefault="00CD2FC0">
      <w:pPr>
        <w:pStyle w:val="Normaltindrag"/>
        <w:shd w:val="clear" w:color="000000" w:fill="auto"/>
      </w:pPr>
    </w:p>
    <w:tbl>
      <w:tblPr>
        <w:tblStyle w:val="Tabellrutnt"/>
        <w:tblW w:w="5954"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1"/>
        <w:gridCol w:w="1316"/>
        <w:gridCol w:w="1207"/>
      </w:tblGrid>
      <w:tr w:rsidR="00000000" w:rsidRPr="00CD2FC0">
        <w:tc>
          <w:tcPr>
            <w:tcW w:w="3070"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60" w:line="200" w:lineRule="exact"/>
              <w:jc w:val="left"/>
              <w:rPr>
                <w:b/>
                <w:sz w:val="16"/>
                <w:szCs w:val="16"/>
              </w:rPr>
            </w:pPr>
          </w:p>
        </w:tc>
        <w:tc>
          <w:tcPr>
            <w:tcW w:w="1178"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60" w:line="200" w:lineRule="exact"/>
              <w:jc w:val="center"/>
              <w:rPr>
                <w:b/>
                <w:sz w:val="16"/>
                <w:szCs w:val="16"/>
              </w:rPr>
            </w:pPr>
            <w:r w:rsidRPr="00CD2FC0">
              <w:rPr>
                <w:b/>
                <w:sz w:val="16"/>
                <w:szCs w:val="16"/>
              </w:rPr>
              <w:t>2009</w:t>
            </w:r>
          </w:p>
        </w:tc>
        <w:tc>
          <w:tcPr>
            <w:tcW w:w="1080"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60" w:line="200" w:lineRule="exact"/>
              <w:jc w:val="center"/>
              <w:rPr>
                <w:b/>
                <w:sz w:val="16"/>
                <w:szCs w:val="16"/>
              </w:rPr>
            </w:pPr>
            <w:r w:rsidRPr="00CD2FC0">
              <w:rPr>
                <w:b/>
                <w:sz w:val="16"/>
                <w:szCs w:val="16"/>
              </w:rPr>
              <w:t>2010</w:t>
            </w:r>
          </w:p>
        </w:tc>
      </w:tr>
      <w:tr w:rsidR="00000000" w:rsidRPr="00CD2FC0">
        <w:tc>
          <w:tcPr>
            <w:tcW w:w="3070"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60" w:line="200" w:lineRule="exact"/>
              <w:jc w:val="left"/>
              <w:rPr>
                <w:sz w:val="16"/>
                <w:szCs w:val="16"/>
              </w:rPr>
            </w:pPr>
            <w:r w:rsidRPr="00CD2FC0">
              <w:rPr>
                <w:sz w:val="16"/>
                <w:szCs w:val="16"/>
              </w:rPr>
              <w:t>E 22 i Skåne</w:t>
            </w:r>
          </w:p>
        </w:tc>
        <w:tc>
          <w:tcPr>
            <w:tcW w:w="1178"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60" w:line="200" w:lineRule="exact"/>
              <w:ind w:right="340"/>
              <w:jc w:val="right"/>
              <w:rPr>
                <w:sz w:val="16"/>
                <w:szCs w:val="16"/>
              </w:rPr>
            </w:pPr>
            <w:r w:rsidRPr="00CD2FC0">
              <w:rPr>
                <w:sz w:val="16"/>
                <w:szCs w:val="16"/>
              </w:rPr>
              <w:t>0</w:t>
            </w:r>
          </w:p>
        </w:tc>
        <w:tc>
          <w:tcPr>
            <w:tcW w:w="1080" w:type="dxa"/>
            <w:tcBorders>
              <w:top w:val="single" w:sz="4" w:space="0" w:color="auto"/>
              <w:bottom w:val="single" w:sz="4" w:space="0" w:color="auto"/>
            </w:tcBorders>
          </w:tcPr>
          <w:p w:rsidR="00CD2FC0" w:rsidRPr="00CD2FC0" w:rsidRDefault="00CD2FC0">
            <w:pPr>
              <w:shd w:val="clear" w:color="000000" w:fill="auto"/>
              <w:autoSpaceDE w:val="0"/>
              <w:autoSpaceDN w:val="0"/>
              <w:adjustRightInd w:val="0"/>
              <w:spacing w:before="60" w:line="200" w:lineRule="exact"/>
              <w:ind w:right="284"/>
              <w:jc w:val="right"/>
              <w:rPr>
                <w:sz w:val="16"/>
                <w:szCs w:val="16"/>
              </w:rPr>
            </w:pPr>
            <w:r w:rsidRPr="00CD2FC0">
              <w:rPr>
                <w:sz w:val="16"/>
                <w:szCs w:val="16"/>
              </w:rPr>
              <w:t>820</w:t>
            </w:r>
          </w:p>
        </w:tc>
      </w:tr>
      <w:tr w:rsidR="00000000" w:rsidRPr="00CD2FC0">
        <w:tc>
          <w:tcPr>
            <w:tcW w:w="3070" w:type="dxa"/>
            <w:tcBorders>
              <w:top w:val="single" w:sz="4" w:space="0" w:color="auto"/>
            </w:tcBorders>
          </w:tcPr>
          <w:p w:rsidR="00CD2FC0" w:rsidRPr="00CD2FC0" w:rsidRDefault="00CD2FC0">
            <w:pPr>
              <w:shd w:val="clear" w:color="000000" w:fill="auto"/>
              <w:autoSpaceDE w:val="0"/>
              <w:autoSpaceDN w:val="0"/>
              <w:adjustRightInd w:val="0"/>
              <w:spacing w:before="60" w:line="200" w:lineRule="exact"/>
              <w:jc w:val="left"/>
              <w:rPr>
                <w:sz w:val="16"/>
                <w:szCs w:val="16"/>
              </w:rPr>
            </w:pPr>
            <w:r w:rsidRPr="00CD2FC0">
              <w:rPr>
                <w:sz w:val="16"/>
                <w:szCs w:val="16"/>
              </w:rPr>
              <w:t xml:space="preserve">Övriga närtidssatsningar på vägar, </w:t>
            </w:r>
            <w:r w:rsidRPr="00CD2FC0">
              <w:rPr>
                <w:sz w:val="16"/>
                <w:szCs w:val="16"/>
              </w:rPr>
              <w:br/>
              <w:t>enligt regeringens förslag</w:t>
            </w:r>
          </w:p>
        </w:tc>
        <w:tc>
          <w:tcPr>
            <w:tcW w:w="1178" w:type="dxa"/>
            <w:tcBorders>
              <w:top w:val="single" w:sz="4" w:space="0" w:color="auto"/>
            </w:tcBorders>
            <w:vAlign w:val="bottom"/>
          </w:tcPr>
          <w:p w:rsidR="00CD2FC0" w:rsidRPr="00CD2FC0" w:rsidRDefault="00CD2FC0">
            <w:pPr>
              <w:shd w:val="clear" w:color="000000" w:fill="auto"/>
              <w:autoSpaceDE w:val="0"/>
              <w:autoSpaceDN w:val="0"/>
              <w:adjustRightInd w:val="0"/>
              <w:spacing w:before="60" w:line="200" w:lineRule="exact"/>
              <w:ind w:right="340"/>
              <w:jc w:val="right"/>
              <w:rPr>
                <w:sz w:val="16"/>
                <w:szCs w:val="16"/>
              </w:rPr>
            </w:pPr>
            <w:r w:rsidRPr="00CD2FC0">
              <w:rPr>
                <w:sz w:val="16"/>
                <w:szCs w:val="16"/>
              </w:rPr>
              <w:t>2 550</w:t>
            </w:r>
          </w:p>
        </w:tc>
        <w:tc>
          <w:tcPr>
            <w:tcW w:w="1080" w:type="dxa"/>
            <w:tcBorders>
              <w:top w:val="single" w:sz="4" w:space="0" w:color="auto"/>
            </w:tcBorders>
            <w:vAlign w:val="bottom"/>
          </w:tcPr>
          <w:p w:rsidR="00CD2FC0" w:rsidRPr="00CD2FC0" w:rsidRDefault="00CD2FC0">
            <w:pPr>
              <w:shd w:val="clear" w:color="000000" w:fill="auto"/>
              <w:autoSpaceDE w:val="0"/>
              <w:autoSpaceDN w:val="0"/>
              <w:adjustRightInd w:val="0"/>
              <w:spacing w:before="60" w:line="200" w:lineRule="exact"/>
              <w:ind w:right="284"/>
              <w:jc w:val="right"/>
              <w:rPr>
                <w:sz w:val="16"/>
                <w:szCs w:val="16"/>
              </w:rPr>
            </w:pPr>
            <w:r w:rsidRPr="00CD2FC0">
              <w:rPr>
                <w:sz w:val="16"/>
                <w:szCs w:val="16"/>
              </w:rPr>
              <w:t>1 980</w:t>
            </w:r>
          </w:p>
        </w:tc>
      </w:tr>
    </w:tbl>
    <w:p w:rsidR="00CD2FC0" w:rsidRPr="00CD2FC0" w:rsidRDefault="00CD2FC0">
      <w:pPr>
        <w:pStyle w:val="Rubrik1"/>
        <w:shd w:val="clear" w:color="000000" w:fill="auto"/>
      </w:pPr>
      <w:r w:rsidRPr="00CD2FC0">
        <w:t>Strategiska framtidsinvesteringar</w:t>
      </w:r>
    </w:p>
    <w:p w:rsidR="00CD2FC0" w:rsidRPr="00CD2FC0" w:rsidRDefault="00CD2FC0">
      <w:pPr>
        <w:shd w:val="clear" w:color="000000" w:fill="auto"/>
      </w:pPr>
      <w:r w:rsidRPr="00CD2FC0">
        <w:t>Vi menar att det är viktigt att nationellt samlas kring ett antal strategiska in-frastrukturprojekt som är nödvändiga för att klara landets tillväxt- och kl</w:t>
      </w:r>
      <w:r w:rsidRPr="00CD2FC0">
        <w:t>i</w:t>
      </w:r>
      <w:r w:rsidRPr="00CD2FC0">
        <w:t>matmål. För dessa strategiska projekt vill vi också se lånefinansiering, med statliga lån ur Riksgälden, som innebär att hela finansieringen för projekten är klar på förhand, vilket ger bättre förutsättningar för att planera och bygga mer effektivt. Botniabanan och Norrortsleden är exempel på projekt som gett mycket positiva resultat när det gäller möjligheterna att planera och bygga effektivt.</w:t>
      </w:r>
    </w:p>
    <w:p w:rsidR="00CD2FC0" w:rsidRPr="00CD2FC0" w:rsidRDefault="00CD2FC0">
      <w:pPr>
        <w:pStyle w:val="Normaltindrag"/>
        <w:shd w:val="clear" w:color="000000" w:fill="auto"/>
      </w:pPr>
      <w:r w:rsidRPr="00CD2FC0">
        <w:t>Järnvägen är obestridligt det mest klimat- och miljövänliga transportalte</w:t>
      </w:r>
      <w:r w:rsidRPr="00CD2FC0">
        <w:t>r</w:t>
      </w:r>
      <w:r w:rsidRPr="00CD2FC0">
        <w:t>nativet för både personer och gods. Vi anser därför att investeringar i järnv</w:t>
      </w:r>
      <w:r w:rsidRPr="00CD2FC0">
        <w:t>ä</w:t>
      </w:r>
      <w:r w:rsidRPr="00CD2FC0">
        <w:t>gen är helt nödvändiga för att möta klimatutmaningen. Liksom i förra årets kommittémotion på detta utgiftsområde, vill vi socialdemokrater se investe</w:t>
      </w:r>
      <w:r w:rsidRPr="00CD2FC0">
        <w:t>r</w:t>
      </w:r>
      <w:r w:rsidRPr="00CD2FC0">
        <w:t>ingar som gör att tåget i allt högre grad kan konkurrera ut flyg och bil som transportmedel.</w:t>
      </w:r>
    </w:p>
    <w:p w:rsidR="00CD2FC0" w:rsidRPr="00CD2FC0" w:rsidRDefault="00CD2FC0">
      <w:pPr>
        <w:pStyle w:val="Normaltindrag"/>
        <w:shd w:val="clear" w:color="000000" w:fill="auto"/>
      </w:pPr>
      <w:r w:rsidRPr="00CD2FC0">
        <w:t>Ostlänken är en av dessa strategiska infrastrukturinvesteringar som vi vill finansiera med statliga lån ur Riksgälden. Denna järnvägssträcka mellan Järna och Linköping utgör en del i den lån</w:t>
      </w:r>
      <w:r w:rsidRPr="00CD2FC0">
        <w:t>gsiktiga visionen om höghastighetståg mellan Stockholm och Göteborg och Stockholm–Malmö. Men Ostlänken kommer också att åstadkomma påtagliga förbättringar för den regionala traf</w:t>
      </w:r>
      <w:r w:rsidRPr="00CD2FC0">
        <w:t>i</w:t>
      </w:r>
      <w:r w:rsidRPr="00CD2FC0">
        <w:t>ken både för person- och godstransporter.</w:t>
      </w:r>
    </w:p>
    <w:p w:rsidR="00CD2FC0" w:rsidRPr="00CD2FC0" w:rsidRDefault="00CD2FC0">
      <w:pPr>
        <w:pStyle w:val="Normaltindrag"/>
        <w:shd w:val="clear" w:color="000000" w:fill="auto"/>
      </w:pPr>
      <w:r w:rsidRPr="00CD2FC0">
        <w:t>För perioden 2009–2010 avsätter vi totalt 400 miljoner för planerings- och projekteringskostnader, t.ex. för fortsatt projektering av Ostlänken. För peri</w:t>
      </w:r>
      <w:r w:rsidRPr="00CD2FC0">
        <w:t>o</w:t>
      </w:r>
      <w:r w:rsidRPr="00CD2FC0">
        <w:t>den från 2011 avsätter vi 2 miljarder kronor i en investeringsbudget till ytte</w:t>
      </w:r>
      <w:r w:rsidRPr="00CD2FC0">
        <w:t>r</w:t>
      </w:r>
      <w:r w:rsidRPr="00CD2FC0">
        <w:t>ligare strategiska infrastrukturprojekt.</w:t>
      </w:r>
    </w:p>
    <w:p w:rsidR="00CD2FC0" w:rsidRPr="00CD2FC0" w:rsidRDefault="00CD2FC0">
      <w:pPr>
        <w:pStyle w:val="Rubrik1"/>
        <w:shd w:val="clear" w:color="000000" w:fill="auto"/>
      </w:pPr>
      <w:r w:rsidRPr="00CD2FC0">
        <w:t>Sjötransporter</w:t>
      </w:r>
    </w:p>
    <w:p w:rsidR="00CD2FC0" w:rsidRPr="00CD2FC0" w:rsidRDefault="00CD2FC0">
      <w:pPr>
        <w:shd w:val="clear" w:color="000000" w:fill="auto"/>
      </w:pPr>
      <w:r w:rsidRPr="00CD2FC0">
        <w:t>Sjöfarten har stor potential att utvecklas och transporterna till sjöss är bety</w:t>
      </w:r>
      <w:r w:rsidRPr="00CD2FC0">
        <w:t>d</w:t>
      </w:r>
      <w:r w:rsidRPr="00CD2FC0">
        <w:t>ligt miljövänligare än transporterna på väg. Därför vill vi uppmuntra sjöfart. Utöver våra satsningar på järnvägsanslutningar till kombiterminaler och bättre transporter till och från landets hamnar i närtidssatsningen vill vi också fö</w:t>
      </w:r>
      <w:r w:rsidRPr="00CD2FC0">
        <w:t>r</w:t>
      </w:r>
      <w:r w:rsidRPr="00CD2FC0">
        <w:t>bättra tillgången på el i hamnarna, t.ex. genom att se över vad som kan göras för att snabba på processen med standardiseringen för elanslutning.</w:t>
      </w:r>
    </w:p>
    <w:p w:rsidR="00CD2FC0" w:rsidRPr="00CD2FC0" w:rsidRDefault="00CD2FC0">
      <w:pPr>
        <w:pStyle w:val="Rubrik1"/>
        <w:shd w:val="clear" w:color="000000" w:fill="auto"/>
      </w:pPr>
      <w:r w:rsidRPr="00CD2FC0">
        <w:t>Trängselskatt</w:t>
      </w:r>
    </w:p>
    <w:p w:rsidR="00CD2FC0" w:rsidRPr="00CD2FC0" w:rsidRDefault="00CD2FC0">
      <w:pPr>
        <w:shd w:val="clear" w:color="000000" w:fill="auto"/>
      </w:pPr>
      <w:r w:rsidRPr="00CD2FC0">
        <w:t>Intäkterna från trängselskatten i Stockholm bör särredovisas och fördelas enligt det som gällde för trängselskatteförsöket och den folkomröstning som genomfördes 2006. Intäkterna ska fördelas mellan såväl väginvesteringar som nyinvesteringar i och underhåll av kollektivtrafiken i Stockholms stad och län.</w:t>
      </w:r>
    </w:p>
    <w:p w:rsidR="00CD2FC0" w:rsidRPr="00CD2FC0" w:rsidRDefault="00CD2FC0">
      <w:pPr>
        <w:pStyle w:val="Normaltindrag"/>
        <w:shd w:val="clear" w:color="000000" w:fill="auto"/>
      </w:pPr>
      <w:r w:rsidRPr="00CD2FC0">
        <w:t>Det är viktigt att regeringen noga följer utvecklingen av såväl intäkter som utgifter så att budgeten kan korrigeras om uträkningen i årets budgetpropos</w:t>
      </w:r>
      <w:r w:rsidRPr="00CD2FC0">
        <w:t>i</w:t>
      </w:r>
      <w:r w:rsidRPr="00CD2FC0">
        <w:t>tion inte stämmer med det faktiska utfallet.</w:t>
      </w:r>
    </w:p>
    <w:p w:rsidR="00CD2FC0" w:rsidRPr="00CD2FC0" w:rsidRDefault="00CD2FC0">
      <w:pPr>
        <w:pStyle w:val="Rubrik1"/>
        <w:shd w:val="clear" w:color="000000" w:fill="auto"/>
      </w:pPr>
      <w:r w:rsidRPr="00CD2FC0">
        <w:t>Bredband och telefoni till alla</w:t>
      </w:r>
    </w:p>
    <w:p w:rsidR="00CD2FC0" w:rsidRPr="00CD2FC0" w:rsidRDefault="00CD2FC0">
      <w:pPr>
        <w:shd w:val="clear" w:color="000000" w:fill="auto"/>
      </w:pPr>
      <w:r w:rsidRPr="00CD2FC0">
        <w:t>29 procent av alla hushåll saknar fortfarande helt möjligheter att koppla upp sig till Internet via bredband. Ytterligare ett antal har endast tillgång till a</w:t>
      </w:r>
      <w:r w:rsidRPr="00CD2FC0">
        <w:t>c</w:t>
      </w:r>
      <w:r w:rsidRPr="00CD2FC0">
        <w:t>cessnät. Regeringen konstaterar bara i propositionen att några människor saknar tillgång till bredband och att de förutsätter att marknaden ska lösa problemet. Det duger inte. Marknaden har hittills inte lyckats etablera bre</w:t>
      </w:r>
      <w:r w:rsidRPr="00CD2FC0">
        <w:t>d</w:t>
      </w:r>
      <w:r w:rsidRPr="00CD2FC0">
        <w:t>bandsnät till alla hushåll, och kommer inte att göra det i framtiden heller e</w:t>
      </w:r>
      <w:r w:rsidRPr="00CD2FC0">
        <w:t>f</w:t>
      </w:r>
      <w:r w:rsidRPr="00CD2FC0">
        <w:t>tersom bredbandsutbyggnad inte är lönsamt överallt. Vi motsätter oss därför regeringens förslag till ny målformulering för politiken för informationssa</w:t>
      </w:r>
      <w:r w:rsidRPr="00CD2FC0">
        <w:t>m</w:t>
      </w:r>
      <w:r w:rsidRPr="00CD2FC0">
        <w:t>hället.</w:t>
      </w:r>
    </w:p>
    <w:p w:rsidR="00CD2FC0" w:rsidRPr="00CD2FC0" w:rsidRDefault="00CD2FC0">
      <w:pPr>
        <w:pStyle w:val="Normaltindrag"/>
        <w:shd w:val="clear" w:color="000000" w:fill="auto"/>
      </w:pPr>
      <w:r w:rsidRPr="00CD2FC0">
        <w:t>Vi socialdemokrater menar att en effektiv IT-inf</w:t>
      </w:r>
      <w:r w:rsidRPr="00CD2FC0">
        <w:t>rastruktur med hög överf</w:t>
      </w:r>
      <w:r w:rsidRPr="00CD2FC0">
        <w:t>ö</w:t>
      </w:r>
      <w:r w:rsidRPr="00CD2FC0">
        <w:t>ringskapacitet ska finnas tillgänglig i hela landet. För att stimulera den u</w:t>
      </w:r>
      <w:r w:rsidRPr="00CD2FC0">
        <w:t>t</w:t>
      </w:r>
      <w:r w:rsidRPr="00CD2FC0">
        <w:t>vecklingen avsätter vi 50 miljoner kronor under de två närmaste åren för att underlätta utbyggnaden av bredband.</w:t>
      </w:r>
    </w:p>
    <w:p w:rsidR="00CD2FC0" w:rsidRPr="00CD2FC0" w:rsidRDefault="00CD2FC0">
      <w:pPr>
        <w:pStyle w:val="Rubrik1"/>
        <w:shd w:val="clear" w:color="000000" w:fill="auto"/>
      </w:pPr>
      <w:r w:rsidRPr="00CD2FC0">
        <w:t>Trafiksäkerhet</w:t>
      </w:r>
    </w:p>
    <w:p w:rsidR="00CD2FC0" w:rsidRPr="00CD2FC0" w:rsidRDefault="00CD2FC0">
      <w:pPr>
        <w:shd w:val="clear" w:color="000000" w:fill="auto"/>
      </w:pPr>
      <w:r w:rsidRPr="00CD2FC0">
        <w:t>Vi vill öka satsningarna på trafiksäkerhet för att förbättra chanserna att nå nollvisionen och avsätter 100 miljoner kronor till trafiksäkerhetsinsatser, främst riktade till barn och unga. Intresseorganisationer som NTF, Sveriges Motorcyklister, Cykelfrämjandet m.fl. är exempel på organisationer som har mycket kompetens och erfarenhet inom trafiksäkerhetsområdet och bör få ett ökat utrymme för att göra informations- och demonstrationsinsatser.</w:t>
      </w:r>
    </w:p>
    <w:p w:rsidR="00CD2FC0" w:rsidRPr="00CD2FC0" w:rsidRDefault="00CD2FC0">
      <w:pPr>
        <w:pStyle w:val="Normaltindrag"/>
        <w:shd w:val="clear" w:color="000000" w:fill="auto"/>
      </w:pPr>
      <w:r w:rsidRPr="00CD2FC0">
        <w:t>Vi motsätter oss regeringens förslag om bildandet av den nya myndigheten Transportstyrelsen. Vi anser därför att de 10 miljoner som regeringen e</w:t>
      </w:r>
      <w:r w:rsidRPr="00CD2FC0">
        <w:t>n</w:t>
      </w:r>
      <w:r w:rsidRPr="00CD2FC0">
        <w:t>gångsvis vill ta från anslaget 1:2 Väghållning och statsbidrag ej ska medges. Dessa medel bör istället förstärka Vägverkets satsningar inom trafiksäke</w:t>
      </w:r>
      <w:r w:rsidRPr="00CD2FC0">
        <w:t>r</w:t>
      </w:r>
      <w:r w:rsidRPr="00CD2FC0">
        <w:t>hetsområdet.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FC0">
        <w:trPr>
          <w:cantSplit/>
        </w:trPr>
        <w:tc>
          <w:tcPr>
            <w:tcW w:w="3046" w:type="dxa"/>
          </w:tcPr>
          <w:p w:rsidR="00CD2FC0" w:rsidRPr="00CD2FC0" w:rsidRDefault="00CD2FC0">
            <w:pPr>
              <w:pStyle w:val="UnderskriftDatum"/>
              <w:shd w:val="clear" w:color="000000" w:fill="auto"/>
              <w:spacing w:before="240"/>
            </w:pPr>
            <w:r w:rsidRPr="00CD2FC0">
              <w:t>Stockholm den 3 oktober 2008</w:t>
            </w:r>
          </w:p>
        </w:tc>
        <w:tc>
          <w:tcPr>
            <w:tcW w:w="3047" w:type="dxa"/>
          </w:tcPr>
          <w:p w:rsidR="00CD2FC0" w:rsidRPr="00CD2FC0" w:rsidRDefault="00CD2FC0">
            <w:pPr>
              <w:pStyle w:val="Underskrifter"/>
              <w:shd w:val="clear" w:color="000000" w:fill="auto"/>
              <w:spacing w:before="240"/>
            </w:pPr>
          </w:p>
        </w:tc>
      </w:tr>
      <w:tr w:rsidR="00000000" w:rsidRPr="00CD2FC0">
        <w:trPr>
          <w:cantSplit/>
        </w:trPr>
        <w:tc>
          <w:tcPr>
            <w:tcW w:w="3046" w:type="dxa"/>
          </w:tcPr>
          <w:p w:rsidR="00CD2FC0" w:rsidRPr="00CD2FC0" w:rsidRDefault="00CD2FC0">
            <w:pPr>
              <w:pStyle w:val="Underskrifter"/>
              <w:shd w:val="clear" w:color="000000" w:fill="auto"/>
            </w:pPr>
            <w:r w:rsidRPr="00CD2FC0">
              <w:t>Ibrahim Baylan (s)</w:t>
            </w:r>
          </w:p>
        </w:tc>
        <w:tc>
          <w:tcPr>
            <w:tcW w:w="3046" w:type="dxa"/>
          </w:tcPr>
          <w:p w:rsidR="00CD2FC0" w:rsidRPr="00CD2FC0" w:rsidRDefault="00CD2FC0">
            <w:pPr>
              <w:pStyle w:val="Underskrifter"/>
              <w:shd w:val="clear" w:color="000000" w:fill="auto"/>
            </w:pPr>
          </w:p>
        </w:tc>
      </w:tr>
      <w:tr w:rsidR="00000000" w:rsidRPr="00CD2FC0">
        <w:trPr>
          <w:cantSplit/>
        </w:trPr>
        <w:tc>
          <w:tcPr>
            <w:tcW w:w="3046" w:type="dxa"/>
          </w:tcPr>
          <w:p w:rsidR="00CD2FC0" w:rsidRPr="00CD2FC0" w:rsidRDefault="00CD2FC0">
            <w:pPr>
              <w:pStyle w:val="Underskrifter"/>
              <w:shd w:val="clear" w:color="000000" w:fill="auto"/>
            </w:pPr>
            <w:r w:rsidRPr="00CD2FC0">
              <w:t>Christina Axelsson (s)</w:t>
            </w:r>
          </w:p>
        </w:tc>
        <w:tc>
          <w:tcPr>
            <w:tcW w:w="3046" w:type="dxa"/>
          </w:tcPr>
          <w:p w:rsidR="00CD2FC0" w:rsidRPr="00CD2FC0" w:rsidRDefault="00CD2FC0">
            <w:pPr>
              <w:pStyle w:val="Underskrifter"/>
              <w:shd w:val="clear" w:color="000000" w:fill="auto"/>
            </w:pPr>
            <w:r w:rsidRPr="00CD2FC0">
              <w:t>Claes-Göran Brandin (s)</w:t>
            </w:r>
          </w:p>
        </w:tc>
      </w:tr>
      <w:tr w:rsidR="00000000" w:rsidRPr="00CD2FC0">
        <w:trPr>
          <w:cantSplit/>
        </w:trPr>
        <w:tc>
          <w:tcPr>
            <w:tcW w:w="3046" w:type="dxa"/>
          </w:tcPr>
          <w:p w:rsidR="00CD2FC0" w:rsidRPr="00CD2FC0" w:rsidRDefault="00CD2FC0">
            <w:pPr>
              <w:pStyle w:val="Underskrifter"/>
              <w:shd w:val="clear" w:color="000000" w:fill="auto"/>
            </w:pPr>
            <w:r w:rsidRPr="00CD2FC0">
              <w:t>Pia Nilsson (s)</w:t>
            </w:r>
          </w:p>
        </w:tc>
        <w:tc>
          <w:tcPr>
            <w:tcW w:w="3046" w:type="dxa"/>
          </w:tcPr>
          <w:p w:rsidR="00CD2FC0" w:rsidRPr="00CD2FC0" w:rsidRDefault="00CD2FC0">
            <w:pPr>
              <w:pStyle w:val="Underskrifter"/>
              <w:shd w:val="clear" w:color="000000" w:fill="auto"/>
            </w:pPr>
            <w:r w:rsidRPr="00CD2FC0">
              <w:t>Marie Nordén (s)</w:t>
            </w:r>
          </w:p>
        </w:tc>
      </w:tr>
      <w:tr w:rsidR="00000000" w:rsidRPr="00CD2FC0">
        <w:trPr>
          <w:cantSplit/>
        </w:trPr>
        <w:tc>
          <w:tcPr>
            <w:tcW w:w="3046" w:type="dxa"/>
          </w:tcPr>
          <w:p w:rsidR="00CD2FC0" w:rsidRPr="00CD2FC0" w:rsidRDefault="00CD2FC0">
            <w:pPr>
              <w:pStyle w:val="Underskrifter"/>
              <w:shd w:val="clear" w:color="000000" w:fill="auto"/>
            </w:pPr>
            <w:r w:rsidRPr="00CD2FC0">
              <w:t>Hans Stenberg (s)</w:t>
            </w:r>
          </w:p>
        </w:tc>
        <w:tc>
          <w:tcPr>
            <w:tcW w:w="3046" w:type="dxa"/>
          </w:tcPr>
          <w:p w:rsidR="00CD2FC0" w:rsidRPr="00CD2FC0" w:rsidRDefault="00CD2FC0">
            <w:pPr>
              <w:pStyle w:val="Underskrifter"/>
              <w:shd w:val="clear" w:color="000000" w:fill="auto"/>
            </w:pPr>
            <w:r w:rsidRPr="00CD2FC0">
              <w:t>Lars Mejern Larsson (s)</w:t>
            </w:r>
          </w:p>
        </w:tc>
      </w:tr>
      <w:tr w:rsidR="00000000" w:rsidRPr="00CD2FC0">
        <w:trPr>
          <w:cantSplit/>
        </w:trPr>
        <w:tc>
          <w:tcPr>
            <w:tcW w:w="3046" w:type="dxa"/>
          </w:tcPr>
          <w:p w:rsidR="00CD2FC0" w:rsidRPr="00CD2FC0" w:rsidRDefault="00CD2FC0">
            <w:pPr>
              <w:pStyle w:val="Underskrifter"/>
              <w:shd w:val="clear" w:color="000000" w:fill="auto"/>
            </w:pPr>
            <w:r w:rsidRPr="00CD2FC0">
              <w:t>Désirée Liljevall (s)</w:t>
            </w:r>
          </w:p>
        </w:tc>
        <w:tc>
          <w:tcPr>
            <w:tcW w:w="3046" w:type="dxa"/>
          </w:tcPr>
          <w:p w:rsidR="00CD2FC0" w:rsidRPr="00CD2FC0" w:rsidRDefault="00CD2FC0">
            <w:pPr>
              <w:pStyle w:val="Underskrifter"/>
              <w:shd w:val="clear" w:color="000000" w:fill="auto"/>
            </w:pPr>
          </w:p>
        </w:tc>
      </w:tr>
    </w:tbl>
    <w:p w:rsidR="00CD2FC0" w:rsidRPr="00CD2FC0" w:rsidRDefault="00CD2FC0">
      <w:pPr>
        <w:pStyle w:val="Normaltindrag"/>
        <w:shd w:val="clear" w:color="000000" w:fill="auto"/>
      </w:pPr>
    </w:p>
    <w:sectPr w:rsidR="00000000" w:rsidRPr="00CD2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FC0" w:rsidRPr="00CD2FC0" w:rsidRDefault="00CD2FC0">
      <w:r w:rsidRPr="00CD2FC0">
        <w:separator/>
      </w:r>
    </w:p>
  </w:endnote>
  <w:endnote w:type="continuationSeparator" w:id="0">
    <w:p w:rsidR="00CD2FC0" w:rsidRPr="00CD2FC0" w:rsidRDefault="00CD2FC0">
      <w:r w:rsidRPr="00CD2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C0" w:rsidRPr="00CD2FC0" w:rsidRDefault="00CD2FC0">
    <w:pPr>
      <w:pStyle w:val="Sidfot"/>
    </w:pPr>
    <w:r w:rsidRPr="00CD2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06547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C0" w:rsidRDefault="00CD2FC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FC0" w:rsidRDefault="00CD2FC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C0" w:rsidRPr="00CD2FC0" w:rsidRDefault="00CD2FC0">
    <w:pPr>
      <w:pStyle w:val="Sidfot"/>
    </w:pPr>
    <w:r w:rsidRPr="00CD2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0133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C0" w:rsidRDefault="00CD2FC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FC0" w:rsidRDefault="00CD2FC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C0" w:rsidRPr="00CD2FC0" w:rsidRDefault="00CD2FC0">
    <w:pPr>
      <w:pStyle w:val="Sidfot"/>
    </w:pPr>
    <w:r w:rsidRPr="00CD2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1300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C0" w:rsidRDefault="00CD2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FC0" w:rsidRDefault="00CD2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FC0" w:rsidRPr="00CD2FC0" w:rsidRDefault="00CD2FC0">
      <w:r w:rsidRPr="00CD2FC0">
        <w:separator/>
      </w:r>
    </w:p>
  </w:footnote>
  <w:footnote w:type="continuationSeparator" w:id="0">
    <w:p w:rsidR="00CD2FC0" w:rsidRPr="00CD2FC0" w:rsidRDefault="00CD2FC0">
      <w:r w:rsidRPr="00CD2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C0" w:rsidRPr="00CD2FC0" w:rsidRDefault="00CD2FC0">
    <w:pPr>
      <w:pStyle w:val="Sidhuvud"/>
    </w:pPr>
    <w:r w:rsidRPr="00CD2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7399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C0" w:rsidRDefault="00CD2F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FC0" w:rsidRDefault="00CD2F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C0" w:rsidRPr="00CD2FC0" w:rsidRDefault="00CD2FC0">
    <w:pPr>
      <w:pStyle w:val="Sidhuvud"/>
    </w:pPr>
    <w:r w:rsidRPr="00CD2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3164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C0" w:rsidRDefault="00CD2F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FC0" w:rsidRDefault="00CD2F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C0" w:rsidRPr="00CD2FC0" w:rsidRDefault="00CD2FC0">
    <w:pPr>
      <w:pStyle w:val="FSHNormal"/>
      <w:tabs>
        <w:tab w:val="right" w:pos="5840"/>
      </w:tabs>
    </w:pPr>
    <w:r w:rsidRPr="00CD2FC0">
      <w:br/>
    </w:r>
    <w:r w:rsidRPr="00CD2FC0">
      <w:fldChar w:fldCharType="begin" w:fldLock="1"/>
    </w:r>
    <w:r w:rsidRPr="00CD2FC0">
      <w:instrText xml:space="preserve"> DOCPROPERTY</w:instrText>
    </w:r>
    <w:r w:rsidRPr="00CD2FC0">
      <w:rPr>
        <w:sz w:val="18"/>
      </w:rPr>
      <w:instrText xml:space="preserve"> "YearUser" *\charformat </w:instrText>
    </w:r>
    <w:r w:rsidRPr="00CD2FC0">
      <w:fldChar w:fldCharType="separate"/>
    </w:r>
    <w:r w:rsidRPr="00CD2FC0">
      <w:t>2008/09</w:t>
    </w:r>
    <w:r w:rsidRPr="00CD2FC0">
      <w:fldChar w:fldCharType="end"/>
    </w:r>
    <w:r w:rsidRPr="00CD2FC0">
      <w:t xml:space="preserve"> </w:t>
    </w:r>
    <w:r w:rsidRPr="00CD2FC0">
      <w:tab/>
      <w:t xml:space="preserve">mnr: </w:t>
    </w:r>
    <w:r w:rsidRPr="00CD2FC0">
      <w:fldChar w:fldCharType="begin" w:fldLock="1"/>
    </w:r>
    <w:r w:rsidRPr="00CD2FC0">
      <w:instrText xml:space="preserve"> DOCPROPERTY</w:instrText>
    </w:r>
    <w:r w:rsidRPr="00CD2FC0">
      <w:rPr>
        <w:sz w:val="18"/>
      </w:rPr>
      <w:instrText xml:space="preserve"> "Motionsnummer" *\charformat </w:instrText>
    </w:r>
    <w:r w:rsidRPr="00CD2FC0">
      <w:fldChar w:fldCharType="separate"/>
    </w:r>
    <w:r w:rsidRPr="00CD2FC0">
      <w:t>T509</w:t>
    </w:r>
    <w:r w:rsidRPr="00CD2FC0">
      <w:fldChar w:fldCharType="end"/>
    </w:r>
    <w:r w:rsidRPr="00CD2FC0">
      <w:br/>
    </w:r>
    <w:r w:rsidRPr="00CD2FC0">
      <w:fldChar w:fldCharType="begin" w:fldLock="1"/>
    </w:r>
    <w:r w:rsidRPr="00CD2FC0">
      <w:instrText xml:space="preserve"> DOCPROPERTY</w:instrText>
    </w:r>
    <w:r w:rsidRPr="00CD2FC0">
      <w:rPr>
        <w:sz w:val="18"/>
      </w:rPr>
      <w:instrText xml:space="preserve"> "Samling" *\charformat </w:instrText>
    </w:r>
    <w:r w:rsidRPr="00CD2FC0">
      <w:fldChar w:fldCharType="end"/>
    </w:r>
    <w:r w:rsidRPr="00CD2FC0">
      <w:tab/>
      <w:t xml:space="preserve">pnr: </w:t>
    </w:r>
    <w:r w:rsidRPr="00CD2FC0">
      <w:fldChar w:fldCharType="begin" w:fldLock="1"/>
    </w:r>
    <w:r w:rsidRPr="00CD2FC0">
      <w:instrText xml:space="preserve"> DOCPROPERTY</w:instrText>
    </w:r>
    <w:r w:rsidRPr="00CD2FC0">
      <w:rPr>
        <w:sz w:val="18"/>
      </w:rPr>
      <w:instrText xml:space="preserve"> "Partinummer" *\charformat </w:instrText>
    </w:r>
    <w:r w:rsidRPr="00CD2FC0">
      <w:fldChar w:fldCharType="separate"/>
    </w:r>
    <w:r w:rsidRPr="00CD2FC0">
      <w:t>s82002</w:t>
    </w:r>
    <w:r w:rsidRPr="00CD2FC0">
      <w:fldChar w:fldCharType="end"/>
    </w:r>
  </w:p>
  <w:p w:rsidR="00CD2FC0" w:rsidRPr="00CD2FC0" w:rsidRDefault="00CD2FC0">
    <w:pPr>
      <w:pStyle w:val="FSHRub1"/>
    </w:pPr>
    <w:r w:rsidRPr="00CD2FC0">
      <w:t>Motion till riksdagen</w:t>
    </w:r>
    <w:r w:rsidRPr="00CD2FC0">
      <w:br/>
    </w:r>
    <w:r w:rsidRPr="00CD2FC0">
      <w:fldChar w:fldCharType="begin" w:fldLock="1"/>
    </w:r>
    <w:r w:rsidRPr="00CD2FC0">
      <w:instrText xml:space="preserve"> DOCPROPERTY "YearUser" *\charformat </w:instrText>
    </w:r>
    <w:r w:rsidRPr="00CD2FC0">
      <w:fldChar w:fldCharType="separate"/>
    </w:r>
    <w:r w:rsidRPr="00CD2FC0">
      <w:t>2008/09</w:t>
    </w:r>
    <w:r w:rsidRPr="00CD2FC0">
      <w:fldChar w:fldCharType="end"/>
    </w:r>
    <w:r w:rsidRPr="00CD2FC0">
      <w:t>:</w:t>
    </w:r>
    <w:r w:rsidRPr="00CD2FC0">
      <w:fldChar w:fldCharType="begin" w:fldLock="1"/>
    </w:r>
    <w:r w:rsidRPr="00CD2FC0">
      <w:instrText xml:space="preserve"> DOCPROPERTY "Motionsnummer" *\charformat </w:instrText>
    </w:r>
    <w:r w:rsidRPr="00CD2FC0">
      <w:fldChar w:fldCharType="separate"/>
    </w:r>
    <w:r w:rsidRPr="00CD2FC0">
      <w:t>T509</w:t>
    </w:r>
    <w:r w:rsidRPr="00CD2FC0">
      <w:fldChar w:fldCharType="end"/>
    </w:r>
  </w:p>
  <w:p w:rsidR="00CD2FC0" w:rsidRPr="00CD2FC0" w:rsidRDefault="00CD2FC0">
    <w:pPr>
      <w:pStyle w:val="FSHNormalS5"/>
    </w:pPr>
    <w:r w:rsidRPr="00CD2FC0">
      <w:fldChar w:fldCharType="begin" w:fldLock="1"/>
    </w:r>
    <w:r w:rsidRPr="00CD2FC0">
      <w:instrText xml:space="preserve"> DOCPROPERTY "MotionarText" *\charformat </w:instrText>
    </w:r>
    <w:r w:rsidRPr="00CD2FC0">
      <w:fldChar w:fldCharType="separate"/>
    </w:r>
    <w:r w:rsidRPr="00CD2FC0">
      <w:t>av Ibrahim Baylan m.fl. (s)</w:t>
    </w:r>
    <w:r w:rsidRPr="00CD2FC0">
      <w:fldChar w:fldCharType="end"/>
    </w:r>
    <w:r w:rsidRPr="00CD2FC0">
      <w:br/>
    </w:r>
    <w:r w:rsidRPr="00CD2FC0">
      <w:fldChar w:fldCharType="begin" w:fldLock="1"/>
    </w:r>
    <w:r w:rsidRPr="00CD2FC0">
      <w:instrText xml:space="preserve"> DOCPROPERTY "SvarFrasKort" *\charformat </w:instrText>
    </w:r>
    <w:r w:rsidRPr="00CD2FC0">
      <w:fldChar w:fldCharType="end"/>
    </w:r>
  </w:p>
  <w:p w:rsidR="00CD2FC0" w:rsidRPr="00CD2FC0" w:rsidRDefault="00CD2FC0">
    <w:pPr>
      <w:pStyle w:val="FSHTitel"/>
    </w:pPr>
    <w:r w:rsidRPr="00CD2FC0">
      <w:fldChar w:fldCharType="begin" w:fldLock="1"/>
    </w:r>
    <w:r w:rsidRPr="00CD2FC0">
      <w:instrText xml:space="preserve"> DOCPROPERTY</w:instrText>
    </w:r>
    <w:r w:rsidRPr="00CD2FC0">
      <w:rPr>
        <w:sz w:val="18"/>
      </w:rPr>
      <w:instrText xml:space="preserve"> "RubrikSvar" *\charformat </w:instrText>
    </w:r>
    <w:r w:rsidRPr="00CD2FC0">
      <w:fldChar w:fldCharType="separate"/>
    </w:r>
    <w:r w:rsidRPr="00CD2FC0">
      <w:t>Utgiftsområde 22 Kommunikationer</w:t>
    </w:r>
    <w:r w:rsidRPr="00CD2FC0">
      <w:fldChar w:fldCharType="end"/>
    </w:r>
  </w:p>
  <w:p w:rsidR="00CD2FC0" w:rsidRPr="00CD2FC0" w:rsidRDefault="00CD2FC0">
    <w:pPr>
      <w:pStyle w:val="Normal00"/>
    </w:pPr>
  </w:p>
  <w:p w:rsidR="00CD2FC0" w:rsidRPr="00CD2FC0" w:rsidRDefault="00CD2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775C21"/>
    <w:multiLevelType w:val="multilevel"/>
    <w:tmpl w:val="F356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66D09"/>
    <w:multiLevelType w:val="hybridMultilevel"/>
    <w:tmpl w:val="65062B2A"/>
    <w:lvl w:ilvl="0" w:tplc="E3E208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EBF43C1"/>
    <w:multiLevelType w:val="hybridMultilevel"/>
    <w:tmpl w:val="052CCF12"/>
    <w:lvl w:ilvl="0" w:tplc="A94C51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5446809"/>
    <w:multiLevelType w:val="hybridMultilevel"/>
    <w:tmpl w:val="CE646116"/>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6" w15:restartNumberingAfterBreak="0">
    <w:nsid w:val="2F36603E"/>
    <w:multiLevelType w:val="multilevel"/>
    <w:tmpl w:val="82A200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A24147C"/>
    <w:multiLevelType w:val="hybridMultilevel"/>
    <w:tmpl w:val="2EEC6D98"/>
    <w:lvl w:ilvl="0" w:tplc="401AB9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4E5512"/>
    <w:multiLevelType w:val="hybridMultilevel"/>
    <w:tmpl w:val="A9DCF93E"/>
    <w:lvl w:ilvl="0" w:tplc="B9E060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483148">
    <w:abstractNumId w:val="8"/>
  </w:num>
  <w:num w:numId="2" w16cid:durableId="998581486">
    <w:abstractNumId w:val="9"/>
  </w:num>
  <w:num w:numId="3" w16cid:durableId="1950357921">
    <w:abstractNumId w:val="8"/>
  </w:num>
  <w:num w:numId="4" w16cid:durableId="1525438090">
    <w:abstractNumId w:val="9"/>
  </w:num>
  <w:num w:numId="5" w16cid:durableId="570195569">
    <w:abstractNumId w:val="19"/>
  </w:num>
  <w:num w:numId="6" w16cid:durableId="156113755">
    <w:abstractNumId w:val="10"/>
  </w:num>
  <w:num w:numId="7" w16cid:durableId="795374288">
    <w:abstractNumId w:val="14"/>
  </w:num>
  <w:num w:numId="8" w16cid:durableId="1867869664">
    <w:abstractNumId w:val="17"/>
  </w:num>
  <w:num w:numId="9" w16cid:durableId="1902016722">
    <w:abstractNumId w:val="8"/>
  </w:num>
  <w:num w:numId="10" w16cid:durableId="1856073193">
    <w:abstractNumId w:val="3"/>
  </w:num>
  <w:num w:numId="11" w16cid:durableId="1416973180">
    <w:abstractNumId w:val="2"/>
  </w:num>
  <w:num w:numId="12" w16cid:durableId="117383072">
    <w:abstractNumId w:val="1"/>
  </w:num>
  <w:num w:numId="13" w16cid:durableId="79375561">
    <w:abstractNumId w:val="0"/>
  </w:num>
  <w:num w:numId="14" w16cid:durableId="1688603125">
    <w:abstractNumId w:val="9"/>
  </w:num>
  <w:num w:numId="15" w16cid:durableId="601186352">
    <w:abstractNumId w:val="7"/>
  </w:num>
  <w:num w:numId="16" w16cid:durableId="1514303542">
    <w:abstractNumId w:val="6"/>
  </w:num>
  <w:num w:numId="17" w16cid:durableId="92214196">
    <w:abstractNumId w:val="5"/>
  </w:num>
  <w:num w:numId="18" w16cid:durableId="306862305">
    <w:abstractNumId w:val="4"/>
  </w:num>
  <w:num w:numId="19" w16cid:durableId="1955478206">
    <w:abstractNumId w:val="20"/>
  </w:num>
  <w:num w:numId="20" w16cid:durableId="1154643080">
    <w:abstractNumId w:val="11"/>
  </w:num>
  <w:num w:numId="21" w16cid:durableId="1683824090">
    <w:abstractNumId w:val="12"/>
  </w:num>
  <w:num w:numId="22" w16cid:durableId="1538929075">
    <w:abstractNumId w:val="15"/>
  </w:num>
  <w:num w:numId="23" w16cid:durableId="1396319626">
    <w:abstractNumId w:val="18"/>
  </w:num>
  <w:num w:numId="24" w16cid:durableId="1211958845">
    <w:abstractNumId w:val="13"/>
  </w:num>
  <w:num w:numId="25" w16cid:durableId="303044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39F2EAC-28B6-4301-90E8-43C0E100F208},{64BFB186-912B-43C6-819C-7D7CD0A57AD0},{01BDF579-471C-4239-90B2-2FAC506BC556},{F7701A4E-FF32-4ED6-9CD8-67A12A2FCED9},{CD85B743-97BA-480E-AD21-5623D019C5CE},{B18FB4F6-E5C3-4394-92DB-9CB27A7B60F0},{478801B6-AB79-467A-B419-2178545A01F4},{28AEF7B6-C181-439E-B668-060548FFE1DD}"/>
  </w:docVars>
  <w:rsids>
    <w:rsidRoot w:val="00DC1EC1"/>
    <w:rsid w:val="00CD2FC0"/>
    <w:rsid w:val="00DC1E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6B0A287-5C4D-473E-A323-20ADCBD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1872</Words>
  <Characters>11482</Characters>
  <Application>Microsoft Office Word</Application>
  <DocSecurity>4</DocSecurity>
  <Lines>302</Lines>
  <Paragraphs>153</Paragraphs>
  <ScaleCrop>false</ScaleCrop>
  <HeadingPairs>
    <vt:vector size="2" baseType="variant">
      <vt:variant>
        <vt:lpstr>Rubrik</vt:lpstr>
      </vt:variant>
      <vt:variant>
        <vt:i4>1</vt:i4>
      </vt:variant>
    </vt:vector>
  </HeadingPairs>
  <TitlesOfParts>
    <vt:vector size="1" baseType="lpstr">
      <vt:lpstr>s82002</vt:lpstr>
    </vt:vector>
  </TitlesOfParts>
  <Company>Riksdagen</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s82002</dc:title>
  <dc:subject>s82002</dc:subject>
  <dc:creator>Riksdagen</dc:creator>
  <cp:keywords>Riksdagen</cp:keywords>
  <dc:description>TKG-ktrl, MSMQ4mb, PersReg-Distribution mm b-&gt;ny fplogga c-&gt;nygamla s-rosen</dc:description>
  <cp:lastModifiedBy>Lars Brink</cp:lastModifiedBy>
  <cp:revision>2</cp:revision>
  <cp:lastPrinted>2009-02-20T10:29:00Z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Ibrahim Baylan m.fl. (s)</vt:lpwstr>
  </property>
  <property fmtid="{D5CDD505-2E9C-101B-9397-08002B2CF9AE}" pid="26" name="MotionarLista">
    <vt:lpwstr>Baylan, Ibrahim (s)\Axelsson, Christina (s)\Brandin, Claes-Göran (s)\Nilsson, Pia (s)\Nordén, Marie (s)\Stenberg, Hans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Christina Axelsson (s), Claes-Göran Brandin (s), Pia Nilsson (s), Marie Nordén (s), Hans Stenberg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T509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20082009000000000115000820020075</vt:lpwstr>
  </property>
  <property fmtid="{D5CDD505-2E9C-101B-9397-08002B2CF9AE}" pid="47" name="datum">
    <vt:lpwstr>081003</vt:lpwstr>
  </property>
  <property fmtid="{D5CDD505-2E9C-101B-9397-08002B2CF9AE}" pid="48" name="avsändar-e-post">
    <vt:lpwstr>sara.brunnkvist@riksdagen.se</vt:lpwstr>
  </property>
  <property fmtid="{D5CDD505-2E9C-101B-9397-08002B2CF9AE}" pid="49" name="id">
    <vt:lpwstr>20082009000000000115000820020075</vt:lpwstr>
  </property>
  <property fmtid="{D5CDD505-2E9C-101B-9397-08002B2CF9AE}" pid="50" name="nummer">
    <vt:lpwstr>509</vt:lpwstr>
  </property>
  <property fmtid="{D5CDD505-2E9C-101B-9397-08002B2CF9AE}" pid="51" name="utskottsbeteckning">
    <vt:lpwstr>T</vt:lpwstr>
  </property>
  <property fmtid="{D5CDD505-2E9C-101B-9397-08002B2CF9AE}" pid="52" name="GlobalUID">
    <vt:lpwstr>{5A830015-4CB4-4C04-AE26-E45A7941BD82}</vt:lpwstr>
  </property>
  <property fmtid="{D5CDD505-2E9C-101B-9397-08002B2CF9AE}" pid="53" name="Överföringar">
    <vt:i4>0</vt:i4>
  </property>
  <property fmtid="{D5CDD505-2E9C-101B-9397-08002B2CF9AE}" pid="54" name="Checksum">
    <vt:lpwstr>*0014147462621*</vt:lpwstr>
  </property>
  <property fmtid="{D5CDD505-2E9C-101B-9397-08002B2CF9AE}" pid="55" name="skuggnummer">
    <vt:lpwstr>3558</vt:lpwstr>
  </property>
  <property fmtid="{D5CDD505-2E9C-101B-9397-08002B2CF9AE}" pid="56" name="urixVersion">
    <vt:lpwstr>3.2.0.8</vt:lpwstr>
  </property>
  <property fmtid="{D5CDD505-2E9C-101B-9397-08002B2CF9AE}" pid="57" name="urixOrigin">
    <vt:lpwstr>090402 19:13:11.483</vt:lpwstr>
  </property>
  <property fmtid="{D5CDD505-2E9C-101B-9397-08002B2CF9AE}" pid="58" name="urixGuid">
    <vt:lpwstr>{27841DD4-DE3C-4880-AFA2-71B4FD97BB7E}</vt:lpwstr>
  </property>
</Properties>
</file>