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5A3B1D">
        <w:tblPrEx>
          <w:tblCellMar>
            <w:top w:w="0" w:type="dxa"/>
            <w:bottom w:w="0" w:type="dxa"/>
          </w:tblCellMar>
        </w:tblPrEx>
        <w:trPr>
          <w:cantSplit/>
          <w:trHeight w:hRule="exact" w:val="1260"/>
        </w:trPr>
        <w:tc>
          <w:tcPr>
            <w:tcW w:w="6024" w:type="dxa"/>
            <w:gridSpan w:val="2"/>
            <w:vMerge w:val="restart"/>
          </w:tcPr>
          <w:p w:rsidR="00753941" w:rsidRPr="005A3B1D" w:rsidRDefault="00753941">
            <w:pPr>
              <w:pStyle w:val="HuvudRubrik"/>
            </w:pPr>
            <w:bookmarkStart w:id="0" w:name="BetänkandeRubrik"/>
            <w:bookmarkEnd w:id="0"/>
            <w:r w:rsidRPr="005A3B1D">
              <w:t>Försvarsutskottets yttrande</w:t>
            </w:r>
            <w:r w:rsidR="005A3B1D" w:rsidRPr="005A3B1D">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9726033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753941" w:rsidRPr="005A3B1D" w:rsidRDefault="00753941">
                                  <w:pPr>
                                    <w:pStyle w:val="Logo"/>
                                  </w:pPr>
                                  <w:r w:rsidRPr="005A3B1D">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7501"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753941" w:rsidRPr="005A3B1D" w:rsidRDefault="00753941">
                            <w:pPr>
                              <w:pStyle w:val="Logo"/>
                            </w:pPr>
                            <w:r w:rsidRPr="005A3B1D">
                              <w:object w:dxaOrig="840" w:dyaOrig="1545">
                                <v:shape id="_x0000_i1025" type="#_x0000_t75" style="width:90.45pt;height:77.15pt" fillcolor="window">
                                  <v:imagedata r:id="rId7" o:title="" cropright="-75835f"/>
                                </v:shape>
                                <o:OLEObject Type="Embed" ProgID="Word.Picture.8" ShapeID="_x0000_i1025" DrawAspect="Content" ObjectID="_1827347501" r:id="rId9"/>
                              </w:object>
                            </w:r>
                          </w:p>
                        </w:txbxContent>
                      </v:textbox>
                      <w10:wrap anchorx="page" anchory="page"/>
                    </v:shape>
                  </w:pict>
                </mc:Fallback>
              </mc:AlternateContent>
            </w:r>
          </w:p>
          <w:p w:rsidR="00753941" w:rsidRPr="005A3B1D" w:rsidRDefault="00753941">
            <w:pPr>
              <w:pStyle w:val="HuvudRubrikRad2"/>
            </w:pPr>
            <w:bookmarkStart w:id="17" w:name="BetänkandeNr"/>
            <w:bookmarkEnd w:id="17"/>
            <w:r w:rsidRPr="005A3B1D">
              <w:t>1999/2000:FöU6y</w:t>
            </w:r>
          </w:p>
          <w:p w:rsidR="00753941" w:rsidRPr="005A3B1D" w:rsidRDefault="00753941">
            <w:pPr>
              <w:pStyle w:val="BetnkandeRubrik"/>
            </w:pPr>
            <w:bookmarkStart w:id="18" w:name="Huvudrubrik"/>
            <w:bookmarkEnd w:id="18"/>
            <w:r w:rsidRPr="005A3B1D">
              <w:t>Ekonomiska ramar för utgiftsområde 6 Totalförsvar</w:t>
            </w:r>
          </w:p>
        </w:tc>
        <w:tc>
          <w:tcPr>
            <w:tcW w:w="1559" w:type="dxa"/>
            <w:tcBorders>
              <w:bottom w:val="nil"/>
            </w:tcBorders>
          </w:tcPr>
          <w:p w:rsidR="00753941" w:rsidRPr="005A3B1D" w:rsidRDefault="00753941">
            <w:pPr>
              <w:spacing w:before="0" w:line="230" w:lineRule="auto"/>
              <w:rPr>
                <w:sz w:val="24"/>
              </w:rPr>
            </w:pPr>
          </w:p>
        </w:tc>
      </w:tr>
      <w:tr w:rsidR="00000000" w:rsidRPr="005A3B1D">
        <w:tblPrEx>
          <w:tblCellMar>
            <w:top w:w="0" w:type="dxa"/>
            <w:bottom w:w="0" w:type="dxa"/>
          </w:tblCellMar>
        </w:tblPrEx>
        <w:trPr>
          <w:cantSplit/>
          <w:trHeight w:hRule="exact" w:val="240"/>
        </w:trPr>
        <w:tc>
          <w:tcPr>
            <w:tcW w:w="6024" w:type="dxa"/>
            <w:gridSpan w:val="2"/>
            <w:vMerge/>
            <w:tcBorders>
              <w:top w:val="nil"/>
              <w:bottom w:val="nil"/>
            </w:tcBorders>
          </w:tcPr>
          <w:p w:rsidR="00753941" w:rsidRPr="005A3B1D" w:rsidRDefault="00753941">
            <w:pPr>
              <w:spacing w:before="40" w:after="900" w:line="280" w:lineRule="exact"/>
              <w:jc w:val="left"/>
              <w:rPr>
                <w:sz w:val="28"/>
              </w:rPr>
            </w:pPr>
          </w:p>
        </w:tc>
        <w:tc>
          <w:tcPr>
            <w:tcW w:w="1559" w:type="dxa"/>
          </w:tcPr>
          <w:p w:rsidR="00753941" w:rsidRPr="005A3B1D" w:rsidRDefault="00753941">
            <w:pPr>
              <w:pStyle w:val="rtal"/>
            </w:pPr>
            <w:r w:rsidRPr="005A3B1D">
              <w:t>1999/2000</w:t>
            </w:r>
          </w:p>
        </w:tc>
      </w:tr>
      <w:tr w:rsidR="00000000" w:rsidRPr="005A3B1D">
        <w:tblPrEx>
          <w:tblCellMar>
            <w:top w:w="0" w:type="dxa"/>
            <w:bottom w:w="0" w:type="dxa"/>
          </w:tblCellMar>
        </w:tblPrEx>
        <w:trPr>
          <w:cantSplit/>
          <w:trHeight w:val="560"/>
        </w:trPr>
        <w:tc>
          <w:tcPr>
            <w:tcW w:w="6024" w:type="dxa"/>
            <w:gridSpan w:val="2"/>
            <w:vMerge/>
            <w:tcBorders>
              <w:top w:val="nil"/>
              <w:bottom w:val="single" w:sz="6" w:space="0" w:color="auto"/>
            </w:tcBorders>
          </w:tcPr>
          <w:p w:rsidR="00753941" w:rsidRPr="005A3B1D" w:rsidRDefault="00753941">
            <w:pPr>
              <w:spacing w:before="40" w:after="900" w:line="280" w:lineRule="exact"/>
              <w:jc w:val="left"/>
              <w:rPr>
                <w:sz w:val="28"/>
              </w:rPr>
            </w:pPr>
          </w:p>
        </w:tc>
        <w:tc>
          <w:tcPr>
            <w:tcW w:w="1559" w:type="dxa"/>
            <w:tcBorders>
              <w:bottom w:val="single" w:sz="6" w:space="0" w:color="auto"/>
            </w:tcBorders>
          </w:tcPr>
          <w:p w:rsidR="00753941" w:rsidRPr="005A3B1D" w:rsidRDefault="00753941">
            <w:pPr>
              <w:pStyle w:val="rtal"/>
            </w:pPr>
            <w:r w:rsidRPr="005A3B1D">
              <w:t>FöU6y</w:t>
            </w:r>
          </w:p>
        </w:tc>
      </w:tr>
      <w:tr w:rsidR="00000000" w:rsidRPr="005A3B1D">
        <w:tblPrEx>
          <w:tblCellMar>
            <w:top w:w="0" w:type="dxa"/>
            <w:bottom w:w="0" w:type="dxa"/>
          </w:tblCellMar>
        </w:tblPrEx>
        <w:trPr>
          <w:cantSplit/>
          <w:trHeight w:hRule="exact" w:val="660"/>
        </w:trPr>
        <w:tc>
          <w:tcPr>
            <w:tcW w:w="3012" w:type="dxa"/>
          </w:tcPr>
          <w:p w:rsidR="00753941" w:rsidRPr="005A3B1D" w:rsidRDefault="00753941">
            <w:pPr>
              <w:pStyle w:val="StatusSida1"/>
            </w:pPr>
          </w:p>
        </w:tc>
        <w:tc>
          <w:tcPr>
            <w:tcW w:w="3012" w:type="dxa"/>
          </w:tcPr>
          <w:p w:rsidR="00753941" w:rsidRPr="005A3B1D" w:rsidRDefault="00753941">
            <w:pPr>
              <w:pStyle w:val="UtskriftsdatumSida1"/>
              <w:rPr>
                <w:b/>
                <w:sz w:val="28"/>
              </w:rPr>
            </w:pPr>
          </w:p>
        </w:tc>
        <w:tc>
          <w:tcPr>
            <w:tcW w:w="1559" w:type="dxa"/>
          </w:tcPr>
          <w:p w:rsidR="00753941" w:rsidRPr="005A3B1D" w:rsidRDefault="00753941"/>
        </w:tc>
      </w:tr>
    </w:tbl>
    <w:p w:rsidR="00753941" w:rsidRPr="005A3B1D" w:rsidRDefault="00753941">
      <w:pPr>
        <w:pStyle w:val="Rubrik1"/>
        <w:spacing w:before="0"/>
      </w:pPr>
      <w:bookmarkStart w:id="19" w:name="_Toc483025476"/>
      <w:r w:rsidRPr="005A3B1D">
        <w:t>Till finansutskottet</w:t>
      </w:r>
      <w:bookmarkEnd w:id="19"/>
    </w:p>
    <w:p w:rsidR="00753941" w:rsidRPr="005A3B1D" w:rsidRDefault="00753941">
      <w:bookmarkStart w:id="20" w:name="Textstart"/>
      <w:bookmarkEnd w:id="20"/>
      <w:r w:rsidRPr="005A3B1D">
        <w:t>Finansutskottet har berett försvarsutskottet tillfälle att yttra sig över propos</w:t>
      </w:r>
      <w:r w:rsidRPr="005A3B1D">
        <w:t>i</w:t>
      </w:r>
      <w:r w:rsidRPr="005A3B1D">
        <w:t>tion 1999/2000:100 jämte motioner.</w:t>
      </w:r>
    </w:p>
    <w:p w:rsidR="00753941" w:rsidRPr="005A3B1D" w:rsidRDefault="00753941">
      <w:pPr>
        <w:pStyle w:val="Rubrik1"/>
      </w:pPr>
      <w:bookmarkStart w:id="21" w:name="_Toc483025477"/>
      <w:r w:rsidRPr="005A3B1D">
        <w:t>Försvarsutskottet</w:t>
      </w:r>
      <w:bookmarkEnd w:id="21"/>
    </w:p>
    <w:p w:rsidR="00753941" w:rsidRPr="005A3B1D" w:rsidRDefault="00753941">
      <w:pPr>
        <w:pStyle w:val="Rubrik2"/>
        <w:spacing w:before="123"/>
      </w:pPr>
      <w:bookmarkStart w:id="22" w:name="_Toc483025478"/>
      <w:r w:rsidRPr="005A3B1D">
        <w:t>Regeringens förslag</w:t>
      </w:r>
      <w:bookmarkEnd w:id="22"/>
    </w:p>
    <w:p w:rsidR="00753941" w:rsidRPr="005A3B1D" w:rsidRDefault="00753941">
      <w:r w:rsidRPr="005A3B1D">
        <w:t>Utgiftsområdet omfattar verksamheter inom det militära och civila försvaret, Kustbevakningen, Statens räddningsverk, Sprängämnes</w:t>
      </w:r>
      <w:r w:rsidRPr="005A3B1D">
        <w:softHyphen/>
        <w:t>inspektionen, näm</w:t>
      </w:r>
      <w:r w:rsidRPr="005A3B1D">
        <w:t>n</w:t>
      </w:r>
      <w:r w:rsidRPr="005A3B1D">
        <w:t>der samt stödverksamhet till det militära och det civila försvaret. I utgiftso</w:t>
      </w:r>
      <w:r w:rsidRPr="005A3B1D">
        <w:t>m</w:t>
      </w:r>
      <w:r w:rsidRPr="005A3B1D">
        <w:t>rådet ingår även internationell fredsfrämjande verk</w:t>
      </w:r>
      <w:r w:rsidRPr="005A3B1D">
        <w:softHyphen/>
        <w:t>samhet med svensk trupp utomlands.</w:t>
      </w:r>
    </w:p>
    <w:p w:rsidR="00753941" w:rsidRPr="005A3B1D" w:rsidRDefault="00753941">
      <w:pPr>
        <w:pStyle w:val="Normaltindrag"/>
      </w:pPr>
      <w:r w:rsidRPr="005A3B1D">
        <w:t>I samband med behandlingen av proposition 1999/2000:30 Det nya försv</w:t>
      </w:r>
      <w:r w:rsidRPr="005A3B1D">
        <w:t>a</w:t>
      </w:r>
      <w:r w:rsidRPr="005A3B1D">
        <w:t>ret har riksdagen under våren 2000 fattat beslut om hur om</w:t>
      </w:r>
      <w:r w:rsidRPr="005A3B1D">
        <w:softHyphen/>
        <w:t>inriktningen av totalfö</w:t>
      </w:r>
      <w:r w:rsidRPr="005A3B1D">
        <w:t>r</w:t>
      </w:r>
      <w:r w:rsidRPr="005A3B1D">
        <w:t>svaret skall genom</w:t>
      </w:r>
      <w:r w:rsidRPr="005A3B1D">
        <w:softHyphen/>
        <w:t>föras (bet. 1999/2000:FöU2, rskr. 1999/2000:168).</w:t>
      </w:r>
    </w:p>
    <w:p w:rsidR="00753941" w:rsidRPr="005A3B1D" w:rsidRDefault="00753941">
      <w:pPr>
        <w:pStyle w:val="Normaltindrag"/>
      </w:pPr>
      <w:r w:rsidRPr="005A3B1D">
        <w:t>Med anledning av att Pliktutredningen i februari 2000 lämnade sitt betä</w:t>
      </w:r>
      <w:r w:rsidRPr="005A3B1D">
        <w:t>n</w:t>
      </w:r>
      <w:r w:rsidRPr="005A3B1D">
        <w:t xml:space="preserve">kande har </w:t>
      </w:r>
      <w:r w:rsidRPr="005A3B1D">
        <w:rPr>
          <w:i/>
        </w:rPr>
        <w:t>ålders</w:t>
      </w:r>
      <w:r w:rsidRPr="005A3B1D">
        <w:rPr>
          <w:i/>
        </w:rPr>
        <w:softHyphen/>
        <w:t>pensionsavgifter</w:t>
      </w:r>
      <w:r w:rsidRPr="005A3B1D">
        <w:t xml:space="preserve"> för totalförsvarsplikt beräknats. Utgiftso</w:t>
      </w:r>
      <w:r w:rsidRPr="005A3B1D">
        <w:t>m</w:t>
      </w:r>
      <w:r w:rsidRPr="005A3B1D">
        <w:t>rådet beräknas därför öka med 240 mi</w:t>
      </w:r>
      <w:r w:rsidRPr="005A3B1D">
        <w:t>l</w:t>
      </w:r>
      <w:r w:rsidRPr="005A3B1D">
        <w:t>joner kronor fr.o.m. 2001.</w:t>
      </w:r>
    </w:p>
    <w:p w:rsidR="00753941" w:rsidRPr="005A3B1D" w:rsidRDefault="00753941">
      <w:r w:rsidRPr="005A3B1D">
        <w:t xml:space="preserve">För att möjliggöra en fortsatt </w:t>
      </w:r>
      <w:r w:rsidRPr="005A3B1D">
        <w:rPr>
          <w:i/>
        </w:rPr>
        <w:t>svensk närvaro i Kosovo</w:t>
      </w:r>
      <w:r w:rsidRPr="005A3B1D">
        <w:t xml:space="preserve"> har utgiftsområdets ram för 2001 berä</w:t>
      </w:r>
      <w:r w:rsidRPr="005A3B1D">
        <w:t>k</w:t>
      </w:r>
      <w:r w:rsidRPr="005A3B1D">
        <w:t>nats öka med 250 miljoner kronor.</w:t>
      </w:r>
    </w:p>
    <w:tbl>
      <w:tblPr>
        <w:tblW w:w="0" w:type="auto"/>
        <w:tblInd w:w="85" w:type="dxa"/>
        <w:tblLayout w:type="fixed"/>
        <w:tblCellMar>
          <w:left w:w="107" w:type="dxa"/>
          <w:right w:w="107" w:type="dxa"/>
        </w:tblCellMar>
        <w:tblLook w:val="0000" w:firstRow="0" w:lastRow="0" w:firstColumn="0" w:lastColumn="0" w:noHBand="0" w:noVBand="0"/>
      </w:tblPr>
      <w:tblGrid>
        <w:gridCol w:w="730"/>
        <w:gridCol w:w="730"/>
        <w:gridCol w:w="730"/>
        <w:gridCol w:w="1093"/>
        <w:gridCol w:w="1134"/>
        <w:gridCol w:w="1417"/>
      </w:tblGrid>
      <w:tr w:rsidR="00000000" w:rsidRPr="005A3B1D">
        <w:tblPrEx>
          <w:tblCellMar>
            <w:top w:w="0" w:type="dxa"/>
            <w:bottom w:w="0" w:type="dxa"/>
          </w:tblCellMar>
        </w:tblPrEx>
        <w:tc>
          <w:tcPr>
            <w:tcW w:w="5834" w:type="dxa"/>
            <w:gridSpan w:val="6"/>
          </w:tcPr>
          <w:p w:rsidR="00753941" w:rsidRPr="005A3B1D" w:rsidRDefault="00753941">
            <w:pPr>
              <w:pStyle w:val="TabellUnderrubrik"/>
              <w:spacing w:line="240" w:lineRule="exact"/>
            </w:pPr>
          </w:p>
          <w:p w:rsidR="00753941" w:rsidRPr="005A3B1D" w:rsidRDefault="00753941">
            <w:pPr>
              <w:pStyle w:val="TabellUnderrubrik"/>
              <w:spacing w:line="240" w:lineRule="exact"/>
            </w:pPr>
            <w:r w:rsidRPr="005A3B1D">
              <w:t>Miljoner kronor</w:t>
            </w:r>
          </w:p>
        </w:tc>
      </w:tr>
      <w:tr w:rsidR="00000000" w:rsidRPr="005A3B1D">
        <w:tblPrEx>
          <w:tblCellMar>
            <w:top w:w="0" w:type="dxa"/>
            <w:bottom w:w="0" w:type="dxa"/>
          </w:tblCellMar>
        </w:tblPrEx>
        <w:tc>
          <w:tcPr>
            <w:tcW w:w="730" w:type="dxa"/>
          </w:tcPr>
          <w:p w:rsidR="00753941" w:rsidRPr="005A3B1D" w:rsidRDefault="00753941">
            <w:pPr>
              <w:pStyle w:val="TabellHuvud"/>
              <w:spacing w:line="240" w:lineRule="exact"/>
            </w:pPr>
            <w:r w:rsidRPr="005A3B1D">
              <w:t>Utfall</w:t>
            </w:r>
          </w:p>
        </w:tc>
        <w:tc>
          <w:tcPr>
            <w:tcW w:w="730" w:type="dxa"/>
          </w:tcPr>
          <w:p w:rsidR="00753941" w:rsidRPr="005A3B1D" w:rsidRDefault="00753941">
            <w:pPr>
              <w:pStyle w:val="TabellHuvud"/>
              <w:spacing w:line="240" w:lineRule="exact"/>
            </w:pPr>
            <w:r w:rsidRPr="005A3B1D">
              <w:t>Anslag</w:t>
            </w:r>
          </w:p>
        </w:tc>
        <w:tc>
          <w:tcPr>
            <w:tcW w:w="730" w:type="dxa"/>
          </w:tcPr>
          <w:p w:rsidR="00753941" w:rsidRPr="005A3B1D" w:rsidRDefault="00753941">
            <w:pPr>
              <w:pStyle w:val="TabellHuvud"/>
              <w:spacing w:line="240" w:lineRule="exact"/>
            </w:pPr>
            <w:r w:rsidRPr="005A3B1D">
              <w:t>Pr</w:t>
            </w:r>
            <w:r w:rsidRPr="005A3B1D">
              <w:t>o</w:t>
            </w:r>
            <w:r w:rsidRPr="005A3B1D">
              <w:t>gnos</w:t>
            </w:r>
          </w:p>
        </w:tc>
        <w:tc>
          <w:tcPr>
            <w:tcW w:w="1093" w:type="dxa"/>
          </w:tcPr>
          <w:p w:rsidR="00753941" w:rsidRPr="005A3B1D" w:rsidRDefault="00753941">
            <w:pPr>
              <w:pStyle w:val="TabellHuvud"/>
              <w:spacing w:line="240" w:lineRule="exact"/>
            </w:pPr>
          </w:p>
        </w:tc>
        <w:tc>
          <w:tcPr>
            <w:tcW w:w="1134" w:type="dxa"/>
          </w:tcPr>
          <w:p w:rsidR="00753941" w:rsidRPr="005A3B1D" w:rsidRDefault="00753941">
            <w:pPr>
              <w:pStyle w:val="TabellHuvud"/>
              <w:tabs>
                <w:tab w:val="left" w:pos="823"/>
              </w:tabs>
              <w:spacing w:line="240" w:lineRule="exact"/>
            </w:pPr>
          </w:p>
        </w:tc>
        <w:tc>
          <w:tcPr>
            <w:tcW w:w="1417" w:type="dxa"/>
          </w:tcPr>
          <w:p w:rsidR="00753941" w:rsidRPr="005A3B1D" w:rsidRDefault="00753941">
            <w:pPr>
              <w:pStyle w:val="TabellHuvud"/>
              <w:tabs>
                <w:tab w:val="left" w:pos="823"/>
              </w:tabs>
              <w:spacing w:line="240" w:lineRule="exact"/>
            </w:pPr>
            <w:r w:rsidRPr="005A3B1D">
              <w:t>Beräknat</w:t>
            </w:r>
          </w:p>
        </w:tc>
      </w:tr>
      <w:tr w:rsidR="00000000" w:rsidRPr="005A3B1D">
        <w:tblPrEx>
          <w:tblCellMar>
            <w:top w:w="0" w:type="dxa"/>
            <w:bottom w:w="0" w:type="dxa"/>
          </w:tblCellMar>
        </w:tblPrEx>
        <w:tc>
          <w:tcPr>
            <w:tcW w:w="730" w:type="dxa"/>
          </w:tcPr>
          <w:p w:rsidR="00753941" w:rsidRPr="005A3B1D" w:rsidRDefault="00753941">
            <w:pPr>
              <w:pStyle w:val="TabellHuvud"/>
              <w:spacing w:line="240" w:lineRule="exact"/>
            </w:pPr>
            <w:r w:rsidRPr="005A3B1D">
              <w:t>1999</w:t>
            </w:r>
          </w:p>
        </w:tc>
        <w:tc>
          <w:tcPr>
            <w:tcW w:w="730" w:type="dxa"/>
          </w:tcPr>
          <w:p w:rsidR="00753941" w:rsidRPr="005A3B1D" w:rsidRDefault="00753941">
            <w:pPr>
              <w:pStyle w:val="TabellHuvud"/>
              <w:spacing w:line="240" w:lineRule="exact"/>
            </w:pPr>
            <w:r w:rsidRPr="005A3B1D">
              <w:t>2000</w:t>
            </w:r>
          </w:p>
        </w:tc>
        <w:tc>
          <w:tcPr>
            <w:tcW w:w="730" w:type="dxa"/>
          </w:tcPr>
          <w:p w:rsidR="00753941" w:rsidRPr="005A3B1D" w:rsidRDefault="00753941">
            <w:pPr>
              <w:pStyle w:val="TabellHuvud"/>
              <w:spacing w:line="240" w:lineRule="exact"/>
            </w:pPr>
            <w:r w:rsidRPr="005A3B1D">
              <w:t>2000</w:t>
            </w:r>
          </w:p>
        </w:tc>
        <w:tc>
          <w:tcPr>
            <w:tcW w:w="1093" w:type="dxa"/>
            <w:tcBorders>
              <w:top w:val="single" w:sz="6" w:space="0" w:color="auto"/>
              <w:bottom w:val="single" w:sz="18" w:space="0" w:color="auto"/>
            </w:tcBorders>
          </w:tcPr>
          <w:p w:rsidR="00753941" w:rsidRPr="005A3B1D" w:rsidRDefault="00753941">
            <w:pPr>
              <w:pStyle w:val="TabellHuvud"/>
              <w:spacing w:line="240" w:lineRule="exact"/>
            </w:pPr>
            <w:r w:rsidRPr="005A3B1D">
              <w:t>2001</w:t>
            </w:r>
          </w:p>
        </w:tc>
        <w:tc>
          <w:tcPr>
            <w:tcW w:w="1134" w:type="dxa"/>
            <w:tcBorders>
              <w:top w:val="single" w:sz="6" w:space="0" w:color="auto"/>
              <w:bottom w:val="single" w:sz="18" w:space="0" w:color="auto"/>
            </w:tcBorders>
          </w:tcPr>
          <w:p w:rsidR="00753941" w:rsidRPr="005A3B1D" w:rsidRDefault="00753941">
            <w:pPr>
              <w:pStyle w:val="TabellHuvud"/>
              <w:tabs>
                <w:tab w:val="left" w:pos="823"/>
              </w:tabs>
              <w:spacing w:line="240" w:lineRule="exact"/>
            </w:pPr>
            <w:r w:rsidRPr="005A3B1D">
              <w:t>2002</w:t>
            </w:r>
          </w:p>
        </w:tc>
        <w:tc>
          <w:tcPr>
            <w:tcW w:w="1417" w:type="dxa"/>
            <w:tcBorders>
              <w:top w:val="single" w:sz="6" w:space="0" w:color="auto"/>
              <w:bottom w:val="single" w:sz="18" w:space="0" w:color="auto"/>
            </w:tcBorders>
          </w:tcPr>
          <w:p w:rsidR="00753941" w:rsidRPr="005A3B1D" w:rsidRDefault="00753941">
            <w:pPr>
              <w:pStyle w:val="TabellHuvud"/>
              <w:tabs>
                <w:tab w:val="left" w:pos="823"/>
              </w:tabs>
              <w:spacing w:line="240" w:lineRule="exact"/>
            </w:pPr>
            <w:r w:rsidRPr="005A3B1D">
              <w:t>2003</w:t>
            </w:r>
          </w:p>
        </w:tc>
      </w:tr>
      <w:tr w:rsidR="00000000" w:rsidRPr="005A3B1D">
        <w:tblPrEx>
          <w:tblCellMar>
            <w:top w:w="0" w:type="dxa"/>
            <w:bottom w:w="0" w:type="dxa"/>
          </w:tblCellMar>
        </w:tblPrEx>
        <w:tc>
          <w:tcPr>
            <w:tcW w:w="730" w:type="dxa"/>
            <w:tcBorders>
              <w:top w:val="single" w:sz="18" w:space="0" w:color="auto"/>
              <w:bottom w:val="single" w:sz="6" w:space="0" w:color="auto"/>
            </w:tcBorders>
          </w:tcPr>
          <w:p w:rsidR="00753941" w:rsidRPr="005A3B1D" w:rsidRDefault="00753941">
            <w:pPr>
              <w:pStyle w:val="TabellRader"/>
              <w:spacing w:line="240" w:lineRule="exact"/>
            </w:pPr>
            <w:r w:rsidRPr="005A3B1D">
              <w:t>44 279</w:t>
            </w:r>
          </w:p>
        </w:tc>
        <w:tc>
          <w:tcPr>
            <w:tcW w:w="730" w:type="dxa"/>
            <w:tcBorders>
              <w:top w:val="single" w:sz="18" w:space="0" w:color="auto"/>
              <w:bottom w:val="single" w:sz="6" w:space="0" w:color="auto"/>
            </w:tcBorders>
          </w:tcPr>
          <w:p w:rsidR="00753941" w:rsidRPr="005A3B1D" w:rsidRDefault="00753941">
            <w:pPr>
              <w:pStyle w:val="TabellRader"/>
              <w:spacing w:line="240" w:lineRule="exact"/>
            </w:pPr>
            <w:r w:rsidRPr="005A3B1D">
              <w:t>46 649</w:t>
            </w:r>
          </w:p>
        </w:tc>
        <w:tc>
          <w:tcPr>
            <w:tcW w:w="730" w:type="dxa"/>
            <w:tcBorders>
              <w:top w:val="single" w:sz="18" w:space="0" w:color="auto"/>
              <w:bottom w:val="single" w:sz="6" w:space="0" w:color="auto"/>
            </w:tcBorders>
          </w:tcPr>
          <w:p w:rsidR="00753941" w:rsidRPr="005A3B1D" w:rsidRDefault="00753941">
            <w:pPr>
              <w:pStyle w:val="TabellRader"/>
              <w:spacing w:line="240" w:lineRule="exact"/>
            </w:pPr>
            <w:r w:rsidRPr="005A3B1D">
              <w:t>45 948</w:t>
            </w:r>
          </w:p>
        </w:tc>
        <w:tc>
          <w:tcPr>
            <w:tcW w:w="1093" w:type="dxa"/>
            <w:tcBorders>
              <w:bottom w:val="single" w:sz="6" w:space="0" w:color="auto"/>
            </w:tcBorders>
          </w:tcPr>
          <w:p w:rsidR="00753941" w:rsidRPr="005A3B1D" w:rsidRDefault="00753941">
            <w:pPr>
              <w:pStyle w:val="TabellRader"/>
              <w:spacing w:line="240" w:lineRule="exact"/>
            </w:pPr>
            <w:r w:rsidRPr="005A3B1D">
              <w:t>46 529</w:t>
            </w:r>
          </w:p>
        </w:tc>
        <w:tc>
          <w:tcPr>
            <w:tcW w:w="1134" w:type="dxa"/>
            <w:tcBorders>
              <w:bottom w:val="single" w:sz="6" w:space="0" w:color="auto"/>
            </w:tcBorders>
          </w:tcPr>
          <w:p w:rsidR="00753941" w:rsidRPr="005A3B1D" w:rsidRDefault="00753941">
            <w:pPr>
              <w:pStyle w:val="TabellRader"/>
              <w:spacing w:line="240" w:lineRule="exact"/>
            </w:pPr>
            <w:r w:rsidRPr="005A3B1D">
              <w:t>45 506</w:t>
            </w:r>
          </w:p>
        </w:tc>
        <w:tc>
          <w:tcPr>
            <w:tcW w:w="1417" w:type="dxa"/>
            <w:tcBorders>
              <w:bottom w:val="single" w:sz="6" w:space="0" w:color="auto"/>
            </w:tcBorders>
          </w:tcPr>
          <w:p w:rsidR="00753941" w:rsidRPr="005A3B1D" w:rsidRDefault="00753941">
            <w:pPr>
              <w:pStyle w:val="TabellRader"/>
              <w:spacing w:line="240" w:lineRule="exact"/>
            </w:pPr>
            <w:r w:rsidRPr="005A3B1D">
              <w:t>44 530</w:t>
            </w:r>
          </w:p>
        </w:tc>
      </w:tr>
    </w:tbl>
    <w:p w:rsidR="00753941" w:rsidRPr="005A3B1D" w:rsidRDefault="00753941">
      <w:pPr>
        <w:pStyle w:val="Odefinierat"/>
      </w:pPr>
    </w:p>
    <w:p w:rsidR="00753941" w:rsidRPr="005A3B1D" w:rsidRDefault="00753941">
      <w:pPr>
        <w:pStyle w:val="Rubrik2"/>
      </w:pPr>
      <w:bookmarkStart w:id="23" w:name="_Toc483025479"/>
      <w:r w:rsidRPr="005A3B1D">
        <w:t>Motionerna</w:t>
      </w:r>
      <w:bookmarkEnd w:id="23"/>
    </w:p>
    <w:p w:rsidR="00753941" w:rsidRPr="005A3B1D" w:rsidRDefault="00753941">
      <w:r w:rsidRPr="005A3B1D">
        <w:rPr>
          <w:i/>
        </w:rPr>
        <w:t>Moderata samlingspartiet</w:t>
      </w:r>
      <w:r w:rsidRPr="005A3B1D">
        <w:t xml:space="preserve"> framhåller i motion </w:t>
      </w:r>
      <w:r w:rsidRPr="005A3B1D">
        <w:rPr>
          <w:i/>
        </w:rPr>
        <w:t xml:space="preserve">Fi12 </w:t>
      </w:r>
      <w:r w:rsidRPr="005A3B1D">
        <w:t xml:space="preserve">att det redan hösten 1997 stod klart att 1996 års försvarsbeslut havererat. I dag, nästan tre år senare, har riksdagen beslutat om ett nytt omvälvande försvarsbeslut. Armén mer än halveras, kustartilleriet försvinner, flyget bantas med en tredjedel och halva </w:t>
      </w:r>
      <w:r w:rsidRPr="005A3B1D">
        <w:lastRenderedPageBreak/>
        <w:t>flottan avvecklas. Moderata samlingspartiet föreslår oförändrade satsningar på försvaret. För de tre kommande åren bör preliminärt beräknas 47 879, 47 898 respektive 47 922 miljoner kronor per år.</w:t>
      </w:r>
    </w:p>
    <w:p w:rsidR="00753941" w:rsidRPr="005A3B1D" w:rsidRDefault="00753941">
      <w:pPr>
        <w:pStyle w:val="Normaltindrag"/>
      </w:pPr>
      <w:r w:rsidRPr="005A3B1D">
        <w:rPr>
          <w:i/>
        </w:rPr>
        <w:t>Kristdemokraterna</w:t>
      </w:r>
      <w:r w:rsidRPr="005A3B1D">
        <w:t xml:space="preserve"> anser i motion Fi13 att Sveriges förmåga att bidra till fred och säkerhet i Sverige och i dess närhet bör stärkas. Därför avsätter Kristdemokraterna ytterligare 500 miljoner kronor per år. Vidare bör Kus</w:t>
      </w:r>
      <w:r w:rsidRPr="005A3B1D">
        <w:t>t</w:t>
      </w:r>
      <w:r w:rsidRPr="005A3B1D">
        <w:t>bevakningens resurser förstärkas med 50 miljoner kronor per år för att möta krav på internationell verksamhet, gränskontroll och miljöskydd till sjöss. Sålunda bör utgiftsområdet justeras upp med 550 miljoner kronor per år jämfört med regerin</w:t>
      </w:r>
      <w:r w:rsidRPr="005A3B1D">
        <w:t>g</w:t>
      </w:r>
      <w:r w:rsidRPr="005A3B1D">
        <w:t>ens förslag.</w:t>
      </w:r>
    </w:p>
    <w:p w:rsidR="00753941" w:rsidRPr="005A3B1D" w:rsidRDefault="00753941">
      <w:pPr>
        <w:pStyle w:val="Normaltindrag"/>
      </w:pPr>
      <w:r w:rsidRPr="005A3B1D">
        <w:rPr>
          <w:i/>
        </w:rPr>
        <w:t>Centerpartiet</w:t>
      </w:r>
      <w:r w:rsidRPr="005A3B1D">
        <w:t xml:space="preserve"> föreslår i motion </w:t>
      </w:r>
      <w:r w:rsidRPr="005A3B1D">
        <w:rPr>
          <w:i/>
        </w:rPr>
        <w:t>Fi14</w:t>
      </w:r>
      <w:r w:rsidRPr="005A3B1D">
        <w:t xml:space="preserve"> samma preliminära utgiftsnivåer som regeringen.</w:t>
      </w:r>
    </w:p>
    <w:p w:rsidR="00753941" w:rsidRPr="005A3B1D" w:rsidRDefault="00753941">
      <w:pPr>
        <w:pStyle w:val="Normaltindrag"/>
      </w:pPr>
      <w:r w:rsidRPr="005A3B1D">
        <w:t>Folkpartiet liberalerna framhåller i motion Fi15 att det är möjligt att utfo</w:t>
      </w:r>
      <w:r w:rsidRPr="005A3B1D">
        <w:t>r</w:t>
      </w:r>
      <w:r w:rsidRPr="005A3B1D">
        <w:t>ma ett tillräckligt bra förslag inom den ram som förordas. Detta kräver emellertid förändringar i värnpliktssystemet och ett större bidrag för mater</w:t>
      </w:r>
      <w:r w:rsidRPr="005A3B1D">
        <w:t>i</w:t>
      </w:r>
      <w:r w:rsidRPr="005A3B1D">
        <w:t xml:space="preserve">elanskanffning under omställningsskedet. </w:t>
      </w:r>
    </w:p>
    <w:p w:rsidR="00753941" w:rsidRPr="005A3B1D" w:rsidRDefault="00753941">
      <w:pPr>
        <w:pStyle w:val="Rubrik2"/>
      </w:pPr>
      <w:bookmarkStart w:id="24" w:name="_Toc483025480"/>
      <w:r w:rsidRPr="005A3B1D">
        <w:t>Försvarsutskottets överväganden</w:t>
      </w:r>
      <w:bookmarkEnd w:id="24"/>
    </w:p>
    <w:p w:rsidR="00753941" w:rsidRPr="005A3B1D" w:rsidRDefault="00753941">
      <w:r w:rsidRPr="005A3B1D">
        <w:t>Vänsterpartiet, Centerpartiet och Miljöpartiet de gröna delar regeringens uppfattning om preliminära ramar för totalförsvarsutgifterna för åren 2001–2003. Förslagen ser sammanfattningsvis ut på fö</w:t>
      </w:r>
      <w:r w:rsidRPr="005A3B1D">
        <w:t>l</w:t>
      </w:r>
      <w:r w:rsidRPr="005A3B1D">
        <w:t>jande vis:</w:t>
      </w:r>
    </w:p>
    <w:p w:rsidR="00753941" w:rsidRPr="005A3B1D" w:rsidRDefault="00753941"/>
    <w:p w:rsidR="00753941" w:rsidRPr="005A3B1D" w:rsidRDefault="00753941">
      <w:pPr>
        <w:rPr>
          <w:u w:val="single"/>
        </w:rPr>
      </w:pPr>
      <w:r w:rsidRPr="005A3B1D">
        <w:rPr>
          <w:u w:val="single"/>
        </w:rPr>
        <w:t xml:space="preserve">Miljoner kronor                                        2001             2002               2003 </w:t>
      </w:r>
    </w:p>
    <w:p w:rsidR="00753941" w:rsidRPr="005A3B1D" w:rsidRDefault="00753941">
      <w:r w:rsidRPr="005A3B1D">
        <w:t xml:space="preserve">Regeringen   1)                                      46 529          45 506            44 530   </w:t>
      </w:r>
    </w:p>
    <w:p w:rsidR="00753941" w:rsidRPr="005A3B1D" w:rsidRDefault="00753941">
      <w:r w:rsidRPr="005A3B1D">
        <w:t>Moderaterna                                         + 1 350         + 2 392           + 3 392</w:t>
      </w:r>
    </w:p>
    <w:p w:rsidR="00753941" w:rsidRPr="005A3B1D" w:rsidRDefault="00753941">
      <w:r w:rsidRPr="005A3B1D">
        <w:t>Kristdemokraterna                                 +   550          +  550             +  550</w:t>
      </w:r>
    </w:p>
    <w:p w:rsidR="00753941" w:rsidRPr="005A3B1D" w:rsidRDefault="00753941">
      <w:r w:rsidRPr="005A3B1D">
        <w:t>Centerpartiet                                                 of                  of                   of</w:t>
      </w:r>
    </w:p>
    <w:p w:rsidR="00753941" w:rsidRPr="005A3B1D" w:rsidRDefault="00753941">
      <w:r w:rsidRPr="005A3B1D">
        <w:t>Folkpartiet                                                    of           + 2 000          + 2 000</w:t>
      </w:r>
    </w:p>
    <w:p w:rsidR="00753941" w:rsidRPr="005A3B1D" w:rsidRDefault="00753941">
      <w:pPr>
        <w:pStyle w:val="Stockholm"/>
      </w:pPr>
      <w:r w:rsidRPr="005A3B1D">
        <w:t>1) I samråd med Vänsterpartiet och Miljöpartiet de gröna</w:t>
      </w:r>
    </w:p>
    <w:p w:rsidR="00753941" w:rsidRPr="005A3B1D" w:rsidRDefault="00753941">
      <w:r w:rsidRPr="005A3B1D">
        <w:t>Nu gällande försvarsbeslutsperiod omfattar åren 1997–2001. I samband med den säkerhetspolitiska kontrollstation som genomfördes våren 1999 beslut</w:t>
      </w:r>
      <w:r w:rsidRPr="005A3B1D">
        <w:t>a</w:t>
      </w:r>
      <w:r w:rsidRPr="005A3B1D">
        <w:t xml:space="preserve">de riksdagen bl.a. om de ekonomiska riktlinjerna för utgiftsområdet under perioden 2000–2004. Den ekonomiska ramen för varje år under </w:t>
      </w:r>
      <w:r w:rsidRPr="005A3B1D">
        <w:rPr>
          <w:i/>
        </w:rPr>
        <w:t>nästa</w:t>
      </w:r>
      <w:r w:rsidRPr="005A3B1D">
        <w:t xml:space="preserve"> fö</w:t>
      </w:r>
      <w:r w:rsidRPr="005A3B1D">
        <w:t>r</w:t>
      </w:r>
      <w:r w:rsidRPr="005A3B1D">
        <w:t>svarsbeslutsperiod, dvs. åren 2002–2004 skall vara 4 miljarder kronor lägre än ramen för 2001. Utöver detta skall emellertid anslås ett särskilt omstäl</w:t>
      </w:r>
      <w:r w:rsidRPr="005A3B1D">
        <w:t>l</w:t>
      </w:r>
      <w:r w:rsidRPr="005A3B1D">
        <w:t>ningsbidrag med 3 miljarder kronor år 2002 och med 1 miljard kronor år 2003. Någon omprövning av dessa riktlinjer är enligt utskottets mening inte nu motiverad. Utskottet konstaterar att regeringens förslag till prel</w:t>
      </w:r>
      <w:r w:rsidRPr="005A3B1D">
        <w:t>iminära ramar för åren 2001–2003 ligger i linje med riksdagens tidigare beslut. Reg</w:t>
      </w:r>
      <w:r w:rsidRPr="005A3B1D">
        <w:t>e</w:t>
      </w:r>
      <w:r w:rsidRPr="005A3B1D">
        <w:t>ringens förslag stöds av en bred majoritet av riksdagens partier. Utskottet tillstyrker sålunda regeringens förslag och avstyrker de utgiftsramar som förordas att Moderata samlingspartiet, Kristdemokraterna och Folkpartiet liberalerna.</w:t>
      </w:r>
    </w:p>
    <w:p w:rsidR="00753941" w:rsidRPr="005A3B1D" w:rsidRDefault="00753941">
      <w:pPr>
        <w:pStyle w:val="Stockholm"/>
      </w:pPr>
      <w:r w:rsidRPr="005A3B1D">
        <w:t>Stockholm den 11 maj 2000</w:t>
      </w:r>
    </w:p>
    <w:p w:rsidR="00753941" w:rsidRPr="005A3B1D" w:rsidRDefault="00753941">
      <w:pPr>
        <w:pStyle w:val="Vgnar"/>
      </w:pPr>
      <w:r w:rsidRPr="005A3B1D">
        <w:t>På försvarsutskottets vägnar</w:t>
      </w:r>
    </w:p>
    <w:p w:rsidR="00753941" w:rsidRPr="005A3B1D" w:rsidRDefault="00753941"/>
    <w:p w:rsidR="00753941" w:rsidRPr="005A3B1D" w:rsidRDefault="00753941">
      <w:pPr>
        <w:pStyle w:val="Ordfnamn"/>
      </w:pPr>
      <w:bookmarkStart w:id="25" w:name="Ordförande"/>
      <w:bookmarkEnd w:id="25"/>
      <w:r w:rsidRPr="005A3B1D">
        <w:t xml:space="preserve">Henrik Landerholm </w:t>
      </w:r>
      <w:bookmarkStart w:id="26" w:name="Deltagare"/>
      <w:bookmarkEnd w:id="26"/>
    </w:p>
    <w:p w:rsidR="00753941" w:rsidRPr="005A3B1D" w:rsidRDefault="00753941"/>
    <w:p w:rsidR="00753941" w:rsidRPr="005A3B1D" w:rsidRDefault="00753941">
      <w:r w:rsidRPr="005A3B1D">
        <w:t>I beslutet har deltagit: Henrik Landerholm (m), Christer Skoog (s), Karin Wegestål (s), Stig Sandström (v), Åke Carnerö (kd), Olle Lindström (m), Rolf Gunnarsson (m), Ola Rask (s), Håkan Juholt (s), Berit Jóhannesson (v), Margareta Viklund (kd), Anna Lilliehöök (m), Lars Ångström (mp), Erik Arthur Egervärn (c), Runar Patriksson (fp) och Laila Bäck (s).</w:t>
      </w:r>
    </w:p>
    <w:p w:rsidR="00753941" w:rsidRPr="005A3B1D" w:rsidRDefault="00753941">
      <w:pPr>
        <w:pStyle w:val="Normaltindrag"/>
      </w:pPr>
    </w:p>
    <w:p w:rsidR="00753941" w:rsidRPr="005A3B1D" w:rsidRDefault="00753941">
      <w:pPr>
        <w:pStyle w:val="Rubrik1"/>
      </w:pPr>
      <w:bookmarkStart w:id="27" w:name="_Toc483025481"/>
      <w:r w:rsidRPr="005A3B1D">
        <w:t>Avvikande meningar</w:t>
      </w:r>
      <w:bookmarkEnd w:id="27"/>
    </w:p>
    <w:p w:rsidR="00753941" w:rsidRPr="005A3B1D" w:rsidRDefault="00753941">
      <w:r w:rsidRPr="005A3B1D">
        <w:t>1. Henrik Landerholm, Olle Lindström, Rolf Gunnarsson och Anna Lilli</w:t>
      </w:r>
      <w:r w:rsidRPr="005A3B1D">
        <w:t>e</w:t>
      </w:r>
      <w:r w:rsidRPr="005A3B1D">
        <w:t>höök (alla m) anför:</w:t>
      </w:r>
    </w:p>
    <w:p w:rsidR="00753941" w:rsidRPr="005A3B1D" w:rsidRDefault="00753941">
      <w:r w:rsidRPr="005A3B1D">
        <w:t>Redan hösten 1997 stod det klart att 1996 års försvarsbeslut havererat. Helt nyligen, nästan tre år senare, har riksdagen beslutat om ett nytt och omvä</w:t>
      </w:r>
      <w:r w:rsidRPr="005A3B1D">
        <w:t>l</w:t>
      </w:r>
      <w:r w:rsidRPr="005A3B1D">
        <w:t>vande försvarsbeslut. Armén mer än halveras, kustartilleriet försvinner, flygstridskrafterna bantas med en tredjedel och halva flottan avvecklas. Det är inte säkerhetspolitiskt försvarligt att reducera Sveriges försvar av den omfattningen. Våra möjligheter att bidra till fred och säkerhet i omvärlden kommer även att försvåras. Moderata samlingspartiet föreslår därför oförän</w:t>
      </w:r>
      <w:r w:rsidRPr="005A3B1D">
        <w:t>d</w:t>
      </w:r>
      <w:r w:rsidRPr="005A3B1D">
        <w:t>rade satsningar på försvaret. För de tre kommande åren bör sålunda prelim</w:t>
      </w:r>
      <w:r w:rsidRPr="005A3B1D">
        <w:t>i</w:t>
      </w:r>
      <w:r w:rsidRPr="005A3B1D">
        <w:t>närt beräknas 47 879, 47 898 respektive 47 922 milj</w:t>
      </w:r>
      <w:r w:rsidRPr="005A3B1D">
        <w:t>o</w:t>
      </w:r>
      <w:r w:rsidRPr="005A3B1D">
        <w:t>ner kron</w:t>
      </w:r>
      <w:r w:rsidRPr="005A3B1D">
        <w:t>or per år.</w:t>
      </w:r>
    </w:p>
    <w:p w:rsidR="00753941" w:rsidRPr="005A3B1D" w:rsidRDefault="00753941">
      <w:pPr>
        <w:pStyle w:val="Normaltindrag"/>
      </w:pPr>
    </w:p>
    <w:p w:rsidR="00753941" w:rsidRPr="005A3B1D" w:rsidRDefault="00753941">
      <w:r w:rsidRPr="005A3B1D">
        <w:t>2. Åke Carnerö och Margareta Viklund (båda kd) anför:</w:t>
      </w:r>
    </w:p>
    <w:p w:rsidR="00753941" w:rsidRPr="005A3B1D" w:rsidRDefault="00753941">
      <w:r w:rsidRPr="005A3B1D">
        <w:t>Sveriges förmåga att bidra till fred och säkerhet i Europa och dess närhet bör enligt Kristdemokraterna stärkas. Därför avsätter Kristdemokraterna ytterl</w:t>
      </w:r>
      <w:r w:rsidRPr="005A3B1D">
        <w:t>i</w:t>
      </w:r>
      <w:r w:rsidRPr="005A3B1D">
        <w:t>gare 500 miljoner kronor per år för att det skall vara möjligt. Vidare bör Kustbevakningens resurser förstärkas med 50 miljoner kronor per år för att möta de krav som rimligen ställs på internationell verksamhet, stärkt grän</w:t>
      </w:r>
      <w:r w:rsidRPr="005A3B1D">
        <w:t>s</w:t>
      </w:r>
      <w:r w:rsidRPr="005A3B1D">
        <w:t>kontroll och miljöskydd till sjöss. Sålunda bör utgiftsområdet justeras upp med 550 mi</w:t>
      </w:r>
      <w:r w:rsidRPr="005A3B1D">
        <w:t>l</w:t>
      </w:r>
      <w:r w:rsidRPr="005A3B1D">
        <w:t>joner kronor per år jämfört med regeringens förslag.</w:t>
      </w:r>
      <w:bookmarkStart w:id="28" w:name="Nästa_Reservation"/>
      <w:bookmarkEnd w:id="28"/>
    </w:p>
    <w:p w:rsidR="00753941" w:rsidRPr="005A3B1D" w:rsidRDefault="00753941">
      <w:pPr>
        <w:pStyle w:val="Normaltindrag"/>
        <w:sectPr w:rsidR="00000000" w:rsidRPr="005A3B1D">
          <w:headerReference w:type="default" r:id="rId10"/>
          <w:footerReference w:type="default" r:id="rId11"/>
          <w:pgSz w:w="11906" w:h="16838" w:code="9"/>
          <w:pgMar w:top="567" w:right="4876" w:bottom="4508" w:left="1134" w:header="227" w:footer="227" w:gutter="0"/>
          <w:cols w:space="720"/>
        </w:sectPr>
      </w:pPr>
    </w:p>
    <w:p w:rsidR="00753941" w:rsidRPr="005A3B1D" w:rsidRDefault="00753941">
      <w:pPr>
        <w:pStyle w:val="Innehll"/>
        <w:outlineLvl w:val="1"/>
      </w:pPr>
      <w:r w:rsidRPr="005A3B1D">
        <w:t>Innehållsförteckning</w:t>
      </w:r>
    </w:p>
    <w:p w:rsidR="00753941" w:rsidRPr="005A3B1D" w:rsidRDefault="00753941">
      <w:pPr>
        <w:pStyle w:val="Innehll1"/>
      </w:pPr>
      <w:r w:rsidRPr="005A3B1D">
        <w:t>Till finansutskottet</w:t>
      </w:r>
      <w:r w:rsidRPr="005A3B1D">
        <w:tab/>
        <w:t>1</w:t>
      </w:r>
    </w:p>
    <w:p w:rsidR="00753941" w:rsidRPr="005A3B1D" w:rsidRDefault="00753941">
      <w:pPr>
        <w:pStyle w:val="Innehll1"/>
      </w:pPr>
      <w:r w:rsidRPr="005A3B1D">
        <w:t>Försvarsutskottet</w:t>
      </w:r>
      <w:r w:rsidRPr="005A3B1D">
        <w:tab/>
        <w:t>1</w:t>
      </w:r>
    </w:p>
    <w:p w:rsidR="00753941" w:rsidRPr="005A3B1D" w:rsidRDefault="00753941">
      <w:pPr>
        <w:pStyle w:val="Innehll2"/>
      </w:pPr>
      <w:r w:rsidRPr="005A3B1D">
        <w:t>Regeringens förslag</w:t>
      </w:r>
      <w:r w:rsidRPr="005A3B1D">
        <w:tab/>
        <w:t>1</w:t>
      </w:r>
    </w:p>
    <w:p w:rsidR="00753941" w:rsidRPr="005A3B1D" w:rsidRDefault="00753941">
      <w:pPr>
        <w:pStyle w:val="Innehll2"/>
      </w:pPr>
      <w:r w:rsidRPr="005A3B1D">
        <w:t>Motionerna</w:t>
      </w:r>
      <w:r w:rsidRPr="005A3B1D">
        <w:tab/>
        <w:t>1</w:t>
      </w:r>
    </w:p>
    <w:p w:rsidR="00753941" w:rsidRPr="005A3B1D" w:rsidRDefault="00753941">
      <w:pPr>
        <w:pStyle w:val="Innehll2"/>
      </w:pPr>
      <w:r w:rsidRPr="005A3B1D">
        <w:t>Försvarsutskottets överväganden</w:t>
      </w:r>
      <w:r w:rsidRPr="005A3B1D">
        <w:tab/>
        <w:t>2</w:t>
      </w:r>
    </w:p>
    <w:p w:rsidR="00753941" w:rsidRPr="005A3B1D" w:rsidRDefault="00753941">
      <w:pPr>
        <w:pStyle w:val="Innehll1"/>
      </w:pPr>
      <w:r w:rsidRPr="005A3B1D">
        <w:t>Avvikande meningar</w:t>
      </w:r>
      <w:r w:rsidRPr="005A3B1D">
        <w:tab/>
        <w:t>3</w:t>
      </w:r>
    </w:p>
    <w:p w:rsidR="00753941" w:rsidRPr="005A3B1D" w:rsidRDefault="00753941"/>
    <w:p w:rsidR="00753941" w:rsidRPr="005A3B1D" w:rsidRDefault="00753941">
      <w:pPr>
        <w:pStyle w:val="Tryckort"/>
        <w:framePr w:wrap="around"/>
      </w:pPr>
      <w:r w:rsidRPr="005A3B1D">
        <w:t>Elanders Gotab, Stockholm  2000</w:t>
      </w:r>
    </w:p>
    <w:p w:rsidR="00753941" w:rsidRPr="005A3B1D" w:rsidRDefault="00753941">
      <w:pPr>
        <w:pStyle w:val="Normaltindrag"/>
      </w:pPr>
    </w:p>
    <w:sectPr w:rsidR="00753941" w:rsidRPr="005A3B1D">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3941" w:rsidRPr="005A3B1D" w:rsidRDefault="00753941">
      <w:pPr>
        <w:spacing w:before="0" w:line="240" w:lineRule="auto"/>
      </w:pPr>
      <w:r w:rsidRPr="005A3B1D">
        <w:separator/>
      </w:r>
    </w:p>
  </w:endnote>
  <w:endnote w:type="continuationSeparator" w:id="0">
    <w:p w:rsidR="00753941" w:rsidRPr="005A3B1D" w:rsidRDefault="00753941">
      <w:pPr>
        <w:spacing w:before="0" w:line="240" w:lineRule="auto"/>
      </w:pPr>
      <w:r w:rsidRPr="005A3B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eGothic CondEighteen">
    <w:altName w:val="Calibri"/>
    <w:charset w:val="00"/>
    <w:family w:val="auto"/>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3941" w:rsidRPr="005A3B1D" w:rsidRDefault="00753941">
    <w:pPr>
      <w:pStyle w:val="SidfotH"/>
      <w:framePr w:wrap="around"/>
    </w:pPr>
    <w:r w:rsidRPr="005A3B1D">
      <w:fldChar w:fldCharType="begin" w:fldLock="1"/>
    </w:r>
    <w:r w:rsidRPr="005A3B1D">
      <w:instrText xml:space="preserve"> PAGE </w:instrText>
    </w:r>
    <w:r w:rsidRPr="005A3B1D">
      <w:fldChar w:fldCharType="separate"/>
    </w:r>
    <w:r w:rsidRPr="005A3B1D">
      <w:t>1</w:t>
    </w:r>
    <w:r w:rsidRPr="005A3B1D">
      <w:fldChar w:fldCharType="end"/>
    </w:r>
  </w:p>
  <w:p w:rsidR="00753941" w:rsidRPr="005A3B1D" w:rsidRDefault="0075394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3941" w:rsidRPr="005A3B1D" w:rsidRDefault="00753941">
    <w:pPr>
      <w:pStyle w:val="SidfotH"/>
      <w:framePr w:wrap="around"/>
    </w:pPr>
    <w:r w:rsidRPr="005A3B1D">
      <w:fldChar w:fldCharType="begin" w:fldLock="1"/>
    </w:r>
    <w:r w:rsidRPr="005A3B1D">
      <w:instrText xml:space="preserve"> PAGE </w:instrText>
    </w:r>
    <w:r w:rsidRPr="005A3B1D">
      <w:fldChar w:fldCharType="separate"/>
    </w:r>
    <w:r w:rsidRPr="005A3B1D">
      <w:t>4</w:t>
    </w:r>
    <w:r w:rsidRPr="005A3B1D">
      <w:fldChar w:fldCharType="end"/>
    </w:r>
  </w:p>
  <w:p w:rsidR="00753941" w:rsidRPr="005A3B1D" w:rsidRDefault="007539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3941" w:rsidRPr="005A3B1D" w:rsidRDefault="00753941">
      <w:pPr>
        <w:pStyle w:val="Sidfot"/>
      </w:pPr>
    </w:p>
  </w:footnote>
  <w:footnote w:type="continuationSeparator" w:id="0">
    <w:p w:rsidR="00753941" w:rsidRPr="005A3B1D" w:rsidRDefault="00753941">
      <w:pPr>
        <w:spacing w:before="0" w:line="240" w:lineRule="auto"/>
      </w:pPr>
      <w:r w:rsidRPr="005A3B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3941" w:rsidRPr="005A3B1D" w:rsidRDefault="00753941">
    <w:pPr>
      <w:pStyle w:val="SidhuvudKant"/>
      <w:framePr w:w="1758" w:h="2744" w:hRule="exact" w:wrap="around" w:vAnchor="page" w:hAnchor="page" w:x="7372" w:y="568" w:anchorLock="0"/>
    </w:pPr>
    <w:r w:rsidRPr="005A3B1D">
      <w:t>1999/2000:FöU6y</w:t>
    </w:r>
  </w:p>
  <w:p w:rsidR="00753941" w:rsidRPr="005A3B1D" w:rsidRDefault="00753941">
    <w:pPr>
      <w:pStyle w:val="SidhuvudKantBilaga"/>
      <w:framePr w:w="1758" w:h="2744" w:hRule="exact" w:wrap="around" w:vAnchor="page" w:hAnchor="page" w:x="7372" w:y="568" w:anchorLock="0"/>
    </w:pPr>
  </w:p>
  <w:p w:rsidR="00753941" w:rsidRPr="005A3B1D" w:rsidRDefault="00753941">
    <w:pPr>
      <w:pStyle w:val="SidhuvudKant"/>
      <w:framePr w:w="1758" w:h="2744" w:hRule="exact" w:wrap="around" w:vAnchor="page" w:hAnchor="page" w:x="7372" w:y="568" w:anchorLock="0"/>
    </w:pPr>
  </w:p>
  <w:p w:rsidR="00753941" w:rsidRPr="005A3B1D" w:rsidRDefault="0075394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3941" w:rsidRPr="005A3B1D" w:rsidRDefault="00753941">
    <w:pPr>
      <w:pStyle w:val="SidhuvudKant"/>
      <w:framePr w:w="1758" w:h="2744" w:hRule="exact" w:wrap="around" w:vAnchor="page" w:hAnchor="page" w:x="7372" w:y="568" w:anchorLock="0"/>
    </w:pPr>
    <w:r w:rsidRPr="005A3B1D">
      <w:t>1999/2000:FöU6y</w:t>
    </w:r>
  </w:p>
  <w:p w:rsidR="00753941" w:rsidRPr="005A3B1D" w:rsidRDefault="00753941">
    <w:pPr>
      <w:pStyle w:val="SidhuvudKantBilaga"/>
      <w:framePr w:w="1758" w:h="2744" w:hRule="exact" w:wrap="around" w:vAnchor="page" w:hAnchor="page" w:x="7372" w:y="568" w:anchorLock="0"/>
    </w:pPr>
  </w:p>
  <w:p w:rsidR="00753941" w:rsidRPr="005A3B1D" w:rsidRDefault="00753941">
    <w:pPr>
      <w:pStyle w:val="SidhuvudKant"/>
      <w:framePr w:w="1758" w:h="2744" w:hRule="exact" w:wrap="around" w:vAnchor="page" w:hAnchor="page" w:x="7372" w:y="568" w:anchorLock="0"/>
    </w:pPr>
  </w:p>
  <w:p w:rsidR="00753941" w:rsidRPr="005A3B1D" w:rsidRDefault="007539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2819B6"/>
    <w:multiLevelType w:val="singleLevel"/>
    <w:tmpl w:val="041D000F"/>
    <w:lvl w:ilvl="0">
      <w:start w:val="1"/>
      <w:numFmt w:val="decimal"/>
      <w:lvlText w:val="%1."/>
      <w:lvlJc w:val="left"/>
      <w:pPr>
        <w:tabs>
          <w:tab w:val="num" w:pos="360"/>
        </w:tabs>
        <w:ind w:left="360" w:hanging="360"/>
      </w:pPr>
      <w:rPr>
        <w:rFonts w:hint="default"/>
      </w:rPr>
    </w:lvl>
  </w:abstractNum>
  <w:num w:numId="1" w16cid:durableId="1095714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9900"/>
  </w:docVars>
  <w:rsids>
    <w:rsidRoot w:val="00FB5651"/>
    <w:rsid w:val="005A3B1D"/>
    <w:rsid w:val="00753941"/>
    <w:rsid w:val="00FB565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88A586-4752-48F8-962C-170C948DE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TabellHuvud">
    <w:name w:val="Tabell Huvud"/>
    <w:basedOn w:val="Normal"/>
    <w:pPr>
      <w:spacing w:before="0" w:line="160" w:lineRule="exact"/>
      <w:jc w:val="right"/>
    </w:pPr>
    <w:rPr>
      <w:rFonts w:ascii="TradeGothic CondEighteen" w:hAnsi="TradeGothic CondEighteen"/>
      <w:spacing w:val="4"/>
      <w:sz w:val="14"/>
    </w:rPr>
  </w:style>
  <w:style w:type="paragraph" w:customStyle="1" w:styleId="TabellRader">
    <w:name w:val="Tabell Rader"/>
    <w:basedOn w:val="Normal"/>
    <w:pPr>
      <w:spacing w:before="60" w:after="20" w:line="200" w:lineRule="exact"/>
      <w:jc w:val="right"/>
    </w:pPr>
    <w:rPr>
      <w:rFonts w:ascii="TradeGothic CondEighteen" w:hAnsi="TradeGothic CondEighteen"/>
      <w:spacing w:val="4"/>
      <w:sz w:val="16"/>
    </w:rPr>
  </w:style>
  <w:style w:type="paragraph" w:customStyle="1" w:styleId="TabellUnderrubrik">
    <w:name w:val="Tabell Underrubrik"/>
    <w:basedOn w:val="Normal"/>
    <w:next w:val="Brdtext"/>
    <w:pPr>
      <w:spacing w:before="0" w:after="120" w:line="200" w:lineRule="exact"/>
      <w:jc w:val="left"/>
    </w:pPr>
    <w:rPr>
      <w:rFonts w:ascii="TradeGothic" w:hAnsi="TradeGothic"/>
      <w:i/>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898</Words>
  <Characters>5588</Characters>
  <Application>Microsoft Office Word</Application>
  <DocSecurity>4</DocSecurity>
  <Lines>151</Lines>
  <Paragraphs>76</Paragraphs>
  <ScaleCrop>false</ScaleCrop>
  <HeadingPairs>
    <vt:vector size="4" baseType="variant">
      <vt:variant>
        <vt:lpstr>Title</vt:lpstr>
      </vt:variant>
      <vt:variant>
        <vt:i4>1</vt:i4>
      </vt:variant>
      <vt:variant>
        <vt:lpstr>Rubriker</vt:lpstr>
      </vt:variant>
      <vt:variant>
        <vt:i4>7</vt:i4>
      </vt:variant>
    </vt:vector>
  </HeadingPairs>
  <TitlesOfParts>
    <vt:vector size="8" baseType="lpstr">
      <vt:lpstr>Försvarsutskottets yttrande</vt:lpstr>
      <vt:lpstr>Till finansutskottet</vt:lpstr>
      <vt:lpstr>Försvarsutskottet</vt:lpstr>
      <vt:lpstr>    Regeringens förslag</vt:lpstr>
      <vt:lpstr>    Motionerna</vt:lpstr>
      <vt:lpstr>    Försvarsutskottets överväganden</vt:lpstr>
      <vt:lpstr>Avvikande meningar</vt:lpstr>
      <vt:lpstr>    Innehållsförteckning</vt:lpstr>
    </vt:vector>
  </TitlesOfParts>
  <Company>Riksdagen</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yttrande</dc:title>
  <dc:subject>Försvarsutskottets yttrande</dc:subject>
  <dc:creator>Riksdagen</dc:creator>
  <cp:keywords>Riksdagen</cp:keywords>
  <cp:lastModifiedBy>Lars Brink</cp:lastModifiedBy>
  <cp:revision>2</cp:revision>
  <cp:lastPrinted>2000-05-16T14:29:00Z</cp:lastPrinted>
  <dcterms:created xsi:type="dcterms:W3CDTF">2025-12-15T22:29:00Z</dcterms:created>
  <dcterms:modified xsi:type="dcterms:W3CDTF">2025-12-15T22:29:00Z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6y</vt:lpwstr>
  </property>
  <property fmtid="{D5CDD505-2E9C-101B-9397-08002B2CF9AE}" pid="3" name="Utskott">
    <vt:lpwstr>FöU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