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438B" w:rsidRPr="000F438B" w:rsidRDefault="000F438B">
      <w:pPr>
        <w:pStyle w:val="Frslagsrubrik"/>
      </w:pPr>
      <w:r w:rsidRPr="000F438B">
        <w:t>Förslag till riksdagsbeslut</w:t>
      </w:r>
    </w:p>
    <w:p w:rsidR="000F438B" w:rsidRPr="000F438B" w:rsidRDefault="000F438B">
      <w:pPr>
        <w:pStyle w:val="Hemstlatt"/>
      </w:pPr>
      <w:r w:rsidRPr="000F438B">
        <w:t>Riksdagen tillkännager för regeringen som sin mening vad som anförs i motionen om införande av en svensk motsvarighet till hab</w:t>
      </w:r>
      <w:r w:rsidRPr="000F438B">
        <w:t>e</w:t>
      </w:r>
      <w:r w:rsidRPr="000F438B">
        <w:t>as corpus-institutet.</w:t>
      </w:r>
    </w:p>
    <w:p w:rsidR="000F438B" w:rsidRPr="000F438B" w:rsidRDefault="000F438B">
      <w:pPr>
        <w:pStyle w:val="Rubrik1"/>
      </w:pPr>
      <w:r w:rsidRPr="000F438B">
        <w:t>Motivering</w:t>
      </w:r>
    </w:p>
    <w:p w:rsidR="000F438B" w:rsidRPr="000F438B" w:rsidRDefault="000F438B">
      <w:r w:rsidRPr="000F438B">
        <w:t>Ett fundament i alla rättsstater är skyddet mot olaga frihetsberövande eller andra former av inskränkt frihet som saknar rättslig grund. Tvångsmedel mot enskilda får tillgripas bara på sakliga grunder angivna i lag. Individens rätt till en rättslig prövning av tvångsmedlets sakliga grund, varaktighet och propo</w:t>
      </w:r>
      <w:r w:rsidRPr="000F438B">
        <w:t>r</w:t>
      </w:r>
      <w:r w:rsidRPr="000F438B">
        <w:t>tionalitet får inte åsidosättas. Tyvärr uppvisar svensk lag och rättsordning ibland generande brister i uppfyllandet av dessa allmängiltiga principer och får återkommande kritik från internationella organ.</w:t>
      </w:r>
    </w:p>
    <w:p w:rsidR="000F438B" w:rsidRPr="000F438B" w:rsidRDefault="000F438B">
      <w:pPr>
        <w:pStyle w:val="Normaltindrag"/>
      </w:pPr>
      <w:r w:rsidRPr="000F438B">
        <w:t>Ett exempel där Sverige tidigare kritiserats av människorättsorganisationer gäller långa häktningstider. Dessa problem har nu minskat, men Sverige är ändock ett av få jämförbara länder där den sammanlagda tiden en person kan sitta häktad inte omgärdas av tydliga regler. Domstolen måste regelbundet ompröv</w:t>
      </w:r>
      <w:r w:rsidRPr="000F438B">
        <w:t>a ett häktningsbeslut, vilket också kan överklagas till högre instans, men någon prövning av om den sammanlagda häktningstiden är rimlig finns det inte utrymme för. Så länge misstanke på sannolika skäl kvarstår kan häk</w:t>
      </w:r>
      <w:r w:rsidRPr="000F438B">
        <w:t>t</w:t>
      </w:r>
      <w:r w:rsidRPr="000F438B">
        <w:t>ningstiden lagligt sett förlängas, i teorin utan annan bortre gräns än brottets preskriptionstid. Därför behövs ett skydd för att den misstänkte inte ska utsä</w:t>
      </w:r>
      <w:r w:rsidRPr="000F438B">
        <w:t>t</w:t>
      </w:r>
      <w:r w:rsidRPr="000F438B">
        <w:t>tas för ett sammanlagt frihetsberövande som står i strid med grundlagens krav på rättegång ”utan oskäligt dröjsmål”.</w:t>
      </w:r>
    </w:p>
    <w:p w:rsidR="000F438B" w:rsidRPr="000F438B" w:rsidRDefault="000F438B">
      <w:pPr>
        <w:pStyle w:val="Normaltindrag"/>
      </w:pPr>
      <w:r w:rsidRPr="000F438B">
        <w:t>Förutom frihetsbe</w:t>
      </w:r>
      <w:r w:rsidRPr="000F438B">
        <w:t>rövande genom häktning eller fängelse finns andra fo</w:t>
      </w:r>
      <w:r w:rsidRPr="000F438B">
        <w:t>r</w:t>
      </w:r>
      <w:r w:rsidRPr="000F438B">
        <w:t xml:space="preserve">mer, som exempelvis tvångsomhändertagande av barn, missbrukare, vissa smittbärare med flera, vilket kan ske med stöd av olika lagar. Sådana ärenden prövas i regel i förvaltningsdomstolar och enligt de lagar där de föreskrivs. </w:t>
      </w:r>
      <w:r w:rsidRPr="000F438B">
        <w:lastRenderedPageBreak/>
        <w:t>Även här kan det i undantagsfall hända att grunderna för att tvångsmedlet tillämpas kommer i konflikt med individens rättssäkerhet.</w:t>
      </w:r>
    </w:p>
    <w:p w:rsidR="000F438B" w:rsidRPr="000F438B" w:rsidRDefault="000F438B">
      <w:pPr>
        <w:pStyle w:val="Normaltindrag"/>
      </w:pPr>
      <w:r w:rsidRPr="000F438B">
        <w:t>Därutöver förekommer olika former av påföljder eller sanktioner som inte är direkt frihetsberövande u</w:t>
      </w:r>
      <w:r w:rsidRPr="000F438B">
        <w:t>tan frihetsinskränkande, reseförbud eller förbud mot arbete m.m. liksom frysning av ekonomiska tillgångar som följd av mis</w:t>
      </w:r>
      <w:r w:rsidRPr="000F438B">
        <w:t>s</w:t>
      </w:r>
      <w:r w:rsidRPr="000F438B">
        <w:t>tänkt brottslighet, t.ex. terrorbrottslighet. Särskilt i sådana fall, där det av naturen är svårt att bevisa att brottslig verksamhet förekommer och där det ofta kan vara oklart vilket, om något, land eller internationellt organ som är upphov till misstanken och krav på laga prövning inom viss tid idag saknas, måste någon begränsning införas för att stärka rättssäkerheten för den enski</w:t>
      </w:r>
      <w:r w:rsidRPr="000F438B">
        <w:t>l</w:t>
      </w:r>
      <w:r w:rsidRPr="000F438B">
        <w:t>de.</w:t>
      </w:r>
    </w:p>
    <w:p w:rsidR="000F438B" w:rsidRPr="000F438B" w:rsidRDefault="000F438B">
      <w:pPr>
        <w:pStyle w:val="Normaltindrag"/>
      </w:pPr>
      <w:r w:rsidRPr="000F438B">
        <w:t>Folkpartiet har tidigare motionerat (bl.a. 2005/06:K430, ”Liberala spelre</w:t>
      </w:r>
      <w:r w:rsidRPr="000F438B">
        <w:t>g</w:t>
      </w:r>
      <w:r w:rsidRPr="000F438B">
        <w:t>ler för demokratin”) om att skyddet för individen bör värnas starkare i grun</w:t>
      </w:r>
      <w:r w:rsidRPr="000F438B">
        <w:t>d</w:t>
      </w:r>
      <w:r w:rsidRPr="000F438B">
        <w:t>lagen än idag, genom att i regeringsformen införa en princip om rätt till jur</w:t>
      </w:r>
      <w:r w:rsidRPr="000F438B">
        <w:t>i</w:t>
      </w:r>
      <w:r w:rsidRPr="000F438B">
        <w:t>disk prövning av ett frihetsinskränkandes lagenlighet och proportionalitet som är tillämpbar på alla former av frihetsberövande eller frihetsinskränkande tvångsmedel, endera när andra rättsliga möjligheter till prövning saknas eller när det av något annat skäl kan visas att ett rättsövergrepp är begånget. Denna princip ska inte ersätta ordinarie gång vid</w:t>
      </w:r>
      <w:r w:rsidRPr="000F438B">
        <w:t xml:space="preserve"> överklagande av beslut om tvång</w:t>
      </w:r>
      <w:r w:rsidRPr="000F438B">
        <w:t>s</w:t>
      </w:r>
      <w:r w:rsidRPr="000F438B">
        <w:t>medel utan täcka sådana fall där möjligheten till överklagande saknas eller där överklagandet är inskränkt till att pröva endast vissa delar av ett ärende och inte ifall tvångsmedlet är förenligt med individens rättigheter eller rimligt och proportionellt. Det kan också vara tillämpligt på rättsfall där möjlighet till resning saknas, men där omständigheterna ändå tydligt talar för att en dom avkunnats på felaktiga grunder.</w:t>
      </w:r>
    </w:p>
    <w:p w:rsidR="000F438B" w:rsidRPr="000F438B" w:rsidRDefault="000F438B">
      <w:pPr>
        <w:pStyle w:val="Normaltindrag"/>
      </w:pPr>
      <w:r w:rsidRPr="000F438B">
        <w:t>Denna princip kan liknas vid det rättsliga institute</w:t>
      </w:r>
      <w:r w:rsidRPr="000F438B">
        <w:t>t habeas corpus som f</w:t>
      </w:r>
      <w:r w:rsidRPr="000F438B">
        <w:t>ö</w:t>
      </w:r>
      <w:r w:rsidRPr="000F438B">
        <w:t>rekommer framför allt i anglosaxiska länder. Det anses där vara det kanske mest grundläggande skyddet främst mot frihetsberövande utan laglig grund men genom vissa utvidgningar skyddas också vissa andra rättigheter. I vissa fall kan habeas corpus-institutet även fungera för att försäkra att en individ som dömts av domstol har blivit dömd utan procedurella fel, när andra mö</w:t>
      </w:r>
      <w:r w:rsidRPr="000F438B">
        <w:t>j</w:t>
      </w:r>
      <w:r w:rsidRPr="000F438B">
        <w:t>ligheter att överklaga saknas.</w:t>
      </w:r>
    </w:p>
    <w:p w:rsidR="000F438B" w:rsidRPr="000F438B" w:rsidRDefault="000F438B">
      <w:pPr>
        <w:pStyle w:val="Normaltindrag"/>
      </w:pPr>
      <w:r w:rsidRPr="000F438B">
        <w:t>Behovet av frihetsberövande och också andra tvångsmedel, ytterst för att skydda med</w:t>
      </w:r>
      <w:r w:rsidRPr="000F438B">
        <w:t>borgarna, bör i rättssamhället balanseras av ett lika starkt skydd mot rättsövergrepp. Att införa habeas corpus-institutet med utvidgning till att omfatta även andra frihetsinskränkande tvångsåtgärder bör därför utredas i Sverige. Detta bör riksdagen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438B">
        <w:trPr>
          <w:cantSplit/>
        </w:trPr>
        <w:tc>
          <w:tcPr>
            <w:tcW w:w="3046" w:type="dxa"/>
          </w:tcPr>
          <w:p w:rsidR="000F438B" w:rsidRPr="000F438B" w:rsidRDefault="000F438B">
            <w:pPr>
              <w:pStyle w:val="UnderskriftDatum"/>
              <w:spacing w:before="240"/>
            </w:pPr>
            <w:r w:rsidRPr="000F438B">
              <w:t>Stockholm den 6 oktober 2009</w:t>
            </w:r>
          </w:p>
        </w:tc>
        <w:tc>
          <w:tcPr>
            <w:tcW w:w="3047" w:type="dxa"/>
          </w:tcPr>
          <w:p w:rsidR="000F438B" w:rsidRPr="000F438B" w:rsidRDefault="000F438B">
            <w:pPr>
              <w:pStyle w:val="Underskrifter"/>
              <w:spacing w:before="240"/>
            </w:pPr>
          </w:p>
        </w:tc>
      </w:tr>
      <w:tr w:rsidR="00000000" w:rsidRPr="000F438B">
        <w:trPr>
          <w:cantSplit/>
        </w:trPr>
        <w:tc>
          <w:tcPr>
            <w:tcW w:w="3046" w:type="dxa"/>
          </w:tcPr>
          <w:p w:rsidR="000F438B" w:rsidRPr="000F438B" w:rsidRDefault="000F438B">
            <w:pPr>
              <w:pStyle w:val="Underskrifter"/>
            </w:pPr>
            <w:r w:rsidRPr="000F438B">
              <w:t>Camilla Lindberg (fp)</w:t>
            </w:r>
          </w:p>
        </w:tc>
        <w:tc>
          <w:tcPr>
            <w:tcW w:w="3046" w:type="dxa"/>
          </w:tcPr>
          <w:p w:rsidR="000F438B" w:rsidRPr="000F438B" w:rsidRDefault="000F438B">
            <w:pPr>
              <w:pStyle w:val="Underskrifter"/>
            </w:pPr>
            <w:r w:rsidRPr="000F438B">
              <w:t>Agneta Berliner (fp)</w:t>
            </w:r>
          </w:p>
        </w:tc>
      </w:tr>
    </w:tbl>
    <w:p w:rsidR="000F438B" w:rsidRPr="000F438B" w:rsidRDefault="000F438B">
      <w:pPr>
        <w:pStyle w:val="Normaltindrag"/>
      </w:pPr>
    </w:p>
    <w:sectPr w:rsidR="00000000" w:rsidRPr="000F43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38B" w:rsidRPr="000F438B" w:rsidRDefault="000F438B">
      <w:r w:rsidRPr="000F438B">
        <w:separator/>
      </w:r>
    </w:p>
  </w:endnote>
  <w:endnote w:type="continuationSeparator" w:id="0">
    <w:p w:rsidR="000F438B" w:rsidRPr="000F438B" w:rsidRDefault="000F438B">
      <w:r w:rsidRPr="000F43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Sidfot"/>
    </w:pPr>
    <w:r w:rsidRPr="000F43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108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8B" w:rsidRDefault="000F43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38B" w:rsidRDefault="000F43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Sidfot"/>
    </w:pPr>
    <w:r w:rsidRPr="000F43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784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8B" w:rsidRDefault="000F4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38B" w:rsidRDefault="000F4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Sidfot"/>
    </w:pPr>
    <w:r w:rsidRPr="000F43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933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8B" w:rsidRDefault="000F4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38B" w:rsidRDefault="000F4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38B" w:rsidRPr="000F438B" w:rsidRDefault="000F438B">
      <w:r w:rsidRPr="000F438B">
        <w:separator/>
      </w:r>
    </w:p>
  </w:footnote>
  <w:footnote w:type="continuationSeparator" w:id="0">
    <w:p w:rsidR="000F438B" w:rsidRPr="000F438B" w:rsidRDefault="000F438B">
      <w:r w:rsidRPr="000F43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Sidhuvud"/>
    </w:pPr>
    <w:r w:rsidRPr="000F43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712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8B" w:rsidRDefault="000F43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38B" w:rsidRDefault="000F43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Sidhuvud"/>
    </w:pPr>
    <w:r w:rsidRPr="000F43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508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8B" w:rsidRDefault="000F43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38B" w:rsidRDefault="000F43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8B" w:rsidRPr="000F438B" w:rsidRDefault="000F438B">
    <w:pPr>
      <w:pStyle w:val="FSHNormal"/>
      <w:tabs>
        <w:tab w:val="right" w:pos="5840"/>
      </w:tabs>
    </w:pPr>
    <w:r w:rsidRPr="000F438B">
      <w:br/>
    </w:r>
    <w:r w:rsidRPr="000F438B">
      <w:fldChar w:fldCharType="begin" w:fldLock="1"/>
    </w:r>
    <w:r w:rsidRPr="000F438B">
      <w:instrText xml:space="preserve"> DOCPROPERTY</w:instrText>
    </w:r>
    <w:r w:rsidRPr="000F438B">
      <w:rPr>
        <w:sz w:val="18"/>
      </w:rPr>
      <w:instrText xml:space="preserve"> "YearUser" *\charformat </w:instrText>
    </w:r>
    <w:r w:rsidRPr="000F438B">
      <w:fldChar w:fldCharType="separate"/>
    </w:r>
    <w:r w:rsidRPr="000F438B">
      <w:t>2009/10</w:t>
    </w:r>
    <w:r w:rsidRPr="000F438B">
      <w:fldChar w:fldCharType="end"/>
    </w:r>
    <w:r w:rsidRPr="000F438B">
      <w:t xml:space="preserve"> </w:t>
    </w:r>
    <w:r w:rsidRPr="000F438B">
      <w:tab/>
      <w:t xml:space="preserve">mnr: </w:t>
    </w:r>
    <w:r w:rsidRPr="000F438B">
      <w:fldChar w:fldCharType="begin" w:fldLock="1"/>
    </w:r>
    <w:r w:rsidRPr="000F438B">
      <w:instrText xml:space="preserve"> DOCPROPERTY</w:instrText>
    </w:r>
    <w:r w:rsidRPr="000F438B">
      <w:rPr>
        <w:sz w:val="18"/>
      </w:rPr>
      <w:instrText xml:space="preserve"> "Motionsnummer" *\charformat </w:instrText>
    </w:r>
    <w:r w:rsidRPr="000F438B">
      <w:fldChar w:fldCharType="separate"/>
    </w:r>
    <w:r w:rsidRPr="000F438B">
      <w:t>K424</w:t>
    </w:r>
    <w:r w:rsidRPr="000F438B">
      <w:fldChar w:fldCharType="end"/>
    </w:r>
    <w:r w:rsidRPr="000F438B">
      <w:br/>
    </w:r>
    <w:r w:rsidRPr="000F438B">
      <w:fldChar w:fldCharType="begin" w:fldLock="1"/>
    </w:r>
    <w:r w:rsidRPr="000F438B">
      <w:instrText xml:space="preserve"> DOCPROPERTY</w:instrText>
    </w:r>
    <w:r w:rsidRPr="000F438B">
      <w:rPr>
        <w:sz w:val="18"/>
      </w:rPr>
      <w:instrText xml:space="preserve"> "Samling" *\charformat </w:instrText>
    </w:r>
    <w:r w:rsidRPr="000F438B">
      <w:fldChar w:fldCharType="end"/>
    </w:r>
    <w:r w:rsidRPr="000F438B">
      <w:tab/>
      <w:t xml:space="preserve">pnr: </w:t>
    </w:r>
    <w:r w:rsidRPr="000F438B">
      <w:fldChar w:fldCharType="begin" w:fldLock="1"/>
    </w:r>
    <w:r w:rsidRPr="000F438B">
      <w:instrText xml:space="preserve"> DOCPROPERTY</w:instrText>
    </w:r>
    <w:r w:rsidRPr="000F438B">
      <w:rPr>
        <w:sz w:val="18"/>
      </w:rPr>
      <w:instrText xml:space="preserve"> "Partinummer" *\charformat </w:instrText>
    </w:r>
    <w:r w:rsidRPr="000F438B">
      <w:fldChar w:fldCharType="separate"/>
    </w:r>
    <w:r w:rsidRPr="000F438B">
      <w:t>fp1088</w:t>
    </w:r>
    <w:r w:rsidRPr="000F438B">
      <w:fldChar w:fldCharType="end"/>
    </w:r>
  </w:p>
  <w:p w:rsidR="000F438B" w:rsidRPr="000F438B" w:rsidRDefault="000F438B">
    <w:pPr>
      <w:pStyle w:val="FSHRub1"/>
    </w:pPr>
    <w:r w:rsidRPr="000F438B">
      <w:t>Motion till riksdagen</w:t>
    </w:r>
    <w:r w:rsidRPr="000F438B">
      <w:br/>
    </w:r>
    <w:r w:rsidRPr="000F438B">
      <w:fldChar w:fldCharType="begin" w:fldLock="1"/>
    </w:r>
    <w:r w:rsidRPr="000F438B">
      <w:instrText xml:space="preserve"> DOCPROPERTY "YearUser" *\charformat </w:instrText>
    </w:r>
    <w:r w:rsidRPr="000F438B">
      <w:fldChar w:fldCharType="separate"/>
    </w:r>
    <w:r w:rsidRPr="000F438B">
      <w:t>2009/10</w:t>
    </w:r>
    <w:r w:rsidRPr="000F438B">
      <w:fldChar w:fldCharType="end"/>
    </w:r>
    <w:r w:rsidRPr="000F438B">
      <w:t>:</w:t>
    </w:r>
    <w:r w:rsidRPr="000F438B">
      <w:fldChar w:fldCharType="begin" w:fldLock="1"/>
    </w:r>
    <w:r w:rsidRPr="000F438B">
      <w:instrText xml:space="preserve"> DOCPROPERTY "Motionsnummer" *\charformat </w:instrText>
    </w:r>
    <w:r w:rsidRPr="000F438B">
      <w:fldChar w:fldCharType="separate"/>
    </w:r>
    <w:r w:rsidRPr="000F438B">
      <w:t>K424</w:t>
    </w:r>
    <w:r w:rsidRPr="000F438B">
      <w:fldChar w:fldCharType="end"/>
    </w:r>
  </w:p>
  <w:p w:rsidR="000F438B" w:rsidRPr="000F438B" w:rsidRDefault="000F438B">
    <w:pPr>
      <w:pStyle w:val="FSHNormalS5"/>
    </w:pPr>
    <w:r w:rsidRPr="000F438B">
      <w:fldChar w:fldCharType="begin" w:fldLock="1"/>
    </w:r>
    <w:r w:rsidRPr="000F438B">
      <w:instrText xml:space="preserve"> DOCPROPERTY "MotionarText" *\charformat </w:instrText>
    </w:r>
    <w:r w:rsidRPr="000F438B">
      <w:fldChar w:fldCharType="separate"/>
    </w:r>
    <w:r w:rsidRPr="000F438B">
      <w:t>av Camilla Lindberg och Agneta Berliner (fp)</w:t>
    </w:r>
    <w:r w:rsidRPr="000F438B">
      <w:fldChar w:fldCharType="end"/>
    </w:r>
    <w:r w:rsidRPr="000F438B">
      <w:br/>
    </w:r>
    <w:r w:rsidRPr="000F438B">
      <w:fldChar w:fldCharType="begin" w:fldLock="1"/>
    </w:r>
    <w:r w:rsidRPr="000F438B">
      <w:instrText xml:space="preserve"> DOCPROPERTY "SvarFrasKort" *\charformat </w:instrText>
    </w:r>
    <w:r w:rsidRPr="000F438B">
      <w:fldChar w:fldCharType="end"/>
    </w:r>
  </w:p>
  <w:p w:rsidR="000F438B" w:rsidRPr="000F438B" w:rsidRDefault="000F438B">
    <w:pPr>
      <w:pStyle w:val="FSHTitel"/>
    </w:pPr>
    <w:r w:rsidRPr="000F438B">
      <w:fldChar w:fldCharType="begin" w:fldLock="1"/>
    </w:r>
    <w:r w:rsidRPr="000F438B">
      <w:instrText xml:space="preserve"> DOCPROPERTY</w:instrText>
    </w:r>
    <w:r w:rsidRPr="000F438B">
      <w:rPr>
        <w:sz w:val="18"/>
      </w:rPr>
      <w:instrText xml:space="preserve"> "RubrikSvar" *\charformat </w:instrText>
    </w:r>
    <w:r w:rsidRPr="000F438B">
      <w:fldChar w:fldCharType="separate"/>
    </w:r>
    <w:r w:rsidRPr="000F438B">
      <w:t>En svensk motsvarighet till habeas corpus</w:t>
    </w:r>
    <w:r w:rsidRPr="000F438B">
      <w:fldChar w:fldCharType="end"/>
    </w:r>
  </w:p>
  <w:p w:rsidR="000F438B" w:rsidRPr="000F438B" w:rsidRDefault="000F438B">
    <w:pPr>
      <w:pStyle w:val="Normal00"/>
    </w:pPr>
  </w:p>
  <w:p w:rsidR="000F438B" w:rsidRPr="000F438B" w:rsidRDefault="000F43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1789410">
    <w:abstractNumId w:val="8"/>
  </w:num>
  <w:num w:numId="2" w16cid:durableId="541478306">
    <w:abstractNumId w:val="9"/>
  </w:num>
  <w:num w:numId="3" w16cid:durableId="76027357">
    <w:abstractNumId w:val="8"/>
  </w:num>
  <w:num w:numId="4" w16cid:durableId="90667501">
    <w:abstractNumId w:val="9"/>
  </w:num>
  <w:num w:numId="5" w16cid:durableId="993877727">
    <w:abstractNumId w:val="13"/>
  </w:num>
  <w:num w:numId="6" w16cid:durableId="1391735955">
    <w:abstractNumId w:val="10"/>
  </w:num>
  <w:num w:numId="7" w16cid:durableId="686954103">
    <w:abstractNumId w:val="11"/>
  </w:num>
  <w:num w:numId="8" w16cid:durableId="225409670">
    <w:abstractNumId w:val="12"/>
  </w:num>
  <w:num w:numId="9" w16cid:durableId="826021014">
    <w:abstractNumId w:val="8"/>
  </w:num>
  <w:num w:numId="10" w16cid:durableId="34356846">
    <w:abstractNumId w:val="3"/>
  </w:num>
  <w:num w:numId="11" w16cid:durableId="864362726">
    <w:abstractNumId w:val="2"/>
  </w:num>
  <w:num w:numId="12" w16cid:durableId="1266646338">
    <w:abstractNumId w:val="1"/>
  </w:num>
  <w:num w:numId="13" w16cid:durableId="307444007">
    <w:abstractNumId w:val="0"/>
  </w:num>
  <w:num w:numId="14" w16cid:durableId="1587567364">
    <w:abstractNumId w:val="9"/>
  </w:num>
  <w:num w:numId="15" w16cid:durableId="1867719521">
    <w:abstractNumId w:val="7"/>
  </w:num>
  <w:num w:numId="16" w16cid:durableId="1956326427">
    <w:abstractNumId w:val="6"/>
  </w:num>
  <w:num w:numId="17" w16cid:durableId="1327512054">
    <w:abstractNumId w:val="5"/>
  </w:num>
  <w:num w:numId="18" w16cid:durableId="1200436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579CE40E-51F1-4263-8950-5F909F9E9AC2},{DAD98723-96A2-4811-813A-08D52AC9C422}"/>
  </w:docVars>
  <w:rsids>
    <w:rsidRoot w:val="00B22B85"/>
    <w:rsid w:val="000F438B"/>
    <w:rsid w:val="00B22B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173816FE-D33E-4702-A6FB-733B3962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lang w:bidi="km-KH"/>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4818">
      <w:bodyDiv w:val="1"/>
      <w:marLeft w:val="0"/>
      <w:marRight w:val="0"/>
      <w:marTop w:val="0"/>
      <w:marBottom w:val="0"/>
      <w:divBdr>
        <w:top w:val="none" w:sz="0" w:space="0" w:color="auto"/>
        <w:left w:val="none" w:sz="0" w:space="0" w:color="auto"/>
        <w:bottom w:val="none" w:sz="0" w:space="0" w:color="auto"/>
        <w:right w:val="none" w:sz="0" w:space="0" w:color="auto"/>
      </w:divBdr>
      <w:divsChild>
        <w:div w:id="373241184">
          <w:marLeft w:val="-15"/>
          <w:marRight w:val="-15"/>
          <w:marTop w:val="0"/>
          <w:marBottom w:val="0"/>
          <w:divBdr>
            <w:top w:val="none" w:sz="0" w:space="0" w:color="auto"/>
            <w:left w:val="single" w:sz="6" w:space="0" w:color="DADADA"/>
            <w:bottom w:val="none" w:sz="0" w:space="0" w:color="auto"/>
            <w:right w:val="single" w:sz="6" w:space="0" w:color="DADADA"/>
          </w:divBdr>
          <w:divsChild>
            <w:div w:id="85810103">
              <w:marLeft w:val="0"/>
              <w:marRight w:val="0"/>
              <w:marTop w:val="0"/>
              <w:marBottom w:val="0"/>
              <w:divBdr>
                <w:top w:val="none" w:sz="0" w:space="0" w:color="auto"/>
                <w:left w:val="single" w:sz="48" w:space="0" w:color="FFFFFF"/>
                <w:bottom w:val="none" w:sz="0" w:space="0" w:color="auto"/>
                <w:right w:val="none" w:sz="0" w:space="0" w:color="auto"/>
              </w:divBdr>
              <w:divsChild>
                <w:div w:id="1833645960">
                  <w:marLeft w:val="-15"/>
                  <w:marRight w:val="-15"/>
                  <w:marTop w:val="0"/>
                  <w:marBottom w:val="0"/>
                  <w:divBdr>
                    <w:top w:val="none" w:sz="0" w:space="0" w:color="auto"/>
                    <w:left w:val="single" w:sz="6" w:space="0" w:color="F9C661"/>
                    <w:bottom w:val="none" w:sz="0" w:space="0" w:color="auto"/>
                    <w:right w:val="single" w:sz="6" w:space="0" w:color="DADADA"/>
                  </w:divBdr>
                  <w:divsChild>
                    <w:div w:id="2038461548">
                      <w:marLeft w:val="-30"/>
                      <w:marRight w:val="-45"/>
                      <w:marTop w:val="0"/>
                      <w:marBottom w:val="0"/>
                      <w:divBdr>
                        <w:top w:val="none" w:sz="0" w:space="0" w:color="auto"/>
                        <w:left w:val="none" w:sz="0" w:space="0" w:color="auto"/>
                        <w:bottom w:val="none" w:sz="0" w:space="0" w:color="auto"/>
                        <w:right w:val="none" w:sz="0" w:space="0" w:color="auto"/>
                      </w:divBdr>
                      <w:divsChild>
                        <w:div w:id="17934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3879</Characters>
  <Application>Microsoft Office Word</Application>
  <DocSecurity>4</DocSecurity>
  <Lines>68</Lines>
  <Paragraphs>15</Paragraphs>
  <ScaleCrop>false</ScaleCrop>
  <HeadingPairs>
    <vt:vector size="2" baseType="variant">
      <vt:variant>
        <vt:lpstr>Rubrik</vt:lpstr>
      </vt:variant>
      <vt:variant>
        <vt:i4>1</vt:i4>
      </vt:variant>
    </vt:vector>
  </HeadingPairs>
  <TitlesOfParts>
    <vt:vector size="1" baseType="lpstr">
      <vt:lpstr>fp1088</vt:lpstr>
    </vt:vector>
  </TitlesOfParts>
  <Company>Riksdagen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fp1088</dc:title>
  <dc:subject>fp1088</dc:subject>
  <dc:creator>Riksdagen</dc:creator>
  <cp:keywords>Riksdagen</cp:keywords>
  <dc:description>Nya formatmallshantering för förslag+urix bakåtkomp+könamn</dc:description>
  <cp:lastModifiedBy>Lars Brink</cp:lastModifiedBy>
  <cp:revision>2</cp:revision>
  <cp:lastPrinted>2010-02-03T08:41:00Z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En svensk motsvarighet till habeas corpus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svensk motsvarighet till habeas corpus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Lindberg och Agneta Berliner (fp)</vt:lpwstr>
  </property>
  <property fmtid="{D5CDD505-2E9C-101B-9397-08002B2CF9AE}" pid="26" name="MotionarLista">
    <vt:lpwstr>Lindberg, Camilla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20092010000001020112000010880069</vt:lpwstr>
  </property>
  <property fmtid="{D5CDD505-2E9C-101B-9397-08002B2CF9AE}" pid="47" name="datum">
    <vt:lpwstr>091006</vt:lpwstr>
  </property>
  <property fmtid="{D5CDD505-2E9C-101B-9397-08002B2CF9AE}" pid="48" name="avsändar-e-post">
    <vt:lpwstr>ulf.schyldt@riksdagen.se</vt:lpwstr>
  </property>
  <property fmtid="{D5CDD505-2E9C-101B-9397-08002B2CF9AE}" pid="49" name="id">
    <vt:lpwstr>20092010000001020112000010880069</vt:lpwstr>
  </property>
  <property fmtid="{D5CDD505-2E9C-101B-9397-08002B2CF9AE}" pid="50" name="nummer">
    <vt:lpwstr>424</vt:lpwstr>
  </property>
  <property fmtid="{D5CDD505-2E9C-101B-9397-08002B2CF9AE}" pid="51" name="utskottsbeteckning">
    <vt:lpwstr>K</vt:lpwstr>
  </property>
  <property fmtid="{D5CDD505-2E9C-101B-9397-08002B2CF9AE}" pid="52" name="GlobalUID">
    <vt:lpwstr>{59522024-5010-4862-870C-24ABBDAA8C2E}</vt:lpwstr>
  </property>
  <property fmtid="{D5CDD505-2E9C-101B-9397-08002B2CF9AE}" pid="53" name="Överföringar">
    <vt:i4>0</vt:i4>
  </property>
  <property fmtid="{D5CDD505-2E9C-101B-9397-08002B2CF9AE}" pid="54" name="Checksum">
    <vt:lpwstr>*1002889121745*</vt:lpwstr>
  </property>
  <property fmtid="{D5CDD505-2E9C-101B-9397-08002B2CF9AE}" pid="55" name="skuggnummer">
    <vt:lpwstr>3805</vt:lpwstr>
  </property>
  <property fmtid="{D5CDD505-2E9C-101B-9397-08002B2CF9AE}" pid="56" name="urixVersion">
    <vt:lpwstr>4.1.1.6</vt:lpwstr>
  </property>
  <property fmtid="{D5CDD505-2E9C-101B-9397-08002B2CF9AE}" pid="57" name="urixOrigin">
    <vt:lpwstr>100203 09:42:08.907</vt:lpwstr>
  </property>
  <property fmtid="{D5CDD505-2E9C-101B-9397-08002B2CF9AE}" pid="58" name="urixGuid">
    <vt:lpwstr>{AC650461-7C35-4F09-A0A7-EEEEFC2FEA12}</vt:lpwstr>
  </property>
</Properties>
</file>