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25 oktober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Effektiv ekonomistyrning i kommuner och regioner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2023 – Ytterligare försvarsmateriel till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Riksrevisorns årliga rapport 2023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EU:s kapitaltäcknings- och krishanteringsregelverk – några förtydliganden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utlåtande SkU9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förordning om fastställande av unionens tullkodex och inrättande av Europeiska unionens tullbyrå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krav på betaltjänstleverantörer att lämna uppgifter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skatteavtalet mellan Sverige och Tyskland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insatser för klimatanpassning av den byggda miljön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Ändrade bestämmelser om arbetstid för vattenverksamhet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gemensam laddningsstandard för viss radioutrustning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Effektivare luftkvalitetsarbete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46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oktober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2023-10-25</SAFIR_Sammantradesdatum_Doc>
    <SAFIR_SammantradeID xmlns="C07A1A6C-0B19-41D9-BDF8-F523BA3921EB">9a7a0ca5-5fa9-46b6-963c-c16d2fc68cfc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0C5E0A5F-D180-437C-8EC4-88B954E6E94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oktober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