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70463" w14:textId="77777777" w:rsidR="00FB32B9" w:rsidRDefault="00044FBB" w:rsidP="00FB32B9">
      <w:pPr>
        <w:pStyle w:val="UDrubrik"/>
        <w:tabs>
          <w:tab w:val="left" w:pos="1701"/>
          <w:tab w:val="left" w:pos="1985"/>
        </w:tabs>
        <w:rPr>
          <w:rFonts w:cs="Arial"/>
          <w:sz w:val="28"/>
        </w:rPr>
      </w:pPr>
      <w:bookmarkStart w:id="0" w:name="_GoBack"/>
      <w:bookmarkEnd w:id="0"/>
    </w:p>
    <w:p w14:paraId="04970464" w14:textId="77777777" w:rsidR="00FB32B9" w:rsidRDefault="00044FBB" w:rsidP="00FB32B9">
      <w:pPr>
        <w:pStyle w:val="UDrubrik"/>
        <w:tabs>
          <w:tab w:val="left" w:pos="1701"/>
          <w:tab w:val="left" w:pos="1985"/>
        </w:tabs>
        <w:rPr>
          <w:rFonts w:cs="Arial"/>
          <w:sz w:val="28"/>
        </w:rPr>
      </w:pPr>
    </w:p>
    <w:p w14:paraId="04970465" w14:textId="77777777" w:rsidR="00FB32B9" w:rsidRDefault="00044FBB" w:rsidP="00FB32B9">
      <w:pPr>
        <w:pStyle w:val="UDrubrik"/>
        <w:tabs>
          <w:tab w:val="left" w:pos="1701"/>
          <w:tab w:val="left" w:pos="1985"/>
        </w:tabs>
        <w:rPr>
          <w:rFonts w:cs="Arial"/>
          <w:sz w:val="28"/>
        </w:rPr>
      </w:pPr>
    </w:p>
    <w:p w14:paraId="04970466" w14:textId="77777777" w:rsidR="00FB32B9" w:rsidRDefault="00044FBB" w:rsidP="00FB32B9">
      <w:pPr>
        <w:pStyle w:val="UDrubrik"/>
        <w:tabs>
          <w:tab w:val="left" w:pos="1701"/>
          <w:tab w:val="left" w:pos="1985"/>
        </w:tabs>
        <w:rPr>
          <w:rFonts w:cs="Arial"/>
          <w:sz w:val="28"/>
        </w:rPr>
      </w:pPr>
    </w:p>
    <w:p w14:paraId="04970467" w14:textId="329B0D68" w:rsidR="00FB32B9" w:rsidRDefault="00A269B4"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567107">
        <w:rPr>
          <w:rFonts w:cs="Arial"/>
          <w:sz w:val="28"/>
        </w:rPr>
        <w:t>onsdagen den 2 och fredagen den 4 december 2015, vecka 49.</w:t>
      </w:r>
    </w:p>
    <w:p w14:paraId="04970468" w14:textId="77777777" w:rsidR="00FB32B9" w:rsidRDefault="00044FBB" w:rsidP="00FB32B9">
      <w:pPr>
        <w:pStyle w:val="Brdtext"/>
      </w:pPr>
    </w:p>
    <w:p w14:paraId="04970469" w14:textId="2A5047F5" w:rsidR="00FB32B9" w:rsidRDefault="00A269B4" w:rsidP="00FB32B9">
      <w:pPr>
        <w:pStyle w:val="Brdtext"/>
      </w:pPr>
      <w:r>
        <w:t xml:space="preserve">Överlämnas för skriftligt samråd till </w:t>
      </w:r>
      <w:r w:rsidR="00567107">
        <w:t>torsdagen den 3 december 2015, kl 08.30.</w:t>
      </w:r>
    </w:p>
    <w:p w14:paraId="0497046A" w14:textId="77777777" w:rsidR="00FB32B9" w:rsidRDefault="00A269B4">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497046B" w14:textId="77777777" w:rsidR="00D957FB" w:rsidRPr="00FB32B9" w:rsidRDefault="00A269B4">
          <w:pPr>
            <w:pStyle w:val="Innehllsfrteckningsrubrik"/>
            <w:rPr>
              <w:color w:val="auto"/>
            </w:rPr>
          </w:pPr>
          <w:r w:rsidRPr="00FB32B9">
            <w:rPr>
              <w:color w:val="auto"/>
            </w:rPr>
            <w:t>Innehållsförteckning</w:t>
          </w:r>
        </w:p>
        <w:p w14:paraId="0497046C" w14:textId="77777777" w:rsidR="00DA7250" w:rsidRPr="00DA7250" w:rsidRDefault="00044FBB" w:rsidP="00DA7250">
          <w:pPr>
            <w:rPr>
              <w:lang w:val="en-US" w:eastAsia="ja-JP"/>
            </w:rPr>
          </w:pPr>
        </w:p>
        <w:p w14:paraId="619A7541" w14:textId="77777777" w:rsidR="00951752" w:rsidRDefault="00A269B4">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6811490" w:history="1">
            <w:r w:rsidR="00951752" w:rsidRPr="00805FE8">
              <w:rPr>
                <w:rStyle w:val="Hyperlnk"/>
                <w:noProof/>
              </w:rPr>
              <w:t>1.</w:t>
            </w:r>
            <w:r w:rsidR="00951752">
              <w:rPr>
                <w:rFonts w:asciiTheme="minorHAnsi" w:eastAsiaTheme="minorEastAsia" w:hAnsiTheme="minorHAnsi" w:cstheme="minorBidi"/>
                <w:noProof/>
                <w:lang w:eastAsia="sv-SE"/>
              </w:rPr>
              <w:tab/>
            </w:r>
            <w:r w:rsidR="00951752" w:rsidRPr="00805FE8">
              <w:rPr>
                <w:rStyle w:val="Hyperlnk"/>
                <w:noProof/>
              </w:rPr>
              <w:t>Réponses aux questions écrites posées au Conseil par des membres du Parlement européen (+)</w:t>
            </w:r>
            <w:r w:rsidR="00951752">
              <w:rPr>
                <w:noProof/>
                <w:webHidden/>
              </w:rPr>
              <w:tab/>
            </w:r>
            <w:r w:rsidR="00951752">
              <w:rPr>
                <w:noProof/>
                <w:webHidden/>
              </w:rPr>
              <w:fldChar w:fldCharType="begin"/>
            </w:r>
            <w:r w:rsidR="00951752">
              <w:rPr>
                <w:noProof/>
                <w:webHidden/>
              </w:rPr>
              <w:instrText xml:space="preserve"> PAGEREF _Toc436811490 \h </w:instrText>
            </w:r>
            <w:r w:rsidR="00951752">
              <w:rPr>
                <w:noProof/>
                <w:webHidden/>
              </w:rPr>
            </w:r>
            <w:r w:rsidR="00951752">
              <w:rPr>
                <w:noProof/>
                <w:webHidden/>
              </w:rPr>
              <w:fldChar w:fldCharType="separate"/>
            </w:r>
            <w:r w:rsidR="00951752">
              <w:rPr>
                <w:noProof/>
                <w:webHidden/>
              </w:rPr>
              <w:t>4</w:t>
            </w:r>
            <w:r w:rsidR="00951752">
              <w:rPr>
                <w:noProof/>
                <w:webHidden/>
              </w:rPr>
              <w:fldChar w:fldCharType="end"/>
            </w:r>
          </w:hyperlink>
        </w:p>
        <w:p w14:paraId="7D913200" w14:textId="77777777" w:rsidR="00951752" w:rsidRDefault="00044FBB">
          <w:pPr>
            <w:pStyle w:val="Innehll1"/>
            <w:tabs>
              <w:tab w:val="left" w:pos="440"/>
              <w:tab w:val="right" w:leader="dot" w:pos="9062"/>
            </w:tabs>
            <w:rPr>
              <w:rFonts w:asciiTheme="minorHAnsi" w:eastAsiaTheme="minorEastAsia" w:hAnsiTheme="minorHAnsi" w:cstheme="minorBidi"/>
              <w:noProof/>
              <w:lang w:eastAsia="sv-SE"/>
            </w:rPr>
          </w:pPr>
          <w:hyperlink w:anchor="_Toc436811491" w:history="1">
            <w:r w:rsidR="00951752" w:rsidRPr="00805FE8">
              <w:rPr>
                <w:rStyle w:val="Hyperlnk"/>
                <w:noProof/>
              </w:rPr>
              <w:t>2.</w:t>
            </w:r>
            <w:r w:rsidR="00951752">
              <w:rPr>
                <w:rFonts w:asciiTheme="minorHAnsi" w:eastAsiaTheme="minorEastAsia" w:hAnsiTheme="minorHAnsi" w:cstheme="minorBidi"/>
                <w:noProof/>
                <w:lang w:eastAsia="sv-SE"/>
              </w:rPr>
              <w:tab/>
            </w:r>
            <w:r w:rsidR="00951752" w:rsidRPr="00805FE8">
              <w:rPr>
                <w:rStyle w:val="Hyperlnk"/>
                <w:noProof/>
              </w:rPr>
              <w:t>Règlement ( (UE) …/… de la Commission du XXX modifiant les annexes II et III du règlement (CE) nº 396/2005 du Parlement européen et du Conseil en ce qui concerne les limites maximales applicables aux résidus de boscalid, de clothianidine, de thiamethoxam, de folpet et de tolclofos-méthyl présents dans ou sur certains produits</w:t>
            </w:r>
            <w:r w:rsidR="00951752">
              <w:rPr>
                <w:noProof/>
                <w:webHidden/>
              </w:rPr>
              <w:tab/>
            </w:r>
            <w:r w:rsidR="00951752">
              <w:rPr>
                <w:noProof/>
                <w:webHidden/>
              </w:rPr>
              <w:fldChar w:fldCharType="begin"/>
            </w:r>
            <w:r w:rsidR="00951752">
              <w:rPr>
                <w:noProof/>
                <w:webHidden/>
              </w:rPr>
              <w:instrText xml:space="preserve"> PAGEREF _Toc436811491 \h </w:instrText>
            </w:r>
            <w:r w:rsidR="00951752">
              <w:rPr>
                <w:noProof/>
                <w:webHidden/>
              </w:rPr>
            </w:r>
            <w:r w:rsidR="00951752">
              <w:rPr>
                <w:noProof/>
                <w:webHidden/>
              </w:rPr>
              <w:fldChar w:fldCharType="separate"/>
            </w:r>
            <w:r w:rsidR="00951752">
              <w:rPr>
                <w:noProof/>
                <w:webHidden/>
              </w:rPr>
              <w:t>4</w:t>
            </w:r>
            <w:r w:rsidR="00951752">
              <w:rPr>
                <w:noProof/>
                <w:webHidden/>
              </w:rPr>
              <w:fldChar w:fldCharType="end"/>
            </w:r>
          </w:hyperlink>
        </w:p>
        <w:p w14:paraId="46381FB6" w14:textId="77777777" w:rsidR="00951752" w:rsidRDefault="00044FBB">
          <w:pPr>
            <w:pStyle w:val="Innehll1"/>
            <w:tabs>
              <w:tab w:val="left" w:pos="440"/>
              <w:tab w:val="right" w:leader="dot" w:pos="9062"/>
            </w:tabs>
            <w:rPr>
              <w:rFonts w:asciiTheme="minorHAnsi" w:eastAsiaTheme="minorEastAsia" w:hAnsiTheme="minorHAnsi" w:cstheme="minorBidi"/>
              <w:noProof/>
              <w:lang w:eastAsia="sv-SE"/>
            </w:rPr>
          </w:pPr>
          <w:hyperlink w:anchor="_Toc436811492" w:history="1">
            <w:r w:rsidR="00951752" w:rsidRPr="00805FE8">
              <w:rPr>
                <w:rStyle w:val="Hyperlnk"/>
                <w:noProof/>
              </w:rPr>
              <w:t>3.</w:t>
            </w:r>
            <w:r w:rsidR="00951752">
              <w:rPr>
                <w:rFonts w:asciiTheme="minorHAnsi" w:eastAsiaTheme="minorEastAsia" w:hAnsiTheme="minorHAnsi" w:cstheme="minorBidi"/>
                <w:noProof/>
                <w:lang w:eastAsia="sv-SE"/>
              </w:rPr>
              <w:tab/>
            </w:r>
            <w:r w:rsidR="00951752" w:rsidRPr="00805FE8">
              <w:rPr>
                <w:rStyle w:val="Hyperlnk"/>
                <w:noProof/>
              </w:rPr>
              <w:t>Règlement (UE) …/… de la Commission du XXX modifiant les annexes II, III et V du règlement (CE) nº 396/2005 du Parlement européen et du Conseil en ce qui concerne les limites maximales applicables aux résidus d’amétoctradine, de chlorothalonil, de diphénylamine, de flonicamide, de fluazinam, de fluoxastrobine, de halauxifène-méthyl, de propamocarbe, de prothioconazole, de thiaclopride et de trifloxystrobine présents dans ou sur certains produits</w:t>
            </w:r>
            <w:r w:rsidR="00951752">
              <w:rPr>
                <w:noProof/>
                <w:webHidden/>
              </w:rPr>
              <w:tab/>
            </w:r>
            <w:r w:rsidR="00951752">
              <w:rPr>
                <w:noProof/>
                <w:webHidden/>
              </w:rPr>
              <w:fldChar w:fldCharType="begin"/>
            </w:r>
            <w:r w:rsidR="00951752">
              <w:rPr>
                <w:noProof/>
                <w:webHidden/>
              </w:rPr>
              <w:instrText xml:space="preserve"> PAGEREF _Toc436811492 \h </w:instrText>
            </w:r>
            <w:r w:rsidR="00951752">
              <w:rPr>
                <w:noProof/>
                <w:webHidden/>
              </w:rPr>
            </w:r>
            <w:r w:rsidR="00951752">
              <w:rPr>
                <w:noProof/>
                <w:webHidden/>
              </w:rPr>
              <w:fldChar w:fldCharType="separate"/>
            </w:r>
            <w:r w:rsidR="00951752">
              <w:rPr>
                <w:noProof/>
                <w:webHidden/>
              </w:rPr>
              <w:t>5</w:t>
            </w:r>
            <w:r w:rsidR="00951752">
              <w:rPr>
                <w:noProof/>
                <w:webHidden/>
              </w:rPr>
              <w:fldChar w:fldCharType="end"/>
            </w:r>
          </w:hyperlink>
        </w:p>
        <w:p w14:paraId="722570BE" w14:textId="77777777" w:rsidR="00951752" w:rsidRDefault="00044FBB">
          <w:pPr>
            <w:pStyle w:val="Innehll1"/>
            <w:tabs>
              <w:tab w:val="left" w:pos="440"/>
              <w:tab w:val="right" w:leader="dot" w:pos="9062"/>
            </w:tabs>
            <w:rPr>
              <w:rFonts w:asciiTheme="minorHAnsi" w:eastAsiaTheme="minorEastAsia" w:hAnsiTheme="minorHAnsi" w:cstheme="minorBidi"/>
              <w:noProof/>
              <w:lang w:eastAsia="sv-SE"/>
            </w:rPr>
          </w:pPr>
          <w:hyperlink w:anchor="_Toc436811493" w:history="1">
            <w:r w:rsidR="00951752" w:rsidRPr="00805FE8">
              <w:rPr>
                <w:rStyle w:val="Hyperlnk"/>
                <w:noProof/>
              </w:rPr>
              <w:t>4.</w:t>
            </w:r>
            <w:r w:rsidR="00951752">
              <w:rPr>
                <w:rFonts w:asciiTheme="minorHAnsi" w:eastAsiaTheme="minorEastAsia" w:hAnsiTheme="minorHAnsi" w:cstheme="minorBidi"/>
                <w:noProof/>
                <w:lang w:eastAsia="sv-SE"/>
              </w:rPr>
              <w:tab/>
            </w:r>
            <w:r w:rsidR="00951752" w:rsidRPr="00805FE8">
              <w:rPr>
                <w:rStyle w:val="Hyperlnk"/>
                <w:noProof/>
              </w:rPr>
              <w:t>Règlement (UE) …/… de la Commission du XXX modifiant l’annexe du règlement (UE) nº 579/2014 instituant une dérogation à certaines dispositions de l’annexe II du règlement (CE) nº 852/2004 du Parlement européen et du Conseil en ce qui concerne le transport par mer d’huiles et graisses liquides</w:t>
            </w:r>
            <w:r w:rsidR="00951752">
              <w:rPr>
                <w:noProof/>
                <w:webHidden/>
              </w:rPr>
              <w:tab/>
            </w:r>
            <w:r w:rsidR="00951752">
              <w:rPr>
                <w:noProof/>
                <w:webHidden/>
              </w:rPr>
              <w:fldChar w:fldCharType="begin"/>
            </w:r>
            <w:r w:rsidR="00951752">
              <w:rPr>
                <w:noProof/>
                <w:webHidden/>
              </w:rPr>
              <w:instrText xml:space="preserve"> PAGEREF _Toc436811493 \h </w:instrText>
            </w:r>
            <w:r w:rsidR="00951752">
              <w:rPr>
                <w:noProof/>
                <w:webHidden/>
              </w:rPr>
            </w:r>
            <w:r w:rsidR="00951752">
              <w:rPr>
                <w:noProof/>
                <w:webHidden/>
              </w:rPr>
              <w:fldChar w:fldCharType="separate"/>
            </w:r>
            <w:r w:rsidR="00951752">
              <w:rPr>
                <w:noProof/>
                <w:webHidden/>
              </w:rPr>
              <w:t>5</w:t>
            </w:r>
            <w:r w:rsidR="00951752">
              <w:rPr>
                <w:noProof/>
                <w:webHidden/>
              </w:rPr>
              <w:fldChar w:fldCharType="end"/>
            </w:r>
          </w:hyperlink>
        </w:p>
        <w:p w14:paraId="21630AE2" w14:textId="77777777" w:rsidR="00951752" w:rsidRDefault="00044FBB">
          <w:pPr>
            <w:pStyle w:val="Innehll1"/>
            <w:tabs>
              <w:tab w:val="left" w:pos="440"/>
              <w:tab w:val="right" w:leader="dot" w:pos="9062"/>
            </w:tabs>
            <w:rPr>
              <w:rFonts w:asciiTheme="minorHAnsi" w:eastAsiaTheme="minorEastAsia" w:hAnsiTheme="minorHAnsi" w:cstheme="minorBidi"/>
              <w:noProof/>
              <w:lang w:eastAsia="sv-SE"/>
            </w:rPr>
          </w:pPr>
          <w:hyperlink w:anchor="_Toc436811494" w:history="1">
            <w:r w:rsidR="00951752" w:rsidRPr="00805FE8">
              <w:rPr>
                <w:rStyle w:val="Hyperlnk"/>
                <w:noProof/>
              </w:rPr>
              <w:t>5.</w:t>
            </w:r>
            <w:r w:rsidR="00951752">
              <w:rPr>
                <w:rFonts w:asciiTheme="minorHAnsi" w:eastAsiaTheme="minorEastAsia" w:hAnsiTheme="minorHAnsi" w:cstheme="minorBidi"/>
                <w:noProof/>
                <w:lang w:eastAsia="sv-SE"/>
              </w:rPr>
              <w:tab/>
            </w:r>
            <w:r w:rsidR="00951752" w:rsidRPr="00805FE8">
              <w:rPr>
                <w:rStyle w:val="Hyperlnk"/>
                <w:noProof/>
              </w:rPr>
              <w:t>Règlement (UE) …/… du XXX modifiant l'annexe I du règlement (CE) nº 1334/2008 du Parlement européen et du Conseil en ce qui concerne la suppression de certaines substances aromatisantes de la liste de l'Union</w:t>
            </w:r>
            <w:r w:rsidR="00951752">
              <w:rPr>
                <w:noProof/>
                <w:webHidden/>
              </w:rPr>
              <w:tab/>
            </w:r>
            <w:r w:rsidR="00951752">
              <w:rPr>
                <w:noProof/>
                <w:webHidden/>
              </w:rPr>
              <w:fldChar w:fldCharType="begin"/>
            </w:r>
            <w:r w:rsidR="00951752">
              <w:rPr>
                <w:noProof/>
                <w:webHidden/>
              </w:rPr>
              <w:instrText xml:space="preserve"> PAGEREF _Toc436811494 \h </w:instrText>
            </w:r>
            <w:r w:rsidR="00951752">
              <w:rPr>
                <w:noProof/>
                <w:webHidden/>
              </w:rPr>
            </w:r>
            <w:r w:rsidR="00951752">
              <w:rPr>
                <w:noProof/>
                <w:webHidden/>
              </w:rPr>
              <w:fldChar w:fldCharType="separate"/>
            </w:r>
            <w:r w:rsidR="00951752">
              <w:rPr>
                <w:noProof/>
                <w:webHidden/>
              </w:rPr>
              <w:t>5</w:t>
            </w:r>
            <w:r w:rsidR="00951752">
              <w:rPr>
                <w:noProof/>
                <w:webHidden/>
              </w:rPr>
              <w:fldChar w:fldCharType="end"/>
            </w:r>
          </w:hyperlink>
        </w:p>
        <w:p w14:paraId="6FA53C1E" w14:textId="77777777" w:rsidR="00951752" w:rsidRDefault="00044FBB">
          <w:pPr>
            <w:pStyle w:val="Innehll1"/>
            <w:tabs>
              <w:tab w:val="left" w:pos="440"/>
              <w:tab w:val="right" w:leader="dot" w:pos="9062"/>
            </w:tabs>
            <w:rPr>
              <w:rFonts w:asciiTheme="minorHAnsi" w:eastAsiaTheme="minorEastAsia" w:hAnsiTheme="minorHAnsi" w:cstheme="minorBidi"/>
              <w:noProof/>
              <w:lang w:eastAsia="sv-SE"/>
            </w:rPr>
          </w:pPr>
          <w:hyperlink w:anchor="_Toc436811495" w:history="1">
            <w:r w:rsidR="00951752" w:rsidRPr="00805FE8">
              <w:rPr>
                <w:rStyle w:val="Hyperlnk"/>
                <w:noProof/>
              </w:rPr>
              <w:t>6.</w:t>
            </w:r>
            <w:r w:rsidR="00951752">
              <w:rPr>
                <w:rFonts w:asciiTheme="minorHAnsi" w:eastAsiaTheme="minorEastAsia" w:hAnsiTheme="minorHAnsi" w:cstheme="minorBidi"/>
                <w:noProof/>
                <w:lang w:eastAsia="sv-SE"/>
              </w:rPr>
              <w:tab/>
            </w:r>
            <w:r w:rsidR="00951752" w:rsidRPr="00805FE8">
              <w:rPr>
                <w:rStyle w:val="Hyperlnk"/>
                <w:noProof/>
              </w:rPr>
              <w:t>Règlement (UE) …/… de la Commission du XXX modifiant l'annexe I du règlement (CE) n° 1334/2008 du Parlement européen et du Conseil en ce qui concerne certaines substances aromatisantes</w:t>
            </w:r>
            <w:r w:rsidR="00951752">
              <w:rPr>
                <w:noProof/>
                <w:webHidden/>
              </w:rPr>
              <w:tab/>
            </w:r>
            <w:r w:rsidR="00951752">
              <w:rPr>
                <w:noProof/>
                <w:webHidden/>
              </w:rPr>
              <w:fldChar w:fldCharType="begin"/>
            </w:r>
            <w:r w:rsidR="00951752">
              <w:rPr>
                <w:noProof/>
                <w:webHidden/>
              </w:rPr>
              <w:instrText xml:space="preserve"> PAGEREF _Toc436811495 \h </w:instrText>
            </w:r>
            <w:r w:rsidR="00951752">
              <w:rPr>
                <w:noProof/>
                <w:webHidden/>
              </w:rPr>
            </w:r>
            <w:r w:rsidR="00951752">
              <w:rPr>
                <w:noProof/>
                <w:webHidden/>
              </w:rPr>
              <w:fldChar w:fldCharType="separate"/>
            </w:r>
            <w:r w:rsidR="00951752">
              <w:rPr>
                <w:noProof/>
                <w:webHidden/>
              </w:rPr>
              <w:t>5</w:t>
            </w:r>
            <w:r w:rsidR="00951752">
              <w:rPr>
                <w:noProof/>
                <w:webHidden/>
              </w:rPr>
              <w:fldChar w:fldCharType="end"/>
            </w:r>
          </w:hyperlink>
        </w:p>
        <w:p w14:paraId="310037B2" w14:textId="77777777" w:rsidR="00951752" w:rsidRDefault="00044FBB">
          <w:pPr>
            <w:pStyle w:val="Innehll1"/>
            <w:tabs>
              <w:tab w:val="left" w:pos="440"/>
              <w:tab w:val="right" w:leader="dot" w:pos="9062"/>
            </w:tabs>
            <w:rPr>
              <w:rFonts w:asciiTheme="minorHAnsi" w:eastAsiaTheme="minorEastAsia" w:hAnsiTheme="minorHAnsi" w:cstheme="minorBidi"/>
              <w:noProof/>
              <w:lang w:eastAsia="sv-SE"/>
            </w:rPr>
          </w:pPr>
          <w:hyperlink w:anchor="_Toc436811496" w:history="1">
            <w:r w:rsidR="00951752" w:rsidRPr="00805FE8">
              <w:rPr>
                <w:rStyle w:val="Hyperlnk"/>
                <w:noProof/>
              </w:rPr>
              <w:t>7.</w:t>
            </w:r>
            <w:r w:rsidR="00951752">
              <w:rPr>
                <w:rFonts w:asciiTheme="minorHAnsi" w:eastAsiaTheme="minorEastAsia" w:hAnsiTheme="minorHAnsi" w:cstheme="minorBidi"/>
                <w:noProof/>
                <w:lang w:eastAsia="sv-SE"/>
              </w:rPr>
              <w:tab/>
            </w:r>
            <w:r w:rsidR="00951752" w:rsidRPr="00805FE8">
              <w:rPr>
                <w:rStyle w:val="Hyperlnk"/>
                <w:noProof/>
              </w:rPr>
              <w:t>Règlement (UE) …/… de la Commission du XXX modifiant le règlement (CE) nº 1881/2006 en ce qui concerne les teneurs maximales en alcaloïdes tropaniques dans certains aliments à base de céréales pour nourrissons et enfants en bas âge</w:t>
            </w:r>
            <w:r w:rsidR="00951752">
              <w:rPr>
                <w:noProof/>
                <w:webHidden/>
              </w:rPr>
              <w:tab/>
            </w:r>
            <w:r w:rsidR="00951752">
              <w:rPr>
                <w:noProof/>
                <w:webHidden/>
              </w:rPr>
              <w:fldChar w:fldCharType="begin"/>
            </w:r>
            <w:r w:rsidR="00951752">
              <w:rPr>
                <w:noProof/>
                <w:webHidden/>
              </w:rPr>
              <w:instrText xml:space="preserve"> PAGEREF _Toc436811496 \h </w:instrText>
            </w:r>
            <w:r w:rsidR="00951752">
              <w:rPr>
                <w:noProof/>
                <w:webHidden/>
              </w:rPr>
            </w:r>
            <w:r w:rsidR="00951752">
              <w:rPr>
                <w:noProof/>
                <w:webHidden/>
              </w:rPr>
              <w:fldChar w:fldCharType="separate"/>
            </w:r>
            <w:r w:rsidR="00951752">
              <w:rPr>
                <w:noProof/>
                <w:webHidden/>
              </w:rPr>
              <w:t>6</w:t>
            </w:r>
            <w:r w:rsidR="00951752">
              <w:rPr>
                <w:noProof/>
                <w:webHidden/>
              </w:rPr>
              <w:fldChar w:fldCharType="end"/>
            </w:r>
          </w:hyperlink>
        </w:p>
        <w:p w14:paraId="7065779C" w14:textId="77777777" w:rsidR="00951752" w:rsidRDefault="00044FBB">
          <w:pPr>
            <w:pStyle w:val="Innehll1"/>
            <w:tabs>
              <w:tab w:val="left" w:pos="440"/>
              <w:tab w:val="right" w:leader="dot" w:pos="9062"/>
            </w:tabs>
            <w:rPr>
              <w:rFonts w:asciiTheme="minorHAnsi" w:eastAsiaTheme="minorEastAsia" w:hAnsiTheme="minorHAnsi" w:cstheme="minorBidi"/>
              <w:noProof/>
              <w:lang w:eastAsia="sv-SE"/>
            </w:rPr>
          </w:pPr>
          <w:hyperlink w:anchor="_Toc436811497" w:history="1">
            <w:r w:rsidR="00951752" w:rsidRPr="00805FE8">
              <w:rPr>
                <w:rStyle w:val="Hyperlnk"/>
                <w:noProof/>
              </w:rPr>
              <w:t>8.</w:t>
            </w:r>
            <w:r w:rsidR="00951752">
              <w:rPr>
                <w:rFonts w:asciiTheme="minorHAnsi" w:eastAsiaTheme="minorEastAsia" w:hAnsiTheme="minorHAnsi" w:cstheme="minorBidi"/>
                <w:noProof/>
                <w:lang w:eastAsia="sv-SE"/>
              </w:rPr>
              <w:tab/>
            </w:r>
            <w:r w:rsidR="00951752" w:rsidRPr="00805FE8">
              <w:rPr>
                <w:rStyle w:val="Hyperlnk"/>
                <w:noProof/>
              </w:rPr>
              <w:t>Autorisation á la Commission européenne pour signer la déclaration conjointe de l' Initiative pour la forêt de l'Afrique centrale (CAFI)</w:t>
            </w:r>
            <w:r w:rsidR="00951752">
              <w:rPr>
                <w:noProof/>
                <w:webHidden/>
              </w:rPr>
              <w:tab/>
            </w:r>
            <w:r w:rsidR="00951752">
              <w:rPr>
                <w:noProof/>
                <w:webHidden/>
              </w:rPr>
              <w:fldChar w:fldCharType="begin"/>
            </w:r>
            <w:r w:rsidR="00951752">
              <w:rPr>
                <w:noProof/>
                <w:webHidden/>
              </w:rPr>
              <w:instrText xml:space="preserve"> PAGEREF _Toc436811497 \h </w:instrText>
            </w:r>
            <w:r w:rsidR="00951752">
              <w:rPr>
                <w:noProof/>
                <w:webHidden/>
              </w:rPr>
            </w:r>
            <w:r w:rsidR="00951752">
              <w:rPr>
                <w:noProof/>
                <w:webHidden/>
              </w:rPr>
              <w:fldChar w:fldCharType="separate"/>
            </w:r>
            <w:r w:rsidR="00951752">
              <w:rPr>
                <w:noProof/>
                <w:webHidden/>
              </w:rPr>
              <w:t>6</w:t>
            </w:r>
            <w:r w:rsidR="00951752">
              <w:rPr>
                <w:noProof/>
                <w:webHidden/>
              </w:rPr>
              <w:fldChar w:fldCharType="end"/>
            </w:r>
          </w:hyperlink>
        </w:p>
        <w:p w14:paraId="7FAA949A" w14:textId="77777777" w:rsidR="00951752" w:rsidRDefault="00044FBB">
          <w:pPr>
            <w:pStyle w:val="Innehll1"/>
            <w:tabs>
              <w:tab w:val="left" w:pos="440"/>
              <w:tab w:val="right" w:leader="dot" w:pos="9062"/>
            </w:tabs>
            <w:rPr>
              <w:rFonts w:asciiTheme="minorHAnsi" w:eastAsiaTheme="minorEastAsia" w:hAnsiTheme="minorHAnsi" w:cstheme="minorBidi"/>
              <w:noProof/>
              <w:lang w:eastAsia="sv-SE"/>
            </w:rPr>
          </w:pPr>
          <w:hyperlink w:anchor="_Toc436811498" w:history="1">
            <w:r w:rsidR="00951752" w:rsidRPr="00805FE8">
              <w:rPr>
                <w:rStyle w:val="Hyperlnk"/>
                <w:noProof/>
              </w:rPr>
              <w:t>9.</w:t>
            </w:r>
            <w:r w:rsidR="00951752">
              <w:rPr>
                <w:rFonts w:asciiTheme="minorHAnsi" w:eastAsiaTheme="minorEastAsia" w:hAnsiTheme="minorHAnsi" w:cstheme="minorBidi"/>
                <w:noProof/>
                <w:lang w:eastAsia="sv-SE"/>
              </w:rPr>
              <w:tab/>
            </w:r>
            <w:r w:rsidR="00951752" w:rsidRPr="00805FE8">
              <w:rPr>
                <w:rStyle w:val="Hyperlnk"/>
                <w:noProof/>
              </w:rPr>
              <w:t>Projet de règlement du Parlement européen et du Conseil relatif à l'Agence de l'Union européenne pour les chemins de fer et abrogeant le règlement (CE) n° 881/2004 (première lecture) (AL)</w:t>
            </w:r>
            <w:r w:rsidR="00951752">
              <w:rPr>
                <w:noProof/>
                <w:webHidden/>
              </w:rPr>
              <w:tab/>
            </w:r>
            <w:r w:rsidR="00951752">
              <w:rPr>
                <w:noProof/>
                <w:webHidden/>
              </w:rPr>
              <w:fldChar w:fldCharType="begin"/>
            </w:r>
            <w:r w:rsidR="00951752">
              <w:rPr>
                <w:noProof/>
                <w:webHidden/>
              </w:rPr>
              <w:instrText xml:space="preserve"> PAGEREF _Toc436811498 \h </w:instrText>
            </w:r>
            <w:r w:rsidR="00951752">
              <w:rPr>
                <w:noProof/>
                <w:webHidden/>
              </w:rPr>
            </w:r>
            <w:r w:rsidR="00951752">
              <w:rPr>
                <w:noProof/>
                <w:webHidden/>
              </w:rPr>
              <w:fldChar w:fldCharType="separate"/>
            </w:r>
            <w:r w:rsidR="00951752">
              <w:rPr>
                <w:noProof/>
                <w:webHidden/>
              </w:rPr>
              <w:t>7</w:t>
            </w:r>
            <w:r w:rsidR="00951752">
              <w:rPr>
                <w:noProof/>
                <w:webHidden/>
              </w:rPr>
              <w:fldChar w:fldCharType="end"/>
            </w:r>
          </w:hyperlink>
        </w:p>
        <w:p w14:paraId="4E13DE97" w14:textId="77777777" w:rsidR="00951752" w:rsidRDefault="00044FBB">
          <w:pPr>
            <w:pStyle w:val="Innehll1"/>
            <w:tabs>
              <w:tab w:val="left" w:pos="660"/>
              <w:tab w:val="right" w:leader="dot" w:pos="9062"/>
            </w:tabs>
            <w:rPr>
              <w:rFonts w:asciiTheme="minorHAnsi" w:eastAsiaTheme="minorEastAsia" w:hAnsiTheme="minorHAnsi" w:cstheme="minorBidi"/>
              <w:noProof/>
              <w:lang w:eastAsia="sv-SE"/>
            </w:rPr>
          </w:pPr>
          <w:hyperlink w:anchor="_Toc436811499" w:history="1">
            <w:r w:rsidR="00951752" w:rsidRPr="00805FE8">
              <w:rPr>
                <w:rStyle w:val="Hyperlnk"/>
                <w:noProof/>
              </w:rPr>
              <w:t>10.</w:t>
            </w:r>
            <w:r w:rsidR="00951752">
              <w:rPr>
                <w:rFonts w:asciiTheme="minorHAnsi" w:eastAsiaTheme="minorEastAsia" w:hAnsiTheme="minorHAnsi" w:cstheme="minorBidi"/>
                <w:noProof/>
                <w:lang w:eastAsia="sv-SE"/>
              </w:rPr>
              <w:tab/>
            </w:r>
            <w:r w:rsidR="00951752" w:rsidRPr="00805FE8">
              <w:rPr>
                <w:rStyle w:val="Hyperlnk"/>
                <w:noProof/>
              </w:rPr>
              <w:t>Projet de directive du Parlement européen et du Conseil relative à l’interopérabilité du système ferroviaire au sein de l’Union européenne (Refonte) (première lecture) (AL)</w:t>
            </w:r>
            <w:r w:rsidR="00951752">
              <w:rPr>
                <w:noProof/>
                <w:webHidden/>
              </w:rPr>
              <w:tab/>
            </w:r>
            <w:r w:rsidR="00951752">
              <w:rPr>
                <w:noProof/>
                <w:webHidden/>
              </w:rPr>
              <w:fldChar w:fldCharType="begin"/>
            </w:r>
            <w:r w:rsidR="00951752">
              <w:rPr>
                <w:noProof/>
                <w:webHidden/>
              </w:rPr>
              <w:instrText xml:space="preserve"> PAGEREF _Toc436811499 \h </w:instrText>
            </w:r>
            <w:r w:rsidR="00951752">
              <w:rPr>
                <w:noProof/>
                <w:webHidden/>
              </w:rPr>
            </w:r>
            <w:r w:rsidR="00951752">
              <w:rPr>
                <w:noProof/>
                <w:webHidden/>
              </w:rPr>
              <w:fldChar w:fldCharType="separate"/>
            </w:r>
            <w:r w:rsidR="00951752">
              <w:rPr>
                <w:noProof/>
                <w:webHidden/>
              </w:rPr>
              <w:t>7</w:t>
            </w:r>
            <w:r w:rsidR="00951752">
              <w:rPr>
                <w:noProof/>
                <w:webHidden/>
              </w:rPr>
              <w:fldChar w:fldCharType="end"/>
            </w:r>
          </w:hyperlink>
        </w:p>
        <w:p w14:paraId="6B4F306D" w14:textId="77777777" w:rsidR="00951752" w:rsidRDefault="00044FBB">
          <w:pPr>
            <w:pStyle w:val="Innehll1"/>
            <w:tabs>
              <w:tab w:val="left" w:pos="660"/>
              <w:tab w:val="right" w:leader="dot" w:pos="9062"/>
            </w:tabs>
            <w:rPr>
              <w:rFonts w:asciiTheme="minorHAnsi" w:eastAsiaTheme="minorEastAsia" w:hAnsiTheme="minorHAnsi" w:cstheme="minorBidi"/>
              <w:noProof/>
              <w:lang w:eastAsia="sv-SE"/>
            </w:rPr>
          </w:pPr>
          <w:hyperlink w:anchor="_Toc436811500" w:history="1">
            <w:r w:rsidR="00951752" w:rsidRPr="00805FE8">
              <w:rPr>
                <w:rStyle w:val="Hyperlnk"/>
                <w:noProof/>
              </w:rPr>
              <w:t>11.</w:t>
            </w:r>
            <w:r w:rsidR="00951752">
              <w:rPr>
                <w:rFonts w:asciiTheme="minorHAnsi" w:eastAsiaTheme="minorEastAsia" w:hAnsiTheme="minorHAnsi" w:cstheme="minorBidi"/>
                <w:noProof/>
                <w:lang w:eastAsia="sv-SE"/>
              </w:rPr>
              <w:tab/>
            </w:r>
            <w:r w:rsidR="00951752" w:rsidRPr="00805FE8">
              <w:rPr>
                <w:rStyle w:val="Hyperlnk"/>
                <w:noProof/>
              </w:rPr>
              <w:t>Projet de directive du Parlement européen et du Conseil relative à la sécurité ferroviaire (Refonte) (première lecture) (AL)</w:t>
            </w:r>
            <w:r w:rsidR="00951752">
              <w:rPr>
                <w:noProof/>
                <w:webHidden/>
              </w:rPr>
              <w:tab/>
            </w:r>
            <w:r w:rsidR="00951752">
              <w:rPr>
                <w:noProof/>
                <w:webHidden/>
              </w:rPr>
              <w:fldChar w:fldCharType="begin"/>
            </w:r>
            <w:r w:rsidR="00951752">
              <w:rPr>
                <w:noProof/>
                <w:webHidden/>
              </w:rPr>
              <w:instrText xml:space="preserve"> PAGEREF _Toc436811500 \h </w:instrText>
            </w:r>
            <w:r w:rsidR="00951752">
              <w:rPr>
                <w:noProof/>
                <w:webHidden/>
              </w:rPr>
            </w:r>
            <w:r w:rsidR="00951752">
              <w:rPr>
                <w:noProof/>
                <w:webHidden/>
              </w:rPr>
              <w:fldChar w:fldCharType="separate"/>
            </w:r>
            <w:r w:rsidR="00951752">
              <w:rPr>
                <w:noProof/>
                <w:webHidden/>
              </w:rPr>
              <w:t>8</w:t>
            </w:r>
            <w:r w:rsidR="00951752">
              <w:rPr>
                <w:noProof/>
                <w:webHidden/>
              </w:rPr>
              <w:fldChar w:fldCharType="end"/>
            </w:r>
          </w:hyperlink>
        </w:p>
        <w:p w14:paraId="5801C32D" w14:textId="77777777" w:rsidR="00951752" w:rsidRDefault="00044FBB">
          <w:pPr>
            <w:pStyle w:val="Innehll1"/>
            <w:tabs>
              <w:tab w:val="left" w:pos="660"/>
              <w:tab w:val="right" w:leader="dot" w:pos="9062"/>
            </w:tabs>
            <w:rPr>
              <w:rFonts w:asciiTheme="minorHAnsi" w:eastAsiaTheme="minorEastAsia" w:hAnsiTheme="minorHAnsi" w:cstheme="minorBidi"/>
              <w:noProof/>
              <w:lang w:eastAsia="sv-SE"/>
            </w:rPr>
          </w:pPr>
          <w:hyperlink w:anchor="_Toc436811501" w:history="1">
            <w:r w:rsidR="00951752" w:rsidRPr="00805FE8">
              <w:rPr>
                <w:rStyle w:val="Hyperlnk"/>
                <w:noProof/>
              </w:rPr>
              <w:t>12.</w:t>
            </w:r>
            <w:r w:rsidR="00951752">
              <w:rPr>
                <w:rFonts w:asciiTheme="minorHAnsi" w:eastAsiaTheme="minorEastAsia" w:hAnsiTheme="minorHAnsi" w:cstheme="minorBidi"/>
                <w:noProof/>
                <w:lang w:eastAsia="sv-SE"/>
              </w:rPr>
              <w:tab/>
            </w:r>
            <w:r w:rsidR="00951752" w:rsidRPr="00805FE8">
              <w:rPr>
                <w:rStyle w:val="Hyperlnk"/>
                <w:noProof/>
              </w:rPr>
              <w:t>Règlement (UE) …/… de la Commission du XXX modifiant les annexes II et III du règlement (CE) nº 396/2005 du Parlement européen et du Conseil en ce qui concerne les limites maximales applicables aux résidus de chlorpyrifos présents dans ou sur certains produits</w:t>
            </w:r>
            <w:r w:rsidR="00951752">
              <w:rPr>
                <w:noProof/>
                <w:webHidden/>
              </w:rPr>
              <w:tab/>
            </w:r>
            <w:r w:rsidR="00951752">
              <w:rPr>
                <w:noProof/>
                <w:webHidden/>
              </w:rPr>
              <w:fldChar w:fldCharType="begin"/>
            </w:r>
            <w:r w:rsidR="00951752">
              <w:rPr>
                <w:noProof/>
                <w:webHidden/>
              </w:rPr>
              <w:instrText xml:space="preserve"> PAGEREF _Toc436811501 \h </w:instrText>
            </w:r>
            <w:r w:rsidR="00951752">
              <w:rPr>
                <w:noProof/>
                <w:webHidden/>
              </w:rPr>
            </w:r>
            <w:r w:rsidR="00951752">
              <w:rPr>
                <w:noProof/>
                <w:webHidden/>
              </w:rPr>
              <w:fldChar w:fldCharType="separate"/>
            </w:r>
            <w:r w:rsidR="00951752">
              <w:rPr>
                <w:noProof/>
                <w:webHidden/>
              </w:rPr>
              <w:t>9</w:t>
            </w:r>
            <w:r w:rsidR="00951752">
              <w:rPr>
                <w:noProof/>
                <w:webHidden/>
              </w:rPr>
              <w:fldChar w:fldCharType="end"/>
            </w:r>
          </w:hyperlink>
        </w:p>
        <w:p w14:paraId="56A97FAB" w14:textId="77777777" w:rsidR="00951752" w:rsidRDefault="00044FBB">
          <w:pPr>
            <w:pStyle w:val="Innehll1"/>
            <w:tabs>
              <w:tab w:val="left" w:pos="660"/>
              <w:tab w:val="right" w:leader="dot" w:pos="9062"/>
            </w:tabs>
            <w:rPr>
              <w:rFonts w:asciiTheme="minorHAnsi" w:eastAsiaTheme="minorEastAsia" w:hAnsiTheme="minorHAnsi" w:cstheme="minorBidi"/>
              <w:noProof/>
              <w:lang w:eastAsia="sv-SE"/>
            </w:rPr>
          </w:pPr>
          <w:hyperlink w:anchor="_Toc436811502" w:history="1">
            <w:r w:rsidR="00951752" w:rsidRPr="00805FE8">
              <w:rPr>
                <w:rStyle w:val="Hyperlnk"/>
                <w:noProof/>
              </w:rPr>
              <w:t>13.</w:t>
            </w:r>
            <w:r w:rsidR="00951752">
              <w:rPr>
                <w:rFonts w:asciiTheme="minorHAnsi" w:eastAsiaTheme="minorEastAsia" w:hAnsiTheme="minorHAnsi" w:cstheme="minorBidi"/>
                <w:noProof/>
                <w:lang w:eastAsia="sv-SE"/>
              </w:rPr>
              <w:tab/>
            </w:r>
            <w:r w:rsidR="00951752" w:rsidRPr="00805FE8">
              <w:rPr>
                <w:rStyle w:val="Hyperlnk"/>
                <w:noProof/>
              </w:rPr>
              <w:t>Règlement (UE) …/… de la Commission du XXX modifiant le règlement (CE) nº 333/2007 en ce qui concerne l’analyse de l’arsenic inorganique, du plomb et des hydrocarbures aromatiques polycycliques ainsi que certains critères de performance relatifs à l’analyse</w:t>
            </w:r>
            <w:r w:rsidR="00951752">
              <w:rPr>
                <w:noProof/>
                <w:webHidden/>
              </w:rPr>
              <w:tab/>
            </w:r>
            <w:r w:rsidR="00951752">
              <w:rPr>
                <w:noProof/>
                <w:webHidden/>
              </w:rPr>
              <w:fldChar w:fldCharType="begin"/>
            </w:r>
            <w:r w:rsidR="00951752">
              <w:rPr>
                <w:noProof/>
                <w:webHidden/>
              </w:rPr>
              <w:instrText xml:space="preserve"> PAGEREF _Toc436811502 \h </w:instrText>
            </w:r>
            <w:r w:rsidR="00951752">
              <w:rPr>
                <w:noProof/>
                <w:webHidden/>
              </w:rPr>
            </w:r>
            <w:r w:rsidR="00951752">
              <w:rPr>
                <w:noProof/>
                <w:webHidden/>
              </w:rPr>
              <w:fldChar w:fldCharType="separate"/>
            </w:r>
            <w:r w:rsidR="00951752">
              <w:rPr>
                <w:noProof/>
                <w:webHidden/>
              </w:rPr>
              <w:t>9</w:t>
            </w:r>
            <w:r w:rsidR="00951752">
              <w:rPr>
                <w:noProof/>
                <w:webHidden/>
              </w:rPr>
              <w:fldChar w:fldCharType="end"/>
            </w:r>
          </w:hyperlink>
        </w:p>
        <w:p w14:paraId="3F93B9A8" w14:textId="77777777" w:rsidR="00951752" w:rsidRDefault="00044FBB">
          <w:pPr>
            <w:pStyle w:val="Innehll1"/>
            <w:tabs>
              <w:tab w:val="left" w:pos="660"/>
              <w:tab w:val="right" w:leader="dot" w:pos="9062"/>
            </w:tabs>
            <w:rPr>
              <w:rFonts w:asciiTheme="minorHAnsi" w:eastAsiaTheme="minorEastAsia" w:hAnsiTheme="minorHAnsi" w:cstheme="minorBidi"/>
              <w:noProof/>
              <w:lang w:eastAsia="sv-SE"/>
            </w:rPr>
          </w:pPr>
          <w:hyperlink w:anchor="_Toc436811503" w:history="1">
            <w:r w:rsidR="00951752" w:rsidRPr="00805FE8">
              <w:rPr>
                <w:rStyle w:val="Hyperlnk"/>
                <w:noProof/>
              </w:rPr>
              <w:t>14.</w:t>
            </w:r>
            <w:r w:rsidR="00951752">
              <w:rPr>
                <w:rFonts w:asciiTheme="minorHAnsi" w:eastAsiaTheme="minorEastAsia" w:hAnsiTheme="minorHAnsi" w:cstheme="minorBidi"/>
                <w:noProof/>
                <w:lang w:eastAsia="sv-SE"/>
              </w:rPr>
              <w:tab/>
            </w:r>
            <w:r w:rsidR="00951752" w:rsidRPr="00805FE8">
              <w:rPr>
                <w:rStyle w:val="Hyperlnk"/>
                <w:noProof/>
              </w:rPr>
              <w:t>Proposition de règlement du Conseil portant ouverture et mode de gestion de contingents tarifaires autonomes de l'Union pour certains produits de la pêche pour la période 2016-2018</w:t>
            </w:r>
            <w:r w:rsidR="00951752">
              <w:rPr>
                <w:noProof/>
                <w:webHidden/>
              </w:rPr>
              <w:tab/>
            </w:r>
            <w:r w:rsidR="00951752">
              <w:rPr>
                <w:noProof/>
                <w:webHidden/>
              </w:rPr>
              <w:fldChar w:fldCharType="begin"/>
            </w:r>
            <w:r w:rsidR="00951752">
              <w:rPr>
                <w:noProof/>
                <w:webHidden/>
              </w:rPr>
              <w:instrText xml:space="preserve"> PAGEREF _Toc436811503 \h </w:instrText>
            </w:r>
            <w:r w:rsidR="00951752">
              <w:rPr>
                <w:noProof/>
                <w:webHidden/>
              </w:rPr>
            </w:r>
            <w:r w:rsidR="00951752">
              <w:rPr>
                <w:noProof/>
                <w:webHidden/>
              </w:rPr>
              <w:fldChar w:fldCharType="separate"/>
            </w:r>
            <w:r w:rsidR="00951752">
              <w:rPr>
                <w:noProof/>
                <w:webHidden/>
              </w:rPr>
              <w:t>9</w:t>
            </w:r>
            <w:r w:rsidR="00951752">
              <w:rPr>
                <w:noProof/>
                <w:webHidden/>
              </w:rPr>
              <w:fldChar w:fldCharType="end"/>
            </w:r>
          </w:hyperlink>
        </w:p>
        <w:p w14:paraId="21464982" w14:textId="77777777" w:rsidR="00951752" w:rsidRDefault="00044FBB">
          <w:pPr>
            <w:pStyle w:val="Innehll1"/>
            <w:tabs>
              <w:tab w:val="left" w:pos="660"/>
              <w:tab w:val="right" w:leader="dot" w:pos="9062"/>
            </w:tabs>
            <w:rPr>
              <w:rFonts w:asciiTheme="minorHAnsi" w:eastAsiaTheme="minorEastAsia" w:hAnsiTheme="minorHAnsi" w:cstheme="minorBidi"/>
              <w:noProof/>
              <w:lang w:eastAsia="sv-SE"/>
            </w:rPr>
          </w:pPr>
          <w:hyperlink w:anchor="_Toc436811504" w:history="1">
            <w:r w:rsidR="00951752" w:rsidRPr="00805FE8">
              <w:rPr>
                <w:rStyle w:val="Hyperlnk"/>
                <w:noProof/>
              </w:rPr>
              <w:t>15.</w:t>
            </w:r>
            <w:r w:rsidR="00951752">
              <w:rPr>
                <w:rFonts w:asciiTheme="minorHAnsi" w:eastAsiaTheme="minorEastAsia" w:hAnsiTheme="minorHAnsi" w:cstheme="minorBidi"/>
                <w:noProof/>
                <w:lang w:eastAsia="sv-SE"/>
              </w:rPr>
              <w:tab/>
            </w:r>
            <w:r w:rsidR="00951752" w:rsidRPr="00805FE8">
              <w:rPr>
                <w:rStyle w:val="Hyperlnk"/>
                <w:noProof/>
              </w:rPr>
              <w:t xml:space="preserve">Projet de décision du Conseil relative à la position à prendre au nom de l'Union européenne en ce qui concerne les décisions à adopter par la Commission permanente d'Eurocontrol sur les missions et les tâches d'Eurocontrol et sur les services centralisés </w:t>
            </w:r>
            <w:r w:rsidR="00951752" w:rsidRPr="00805FE8">
              <w:rPr>
                <w:rStyle w:val="Hyperlnk"/>
                <w:noProof/>
                <w:lang w:eastAsia="sv-SE"/>
              </w:rPr>
              <w:t>Adoption</w:t>
            </w:r>
            <w:r w:rsidR="00951752">
              <w:rPr>
                <w:noProof/>
                <w:webHidden/>
              </w:rPr>
              <w:tab/>
            </w:r>
            <w:r w:rsidR="00951752">
              <w:rPr>
                <w:noProof/>
                <w:webHidden/>
              </w:rPr>
              <w:fldChar w:fldCharType="begin"/>
            </w:r>
            <w:r w:rsidR="00951752">
              <w:rPr>
                <w:noProof/>
                <w:webHidden/>
              </w:rPr>
              <w:instrText xml:space="preserve"> PAGEREF _Toc436811504 \h </w:instrText>
            </w:r>
            <w:r w:rsidR="00951752">
              <w:rPr>
                <w:noProof/>
                <w:webHidden/>
              </w:rPr>
            </w:r>
            <w:r w:rsidR="00951752">
              <w:rPr>
                <w:noProof/>
                <w:webHidden/>
              </w:rPr>
              <w:fldChar w:fldCharType="separate"/>
            </w:r>
            <w:r w:rsidR="00951752">
              <w:rPr>
                <w:noProof/>
                <w:webHidden/>
              </w:rPr>
              <w:t>10</w:t>
            </w:r>
            <w:r w:rsidR="00951752">
              <w:rPr>
                <w:noProof/>
                <w:webHidden/>
              </w:rPr>
              <w:fldChar w:fldCharType="end"/>
            </w:r>
          </w:hyperlink>
        </w:p>
        <w:p w14:paraId="0497047B" w14:textId="77777777" w:rsidR="00D957FB" w:rsidRDefault="00A269B4">
          <w:r>
            <w:rPr>
              <w:b/>
              <w:bCs/>
              <w:noProof/>
            </w:rPr>
            <w:fldChar w:fldCharType="end"/>
          </w:r>
        </w:p>
      </w:sdtContent>
    </w:sdt>
    <w:p w14:paraId="0497047C" w14:textId="77777777" w:rsidR="00D957FB" w:rsidRDefault="00A269B4">
      <w:pPr>
        <w:ind w:left="0"/>
      </w:pPr>
      <w:r>
        <w:br w:type="page"/>
      </w:r>
    </w:p>
    <w:p w14:paraId="0497047D" w14:textId="77777777" w:rsidR="00643D86" w:rsidRDefault="00044FBB" w:rsidP="00643D86">
      <w:pPr>
        <w:pStyle w:val="Rubrik1"/>
        <w:numPr>
          <w:ilvl w:val="0"/>
          <w:numId w:val="0"/>
        </w:numPr>
      </w:pPr>
      <w:bookmarkStart w:id="1" w:name="_Toc364854645"/>
    </w:p>
    <w:p w14:paraId="0497047E" w14:textId="77777777" w:rsidR="00643D86" w:rsidRDefault="00A269B4" w:rsidP="00643D86">
      <w:pPr>
        <w:pStyle w:val="Rubrik1"/>
      </w:pPr>
      <w:bookmarkStart w:id="2" w:name="_Toc436811490"/>
      <w:r>
        <w:rPr>
          <w:noProof/>
        </w:rPr>
        <w:t>Réponses aux questions écrites posées au Conseil par des membres du Parlement européen (+)</w:t>
      </w:r>
      <w:bookmarkEnd w:id="2"/>
    </w:p>
    <w:p w14:paraId="330E23AC" w14:textId="3ADBE63C" w:rsidR="00567107" w:rsidRPr="00567107" w:rsidRDefault="00A269B4" w:rsidP="00567107">
      <w:pPr>
        <w:pStyle w:val="Liststycke"/>
        <w:numPr>
          <w:ilvl w:val="0"/>
          <w:numId w:val="3"/>
        </w:numPr>
        <w:rPr>
          <w:lang w:val="en-US"/>
        </w:rPr>
      </w:pPr>
      <w:r w:rsidRPr="00567107">
        <w:rPr>
          <w:noProof/>
          <w:lang w:val="en-US"/>
        </w:rPr>
        <w:t>E-008549</w:t>
      </w:r>
      <w:r w:rsidRPr="00567107">
        <w:rPr>
          <w:lang w:val="en-US"/>
        </w:rPr>
        <w:t>/2015 - Georg Mayer (ENF)</w:t>
      </w:r>
      <w:r w:rsidRPr="00567107">
        <w:rPr>
          <w:lang w:val="en-US"/>
        </w:rPr>
        <w:br/>
        <w:t xml:space="preserve">Relations with the Luhansk People's Republic13835/15 PE-QE 556 </w:t>
      </w:r>
      <w:r w:rsidR="00567107" w:rsidRPr="00567107">
        <w:rPr>
          <w:lang w:val="en-US"/>
        </w:rPr>
        <w:br/>
      </w:r>
      <w:r w:rsidR="00567107">
        <w:rPr>
          <w:lang w:val="en-US"/>
        </w:rPr>
        <w:t xml:space="preserve">b) </w:t>
      </w:r>
      <w:r w:rsidRPr="00567107">
        <w:rPr>
          <w:lang w:val="en-US"/>
        </w:rPr>
        <w:t>E-008881/2015 - Geoffrey Van Orden (ECR)</w:t>
      </w:r>
      <w:r w:rsidRPr="00567107">
        <w:rPr>
          <w:lang w:val="en-US"/>
        </w:rPr>
        <w:br/>
        <w:t xml:space="preserve">Energy and Turkey14463/15 PE-QE 581 </w:t>
      </w:r>
      <w:r w:rsidR="00567107" w:rsidRPr="00567107">
        <w:rPr>
          <w:lang w:val="en-US"/>
        </w:rPr>
        <w:br/>
      </w:r>
      <w:r w:rsidR="00567107">
        <w:rPr>
          <w:lang w:val="en-US"/>
        </w:rPr>
        <w:t xml:space="preserve">c) </w:t>
      </w:r>
      <w:r w:rsidRPr="00567107">
        <w:rPr>
          <w:lang w:val="en-US"/>
        </w:rPr>
        <w:t>E-009346/2015 - Monika Smolková (S&amp;amp;D)</w:t>
      </w:r>
      <w:r w:rsidRPr="00567107">
        <w:rPr>
          <w:lang w:val="en-US"/>
        </w:rPr>
        <w:br/>
        <w:t xml:space="preserve">Arms embargo on Libya, Syria and Iraq14464/15 PE-QE 582 </w:t>
      </w:r>
      <w:r w:rsidR="00567107" w:rsidRPr="00567107">
        <w:rPr>
          <w:lang w:val="en-US"/>
        </w:rPr>
        <w:br/>
      </w:r>
      <w:r w:rsidR="00567107">
        <w:rPr>
          <w:lang w:val="en-US"/>
        </w:rPr>
        <w:t xml:space="preserve">d) </w:t>
      </w:r>
      <w:r w:rsidRPr="00567107">
        <w:rPr>
          <w:lang w:val="en-US"/>
        </w:rPr>
        <w:t>E-009826/2015 - Marc Tarabella (S&amp;amp;D)</w:t>
      </w:r>
      <w:r w:rsidRPr="00567107">
        <w:rPr>
          <w:lang w:val="en-US"/>
        </w:rPr>
        <w:br/>
        <w:t xml:space="preserve">Definition of 'specialist services'13723/15 PE-QE 550 </w:t>
      </w:r>
      <w:r w:rsidR="00567107" w:rsidRPr="00567107">
        <w:rPr>
          <w:lang w:val="en-US"/>
        </w:rPr>
        <w:br/>
      </w:r>
      <w:r w:rsidR="00567107">
        <w:rPr>
          <w:lang w:val="en-US"/>
        </w:rPr>
        <w:t xml:space="preserve">e) </w:t>
      </w:r>
      <w:r w:rsidRPr="00567107">
        <w:rPr>
          <w:lang w:val="en-US"/>
        </w:rPr>
        <w:t>E-011333/2015 - Anna Hedh (S&amp;amp;D)</w:t>
      </w:r>
      <w:r w:rsidRPr="00567107">
        <w:rPr>
          <w:lang w:val="en-US"/>
        </w:rPr>
        <w:br/>
        <w:t xml:space="preserve">Ratification of the Istanbul Convention13874/15 PE-QE 561 </w:t>
      </w:r>
      <w:r w:rsidR="00567107" w:rsidRPr="00567107">
        <w:rPr>
          <w:lang w:val="en-US"/>
        </w:rPr>
        <w:br/>
      </w:r>
      <w:r w:rsidR="00567107">
        <w:rPr>
          <w:lang w:val="en-US"/>
        </w:rPr>
        <w:t xml:space="preserve">f) </w:t>
      </w:r>
      <w:r w:rsidRPr="00567107">
        <w:rPr>
          <w:lang w:val="en-US"/>
        </w:rPr>
        <w:t>E-011621/2015 - Kazimierz Michał Ujazdowski (ECR)</w:t>
      </w:r>
      <w:r w:rsidRPr="00567107">
        <w:rPr>
          <w:lang w:val="en-US"/>
        </w:rPr>
        <w:br/>
        <w:t xml:space="preserve">Luxembourg Presidency support for the European Citizens' Initiative13782/15 PE-QE 554 </w:t>
      </w:r>
      <w:r w:rsidR="00567107" w:rsidRPr="00567107">
        <w:rPr>
          <w:lang w:val="en-US"/>
        </w:rPr>
        <w:br/>
      </w:r>
      <w:r w:rsidR="00567107">
        <w:rPr>
          <w:lang w:val="en-US"/>
        </w:rPr>
        <w:t xml:space="preserve">g) </w:t>
      </w:r>
      <w:r w:rsidRPr="00567107">
        <w:rPr>
          <w:lang w:val="en-US"/>
        </w:rPr>
        <w:t>E-012071/2015 - Hugues Bayet (S&amp;amp;D)</w:t>
      </w:r>
      <w:r w:rsidRPr="00567107">
        <w:rPr>
          <w:lang w:val="en-US"/>
        </w:rPr>
        <w:br/>
        <w:t xml:space="preserve">Position of Luxembourg Presidency regarding tax reporting by multinationals on a country-by-country basis14466/15 PE-QE 583 </w:t>
      </w:r>
      <w:r w:rsidR="00567107" w:rsidRPr="00567107">
        <w:rPr>
          <w:lang w:val="en-US"/>
        </w:rPr>
        <w:br/>
      </w:r>
      <w:r w:rsidR="00567107">
        <w:rPr>
          <w:lang w:val="en-US"/>
        </w:rPr>
        <w:t xml:space="preserve">h) </w:t>
      </w:r>
      <w:r w:rsidRPr="00567107">
        <w:rPr>
          <w:lang w:val="en-US"/>
        </w:rPr>
        <w:t>P-013062/2015 - Liisa Jaakonsaari (S&amp;amp;D)</w:t>
      </w:r>
      <w:r w:rsidRPr="00567107">
        <w:rPr>
          <w:lang w:val="en-US"/>
        </w:rPr>
        <w:br/>
        <w:t xml:space="preserve">Syria arms embargo13838/15 PE-QE 558 </w:t>
      </w:r>
      <w:r w:rsidR="00567107" w:rsidRPr="00567107">
        <w:rPr>
          <w:lang w:val="en-US"/>
        </w:rPr>
        <w:br/>
      </w:r>
      <w:r w:rsidR="00567107">
        <w:rPr>
          <w:lang w:val="en-US"/>
        </w:rPr>
        <w:t xml:space="preserve">i) </w:t>
      </w:r>
      <w:r w:rsidRPr="00567107">
        <w:rPr>
          <w:lang w:val="en-US"/>
        </w:rPr>
        <w:t>E-013067/2015 - Barbara Kappel (ENF)</w:t>
      </w:r>
      <w:r w:rsidRPr="00567107">
        <w:rPr>
          <w:lang w:val="en-US"/>
        </w:rPr>
        <w:br/>
        <w:t xml:space="preserve">Russia and sanctions13780/15 PE-QE 553 </w:t>
      </w:r>
      <w:r w:rsidR="00567107" w:rsidRPr="00567107">
        <w:rPr>
          <w:lang w:val="en-US"/>
        </w:rPr>
        <w:br/>
      </w:r>
      <w:r w:rsidR="00567107">
        <w:rPr>
          <w:lang w:val="en-US"/>
        </w:rPr>
        <w:t xml:space="preserve">j) </w:t>
      </w:r>
      <w:r w:rsidRPr="00567107">
        <w:rPr>
          <w:lang w:val="en-US"/>
        </w:rPr>
        <w:t>P-013463/2015 - Stanisław Ożóg (ECR), Jadwiga Wiśniewska (ECR), Janusz</w:t>
      </w:r>
      <w:r w:rsidRPr="00567107">
        <w:rPr>
          <w:lang w:val="en-US"/>
        </w:rPr>
        <w:br/>
        <w:t>Wojciechowski (ECR) and Zbigniew Kuźmiuk (ECR)</w:t>
      </w:r>
      <w:r w:rsidRPr="00567107">
        <w:rPr>
          <w:lang w:val="en-US"/>
        </w:rPr>
        <w:br/>
        <w:t>Threats for Central and Eastern European countries arising from the signature of an agreement on the construction of the Nord Stream 2 pipeline in Vladivostok</w:t>
      </w:r>
    </w:p>
    <w:p w14:paraId="04970480" w14:textId="77777777" w:rsidR="00643D86" w:rsidRDefault="00A269B4" w:rsidP="00643D86">
      <w:r>
        <w:rPr>
          <w:b/>
        </w:rPr>
        <w:t>Ansvarigt statsråd</w:t>
      </w:r>
      <w:r>
        <w:rPr>
          <w:b/>
        </w:rPr>
        <w:br/>
      </w:r>
      <w:r>
        <w:rPr>
          <w:noProof/>
        </w:rPr>
        <w:t>Stefan Löfven</w:t>
      </w:r>
    </w:p>
    <w:p w14:paraId="04970483" w14:textId="77777777" w:rsidR="00643D86" w:rsidRDefault="00A269B4" w:rsidP="00643D86">
      <w:r w:rsidRPr="00B44CE2">
        <w:rPr>
          <w:b/>
        </w:rPr>
        <w:t>Annotering</w:t>
      </w:r>
      <w:r>
        <w:rPr>
          <w:b/>
        </w:rPr>
        <w:br/>
      </w:r>
      <w:r>
        <w:t>Föranleder ingen annotering.</w:t>
      </w:r>
    </w:p>
    <w:p w14:paraId="04970484" w14:textId="77777777" w:rsidR="00643D86" w:rsidRDefault="00A269B4" w:rsidP="00643D86">
      <w:pPr>
        <w:pStyle w:val="Rubrik1"/>
      </w:pPr>
      <w:bookmarkStart w:id="3" w:name="_Toc436811491"/>
      <w:r>
        <w:rPr>
          <w:noProof/>
        </w:rPr>
        <w:t>Règlement ( (UE) …/… de la Commission du XXX modifiant les annexes II et III du règlement (CE) nº 396/2005 du Parlement européen et du Conseil en ce qui concerne les limites maximales applicables aux résidus de boscalid, de clothianidine, de thiamethoxam, de folpet et de tolclofos-méthyl présents dans ou sur certains produits</w:t>
      </w:r>
      <w:bookmarkEnd w:id="3"/>
    </w:p>
    <w:p w14:paraId="7BA8D61A" w14:textId="77777777" w:rsidR="00567107" w:rsidRDefault="00A269B4" w:rsidP="00643D86">
      <w:pPr>
        <w:rPr>
          <w:lang w:val="en-US"/>
        </w:rPr>
      </w:pPr>
      <w:r>
        <w:rPr>
          <w:noProof/>
          <w:lang w:val="en-US"/>
        </w:rPr>
        <w:t>Décision</w:t>
      </w:r>
      <w:r>
        <w:rPr>
          <w:lang w:val="en-US"/>
        </w:rPr>
        <w:t xml:space="preserve"> de ne pas s'opposer à l'adoption</w:t>
      </w:r>
    </w:p>
    <w:p w14:paraId="04970485" w14:textId="21375FEA" w:rsidR="00643D86" w:rsidRDefault="00A269B4" w:rsidP="00643D86">
      <w:pPr>
        <w:rPr>
          <w:lang w:val="en-US"/>
        </w:rPr>
      </w:pPr>
      <w:r>
        <w:rPr>
          <w:noProof/>
          <w:lang w:val="en-US"/>
        </w:rPr>
        <w:t>14398</w:t>
      </w:r>
      <w:r>
        <w:rPr>
          <w:lang w:val="en-US"/>
        </w:rPr>
        <w:t>/15 AGRILEG 223</w:t>
      </w:r>
      <w:r w:rsidR="00567107">
        <w:rPr>
          <w:lang w:val="en-US"/>
        </w:rPr>
        <w:t xml:space="preserve"> </w:t>
      </w:r>
      <w:r>
        <w:rPr>
          <w:lang w:val="en-US"/>
        </w:rPr>
        <w:t>13706/15 AGRILEG 208+ ADD 1+ ADD 2</w:t>
      </w:r>
    </w:p>
    <w:p w14:paraId="04970486" w14:textId="77777777" w:rsidR="00643D86" w:rsidRDefault="00A269B4" w:rsidP="00643D86">
      <w:r>
        <w:rPr>
          <w:b/>
        </w:rPr>
        <w:t>Ansvarigt statsråd</w:t>
      </w:r>
      <w:r>
        <w:rPr>
          <w:b/>
        </w:rPr>
        <w:br/>
      </w:r>
      <w:r>
        <w:rPr>
          <w:noProof/>
        </w:rPr>
        <w:t>Sven-Erik Bucht</w:t>
      </w:r>
    </w:p>
    <w:p w14:paraId="04970489" w14:textId="77777777" w:rsidR="00643D86" w:rsidRDefault="00A269B4" w:rsidP="00643D86">
      <w:r w:rsidRPr="00B44CE2">
        <w:rPr>
          <w:b/>
        </w:rPr>
        <w:t>Annotering</w:t>
      </w:r>
      <w:r>
        <w:rPr>
          <w:b/>
        </w:rPr>
        <w:br/>
      </w:r>
      <w:r>
        <w:t>Föranleder ingen annotering.</w:t>
      </w:r>
    </w:p>
    <w:p w14:paraId="0497048A" w14:textId="77777777" w:rsidR="00643D86" w:rsidRDefault="00A269B4" w:rsidP="00643D86">
      <w:pPr>
        <w:pStyle w:val="Rubrik1"/>
      </w:pPr>
      <w:bookmarkStart w:id="4" w:name="_Toc436811492"/>
      <w:r>
        <w:rPr>
          <w:noProof/>
        </w:rPr>
        <w:lastRenderedPageBreak/>
        <w:t>Règlement (UE) …/… de la Commission du XXX modifiant les annexes II, III et V du règlement (CE) nº 396/2005 du Parlement européen et du Conseil en ce qui concerne les limites maximales applicables aux résidus d’amétoctradine, de chlorothalonil, de diphénylamine, de flonicamide, de fluazinam, de fluoxastrobine, de halauxifène-méthyl, de propamocarbe, de prothioconazole, de thiaclopride et de trifloxystrobine présents dans ou sur certains produits</w:t>
      </w:r>
      <w:bookmarkEnd w:id="4"/>
    </w:p>
    <w:p w14:paraId="3D6F8167" w14:textId="77777777" w:rsidR="00567107" w:rsidRDefault="00A269B4" w:rsidP="00643D86">
      <w:pPr>
        <w:rPr>
          <w:lang w:val="en-US"/>
        </w:rPr>
      </w:pPr>
      <w:r>
        <w:rPr>
          <w:noProof/>
          <w:lang w:val="en-US"/>
        </w:rPr>
        <w:t>Décision</w:t>
      </w:r>
      <w:r>
        <w:rPr>
          <w:lang w:val="en-US"/>
        </w:rPr>
        <w:t xml:space="preserve"> de ne pas s'opposer à l'adoption</w:t>
      </w:r>
    </w:p>
    <w:p w14:paraId="0497048B" w14:textId="464F3EC3" w:rsidR="00643D86" w:rsidRDefault="00A269B4" w:rsidP="00643D86">
      <w:pPr>
        <w:rPr>
          <w:lang w:val="en-US"/>
        </w:rPr>
      </w:pPr>
      <w:r>
        <w:rPr>
          <w:noProof/>
          <w:lang w:val="en-US"/>
        </w:rPr>
        <w:t>14433</w:t>
      </w:r>
      <w:r>
        <w:rPr>
          <w:lang w:val="en-US"/>
        </w:rPr>
        <w:t>/15 AGRILEG 22413804/15 ARILEG 215+ ADD 1+ ADD 2 + ADD 3</w:t>
      </w:r>
    </w:p>
    <w:p w14:paraId="0497048C" w14:textId="2D1D44F4" w:rsidR="00643D86" w:rsidRDefault="00A269B4" w:rsidP="00643D86">
      <w:r>
        <w:rPr>
          <w:b/>
        </w:rPr>
        <w:t>Ansvarigt statsråd</w:t>
      </w:r>
      <w:r>
        <w:rPr>
          <w:b/>
        </w:rPr>
        <w:br/>
      </w:r>
      <w:r w:rsidR="00567107">
        <w:t>Sven-Erik Bucht</w:t>
      </w:r>
    </w:p>
    <w:p w14:paraId="0497048F" w14:textId="6B43340C" w:rsidR="00643D86" w:rsidRDefault="00A269B4" w:rsidP="00643D86">
      <w:r w:rsidRPr="00B44CE2">
        <w:rPr>
          <w:b/>
        </w:rPr>
        <w:t>Annotering</w:t>
      </w:r>
      <w:r>
        <w:rPr>
          <w:b/>
        </w:rPr>
        <w:br/>
      </w:r>
      <w:r w:rsidR="00567107">
        <w:t>Föranleder ingen annote</w:t>
      </w:r>
      <w:r w:rsidR="00951752">
        <w:t>r</w:t>
      </w:r>
      <w:r w:rsidR="00567107">
        <w:t>ing.</w:t>
      </w:r>
    </w:p>
    <w:p w14:paraId="04970490" w14:textId="77777777" w:rsidR="00643D86" w:rsidRDefault="00A269B4" w:rsidP="00643D86">
      <w:pPr>
        <w:pStyle w:val="Rubrik1"/>
      </w:pPr>
      <w:bookmarkStart w:id="5" w:name="_Toc436811493"/>
      <w:r>
        <w:rPr>
          <w:noProof/>
        </w:rPr>
        <w:t>Règlement (UE) …/… de la Commission du XXX modifiant l’annexe du règlement (UE) nº 579/2014 instituant une dérogation à certaines dispositions de l’annexe II du règlement (CE) nº 852/2004 du Parlement européen et du Conseil en ce qui concerne le transport par mer d’huiles et graisses liquides</w:t>
      </w:r>
      <w:bookmarkEnd w:id="5"/>
    </w:p>
    <w:p w14:paraId="6439A749" w14:textId="77777777" w:rsidR="00567107" w:rsidRDefault="00A269B4" w:rsidP="00643D86">
      <w:pPr>
        <w:rPr>
          <w:lang w:val="en-US"/>
        </w:rPr>
      </w:pPr>
      <w:r>
        <w:rPr>
          <w:noProof/>
          <w:lang w:val="en-US"/>
        </w:rPr>
        <w:t>Décision</w:t>
      </w:r>
      <w:r>
        <w:rPr>
          <w:lang w:val="en-US"/>
        </w:rPr>
        <w:t xml:space="preserve"> de ne pas s'opposer à l'adoption</w:t>
      </w:r>
    </w:p>
    <w:p w14:paraId="04970491" w14:textId="34BF4A93" w:rsidR="00643D86" w:rsidRDefault="00A269B4" w:rsidP="00643D86">
      <w:pPr>
        <w:rPr>
          <w:lang w:val="en-US"/>
        </w:rPr>
      </w:pPr>
      <w:r>
        <w:rPr>
          <w:noProof/>
          <w:lang w:val="en-US"/>
        </w:rPr>
        <w:t>14448</w:t>
      </w:r>
      <w:r>
        <w:rPr>
          <w:lang w:val="en-US"/>
        </w:rPr>
        <w:t>/15 AGRILEG 225 DENLEG 153</w:t>
      </w:r>
      <w:r w:rsidR="00567107">
        <w:rPr>
          <w:lang w:val="en-US"/>
        </w:rPr>
        <w:t xml:space="preserve"> </w:t>
      </w:r>
      <w:r>
        <w:rPr>
          <w:lang w:val="en-US"/>
        </w:rPr>
        <w:t>13759/15 AGRILEG 211 DENLEG 143+ ADD 1</w:t>
      </w:r>
    </w:p>
    <w:p w14:paraId="04970492" w14:textId="77777777" w:rsidR="00643D86" w:rsidRDefault="00A269B4" w:rsidP="00643D86">
      <w:r>
        <w:rPr>
          <w:b/>
        </w:rPr>
        <w:t>Ansvarigt statsråd</w:t>
      </w:r>
      <w:r>
        <w:rPr>
          <w:b/>
        </w:rPr>
        <w:br/>
      </w:r>
      <w:r>
        <w:rPr>
          <w:noProof/>
        </w:rPr>
        <w:t>Sven-Erik Bucht</w:t>
      </w:r>
    </w:p>
    <w:p w14:paraId="04970495" w14:textId="77777777" w:rsidR="00643D86" w:rsidRDefault="00A269B4" w:rsidP="00643D86">
      <w:r w:rsidRPr="00B44CE2">
        <w:rPr>
          <w:b/>
        </w:rPr>
        <w:t>Annotering</w:t>
      </w:r>
      <w:r>
        <w:rPr>
          <w:b/>
        </w:rPr>
        <w:br/>
      </w:r>
      <w:r>
        <w:t>Föranleder ingen annotering.</w:t>
      </w:r>
    </w:p>
    <w:p w14:paraId="04970496" w14:textId="77777777" w:rsidR="00643D86" w:rsidRDefault="00A269B4" w:rsidP="00643D86">
      <w:pPr>
        <w:pStyle w:val="Rubrik1"/>
      </w:pPr>
      <w:bookmarkStart w:id="6" w:name="_Toc436811494"/>
      <w:r>
        <w:rPr>
          <w:noProof/>
        </w:rPr>
        <w:t>Règlement (UE) …/… du XXX modifiant l'annexe I du règlement (CE) nº 1334/2008 du Parlement européen et du Conseil en ce qui concerne la suppression de certaines substances aromatisantes de la liste de l'Union</w:t>
      </w:r>
      <w:bookmarkEnd w:id="6"/>
    </w:p>
    <w:p w14:paraId="1C424CDC" w14:textId="77777777" w:rsidR="00567107" w:rsidRDefault="00A269B4" w:rsidP="00643D86">
      <w:pPr>
        <w:rPr>
          <w:lang w:val="en-US"/>
        </w:rPr>
      </w:pPr>
      <w:r>
        <w:rPr>
          <w:noProof/>
          <w:lang w:val="en-US"/>
        </w:rPr>
        <w:t>Décision</w:t>
      </w:r>
      <w:r>
        <w:rPr>
          <w:lang w:val="en-US"/>
        </w:rPr>
        <w:t xml:space="preserve"> de ne pas s'opposer à l'adoption</w:t>
      </w:r>
    </w:p>
    <w:p w14:paraId="04970497" w14:textId="701110ED" w:rsidR="00643D86" w:rsidRDefault="00A269B4" w:rsidP="00643D86">
      <w:pPr>
        <w:rPr>
          <w:lang w:val="en-US"/>
        </w:rPr>
      </w:pPr>
      <w:r>
        <w:rPr>
          <w:noProof/>
          <w:lang w:val="en-US"/>
        </w:rPr>
        <w:t>14147</w:t>
      </w:r>
      <w:r>
        <w:rPr>
          <w:lang w:val="en-US"/>
        </w:rPr>
        <w:t>/15 DENLEG 150 AGRI 600 SAN 380</w:t>
      </w:r>
      <w:r w:rsidR="00567107">
        <w:rPr>
          <w:lang w:val="en-US"/>
        </w:rPr>
        <w:t xml:space="preserve"> </w:t>
      </w:r>
      <w:r>
        <w:rPr>
          <w:lang w:val="en-US"/>
        </w:rPr>
        <w:t>13611/15 DENLEG 138 AGRI 561 SAN 355+ ADD 1</w:t>
      </w:r>
    </w:p>
    <w:p w14:paraId="04970498" w14:textId="77777777" w:rsidR="00643D86" w:rsidRDefault="00A269B4" w:rsidP="00643D86">
      <w:r>
        <w:rPr>
          <w:b/>
        </w:rPr>
        <w:t>Ansvarigt statsråd</w:t>
      </w:r>
      <w:r>
        <w:rPr>
          <w:b/>
        </w:rPr>
        <w:br/>
      </w:r>
      <w:r>
        <w:rPr>
          <w:noProof/>
        </w:rPr>
        <w:t>Sven-Erik Bucht</w:t>
      </w:r>
    </w:p>
    <w:p w14:paraId="0497049B" w14:textId="77777777" w:rsidR="00643D86" w:rsidRDefault="00A269B4" w:rsidP="00643D86">
      <w:r w:rsidRPr="00B44CE2">
        <w:rPr>
          <w:b/>
        </w:rPr>
        <w:t>Annotering</w:t>
      </w:r>
      <w:r>
        <w:rPr>
          <w:b/>
        </w:rPr>
        <w:br/>
      </w:r>
      <w:r>
        <w:t>Föranleder ingen annotering.</w:t>
      </w:r>
    </w:p>
    <w:p w14:paraId="0497049C" w14:textId="77777777" w:rsidR="00643D86" w:rsidRDefault="00A269B4" w:rsidP="00643D86">
      <w:pPr>
        <w:pStyle w:val="Rubrik1"/>
      </w:pPr>
      <w:bookmarkStart w:id="7" w:name="_Toc436811495"/>
      <w:r>
        <w:rPr>
          <w:noProof/>
        </w:rPr>
        <w:t>Règlement (UE) …/… de la Commission du XXX modifiant l'annexe I du règlement (CE) n° 1334/2008 du Parlement européen et du Conseil en ce qui concerne certaines substances aromatisantes</w:t>
      </w:r>
      <w:bookmarkEnd w:id="7"/>
    </w:p>
    <w:p w14:paraId="41374FDB" w14:textId="77777777" w:rsidR="00567107" w:rsidRDefault="00A269B4" w:rsidP="00643D86">
      <w:pPr>
        <w:rPr>
          <w:lang w:val="en-US"/>
        </w:rPr>
      </w:pPr>
      <w:r>
        <w:rPr>
          <w:noProof/>
          <w:lang w:val="en-US"/>
        </w:rPr>
        <w:t>Décision</w:t>
      </w:r>
      <w:r>
        <w:rPr>
          <w:lang w:val="en-US"/>
        </w:rPr>
        <w:t xml:space="preserve"> de ne pas s'opposer à l'adoption</w:t>
      </w:r>
    </w:p>
    <w:p w14:paraId="0497049D" w14:textId="01BA94C1" w:rsidR="00643D86" w:rsidRDefault="00A269B4" w:rsidP="00643D86">
      <w:pPr>
        <w:rPr>
          <w:lang w:val="en-US"/>
        </w:rPr>
      </w:pPr>
      <w:r>
        <w:rPr>
          <w:noProof/>
          <w:lang w:val="en-US"/>
        </w:rPr>
        <w:lastRenderedPageBreak/>
        <w:t>14148</w:t>
      </w:r>
      <w:r>
        <w:rPr>
          <w:lang w:val="en-US"/>
        </w:rPr>
        <w:t>/15 DENLEG 151 AGRI 601 SAN 381</w:t>
      </w:r>
      <w:r w:rsidR="00567107">
        <w:rPr>
          <w:lang w:val="en-US"/>
        </w:rPr>
        <w:t xml:space="preserve"> </w:t>
      </w:r>
      <w:r>
        <w:rPr>
          <w:lang w:val="en-US"/>
        </w:rPr>
        <w:t>13655/15 DENLEG 141 AGRI 565 SAN 361+ ADD 1</w:t>
      </w:r>
    </w:p>
    <w:p w14:paraId="0497049E" w14:textId="77777777" w:rsidR="00643D86" w:rsidRDefault="00A269B4" w:rsidP="00643D86">
      <w:r>
        <w:rPr>
          <w:b/>
        </w:rPr>
        <w:t>Ansvarigt statsråd</w:t>
      </w:r>
      <w:r>
        <w:rPr>
          <w:b/>
        </w:rPr>
        <w:br/>
      </w:r>
      <w:r>
        <w:rPr>
          <w:noProof/>
        </w:rPr>
        <w:t>Sven-Erik Bucht</w:t>
      </w:r>
    </w:p>
    <w:p w14:paraId="049704A1" w14:textId="77777777" w:rsidR="00643D86" w:rsidRDefault="00A269B4" w:rsidP="00643D86">
      <w:r w:rsidRPr="00B44CE2">
        <w:rPr>
          <w:b/>
        </w:rPr>
        <w:t>Annotering</w:t>
      </w:r>
      <w:r>
        <w:rPr>
          <w:b/>
        </w:rPr>
        <w:br/>
      </w:r>
      <w:r>
        <w:t>Föranleder ingen annotering.</w:t>
      </w:r>
    </w:p>
    <w:p w14:paraId="049704A2" w14:textId="77777777" w:rsidR="00643D86" w:rsidRDefault="00A269B4" w:rsidP="00643D86">
      <w:pPr>
        <w:pStyle w:val="Rubrik1"/>
      </w:pPr>
      <w:bookmarkStart w:id="8" w:name="_Toc436811496"/>
      <w:r>
        <w:rPr>
          <w:noProof/>
        </w:rPr>
        <w:t>Règlement (UE) …/… de la Commission du XXX modifiant le règlement (CE) nº 1881/2006 en ce qui concerne les teneurs maximales en alcaloïdes tropaniques dans certains aliments à base de céréales pour nourrissons et enfants en bas âge</w:t>
      </w:r>
      <w:bookmarkEnd w:id="8"/>
    </w:p>
    <w:p w14:paraId="24868BC6" w14:textId="77777777" w:rsidR="00567107" w:rsidRDefault="00A269B4" w:rsidP="00643D86">
      <w:pPr>
        <w:rPr>
          <w:lang w:val="en-US"/>
        </w:rPr>
      </w:pPr>
      <w:r>
        <w:rPr>
          <w:noProof/>
          <w:lang w:val="en-US"/>
        </w:rPr>
        <w:t>Décision</w:t>
      </w:r>
      <w:r>
        <w:rPr>
          <w:lang w:val="en-US"/>
        </w:rPr>
        <w:t xml:space="preserve"> de ne pas s'opposer à l'adoption</w:t>
      </w:r>
    </w:p>
    <w:p w14:paraId="049704A3" w14:textId="5628928F" w:rsidR="00643D86" w:rsidRDefault="00A269B4" w:rsidP="00643D86">
      <w:pPr>
        <w:rPr>
          <w:lang w:val="en-US"/>
        </w:rPr>
      </w:pPr>
      <w:r>
        <w:rPr>
          <w:noProof/>
          <w:lang w:val="en-US"/>
        </w:rPr>
        <w:t>14149</w:t>
      </w:r>
      <w:r>
        <w:rPr>
          <w:lang w:val="en-US"/>
        </w:rPr>
        <w:t>/15 DENLEG 152 AGRI 602 SAN 382</w:t>
      </w:r>
      <w:r w:rsidR="00567107">
        <w:rPr>
          <w:lang w:val="en-US"/>
        </w:rPr>
        <w:t xml:space="preserve"> </w:t>
      </w:r>
      <w:r>
        <w:rPr>
          <w:lang w:val="en-US"/>
        </w:rPr>
        <w:t>13789/15 DENLEG 144 AGRI 576 SAN 368+ ADD 1</w:t>
      </w:r>
    </w:p>
    <w:p w14:paraId="049704A4" w14:textId="77777777" w:rsidR="00643D86" w:rsidRDefault="00A269B4" w:rsidP="00643D86">
      <w:r>
        <w:rPr>
          <w:b/>
        </w:rPr>
        <w:t>Ansvarigt statsråd</w:t>
      </w:r>
      <w:r>
        <w:rPr>
          <w:b/>
        </w:rPr>
        <w:br/>
      </w:r>
      <w:r>
        <w:rPr>
          <w:noProof/>
        </w:rPr>
        <w:t>Sven-Erik Bucht</w:t>
      </w:r>
    </w:p>
    <w:p w14:paraId="049704A7" w14:textId="77777777" w:rsidR="00643D86" w:rsidRDefault="00A269B4" w:rsidP="00643D86">
      <w:r w:rsidRPr="00B44CE2">
        <w:rPr>
          <w:b/>
        </w:rPr>
        <w:t>Annotering</w:t>
      </w:r>
      <w:r>
        <w:rPr>
          <w:b/>
        </w:rPr>
        <w:br/>
      </w:r>
      <w:r>
        <w:t>Föranleder ingen annotering.</w:t>
      </w:r>
    </w:p>
    <w:p w14:paraId="049704A8" w14:textId="77777777" w:rsidR="00643D86" w:rsidRDefault="00A269B4" w:rsidP="00643D86">
      <w:pPr>
        <w:pStyle w:val="Rubrik1"/>
      </w:pPr>
      <w:bookmarkStart w:id="9" w:name="_Toc436811497"/>
      <w:r>
        <w:rPr>
          <w:noProof/>
        </w:rPr>
        <w:t>Autorisation á la Commission européenne pour signer la déclaration conjointe de l' Initiative pour la forêt de l'Afrique centrale (CAFI)</w:t>
      </w:r>
      <w:bookmarkEnd w:id="9"/>
    </w:p>
    <w:p w14:paraId="73CBBC46" w14:textId="77777777" w:rsidR="00567107" w:rsidRDefault="00A269B4" w:rsidP="00643D86">
      <w:pPr>
        <w:rPr>
          <w:noProof/>
          <w:lang w:val="en-US"/>
        </w:rPr>
      </w:pPr>
      <w:r>
        <w:rPr>
          <w:noProof/>
          <w:lang w:val="en-US"/>
        </w:rPr>
        <w:t>Adoption</w:t>
      </w:r>
    </w:p>
    <w:p w14:paraId="049704A9" w14:textId="5EE7F3AC" w:rsidR="00643D86" w:rsidRDefault="00A269B4" w:rsidP="00643D86">
      <w:pPr>
        <w:rPr>
          <w:lang w:val="en-US"/>
        </w:rPr>
      </w:pPr>
      <w:r>
        <w:rPr>
          <w:noProof/>
          <w:lang w:val="en-US"/>
        </w:rPr>
        <w:t>14705</w:t>
      </w:r>
      <w:r>
        <w:rPr>
          <w:lang w:val="en-US"/>
        </w:rPr>
        <w:t>/15 AGRI 622 FORETS 47 ENV 748 RELEX 976 14732/15 AGRI 623 FORETS 48 ENV 751 RELEX 979</w:t>
      </w:r>
    </w:p>
    <w:p w14:paraId="049704AA" w14:textId="34BCF44B" w:rsidR="00643D86" w:rsidRDefault="00A269B4" w:rsidP="00643D86">
      <w:r>
        <w:rPr>
          <w:b/>
        </w:rPr>
        <w:t>Ansvarigt statsråd</w:t>
      </w:r>
      <w:r>
        <w:rPr>
          <w:b/>
        </w:rPr>
        <w:br/>
      </w:r>
      <w:r w:rsidR="002A6FF9">
        <w:rPr>
          <w:noProof/>
        </w:rPr>
        <w:t>Sven-Erik Bucht</w:t>
      </w:r>
    </w:p>
    <w:p w14:paraId="20FA1442" w14:textId="11CD8CCD" w:rsidR="002A6FF9" w:rsidRPr="0003027C" w:rsidRDefault="00A269B4" w:rsidP="002A6FF9">
      <w:pPr>
        <w:pStyle w:val="RKnormal"/>
        <w:ind w:left="714"/>
      </w:pPr>
      <w:r w:rsidRPr="002A6FF9">
        <w:rPr>
          <w:rFonts w:ascii="Times New Roman" w:eastAsia="Calibri" w:hAnsi="Times New Roman"/>
          <w:b/>
          <w:sz w:val="22"/>
          <w:szCs w:val="22"/>
        </w:rPr>
        <w:t>Annotering</w:t>
      </w:r>
      <w:r w:rsidR="002A6FF9">
        <w:rPr>
          <w:b/>
        </w:rPr>
        <w:br/>
      </w:r>
      <w:r w:rsidR="002A6FF9" w:rsidRPr="002A6FF9">
        <w:rPr>
          <w:rFonts w:ascii="Times New Roman" w:eastAsia="Calibri" w:hAnsi="Times New Roman"/>
          <w:b/>
          <w:sz w:val="22"/>
          <w:szCs w:val="22"/>
        </w:rPr>
        <w:t>Avsikt med behandlingen i rådet:</w:t>
      </w:r>
      <w:r w:rsidR="002A6FF9" w:rsidRPr="0003027C">
        <w:rPr>
          <w:b/>
        </w:rPr>
        <w:t xml:space="preserve"> </w:t>
      </w:r>
      <w:r w:rsidR="002A6FF9" w:rsidRPr="00B7555F">
        <w:t>R</w:t>
      </w:r>
      <w:r w:rsidR="002A6FF9" w:rsidRPr="0003027C">
        <w:t>ådet föreslås godkänna</w:t>
      </w:r>
      <w:r w:rsidR="002A6FF9">
        <w:t xml:space="preserve"> att kommissionen på EU:s vägnar undertecknar en gemensam deklaration om det s.k. centralafrikanska skogsinitiativet, CAFI</w:t>
      </w:r>
      <w:r w:rsidR="002A6FF9" w:rsidRPr="0003027C">
        <w:t>.</w:t>
      </w:r>
    </w:p>
    <w:p w14:paraId="34E7E592" w14:textId="77777777" w:rsidR="002A6FF9" w:rsidRPr="0003027C" w:rsidRDefault="002A6FF9" w:rsidP="002A6FF9">
      <w:pPr>
        <w:pStyle w:val="RKnormal"/>
        <w:ind w:left="714"/>
      </w:pPr>
    </w:p>
    <w:p w14:paraId="3F5ED15B" w14:textId="77777777" w:rsidR="002A6FF9" w:rsidRPr="0003027C" w:rsidRDefault="002A6FF9" w:rsidP="002A6FF9">
      <w:pPr>
        <w:pStyle w:val="RKnormal"/>
        <w:ind w:left="714"/>
      </w:pPr>
      <w:r w:rsidRPr="002A6FF9">
        <w:rPr>
          <w:rFonts w:ascii="Times New Roman" w:eastAsia="Calibri" w:hAnsi="Times New Roman"/>
          <w:b/>
          <w:sz w:val="22"/>
          <w:szCs w:val="22"/>
        </w:rPr>
        <w:t>Hur regeringen ställer sig till den blivande A-punkten:</w:t>
      </w:r>
      <w:r w:rsidRPr="0003027C">
        <w:rPr>
          <w:b/>
        </w:rPr>
        <w:t xml:space="preserve"> </w:t>
      </w:r>
      <w:r w:rsidRPr="00B7555F">
        <w:t>Regeringen</w:t>
      </w:r>
      <w:r>
        <w:t xml:space="preserve"> avser rösta ja till godkännandet</w:t>
      </w:r>
      <w:r w:rsidRPr="0003027C">
        <w:t xml:space="preserve">. </w:t>
      </w:r>
    </w:p>
    <w:p w14:paraId="33925631" w14:textId="77777777" w:rsidR="002A6FF9" w:rsidRPr="0003027C" w:rsidRDefault="002A6FF9" w:rsidP="002A6FF9">
      <w:pPr>
        <w:pStyle w:val="RKnormal"/>
        <w:ind w:left="714"/>
        <w:rPr>
          <w:b/>
        </w:rPr>
      </w:pPr>
    </w:p>
    <w:p w14:paraId="1001703E" w14:textId="77777777" w:rsidR="002A6FF9" w:rsidRPr="0003027C" w:rsidRDefault="002A6FF9" w:rsidP="002A6FF9">
      <w:pPr>
        <w:pStyle w:val="RKnormal"/>
        <w:ind w:left="714"/>
      </w:pPr>
      <w:r w:rsidRPr="0003027C">
        <w:rPr>
          <w:b/>
        </w:rPr>
        <w:t>Bakgrund:</w:t>
      </w:r>
      <w:r w:rsidRPr="0003027C">
        <w:t xml:space="preserve"> </w:t>
      </w:r>
      <w:r>
        <w:t>I samband med FN:s klimattoppmöte i december 2015 avser kommissionen att skriva under en deklaration om det s.k. centralafrikanska skogsinitiativet. Deklarationen syftar till att bemöta flera av utmaningarna relaterade till avskogning, klimatförändringar och minskad biodiversitet. Deklarationen ligger i linje med flertalet rådsslutsatser som antagits under de senaste åren.</w:t>
      </w:r>
    </w:p>
    <w:p w14:paraId="049704AD" w14:textId="7B7B78B5" w:rsidR="00643D86" w:rsidRDefault="00044FBB" w:rsidP="00643D86"/>
    <w:p w14:paraId="049704AE" w14:textId="77777777" w:rsidR="00643D86" w:rsidRDefault="00A269B4" w:rsidP="00643D86">
      <w:pPr>
        <w:pStyle w:val="Rubrik1"/>
      </w:pPr>
      <w:bookmarkStart w:id="10" w:name="_Toc436811498"/>
      <w:r>
        <w:rPr>
          <w:noProof/>
        </w:rPr>
        <w:lastRenderedPageBreak/>
        <w:t>Projet de règlement du Parlement européen et du Conseil relatif à l'Agence de l'Union européenne pour les chemins de fer et abrogeant le règlement (CE) n° 881/2004 (première lecture) (AL)</w:t>
      </w:r>
      <w:bookmarkEnd w:id="10"/>
    </w:p>
    <w:p w14:paraId="70C7BD0E" w14:textId="77777777" w:rsidR="00A269B4" w:rsidRDefault="00A269B4" w:rsidP="00643D86">
      <w:pPr>
        <w:rPr>
          <w:lang w:val="en-US"/>
        </w:rPr>
      </w:pPr>
      <w:r>
        <w:rPr>
          <w:noProof/>
          <w:lang w:val="en-US"/>
        </w:rPr>
        <w:t>Adoption</w:t>
      </w:r>
      <w:r>
        <w:rPr>
          <w:lang w:val="en-US"/>
        </w:rPr>
        <w:br/>
        <w:t>a) de la position du Conseil en première lecture</w:t>
      </w:r>
      <w:r>
        <w:rPr>
          <w:lang w:val="en-US"/>
        </w:rPr>
        <w:br/>
        <w:t>b) de l'exposé des motifs du Conseil</w:t>
      </w:r>
    </w:p>
    <w:p w14:paraId="049704AF" w14:textId="0424794C" w:rsidR="00643D86" w:rsidRDefault="00A269B4" w:rsidP="00643D86">
      <w:pPr>
        <w:rPr>
          <w:lang w:val="en-US"/>
        </w:rPr>
      </w:pPr>
      <w:r>
        <w:rPr>
          <w:noProof/>
          <w:lang w:val="en-US"/>
        </w:rPr>
        <w:t>14524</w:t>
      </w:r>
      <w:r>
        <w:rPr>
          <w:lang w:val="en-US"/>
        </w:rPr>
        <w:t>/15 CODEC 1579 TRANS 382 10578/15 TRANS 229 CODEC 986+ ADD 1</w:t>
      </w:r>
    </w:p>
    <w:p w14:paraId="049704B0" w14:textId="77777777" w:rsidR="00643D86" w:rsidRDefault="00A269B4" w:rsidP="00643D86">
      <w:r>
        <w:rPr>
          <w:b/>
        </w:rPr>
        <w:t>Ansvarigt statsråd</w:t>
      </w:r>
      <w:r>
        <w:rPr>
          <w:b/>
        </w:rPr>
        <w:br/>
      </w:r>
      <w:r>
        <w:rPr>
          <w:noProof/>
        </w:rPr>
        <w:t>Anna Johansson</w:t>
      </w:r>
    </w:p>
    <w:p w14:paraId="049704B1" w14:textId="77777777" w:rsidR="00643D86" w:rsidRPr="00643D86" w:rsidRDefault="00A269B4" w:rsidP="00643D86">
      <w:r w:rsidRPr="00643D86">
        <w:rPr>
          <w:b/>
        </w:rPr>
        <w:t>Tidigare behandling i riksdagen</w:t>
      </w:r>
      <w:r>
        <w:rPr>
          <w:b/>
        </w:rPr>
        <w:br/>
      </w:r>
      <w:r>
        <w:rPr>
          <w:noProof/>
        </w:rPr>
        <w:t>2014-05-29</w:t>
      </w:r>
    </w:p>
    <w:p w14:paraId="049704B2" w14:textId="77777777" w:rsidR="00643D86" w:rsidRPr="00643D86" w:rsidRDefault="00A269B4" w:rsidP="00643D86">
      <w:r w:rsidRPr="00643D86">
        <w:rPr>
          <w:b/>
        </w:rPr>
        <w:t>Tidigare behandling vid rådsmöte</w:t>
      </w:r>
      <w:r>
        <w:rPr>
          <w:b/>
        </w:rPr>
        <w:br/>
      </w:r>
      <w:r>
        <w:rPr>
          <w:noProof/>
        </w:rPr>
        <w:t>2014-06-04</w:t>
      </w:r>
    </w:p>
    <w:p w14:paraId="049704B5" w14:textId="404B90E8" w:rsidR="00212F20" w:rsidRDefault="00A269B4" w:rsidP="00A269B4">
      <w:r w:rsidRPr="00B44CE2">
        <w:rPr>
          <w:b/>
        </w:rPr>
        <w:t>Annotering</w:t>
      </w:r>
      <w:r>
        <w:rPr>
          <w:b/>
        </w:rPr>
        <w:br/>
      </w:r>
      <w:r>
        <w:rPr>
          <w:b/>
          <w:bCs/>
        </w:rPr>
        <w:t>Avsikt med behandlingen i rådet:</w:t>
      </w:r>
      <w:r>
        <w:t xml:space="preserve"> Att som politisk överenskommelse om gemensam ståndpunkt fastställa förslaget om Förordning för den Europeiska järnvägsbyrån.</w:t>
      </w:r>
    </w:p>
    <w:p w14:paraId="049704B7" w14:textId="2355AC27" w:rsidR="00212F20" w:rsidRDefault="00A269B4">
      <w:pPr>
        <w:spacing w:after="280" w:afterAutospacing="1"/>
      </w:pPr>
      <w:r>
        <w:rPr>
          <w:b/>
          <w:bCs/>
        </w:rPr>
        <w:t>Hur regeringen ställer sig till den blivande A-punkten:</w:t>
      </w:r>
      <w:r>
        <w:t xml:space="preserve"> Regeringen avser att rösta för förslaget om en ny förordning för den Europeiska järnvägsbyrån. </w:t>
      </w:r>
    </w:p>
    <w:p w14:paraId="049704BA" w14:textId="67247AA4" w:rsidR="00FB32B9" w:rsidRDefault="00A269B4">
      <w:pPr>
        <w:spacing w:after="280" w:afterAutospacing="1"/>
        <w:rPr>
          <w:noProof/>
        </w:rPr>
      </w:pPr>
      <w:r>
        <w:rPr>
          <w:b/>
          <w:bCs/>
        </w:rPr>
        <w:t xml:space="preserve">Bakgrund: </w:t>
      </w:r>
      <w:r>
        <w:t>Det fjärde järnvägspaketet presenterades av kommissionen i januari 2013 och innehåller totalt sex nya eller omarabetade rättsakter. Paketet indelas i en teknisk och en politisk pelare. Den nya förordningen för den Europeiska järnvägsnyrån ingår som en av de tre rättsakterna i den tekniska pelaren.</w:t>
      </w:r>
      <w:r>
        <w:br/>
        <w:t>Den nya förordningen omfattar ett antal nya och utökade uppgifter för den Europeiska järnvägsbyrån. Bland dessa kan nämnas:</w:t>
      </w:r>
      <w:r>
        <w:br/>
        <w:t>• Utfärdande av fordonsgodkännanden och säkerhetsintyg för den europeiska marknaden</w:t>
      </w:r>
      <w:r>
        <w:br/>
        <w:t>• Samarbete med nationella säkerhetsmyndigheter i samband med utfärdandet av nationella fordonsgodkännanden och säkerhetsintyg.</w:t>
      </w:r>
      <w:r>
        <w:br/>
        <w:t>• Uppgift som systemmyndighet med ansvar för auktorisation av det europeiska signalsystemet ERTMS.</w:t>
      </w:r>
    </w:p>
    <w:p w14:paraId="049704BB" w14:textId="77777777" w:rsidR="00643D86" w:rsidRDefault="00A269B4" w:rsidP="00643D86">
      <w:pPr>
        <w:pStyle w:val="Rubrik1"/>
      </w:pPr>
      <w:bookmarkStart w:id="11" w:name="_Toc436811499"/>
      <w:r>
        <w:rPr>
          <w:noProof/>
        </w:rPr>
        <w:t>Projet de directive du Parlement européen et du Conseil relative à l’interopérabilité du système ferroviaire au sein de l’Union européenne (Refonte) (première lecture) (AL)</w:t>
      </w:r>
      <w:bookmarkEnd w:id="11"/>
    </w:p>
    <w:p w14:paraId="788CC7BD" w14:textId="77777777" w:rsidR="00A269B4" w:rsidRDefault="00A269B4" w:rsidP="00643D86">
      <w:pPr>
        <w:rPr>
          <w:lang w:val="en-US"/>
        </w:rPr>
      </w:pPr>
      <w:r>
        <w:rPr>
          <w:noProof/>
          <w:lang w:val="en-US"/>
        </w:rPr>
        <w:t>Adoption</w:t>
      </w:r>
      <w:r>
        <w:rPr>
          <w:lang w:val="en-US"/>
        </w:rPr>
        <w:br/>
        <w:t>a) de la position du Conseil en première lecture</w:t>
      </w:r>
      <w:r>
        <w:rPr>
          <w:lang w:val="en-US"/>
        </w:rPr>
        <w:br/>
        <w:t>b) de l'exposé des motifs du Conseil</w:t>
      </w:r>
    </w:p>
    <w:p w14:paraId="049704BC" w14:textId="648FF8AB" w:rsidR="00643D86" w:rsidRDefault="00A269B4" w:rsidP="00643D86">
      <w:pPr>
        <w:rPr>
          <w:lang w:val="en-US"/>
        </w:rPr>
      </w:pPr>
      <w:r>
        <w:rPr>
          <w:noProof/>
          <w:lang w:val="en-US"/>
        </w:rPr>
        <w:t>14525</w:t>
      </w:r>
      <w:r>
        <w:rPr>
          <w:lang w:val="en-US"/>
        </w:rPr>
        <w:t>/15 CODEC 1580 TRANS 383 10579/15 TRANS 230 CODEC 987+ ADD 1</w:t>
      </w:r>
    </w:p>
    <w:p w14:paraId="049704BD" w14:textId="77777777" w:rsidR="00643D86" w:rsidRDefault="00A269B4" w:rsidP="00643D86">
      <w:r>
        <w:rPr>
          <w:b/>
        </w:rPr>
        <w:t>Ansvarigt statsråd</w:t>
      </w:r>
      <w:r>
        <w:rPr>
          <w:b/>
        </w:rPr>
        <w:br/>
      </w:r>
      <w:r>
        <w:rPr>
          <w:noProof/>
        </w:rPr>
        <w:t>Anna Johansson</w:t>
      </w:r>
    </w:p>
    <w:p w14:paraId="049704BE" w14:textId="77777777" w:rsidR="00643D86" w:rsidRPr="00643D86" w:rsidRDefault="00A269B4" w:rsidP="00643D86">
      <w:r w:rsidRPr="00643D86">
        <w:rPr>
          <w:b/>
        </w:rPr>
        <w:t>Tidigare behandling i riksdagen</w:t>
      </w:r>
      <w:r>
        <w:rPr>
          <w:b/>
        </w:rPr>
        <w:br/>
      </w:r>
      <w:r>
        <w:rPr>
          <w:noProof/>
        </w:rPr>
        <w:t>2014-05-29</w:t>
      </w:r>
    </w:p>
    <w:p w14:paraId="049704BF" w14:textId="77777777" w:rsidR="00643D86" w:rsidRPr="00643D86" w:rsidRDefault="00A269B4" w:rsidP="00643D86">
      <w:r w:rsidRPr="00643D86">
        <w:rPr>
          <w:b/>
        </w:rPr>
        <w:lastRenderedPageBreak/>
        <w:t>Tidigare behandling vid rådsmöte</w:t>
      </w:r>
      <w:r>
        <w:rPr>
          <w:b/>
        </w:rPr>
        <w:br/>
      </w:r>
      <w:r>
        <w:rPr>
          <w:noProof/>
        </w:rPr>
        <w:t>2014-06-04</w:t>
      </w:r>
    </w:p>
    <w:p w14:paraId="049704C2" w14:textId="733A256F" w:rsidR="00212F20" w:rsidRDefault="00A269B4" w:rsidP="00A269B4">
      <w:r w:rsidRPr="00B44CE2">
        <w:rPr>
          <w:b/>
        </w:rPr>
        <w:t>Annotering</w:t>
      </w:r>
      <w:r>
        <w:rPr>
          <w:b/>
        </w:rPr>
        <w:br/>
      </w:r>
      <w:r>
        <w:rPr>
          <w:b/>
          <w:bCs/>
        </w:rPr>
        <w:t>Avsikt med behandlingen i rådet:</w:t>
      </w:r>
      <w:r>
        <w:t xml:space="preserve"> Att som politisk överenskommelse om gemensam ståndpunkt fastställa förslaget om direktiv om driftskompatibilitet i det europeiska järnvägssystemet.</w:t>
      </w:r>
    </w:p>
    <w:p w14:paraId="049704C4" w14:textId="5F7B3D30" w:rsidR="00212F20" w:rsidRDefault="00A269B4">
      <w:pPr>
        <w:spacing w:after="280" w:afterAutospacing="1"/>
      </w:pPr>
      <w:r>
        <w:rPr>
          <w:b/>
          <w:bCs/>
        </w:rPr>
        <w:t>Hur regeringen ställer sig till den blivande A-punkten:</w:t>
      </w:r>
      <w:r>
        <w:t xml:space="preserve"> Regeringen avser att rösta för förslaget om ett nytt direktiv för driftskompatibilitet. </w:t>
      </w:r>
    </w:p>
    <w:p w14:paraId="049704C6" w14:textId="351E6CDD" w:rsidR="00212F20" w:rsidRDefault="00A269B4">
      <w:pPr>
        <w:spacing w:after="280" w:afterAutospacing="1"/>
      </w:pPr>
      <w:r>
        <w:rPr>
          <w:b/>
          <w:bCs/>
        </w:rPr>
        <w:t>Bakgrund:</w:t>
      </w:r>
      <w:r w:rsidR="00951752">
        <w:rPr>
          <w:b/>
          <w:bCs/>
        </w:rPr>
        <w:t xml:space="preserve"> </w:t>
      </w:r>
      <w:r>
        <w:t xml:space="preserve">Det fjärde järnvägspaketet presenterades av kommissionen i januari 2013 och innehåller totalt sex nya eller omarabetade rättsakter. Paketet indelas i en teknisk och en politisk pelare. Det nya direktivet om driftskompatibilitet ingår som en av de tre </w:t>
      </w:r>
      <w:r w:rsidR="002A6FF9">
        <w:t>rättsakterna i</w:t>
      </w:r>
      <w:r>
        <w:t xml:space="preserve"> den tekniska pelaren. Bestämmelserna syftar till teknisk harmonisering inom det europeiska järnvägssystemet.  </w:t>
      </w:r>
    </w:p>
    <w:p w14:paraId="049704C8" w14:textId="40876417" w:rsidR="00FB32B9" w:rsidRDefault="00A269B4">
      <w:pPr>
        <w:spacing w:after="280" w:afterAutospacing="1"/>
        <w:rPr>
          <w:noProof/>
        </w:rPr>
      </w:pPr>
      <w:r>
        <w:t>Bland de viktigare bestämmelserna kan nämnas:</w:t>
      </w:r>
      <w:r>
        <w:br/>
        <w:t>• Inrättandet av ett gemensamt europeiskt fordonsregister.</w:t>
      </w:r>
      <w:r>
        <w:br/>
        <w:t>• Strukturen för kompletterande lagstiftning genom delegerade akter eller genomförandeakter i form av tekniska specifikationer för driftskompatibilitet (TSD).</w:t>
      </w:r>
    </w:p>
    <w:p w14:paraId="049704C9" w14:textId="77777777" w:rsidR="00643D86" w:rsidRDefault="00A269B4" w:rsidP="00643D86">
      <w:pPr>
        <w:pStyle w:val="Rubrik1"/>
      </w:pPr>
      <w:bookmarkStart w:id="12" w:name="_Toc436811500"/>
      <w:r>
        <w:rPr>
          <w:noProof/>
        </w:rPr>
        <w:t>Projet de directive du Parlement européen et du Conseil relative à la sécurité ferroviaire (Refonte) (première lecture) (AL)</w:t>
      </w:r>
      <w:bookmarkEnd w:id="12"/>
    </w:p>
    <w:p w14:paraId="1B01E35B" w14:textId="77777777" w:rsidR="00A269B4" w:rsidRDefault="00A269B4" w:rsidP="00643D86">
      <w:pPr>
        <w:rPr>
          <w:lang w:val="en-US"/>
        </w:rPr>
      </w:pPr>
      <w:r>
        <w:rPr>
          <w:noProof/>
          <w:lang w:val="en-US"/>
        </w:rPr>
        <w:t>Adoption</w:t>
      </w:r>
      <w:r>
        <w:rPr>
          <w:lang w:val="en-US"/>
        </w:rPr>
        <w:br/>
        <w:t>a) de la position du Conseil en première lecture</w:t>
      </w:r>
      <w:r>
        <w:rPr>
          <w:lang w:val="en-US"/>
        </w:rPr>
        <w:br/>
        <w:t>b) de l'exposé des motifs du Conseil</w:t>
      </w:r>
    </w:p>
    <w:p w14:paraId="049704CA" w14:textId="781BA0BD" w:rsidR="00643D86" w:rsidRDefault="00A269B4" w:rsidP="00643D86">
      <w:pPr>
        <w:rPr>
          <w:lang w:val="en-US"/>
        </w:rPr>
      </w:pPr>
      <w:r>
        <w:rPr>
          <w:noProof/>
          <w:lang w:val="en-US"/>
        </w:rPr>
        <w:t>14526</w:t>
      </w:r>
      <w:r>
        <w:rPr>
          <w:lang w:val="en-US"/>
        </w:rPr>
        <w:t>/15 CODEC 1581 TRANS 384 10580/15 TRANS 231 CODEC 988+ ADD 1</w:t>
      </w:r>
    </w:p>
    <w:p w14:paraId="049704CB" w14:textId="77777777" w:rsidR="00643D86" w:rsidRDefault="00A269B4" w:rsidP="00643D86">
      <w:r>
        <w:rPr>
          <w:b/>
        </w:rPr>
        <w:t>Ansvarigt statsråd</w:t>
      </w:r>
      <w:r>
        <w:rPr>
          <w:b/>
        </w:rPr>
        <w:br/>
      </w:r>
      <w:r>
        <w:rPr>
          <w:noProof/>
        </w:rPr>
        <w:t>Anna Johansson</w:t>
      </w:r>
    </w:p>
    <w:p w14:paraId="049704CC" w14:textId="77777777" w:rsidR="00643D86" w:rsidRPr="00643D86" w:rsidRDefault="00A269B4" w:rsidP="00643D86">
      <w:r w:rsidRPr="00643D86">
        <w:rPr>
          <w:b/>
        </w:rPr>
        <w:t>Tidigare behandling i riksdagen</w:t>
      </w:r>
      <w:r>
        <w:rPr>
          <w:b/>
        </w:rPr>
        <w:br/>
      </w:r>
      <w:r>
        <w:rPr>
          <w:noProof/>
        </w:rPr>
        <w:t>2014-05-29</w:t>
      </w:r>
    </w:p>
    <w:p w14:paraId="049704CD" w14:textId="77777777" w:rsidR="00643D86" w:rsidRPr="00643D86" w:rsidRDefault="00A269B4" w:rsidP="00643D86">
      <w:r w:rsidRPr="00643D86">
        <w:rPr>
          <w:b/>
        </w:rPr>
        <w:t>Tidigare behandling vid rådsmöte</w:t>
      </w:r>
      <w:r>
        <w:rPr>
          <w:b/>
        </w:rPr>
        <w:br/>
      </w:r>
      <w:r>
        <w:rPr>
          <w:noProof/>
        </w:rPr>
        <w:t>2014-06-04</w:t>
      </w:r>
    </w:p>
    <w:p w14:paraId="049704D0" w14:textId="0AA072D7" w:rsidR="00212F20" w:rsidRDefault="00A269B4" w:rsidP="00A269B4">
      <w:r w:rsidRPr="00B44CE2">
        <w:rPr>
          <w:b/>
        </w:rPr>
        <w:t>Annotering</w:t>
      </w:r>
      <w:r>
        <w:rPr>
          <w:b/>
        </w:rPr>
        <w:br/>
      </w:r>
      <w:r>
        <w:rPr>
          <w:b/>
          <w:bCs/>
        </w:rPr>
        <w:t>Avsikt med behandlingen i rådet:</w:t>
      </w:r>
      <w:r>
        <w:t xml:space="preserve"> Att som politisk överenskommelse om gemensam ståndpunkt fastställa förslaget om direktivet om järnvägssäkerhet.</w:t>
      </w:r>
    </w:p>
    <w:p w14:paraId="049704D2" w14:textId="2D870B69" w:rsidR="00212F20" w:rsidRDefault="00A269B4">
      <w:pPr>
        <w:spacing w:after="280" w:afterAutospacing="1"/>
      </w:pPr>
      <w:r>
        <w:rPr>
          <w:b/>
          <w:bCs/>
        </w:rPr>
        <w:t>Hur regeringen ställer sig till den blivande A-punkten:</w:t>
      </w:r>
      <w:r>
        <w:t xml:space="preserve"> Regeringen avser att rösta för förslaget om ett nytt direktiv för järnvägssäkerhet. </w:t>
      </w:r>
    </w:p>
    <w:p w14:paraId="049704D4" w14:textId="62D57C4F" w:rsidR="00212F20" w:rsidRDefault="00A269B4">
      <w:pPr>
        <w:spacing w:after="280" w:afterAutospacing="1"/>
      </w:pPr>
      <w:r>
        <w:rPr>
          <w:b/>
          <w:bCs/>
        </w:rPr>
        <w:t xml:space="preserve">Bakgrund: </w:t>
      </w:r>
      <w:r>
        <w:t xml:space="preserve">Det fjärde järnvägspaketet presenterades av kommissionen i januari 2013 och innehåller totalt sex nya eller omarabetade rättsakter. Paketet indelas i en teknisk och en politisk pelare.  Det nya direktivet om järnvägssäkerhet ingår som en av de tre </w:t>
      </w:r>
      <w:r w:rsidR="002A6FF9">
        <w:t>rättsakterna i</w:t>
      </w:r>
      <w:r>
        <w:t xml:space="preserve"> den tekniska pelaren.</w:t>
      </w:r>
    </w:p>
    <w:p w14:paraId="049704D6" w14:textId="5D645815" w:rsidR="00FB32B9" w:rsidRDefault="00A269B4">
      <w:pPr>
        <w:spacing w:after="280" w:afterAutospacing="1"/>
        <w:rPr>
          <w:noProof/>
        </w:rPr>
      </w:pPr>
      <w:r>
        <w:lastRenderedPageBreak/>
        <w:t>Bland de nya bestämmelserna kan nämnas:</w:t>
      </w:r>
      <w:r>
        <w:br/>
        <w:t>• Klargörande av roller och ansvar för olika aktörer i säkerhetskedjan</w:t>
      </w:r>
      <w:r>
        <w:br/>
        <w:t xml:space="preserve">• Samarbetsavtal mellan nationella säkerhetsmyndigheter och Europeiska järnvägsbyrån </w:t>
      </w:r>
      <w:r>
        <w:br/>
        <w:t>• Processer för att utarbeta detaljerade bestämmelser kring säkerhetsmetoder och säkerhetsmål</w:t>
      </w:r>
      <w:r>
        <w:br/>
        <w:t>•Möjlighet för Europeiska järnvägsbyrån att etablera ett system för incidentrapportering på europeisk nivå</w:t>
      </w:r>
    </w:p>
    <w:p w14:paraId="049704D7" w14:textId="77777777" w:rsidR="00643D86" w:rsidRDefault="00A269B4" w:rsidP="00643D86">
      <w:pPr>
        <w:pStyle w:val="Rubrik1"/>
      </w:pPr>
      <w:bookmarkStart w:id="13" w:name="_Toc436811501"/>
      <w:r>
        <w:rPr>
          <w:noProof/>
        </w:rPr>
        <w:t>Règlement (UE) …/… de la Commission du XXX modifiant les annexes II et III du règlement (CE) nº 396/2005 du Parlement européen et du Conseil en ce qui concerne les limites maximales applicables aux résidus de chlorpyrifos présents dans ou sur certains produits</w:t>
      </w:r>
      <w:bookmarkEnd w:id="13"/>
    </w:p>
    <w:p w14:paraId="78E3609A" w14:textId="77777777" w:rsidR="00A269B4" w:rsidRDefault="00A269B4" w:rsidP="00643D86">
      <w:pPr>
        <w:rPr>
          <w:lang w:val="en-US"/>
        </w:rPr>
      </w:pPr>
      <w:r>
        <w:rPr>
          <w:noProof/>
          <w:lang w:val="en-US"/>
        </w:rPr>
        <w:t>Décision</w:t>
      </w:r>
      <w:r>
        <w:rPr>
          <w:lang w:val="en-US"/>
        </w:rPr>
        <w:t xml:space="preserve"> de ne pas s'opposer à l'adoption</w:t>
      </w:r>
    </w:p>
    <w:p w14:paraId="049704D8" w14:textId="487A9AB5" w:rsidR="00643D86" w:rsidRDefault="00A269B4" w:rsidP="00643D86">
      <w:pPr>
        <w:rPr>
          <w:lang w:val="en-US"/>
        </w:rPr>
      </w:pPr>
      <w:r>
        <w:rPr>
          <w:noProof/>
          <w:lang w:val="en-US"/>
        </w:rPr>
        <w:t>14683</w:t>
      </w:r>
      <w:r>
        <w:rPr>
          <w:lang w:val="en-US"/>
        </w:rPr>
        <w:t>/15 AGRILEG 230 13361/15 AGRILEG 200+ ADD 1+ ADD 2</w:t>
      </w:r>
    </w:p>
    <w:p w14:paraId="049704D9" w14:textId="638DB92E" w:rsidR="00643D86" w:rsidRDefault="00A269B4" w:rsidP="00643D86">
      <w:r>
        <w:rPr>
          <w:b/>
        </w:rPr>
        <w:t>Ansvarigt statsråd</w:t>
      </w:r>
      <w:r>
        <w:rPr>
          <w:b/>
        </w:rPr>
        <w:br/>
      </w:r>
      <w:r>
        <w:t>Sven-Erik Bucht</w:t>
      </w:r>
    </w:p>
    <w:p w14:paraId="049704DC" w14:textId="3E452FE7" w:rsidR="00643D86" w:rsidRDefault="00A269B4" w:rsidP="00643D86">
      <w:r w:rsidRPr="00B44CE2">
        <w:rPr>
          <w:b/>
        </w:rPr>
        <w:t>Annotering</w:t>
      </w:r>
      <w:r>
        <w:rPr>
          <w:b/>
        </w:rPr>
        <w:br/>
      </w:r>
      <w:r>
        <w:t>Föranleder ingen annotering.</w:t>
      </w:r>
    </w:p>
    <w:p w14:paraId="049704DD" w14:textId="77777777" w:rsidR="00643D86" w:rsidRDefault="00A269B4" w:rsidP="00643D86">
      <w:pPr>
        <w:pStyle w:val="Rubrik1"/>
      </w:pPr>
      <w:bookmarkStart w:id="14" w:name="_Toc436811502"/>
      <w:r>
        <w:rPr>
          <w:noProof/>
        </w:rPr>
        <w:t>Règlement (UE) …/… de la Commission du XXX modifiant le règlement (CE) nº 333/2007 en ce qui concerne l’analyse de l’arsenic inorganique, du plomb et des hydrocarbures aromatiques polycycliques ainsi que certains critères de performance relatifs à l’analyse</w:t>
      </w:r>
      <w:bookmarkEnd w:id="14"/>
    </w:p>
    <w:p w14:paraId="7F4B85F5" w14:textId="77777777" w:rsidR="00A269B4" w:rsidRDefault="00A269B4" w:rsidP="00643D86">
      <w:pPr>
        <w:rPr>
          <w:lang w:val="en-US"/>
        </w:rPr>
      </w:pPr>
      <w:r>
        <w:rPr>
          <w:noProof/>
          <w:lang w:val="en-US"/>
        </w:rPr>
        <w:t>Décision</w:t>
      </w:r>
      <w:r>
        <w:rPr>
          <w:lang w:val="en-US"/>
        </w:rPr>
        <w:t xml:space="preserve"> de ne pas s'opposer à l'adoption</w:t>
      </w:r>
    </w:p>
    <w:p w14:paraId="049704DE" w14:textId="287D28AC" w:rsidR="00643D86" w:rsidRDefault="00A269B4" w:rsidP="00643D86">
      <w:pPr>
        <w:rPr>
          <w:lang w:val="en-US"/>
        </w:rPr>
      </w:pPr>
      <w:r>
        <w:rPr>
          <w:noProof/>
          <w:lang w:val="en-US"/>
        </w:rPr>
        <w:t>14685</w:t>
      </w:r>
      <w:r>
        <w:rPr>
          <w:lang w:val="en-US"/>
        </w:rPr>
        <w:t xml:space="preserve">/15 AGRILEG 231 DENELEG 154 13778/15 AGRILEG 213 DENLEG 145+ADD 1 </w:t>
      </w:r>
    </w:p>
    <w:p w14:paraId="049704DF" w14:textId="79E7FE58" w:rsidR="00643D86" w:rsidRDefault="00A269B4" w:rsidP="00643D86">
      <w:r>
        <w:rPr>
          <w:b/>
        </w:rPr>
        <w:t>Ansvarigt statsråd</w:t>
      </w:r>
      <w:r>
        <w:rPr>
          <w:b/>
        </w:rPr>
        <w:br/>
      </w:r>
      <w:r>
        <w:t>Sven-Erik Bucht</w:t>
      </w:r>
    </w:p>
    <w:p w14:paraId="049704E2" w14:textId="5DB95620" w:rsidR="00643D86" w:rsidRDefault="00A269B4" w:rsidP="00643D86">
      <w:r w:rsidRPr="00B44CE2">
        <w:rPr>
          <w:b/>
        </w:rPr>
        <w:t>Annotering</w:t>
      </w:r>
      <w:r>
        <w:rPr>
          <w:b/>
        </w:rPr>
        <w:br/>
      </w:r>
      <w:r>
        <w:t>Föranleder ingen annotering.</w:t>
      </w:r>
    </w:p>
    <w:p w14:paraId="049704E3" w14:textId="77777777" w:rsidR="00643D86" w:rsidRDefault="00A269B4" w:rsidP="00643D86">
      <w:pPr>
        <w:pStyle w:val="Rubrik1"/>
      </w:pPr>
      <w:bookmarkStart w:id="15" w:name="_Toc436811503"/>
      <w:r>
        <w:rPr>
          <w:noProof/>
        </w:rPr>
        <w:t>Proposition de règlement du Conseil portant ouverture et mode de gestion de contingents tarifaires autonomes de l'Union pour certains produits de la pêche pour la période 2016-2018</w:t>
      </w:r>
      <w:bookmarkEnd w:id="15"/>
    </w:p>
    <w:p w14:paraId="4240B43A" w14:textId="77777777" w:rsidR="00A269B4" w:rsidRDefault="00A269B4" w:rsidP="00643D86">
      <w:pPr>
        <w:rPr>
          <w:noProof/>
          <w:lang w:val="en-US"/>
        </w:rPr>
      </w:pPr>
      <w:r>
        <w:rPr>
          <w:noProof/>
          <w:lang w:val="en-US"/>
        </w:rPr>
        <w:t>Adoption</w:t>
      </w:r>
    </w:p>
    <w:p w14:paraId="049704E4" w14:textId="44D77C20" w:rsidR="00643D86" w:rsidRDefault="00A269B4" w:rsidP="00643D86">
      <w:pPr>
        <w:rPr>
          <w:lang w:val="en-US"/>
        </w:rPr>
      </w:pPr>
      <w:r>
        <w:rPr>
          <w:noProof/>
          <w:lang w:val="en-US"/>
        </w:rPr>
        <w:t>14714</w:t>
      </w:r>
      <w:r>
        <w:rPr>
          <w:lang w:val="en-US"/>
        </w:rPr>
        <w:t>/15 PECHE 453 UD 235 13502/15 PECHE 397 UD 211</w:t>
      </w:r>
    </w:p>
    <w:p w14:paraId="049704E5" w14:textId="77777777" w:rsidR="00643D86" w:rsidRDefault="00A269B4" w:rsidP="00643D86">
      <w:r>
        <w:rPr>
          <w:b/>
        </w:rPr>
        <w:t>Ansvarigt statsråd</w:t>
      </w:r>
      <w:r>
        <w:rPr>
          <w:b/>
        </w:rPr>
        <w:br/>
      </w:r>
      <w:r>
        <w:rPr>
          <w:noProof/>
        </w:rPr>
        <w:t>Sven-Erik Bucht</w:t>
      </w:r>
    </w:p>
    <w:p w14:paraId="049704E9" w14:textId="485F9B63" w:rsidR="00212F20" w:rsidRDefault="00A269B4" w:rsidP="00A269B4">
      <w:r w:rsidRPr="00B44CE2">
        <w:rPr>
          <w:b/>
        </w:rPr>
        <w:t>Annotering</w:t>
      </w:r>
      <w:r>
        <w:rPr>
          <w:b/>
        </w:rPr>
        <w:br/>
      </w:r>
      <w:r>
        <w:rPr>
          <w:b/>
          <w:bCs/>
        </w:rPr>
        <w:t>Avsikt med behandlingen i rådet:</w:t>
      </w:r>
      <w:r>
        <w:t xml:space="preserve"> Politisk överenskommelse </w:t>
      </w:r>
    </w:p>
    <w:p w14:paraId="049704EB" w14:textId="65A73A5F" w:rsidR="00212F20" w:rsidRDefault="00A269B4">
      <w:pPr>
        <w:spacing w:after="280" w:afterAutospacing="1"/>
      </w:pPr>
      <w:r>
        <w:rPr>
          <w:b/>
          <w:bCs/>
        </w:rPr>
        <w:lastRenderedPageBreak/>
        <w:t>Hur regeringen ställer sig till den blivande A-punkten:</w:t>
      </w:r>
      <w:r>
        <w:t xml:space="preserve"> Regeringen har aviserat att man avser rösta ja till förslaget.</w:t>
      </w:r>
    </w:p>
    <w:p w14:paraId="049704EE" w14:textId="729AE4D3" w:rsidR="00FB32B9" w:rsidRDefault="00A269B4">
      <w:pPr>
        <w:spacing w:after="280" w:afterAutospacing="1"/>
      </w:pPr>
      <w:r>
        <w:rPr>
          <w:b/>
          <w:bCs/>
        </w:rPr>
        <w:t xml:space="preserve">Bakgrund: </w:t>
      </w:r>
      <w:r>
        <w:t>Kommissionens förslag till förordningen om autonoma tullkvoter för perioden 2016-2018 presenterades för rådet den 16 juli 2016. Förslaget syftar till att förse livsmedelsindustrin med råvaror av rätt kvalitet och kvantitet till konkurrensmässiga priser genom import. För att säkra råvaruförsörjningen till beredningsindustrin har EU helt eller delvis avskaffat tullarna autonomt på vissa produkter med vissa volymer enligt förordning (EU) nr 1220/2012. Denna förordning löper ut den 31 december 2015.  Förslaget har diskuterats i rådsarbetsgruppen ett antal gånger där SE tillsammans med UK, DE, NL, PT, PL, FI och LT påpekat att man var bekymrade över att det kompromissförslag som presenterats inte gav något utrymme för ekonomisk tillväxt och sysselsättning för beredningsföretagen. Utestående frågor diskuterades i Coreper den 27 november. Vid detta möte gjordes vissa justeringar bl.a. i förhållande till svenska prioriteringar som innebar en sänkning av förmånstullen för sillråvara till från 6 till 5 procent samt en ökning av tullkvoten för rom. Justeringar gjordes också för tonfiskfiléer och surimi. Därmed kunde en majoritet av MS ställa sig bakom förslaget.</w:t>
      </w:r>
    </w:p>
    <w:p w14:paraId="191B9615" w14:textId="397D8713" w:rsidR="002A6FF9" w:rsidRDefault="00A269B4" w:rsidP="002A6FF9">
      <w:pPr>
        <w:pStyle w:val="Rubrik1"/>
        <w:rPr>
          <w:noProof/>
        </w:rPr>
      </w:pPr>
      <w:bookmarkStart w:id="16" w:name="_Toc436811504"/>
      <w:r w:rsidRPr="00A269B4">
        <w:rPr>
          <w:noProof/>
        </w:rPr>
        <w:t xml:space="preserve">Projet de décision du Conseil relative à la position à prendre au nom de l'Union européenne en ce qui concerne les décisions à adopter par la Commission permanente d'Eurocontrol sur les missions et les tâches d'Eurocontrol et sur les services centralisés </w:t>
      </w:r>
      <w:r w:rsidRPr="00A269B4">
        <w:rPr>
          <w:lang w:eastAsia="sv-SE"/>
        </w:rPr>
        <w:t>Adoption</w:t>
      </w:r>
      <w:bookmarkEnd w:id="16"/>
    </w:p>
    <w:p w14:paraId="2EE74A68" w14:textId="52594FC3" w:rsidR="002A6FF9" w:rsidRDefault="00A269B4" w:rsidP="002A6FF9">
      <w:pPr>
        <w:rPr>
          <w:lang w:eastAsia="sv-SE"/>
        </w:rPr>
      </w:pPr>
      <w:r w:rsidRPr="00A269B4">
        <w:rPr>
          <w:lang w:eastAsia="sv-SE"/>
        </w:rPr>
        <w:t>14678/15 AVIATION 146</w:t>
      </w:r>
    </w:p>
    <w:p w14:paraId="55209C5C" w14:textId="6D51AE81" w:rsidR="002A6FF9" w:rsidRDefault="002A6FF9" w:rsidP="002A6FF9">
      <w:pPr>
        <w:rPr>
          <w:lang w:eastAsia="sv-SE"/>
        </w:rPr>
      </w:pPr>
      <w:r w:rsidRPr="002A6FF9">
        <w:rPr>
          <w:b/>
          <w:lang w:eastAsia="sv-SE"/>
        </w:rPr>
        <w:t>Ansvarigt statsråd</w:t>
      </w:r>
      <w:r>
        <w:rPr>
          <w:lang w:eastAsia="sv-SE"/>
        </w:rPr>
        <w:t>:</w:t>
      </w:r>
      <w:r>
        <w:rPr>
          <w:lang w:eastAsia="sv-SE"/>
        </w:rPr>
        <w:br/>
        <w:t>Anna Johansson</w:t>
      </w:r>
    </w:p>
    <w:p w14:paraId="266FA9D5" w14:textId="7A1E3B70" w:rsidR="002A6FF9" w:rsidRPr="002A6FF9" w:rsidRDefault="002A6FF9" w:rsidP="002A6FF9">
      <w:r w:rsidRPr="002A6FF9">
        <w:rPr>
          <w:b/>
          <w:bCs/>
        </w:rPr>
        <w:t xml:space="preserve">Avsikt med behandlingen i rådet: </w:t>
      </w:r>
      <w:r w:rsidRPr="002A6FF9">
        <w:t>Antagande av beslut om EU-position rörande beslut i Eurocontrols Permanent Commission om Eurocontrols roller och uppgifter och om centraliserade tjänster.</w:t>
      </w:r>
    </w:p>
    <w:p w14:paraId="24D30A4D" w14:textId="56C63B0A" w:rsidR="002A6FF9" w:rsidRPr="002A6FF9" w:rsidRDefault="002A6FF9" w:rsidP="002A6FF9">
      <w:pPr>
        <w:pStyle w:val="Normalwebb"/>
        <w:shd w:val="clear" w:color="auto" w:fill="FFFFFF"/>
        <w:ind w:left="714"/>
        <w:textAlignment w:val="top"/>
        <w:rPr>
          <w:rFonts w:eastAsia="Calibri"/>
          <w:sz w:val="22"/>
          <w:szCs w:val="22"/>
        </w:rPr>
      </w:pPr>
      <w:r w:rsidRPr="002A6FF9">
        <w:rPr>
          <w:rFonts w:eastAsia="Calibri"/>
          <w:b/>
          <w:bCs/>
          <w:sz w:val="22"/>
          <w:szCs w:val="22"/>
        </w:rPr>
        <w:t>Hur regeringen ställer sig till den blivande A-punkten:</w:t>
      </w:r>
      <w:r>
        <w:rPr>
          <w:rFonts w:eastAsia="Calibri"/>
          <w:b/>
          <w:bCs/>
          <w:sz w:val="22"/>
          <w:szCs w:val="22"/>
        </w:rPr>
        <w:t xml:space="preserve"> </w:t>
      </w:r>
      <w:r w:rsidRPr="002A6FF9">
        <w:rPr>
          <w:rFonts w:eastAsia="Calibri"/>
          <w:sz w:val="22"/>
          <w:szCs w:val="22"/>
        </w:rPr>
        <w:t>Regeringen avser stödja förslaget.</w:t>
      </w:r>
    </w:p>
    <w:p w14:paraId="7E680131" w14:textId="77777777" w:rsidR="002A6FF9" w:rsidRDefault="002A6FF9" w:rsidP="002A6FF9">
      <w:pPr>
        <w:pStyle w:val="Normalwebb"/>
        <w:shd w:val="clear" w:color="auto" w:fill="FFFFFF"/>
        <w:ind w:left="714"/>
        <w:textAlignment w:val="top"/>
        <w:rPr>
          <w:rFonts w:eastAsia="Calibri"/>
          <w:sz w:val="22"/>
          <w:szCs w:val="22"/>
        </w:rPr>
      </w:pPr>
      <w:r w:rsidRPr="002A6FF9">
        <w:rPr>
          <w:rFonts w:eastAsia="Calibri"/>
          <w:b/>
          <w:bCs/>
          <w:sz w:val="22"/>
          <w:szCs w:val="22"/>
        </w:rPr>
        <w:t>Bakgrund:</w:t>
      </w:r>
      <w:r>
        <w:rPr>
          <w:rFonts w:eastAsia="Calibri"/>
          <w:b/>
          <w:bCs/>
          <w:sz w:val="22"/>
          <w:szCs w:val="22"/>
        </w:rPr>
        <w:t xml:space="preserve"> </w:t>
      </w:r>
      <w:r w:rsidRPr="002A6FF9">
        <w:rPr>
          <w:rFonts w:eastAsia="Calibri"/>
          <w:sz w:val="22"/>
          <w:szCs w:val="22"/>
        </w:rPr>
        <w:t>Inom den mellanstatliga organisationen för flygtrafikledning - Eurocontrol – har en arbetsgrupp de senaste två åren arbetat med frågan om en reformering av Eurocontrol i ljuset av att den reviderade konventionen (”revised convention”) från 1997 inte ratificerats av alla medlemmar och därmed inte har trätt ikraft. Istället gäller den ändrade konventionen (”amended convention”) från 1981 fortfarande. Till nästa Permanent Commission-möte i Eurocontrol den 8-9 december har arbetsgruppens ordförande tagit fram ett förslag rörande roller och uppgifter som mötet ombeds stödja. KOM föreslår med denna EU-koordinering med ett antal ändringsf</w:t>
      </w:r>
      <w:r>
        <w:rPr>
          <w:rFonts w:eastAsia="Calibri"/>
          <w:sz w:val="22"/>
          <w:szCs w:val="22"/>
        </w:rPr>
        <w:t>örslag till detta.</w:t>
      </w:r>
    </w:p>
    <w:p w14:paraId="049704EF" w14:textId="4DB34425" w:rsidR="00643D86" w:rsidRPr="00643D86" w:rsidRDefault="002A6FF9" w:rsidP="00951752">
      <w:pPr>
        <w:pStyle w:val="Normalwebb"/>
        <w:shd w:val="clear" w:color="auto" w:fill="FFFFFF"/>
        <w:ind w:left="714"/>
        <w:textAlignment w:val="top"/>
        <w:rPr>
          <w:lang w:val="en-US"/>
        </w:rPr>
      </w:pPr>
      <w:r w:rsidRPr="002A6FF9">
        <w:rPr>
          <w:rFonts w:eastAsia="Calibri"/>
          <w:sz w:val="22"/>
          <w:szCs w:val="22"/>
        </w:rPr>
        <w:t xml:space="preserve">Eurocontrol har också inlett ett arbete rörande centralisering av vissa undertjänster till flygtrafikledning. KOM föreslår att beslutet om centraliserade tjänster vid Permanent Commission ska skjutas upp eftersom det inte finns tillräcklig information att utvärdera förslaget samt att det kan föregå framtida aktiviteter från Eurocontrol, särskilt i relation till SESAR (utveckling av flygtrafikleding i det gemensamma europeiska luftrummet). </w:t>
      </w:r>
      <w:bookmarkEnd w:id="1"/>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70501" w14:textId="77777777" w:rsidR="00C50D20" w:rsidRDefault="00A269B4">
      <w:pPr>
        <w:spacing w:after="0" w:line="240" w:lineRule="auto"/>
      </w:pPr>
      <w:r>
        <w:separator/>
      </w:r>
    </w:p>
  </w:endnote>
  <w:endnote w:type="continuationSeparator" w:id="0">
    <w:p w14:paraId="04970503" w14:textId="77777777" w:rsidR="00C50D20" w:rsidRDefault="00A2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704FD" w14:textId="77777777" w:rsidR="00C50D20" w:rsidRDefault="00A269B4">
      <w:pPr>
        <w:spacing w:after="0" w:line="240" w:lineRule="auto"/>
      </w:pPr>
      <w:r>
        <w:separator/>
      </w:r>
    </w:p>
  </w:footnote>
  <w:footnote w:type="continuationSeparator" w:id="0">
    <w:p w14:paraId="049704FF" w14:textId="77777777" w:rsidR="00C50D20" w:rsidRDefault="00A26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225746"/>
      <w:docPartObj>
        <w:docPartGallery w:val="Page Numbers (Top of Page)"/>
        <w:docPartUnique/>
      </w:docPartObj>
    </w:sdtPr>
    <w:sdtEndPr/>
    <w:sdtContent>
      <w:p w14:paraId="4BA3890E" w14:textId="7FF01B6D" w:rsidR="00567107" w:rsidRDefault="00567107">
        <w:pPr>
          <w:pStyle w:val="Sidhuvud"/>
          <w:jc w:val="right"/>
        </w:pPr>
        <w:r>
          <w:fldChar w:fldCharType="begin"/>
        </w:r>
        <w:r>
          <w:instrText>PAGE   \* MERGEFORMAT</w:instrText>
        </w:r>
        <w:r>
          <w:fldChar w:fldCharType="separate"/>
        </w:r>
        <w:r w:rsidR="00044FBB">
          <w:rPr>
            <w:noProof/>
          </w:rPr>
          <w:t>10</w:t>
        </w:r>
        <w:r>
          <w:fldChar w:fldCharType="end"/>
        </w:r>
      </w:p>
    </w:sdtContent>
  </w:sdt>
  <w:p w14:paraId="049704F1" w14:textId="77777777" w:rsidR="006F1C0D" w:rsidRDefault="00044FBB"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212F20" w14:paraId="049704F7" w14:textId="77777777" w:rsidTr="006E71D7">
      <w:tc>
        <w:tcPr>
          <w:tcW w:w="4606" w:type="dxa"/>
        </w:tcPr>
        <w:p w14:paraId="049704F2" w14:textId="77777777" w:rsidR="006E71D7" w:rsidRDefault="00A269B4" w:rsidP="00752770">
          <w:pPr>
            <w:pStyle w:val="Sidhuvud"/>
            <w:ind w:left="0"/>
          </w:pPr>
          <w:r>
            <w:rPr>
              <w:noProof/>
              <w:lang w:eastAsia="sv-SE"/>
            </w:rPr>
            <w:drawing>
              <wp:inline distT="0" distB="0" distL="0" distR="0" wp14:anchorId="049704FD" wp14:editId="049704FE">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49704F3" w14:textId="77777777" w:rsidR="00FB32B9" w:rsidRDefault="00044FBB" w:rsidP="00FB32B9">
          <w:pPr>
            <w:ind w:right="916"/>
            <w:rPr>
              <w:rFonts w:ascii="TradeGothic" w:hAnsi="TradeGothic"/>
              <w:b/>
            </w:rPr>
          </w:pPr>
        </w:p>
        <w:p w14:paraId="049704F4" w14:textId="77777777" w:rsidR="00FB32B9" w:rsidRDefault="00A269B4" w:rsidP="00FB32B9">
          <w:pPr>
            <w:ind w:right="916"/>
          </w:pPr>
          <w:r>
            <w:rPr>
              <w:rFonts w:ascii="TradeGothic" w:hAnsi="TradeGothic"/>
              <w:b/>
            </w:rPr>
            <w:t>Promemoria</w:t>
          </w:r>
        </w:p>
        <w:p w14:paraId="049704F5" w14:textId="77777777" w:rsidR="00FB32B9" w:rsidRDefault="00044FBB" w:rsidP="00FB32B9">
          <w:pPr>
            <w:jc w:val="right"/>
          </w:pPr>
        </w:p>
        <w:p w14:paraId="049704F6" w14:textId="08FDFC1E" w:rsidR="006E71D7" w:rsidRDefault="00A269B4" w:rsidP="00FB32B9">
          <w:pPr>
            <w:ind w:right="916"/>
          </w:pPr>
          <w:r>
            <w:rPr>
              <w:rFonts w:ascii="TradeGothic" w:hAnsi="TradeGothic"/>
              <w:b/>
              <w:noProof/>
            </w:rPr>
            <w:t>2015-12-0</w:t>
          </w:r>
          <w:r w:rsidR="00567107">
            <w:rPr>
              <w:rFonts w:ascii="TradeGothic" w:hAnsi="TradeGothic"/>
              <w:b/>
              <w:noProof/>
            </w:rPr>
            <w:t>2</w:t>
          </w:r>
          <w:r w:rsidRPr="00934953">
            <w:t xml:space="preserve"> </w:t>
          </w:r>
        </w:p>
      </w:tc>
    </w:tr>
  </w:tbl>
  <w:p w14:paraId="049704F8" w14:textId="77777777" w:rsidR="00FB32B9" w:rsidRDefault="00044FBB" w:rsidP="00FB32B9">
    <w:pPr>
      <w:pStyle w:val="Avsndare"/>
      <w:framePr w:w="0" w:hRule="auto" w:hSpace="0" w:wrap="auto" w:vAnchor="margin" w:hAnchor="text" w:xAlign="left" w:yAlign="inline"/>
      <w:rPr>
        <w:b/>
        <w:i w:val="0"/>
        <w:sz w:val="22"/>
      </w:rPr>
    </w:pPr>
  </w:p>
  <w:p w14:paraId="049704F9" w14:textId="77777777" w:rsidR="00FB32B9" w:rsidRDefault="00A269B4" w:rsidP="00FB32B9">
    <w:pPr>
      <w:pStyle w:val="Avsndare"/>
      <w:framePr w:w="0" w:hRule="auto" w:hSpace="0" w:wrap="auto" w:vAnchor="margin" w:hAnchor="text" w:xAlign="left" w:yAlign="inline"/>
      <w:rPr>
        <w:b/>
        <w:i w:val="0"/>
        <w:sz w:val="22"/>
      </w:rPr>
    </w:pPr>
    <w:r>
      <w:rPr>
        <w:b/>
        <w:i w:val="0"/>
        <w:sz w:val="22"/>
      </w:rPr>
      <w:t>Statsrådsberedningen</w:t>
    </w:r>
  </w:p>
  <w:p w14:paraId="049704FA" w14:textId="77777777" w:rsidR="00FB32B9" w:rsidRDefault="00044FBB" w:rsidP="00FB32B9">
    <w:pPr>
      <w:pStyle w:val="Avsndare"/>
      <w:framePr w:w="0" w:hRule="auto" w:hSpace="0" w:wrap="auto" w:vAnchor="margin" w:hAnchor="text" w:xAlign="left" w:yAlign="inline"/>
    </w:pPr>
  </w:p>
  <w:p w14:paraId="049704FB" w14:textId="77777777" w:rsidR="00FB32B9" w:rsidRDefault="00A269B4" w:rsidP="00FB32B9">
    <w:pPr>
      <w:pStyle w:val="Avsndare"/>
      <w:framePr w:w="0" w:hRule="auto" w:hSpace="0" w:wrap="auto" w:vAnchor="margin" w:hAnchor="text" w:xAlign="left" w:yAlign="inline"/>
    </w:pPr>
    <w:r>
      <w:t>EU-kansliet</w:t>
    </w:r>
  </w:p>
  <w:p w14:paraId="049704FC" w14:textId="77777777" w:rsidR="0012376B" w:rsidRDefault="00044FB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27B3"/>
    <w:multiLevelType w:val="hybridMultilevel"/>
    <w:tmpl w:val="E01E8730"/>
    <w:lvl w:ilvl="0" w:tplc="D49284AA">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nsid w:val="6A410AE9"/>
    <w:multiLevelType w:val="hybridMultilevel"/>
    <w:tmpl w:val="5E0C4660"/>
    <w:lvl w:ilvl="0" w:tplc="B52C0E50">
      <w:start w:val="1"/>
      <w:numFmt w:val="decimal"/>
      <w:pStyle w:val="Rubrik1"/>
      <w:lvlText w:val="%1."/>
      <w:lvlJc w:val="left"/>
      <w:pPr>
        <w:ind w:left="720" w:hanging="360"/>
      </w:pPr>
    </w:lvl>
    <w:lvl w:ilvl="1" w:tplc="98741304" w:tentative="1">
      <w:start w:val="1"/>
      <w:numFmt w:val="lowerLetter"/>
      <w:lvlText w:val="%2."/>
      <w:lvlJc w:val="left"/>
      <w:pPr>
        <w:ind w:left="1440" w:hanging="360"/>
      </w:pPr>
    </w:lvl>
    <w:lvl w:ilvl="2" w:tplc="021078FE" w:tentative="1">
      <w:start w:val="1"/>
      <w:numFmt w:val="lowerRoman"/>
      <w:lvlText w:val="%3."/>
      <w:lvlJc w:val="right"/>
      <w:pPr>
        <w:ind w:left="2160" w:hanging="180"/>
      </w:pPr>
    </w:lvl>
    <w:lvl w:ilvl="3" w:tplc="1DF82980" w:tentative="1">
      <w:start w:val="1"/>
      <w:numFmt w:val="decimal"/>
      <w:lvlText w:val="%4."/>
      <w:lvlJc w:val="left"/>
      <w:pPr>
        <w:ind w:left="2880" w:hanging="360"/>
      </w:pPr>
    </w:lvl>
    <w:lvl w:ilvl="4" w:tplc="9EB04B28" w:tentative="1">
      <w:start w:val="1"/>
      <w:numFmt w:val="lowerLetter"/>
      <w:lvlText w:val="%5."/>
      <w:lvlJc w:val="left"/>
      <w:pPr>
        <w:ind w:left="3600" w:hanging="360"/>
      </w:pPr>
    </w:lvl>
    <w:lvl w:ilvl="5" w:tplc="A4F6FBBE" w:tentative="1">
      <w:start w:val="1"/>
      <w:numFmt w:val="lowerRoman"/>
      <w:lvlText w:val="%6."/>
      <w:lvlJc w:val="right"/>
      <w:pPr>
        <w:ind w:left="4320" w:hanging="180"/>
      </w:pPr>
    </w:lvl>
    <w:lvl w:ilvl="6" w:tplc="36EEBC36" w:tentative="1">
      <w:start w:val="1"/>
      <w:numFmt w:val="decimal"/>
      <w:lvlText w:val="%7."/>
      <w:lvlJc w:val="left"/>
      <w:pPr>
        <w:ind w:left="5040" w:hanging="360"/>
      </w:pPr>
    </w:lvl>
    <w:lvl w:ilvl="7" w:tplc="E38877DC" w:tentative="1">
      <w:start w:val="1"/>
      <w:numFmt w:val="lowerLetter"/>
      <w:lvlText w:val="%8."/>
      <w:lvlJc w:val="left"/>
      <w:pPr>
        <w:ind w:left="5760" w:hanging="360"/>
      </w:pPr>
    </w:lvl>
    <w:lvl w:ilvl="8" w:tplc="AF26C6C2" w:tentative="1">
      <w:start w:val="1"/>
      <w:numFmt w:val="lowerRoman"/>
      <w:lvlText w:val="%9."/>
      <w:lvlJc w:val="right"/>
      <w:pPr>
        <w:ind w:left="6480" w:hanging="180"/>
      </w:pPr>
    </w:lvl>
  </w:abstractNum>
  <w:abstractNum w:abstractNumId="2">
    <w:nsid w:val="73990993"/>
    <w:multiLevelType w:val="hybridMultilevel"/>
    <w:tmpl w:val="3BD822EE"/>
    <w:lvl w:ilvl="0" w:tplc="55A6365C">
      <w:start w:val="1"/>
      <w:numFmt w:val="decimal"/>
      <w:lvlText w:val="%1."/>
      <w:lvlJc w:val="left"/>
      <w:pPr>
        <w:ind w:left="360" w:hanging="360"/>
      </w:pPr>
      <w:rPr>
        <w:b w:val="0"/>
      </w:rPr>
    </w:lvl>
    <w:lvl w:ilvl="1" w:tplc="BD226730" w:tentative="1">
      <w:start w:val="1"/>
      <w:numFmt w:val="lowerLetter"/>
      <w:lvlText w:val="%2."/>
      <w:lvlJc w:val="left"/>
      <w:pPr>
        <w:ind w:left="1080" w:hanging="360"/>
      </w:pPr>
    </w:lvl>
    <w:lvl w:ilvl="2" w:tplc="F6C43F16" w:tentative="1">
      <w:start w:val="1"/>
      <w:numFmt w:val="lowerRoman"/>
      <w:lvlText w:val="%3."/>
      <w:lvlJc w:val="right"/>
      <w:pPr>
        <w:ind w:left="1800" w:hanging="180"/>
      </w:pPr>
    </w:lvl>
    <w:lvl w:ilvl="3" w:tplc="AF56F264" w:tentative="1">
      <w:start w:val="1"/>
      <w:numFmt w:val="decimal"/>
      <w:lvlText w:val="%4."/>
      <w:lvlJc w:val="left"/>
      <w:pPr>
        <w:ind w:left="2520" w:hanging="360"/>
      </w:pPr>
    </w:lvl>
    <w:lvl w:ilvl="4" w:tplc="74EC15AC" w:tentative="1">
      <w:start w:val="1"/>
      <w:numFmt w:val="lowerLetter"/>
      <w:lvlText w:val="%5."/>
      <w:lvlJc w:val="left"/>
      <w:pPr>
        <w:ind w:left="3240" w:hanging="360"/>
      </w:pPr>
    </w:lvl>
    <w:lvl w:ilvl="5" w:tplc="A958118A" w:tentative="1">
      <w:start w:val="1"/>
      <w:numFmt w:val="lowerRoman"/>
      <w:lvlText w:val="%6."/>
      <w:lvlJc w:val="right"/>
      <w:pPr>
        <w:ind w:left="3960" w:hanging="180"/>
      </w:pPr>
    </w:lvl>
    <w:lvl w:ilvl="6" w:tplc="39DE53E2" w:tentative="1">
      <w:start w:val="1"/>
      <w:numFmt w:val="decimal"/>
      <w:lvlText w:val="%7."/>
      <w:lvlJc w:val="left"/>
      <w:pPr>
        <w:ind w:left="4680" w:hanging="360"/>
      </w:pPr>
    </w:lvl>
    <w:lvl w:ilvl="7" w:tplc="76889FB0" w:tentative="1">
      <w:start w:val="1"/>
      <w:numFmt w:val="lowerLetter"/>
      <w:lvlText w:val="%8."/>
      <w:lvlJc w:val="left"/>
      <w:pPr>
        <w:ind w:left="5400" w:hanging="360"/>
      </w:pPr>
    </w:lvl>
    <w:lvl w:ilvl="8" w:tplc="ABEE40BA"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1"/>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F20"/>
    <w:rsid w:val="00044FBB"/>
    <w:rsid w:val="00212F20"/>
    <w:rsid w:val="002A6FF9"/>
    <w:rsid w:val="00315AE9"/>
    <w:rsid w:val="00567107"/>
    <w:rsid w:val="00951752"/>
    <w:rsid w:val="00A269B4"/>
    <w:rsid w:val="00C50D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97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567107"/>
    <w:pPr>
      <w:ind w:left="720"/>
      <w:contextualSpacing/>
    </w:pPr>
  </w:style>
  <w:style w:type="character" w:customStyle="1" w:styleId="ng-binding">
    <w:name w:val="ng-binding"/>
    <w:basedOn w:val="Standardstycketeckensnitt"/>
    <w:rsid w:val="00A269B4"/>
  </w:style>
  <w:style w:type="paragraph" w:customStyle="1" w:styleId="RKnormal">
    <w:name w:val="RKnormal"/>
    <w:basedOn w:val="Normal"/>
    <w:rsid w:val="002A6FF9"/>
    <w:pPr>
      <w:tabs>
        <w:tab w:val="left" w:pos="2835"/>
      </w:tabs>
      <w:spacing w:after="0" w:line="240" w:lineRule="atLeast"/>
      <w:ind w:left="0"/>
    </w:pPr>
    <w:rPr>
      <w:rFonts w:ascii="OrigGarmnd BT" w:eastAsia="Times New Roman" w:hAnsi="OrigGarmnd BT"/>
      <w:sz w:val="24"/>
      <w:szCs w:val="20"/>
    </w:rPr>
  </w:style>
  <w:style w:type="paragraph" w:styleId="Normalwebb">
    <w:name w:val="Normal (Web)"/>
    <w:basedOn w:val="Normal"/>
    <w:uiPriority w:val="99"/>
    <w:unhideWhenUsed/>
    <w:rsid w:val="002A6FF9"/>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2A6F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567107"/>
    <w:pPr>
      <w:ind w:left="720"/>
      <w:contextualSpacing/>
    </w:pPr>
  </w:style>
  <w:style w:type="character" w:customStyle="1" w:styleId="ng-binding">
    <w:name w:val="ng-binding"/>
    <w:basedOn w:val="Standardstycketeckensnitt"/>
    <w:rsid w:val="00A269B4"/>
  </w:style>
  <w:style w:type="paragraph" w:customStyle="1" w:styleId="RKnormal">
    <w:name w:val="RKnormal"/>
    <w:basedOn w:val="Normal"/>
    <w:rsid w:val="002A6FF9"/>
    <w:pPr>
      <w:tabs>
        <w:tab w:val="left" w:pos="2835"/>
      </w:tabs>
      <w:spacing w:after="0" w:line="240" w:lineRule="atLeast"/>
      <w:ind w:left="0"/>
    </w:pPr>
    <w:rPr>
      <w:rFonts w:ascii="OrigGarmnd BT" w:eastAsia="Times New Roman" w:hAnsi="OrigGarmnd BT"/>
      <w:sz w:val="24"/>
      <w:szCs w:val="20"/>
    </w:rPr>
  </w:style>
  <w:style w:type="paragraph" w:styleId="Normalwebb">
    <w:name w:val="Normal (Web)"/>
    <w:basedOn w:val="Normal"/>
    <w:uiPriority w:val="99"/>
    <w:unhideWhenUsed/>
    <w:rsid w:val="002A6FF9"/>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2A6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93896">
      <w:bodyDiv w:val="1"/>
      <w:marLeft w:val="0"/>
      <w:marRight w:val="0"/>
      <w:marTop w:val="0"/>
      <w:marBottom w:val="0"/>
      <w:divBdr>
        <w:top w:val="none" w:sz="0" w:space="0" w:color="auto"/>
        <w:left w:val="none" w:sz="0" w:space="0" w:color="auto"/>
        <w:bottom w:val="none" w:sz="0" w:space="0" w:color="auto"/>
        <w:right w:val="none" w:sz="0" w:space="0" w:color="auto"/>
      </w:divBdr>
      <w:divsChild>
        <w:div w:id="1914847167">
          <w:marLeft w:val="0"/>
          <w:marRight w:val="0"/>
          <w:marTop w:val="0"/>
          <w:marBottom w:val="0"/>
          <w:divBdr>
            <w:top w:val="none" w:sz="0" w:space="0" w:color="auto"/>
            <w:left w:val="none" w:sz="0" w:space="0" w:color="auto"/>
            <w:bottom w:val="none" w:sz="0" w:space="0" w:color="auto"/>
            <w:right w:val="none" w:sz="0" w:space="0" w:color="auto"/>
          </w:divBdr>
          <w:divsChild>
            <w:div w:id="1206137005">
              <w:marLeft w:val="0"/>
              <w:marRight w:val="0"/>
              <w:marTop w:val="0"/>
              <w:marBottom w:val="0"/>
              <w:divBdr>
                <w:top w:val="none" w:sz="0" w:space="0" w:color="auto"/>
                <w:left w:val="none" w:sz="0" w:space="0" w:color="auto"/>
                <w:bottom w:val="none" w:sz="0" w:space="0" w:color="auto"/>
                <w:right w:val="none" w:sz="0" w:space="0" w:color="auto"/>
              </w:divBdr>
              <w:divsChild>
                <w:div w:id="1030569326">
                  <w:marLeft w:val="0"/>
                  <w:marRight w:val="0"/>
                  <w:marTop w:val="0"/>
                  <w:marBottom w:val="0"/>
                  <w:divBdr>
                    <w:top w:val="none" w:sz="0" w:space="0" w:color="auto"/>
                    <w:left w:val="none" w:sz="0" w:space="0" w:color="auto"/>
                    <w:bottom w:val="none" w:sz="0" w:space="0" w:color="auto"/>
                    <w:right w:val="none" w:sz="0" w:space="0" w:color="auto"/>
                  </w:divBdr>
                  <w:divsChild>
                    <w:div w:id="10955780">
                      <w:marLeft w:val="0"/>
                      <w:marRight w:val="0"/>
                      <w:marTop w:val="0"/>
                      <w:marBottom w:val="0"/>
                      <w:divBdr>
                        <w:top w:val="none" w:sz="0" w:space="0" w:color="auto"/>
                        <w:left w:val="none" w:sz="0" w:space="0" w:color="auto"/>
                        <w:bottom w:val="none" w:sz="0" w:space="0" w:color="auto"/>
                        <w:right w:val="none" w:sz="0" w:space="0" w:color="auto"/>
                      </w:divBdr>
                      <w:divsChild>
                        <w:div w:id="1968512205">
                          <w:marLeft w:val="2325"/>
                          <w:marRight w:val="0"/>
                          <w:marTop w:val="0"/>
                          <w:marBottom w:val="0"/>
                          <w:divBdr>
                            <w:top w:val="none" w:sz="0" w:space="0" w:color="auto"/>
                            <w:left w:val="none" w:sz="0" w:space="0" w:color="auto"/>
                            <w:bottom w:val="none" w:sz="0" w:space="0" w:color="auto"/>
                            <w:right w:val="none" w:sz="0" w:space="0" w:color="auto"/>
                          </w:divBdr>
                          <w:divsChild>
                            <w:div w:id="177159752">
                              <w:marLeft w:val="0"/>
                              <w:marRight w:val="0"/>
                              <w:marTop w:val="0"/>
                              <w:marBottom w:val="0"/>
                              <w:divBdr>
                                <w:top w:val="none" w:sz="0" w:space="0" w:color="auto"/>
                                <w:left w:val="none" w:sz="0" w:space="0" w:color="auto"/>
                                <w:bottom w:val="none" w:sz="0" w:space="0" w:color="auto"/>
                                <w:right w:val="none" w:sz="0" w:space="0" w:color="auto"/>
                              </w:divBdr>
                              <w:divsChild>
                                <w:div w:id="1061444938">
                                  <w:marLeft w:val="0"/>
                                  <w:marRight w:val="0"/>
                                  <w:marTop w:val="0"/>
                                  <w:marBottom w:val="0"/>
                                  <w:divBdr>
                                    <w:top w:val="none" w:sz="0" w:space="0" w:color="auto"/>
                                    <w:left w:val="none" w:sz="0" w:space="0" w:color="auto"/>
                                    <w:bottom w:val="none" w:sz="0" w:space="0" w:color="auto"/>
                                    <w:right w:val="none" w:sz="0" w:space="0" w:color="auto"/>
                                  </w:divBdr>
                                  <w:divsChild>
                                    <w:div w:id="677076260">
                                      <w:marLeft w:val="0"/>
                                      <w:marRight w:val="0"/>
                                      <w:marTop w:val="0"/>
                                      <w:marBottom w:val="0"/>
                                      <w:divBdr>
                                        <w:top w:val="none" w:sz="0" w:space="0" w:color="auto"/>
                                        <w:left w:val="none" w:sz="0" w:space="0" w:color="auto"/>
                                        <w:bottom w:val="none" w:sz="0" w:space="0" w:color="auto"/>
                                        <w:right w:val="none" w:sz="0" w:space="0" w:color="auto"/>
                                      </w:divBdr>
                                      <w:divsChild>
                                        <w:div w:id="890850907">
                                          <w:marLeft w:val="480"/>
                                          <w:marRight w:val="0"/>
                                          <w:marTop w:val="0"/>
                                          <w:marBottom w:val="0"/>
                                          <w:divBdr>
                                            <w:top w:val="none" w:sz="0" w:space="0" w:color="auto"/>
                                            <w:left w:val="none" w:sz="0" w:space="0" w:color="auto"/>
                                            <w:bottom w:val="none" w:sz="0" w:space="0" w:color="auto"/>
                                            <w:right w:val="none" w:sz="0" w:space="0" w:color="auto"/>
                                          </w:divBdr>
                                          <w:divsChild>
                                            <w:div w:id="1946377998">
                                              <w:marLeft w:val="0"/>
                                              <w:marRight w:val="0"/>
                                              <w:marTop w:val="0"/>
                                              <w:marBottom w:val="0"/>
                                              <w:divBdr>
                                                <w:top w:val="none" w:sz="0" w:space="0" w:color="auto"/>
                                                <w:left w:val="none" w:sz="0" w:space="0" w:color="auto"/>
                                                <w:bottom w:val="none" w:sz="0" w:space="0" w:color="auto"/>
                                                <w:right w:val="none" w:sz="0" w:space="0" w:color="auto"/>
                                              </w:divBdr>
                                              <w:divsChild>
                                                <w:div w:id="1578712775">
                                                  <w:marLeft w:val="0"/>
                                                  <w:marRight w:val="0"/>
                                                  <w:marTop w:val="0"/>
                                                  <w:marBottom w:val="0"/>
                                                  <w:divBdr>
                                                    <w:top w:val="none" w:sz="0" w:space="0" w:color="auto"/>
                                                    <w:left w:val="none" w:sz="0" w:space="0" w:color="auto"/>
                                                    <w:bottom w:val="none" w:sz="0" w:space="0" w:color="auto"/>
                                                    <w:right w:val="none" w:sz="0" w:space="0" w:color="auto"/>
                                                  </w:divBdr>
                                                  <w:divsChild>
                                                    <w:div w:id="1499031802">
                                                      <w:marLeft w:val="0"/>
                                                      <w:marRight w:val="0"/>
                                                      <w:marTop w:val="0"/>
                                                      <w:marBottom w:val="0"/>
                                                      <w:divBdr>
                                                        <w:top w:val="none" w:sz="0" w:space="0" w:color="auto"/>
                                                        <w:left w:val="none" w:sz="0" w:space="0" w:color="auto"/>
                                                        <w:bottom w:val="none" w:sz="0" w:space="0" w:color="auto"/>
                                                        <w:right w:val="none" w:sz="0" w:space="0" w:color="auto"/>
                                                      </w:divBdr>
                                                      <w:divsChild>
                                                        <w:div w:id="1800301214">
                                                          <w:marLeft w:val="0"/>
                                                          <w:marRight w:val="0"/>
                                                          <w:marTop w:val="0"/>
                                                          <w:marBottom w:val="0"/>
                                                          <w:divBdr>
                                                            <w:top w:val="none" w:sz="0" w:space="0" w:color="auto"/>
                                                            <w:left w:val="none" w:sz="0" w:space="0" w:color="auto"/>
                                                            <w:bottom w:val="none" w:sz="0" w:space="0" w:color="auto"/>
                                                            <w:right w:val="none" w:sz="0" w:space="0" w:color="auto"/>
                                                          </w:divBdr>
                                                          <w:divsChild>
                                                            <w:div w:id="318077406">
                                                              <w:marLeft w:val="0"/>
                                                              <w:marRight w:val="0"/>
                                                              <w:marTop w:val="0"/>
                                                              <w:marBottom w:val="0"/>
                                                              <w:divBdr>
                                                                <w:top w:val="none" w:sz="0" w:space="0" w:color="auto"/>
                                                                <w:left w:val="none" w:sz="0" w:space="0" w:color="auto"/>
                                                                <w:bottom w:val="none" w:sz="0" w:space="0" w:color="auto"/>
                                                                <w:right w:val="none" w:sz="0" w:space="0" w:color="auto"/>
                                                              </w:divBdr>
                                                              <w:divsChild>
                                                                <w:div w:id="1968244847">
                                                                  <w:marLeft w:val="0"/>
                                                                  <w:marRight w:val="0"/>
                                                                  <w:marTop w:val="0"/>
                                                                  <w:marBottom w:val="0"/>
                                                                  <w:divBdr>
                                                                    <w:top w:val="none" w:sz="0" w:space="0" w:color="auto"/>
                                                                    <w:left w:val="none" w:sz="0" w:space="0" w:color="auto"/>
                                                                    <w:bottom w:val="none" w:sz="0" w:space="0" w:color="auto"/>
                                                                    <w:right w:val="none" w:sz="0" w:space="0" w:color="auto"/>
                                                                  </w:divBdr>
                                                                  <w:divsChild>
                                                                    <w:div w:id="106701331">
                                                                      <w:marLeft w:val="0"/>
                                                                      <w:marRight w:val="0"/>
                                                                      <w:marTop w:val="96"/>
                                                                      <w:marBottom w:val="0"/>
                                                                      <w:divBdr>
                                                                        <w:top w:val="none" w:sz="0" w:space="0" w:color="auto"/>
                                                                        <w:left w:val="none" w:sz="0" w:space="0" w:color="auto"/>
                                                                        <w:bottom w:val="none" w:sz="0" w:space="0" w:color="auto"/>
                                                                        <w:right w:val="none" w:sz="0" w:space="0" w:color="auto"/>
                                                                      </w:divBdr>
                                                                      <w:divsChild>
                                                                        <w:div w:id="444734913">
                                                                          <w:marLeft w:val="0"/>
                                                                          <w:marRight w:val="0"/>
                                                                          <w:marTop w:val="72"/>
                                                                          <w:marBottom w:val="0"/>
                                                                          <w:divBdr>
                                                                            <w:top w:val="none" w:sz="0" w:space="0" w:color="auto"/>
                                                                            <w:left w:val="none" w:sz="0" w:space="0" w:color="auto"/>
                                                                            <w:bottom w:val="none" w:sz="0" w:space="0" w:color="auto"/>
                                                                            <w:right w:val="none" w:sz="0" w:space="0" w:color="auto"/>
                                                                          </w:divBdr>
                                                                        </w:div>
                                                                      </w:divsChild>
                                                                    </w:div>
                                                                    <w:div w:id="718018424">
                                                                      <w:marLeft w:val="0"/>
                                                                      <w:marRight w:val="0"/>
                                                                      <w:marTop w:val="96"/>
                                                                      <w:marBottom w:val="0"/>
                                                                      <w:divBdr>
                                                                        <w:top w:val="none" w:sz="0" w:space="0" w:color="auto"/>
                                                                        <w:left w:val="none" w:sz="0" w:space="0" w:color="auto"/>
                                                                        <w:bottom w:val="none" w:sz="0" w:space="0" w:color="auto"/>
                                                                        <w:right w:val="none" w:sz="0" w:space="0" w:color="auto"/>
                                                                      </w:divBdr>
                                                                      <w:divsChild>
                                                                        <w:div w:id="141023115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519294">
      <w:bodyDiv w:val="1"/>
      <w:marLeft w:val="0"/>
      <w:marRight w:val="0"/>
      <w:marTop w:val="0"/>
      <w:marBottom w:val="0"/>
      <w:divBdr>
        <w:top w:val="none" w:sz="0" w:space="0" w:color="auto"/>
        <w:left w:val="none" w:sz="0" w:space="0" w:color="auto"/>
        <w:bottom w:val="none" w:sz="0" w:space="0" w:color="auto"/>
        <w:right w:val="none" w:sz="0" w:space="0" w:color="auto"/>
      </w:divBdr>
      <w:divsChild>
        <w:div w:id="1186602052">
          <w:marLeft w:val="0"/>
          <w:marRight w:val="0"/>
          <w:marTop w:val="0"/>
          <w:marBottom w:val="0"/>
          <w:divBdr>
            <w:top w:val="none" w:sz="0" w:space="0" w:color="auto"/>
            <w:left w:val="none" w:sz="0" w:space="0" w:color="auto"/>
            <w:bottom w:val="none" w:sz="0" w:space="0" w:color="auto"/>
            <w:right w:val="none" w:sz="0" w:space="0" w:color="auto"/>
          </w:divBdr>
          <w:divsChild>
            <w:div w:id="690910752">
              <w:marLeft w:val="0"/>
              <w:marRight w:val="0"/>
              <w:marTop w:val="0"/>
              <w:marBottom w:val="0"/>
              <w:divBdr>
                <w:top w:val="none" w:sz="0" w:space="0" w:color="auto"/>
                <w:left w:val="none" w:sz="0" w:space="0" w:color="auto"/>
                <w:bottom w:val="none" w:sz="0" w:space="0" w:color="auto"/>
                <w:right w:val="none" w:sz="0" w:space="0" w:color="auto"/>
              </w:divBdr>
              <w:divsChild>
                <w:div w:id="2016110877">
                  <w:marLeft w:val="0"/>
                  <w:marRight w:val="0"/>
                  <w:marTop w:val="0"/>
                  <w:marBottom w:val="0"/>
                  <w:divBdr>
                    <w:top w:val="none" w:sz="0" w:space="0" w:color="auto"/>
                    <w:left w:val="none" w:sz="0" w:space="0" w:color="auto"/>
                    <w:bottom w:val="none" w:sz="0" w:space="0" w:color="auto"/>
                    <w:right w:val="none" w:sz="0" w:space="0" w:color="auto"/>
                  </w:divBdr>
                  <w:divsChild>
                    <w:div w:id="1451436882">
                      <w:marLeft w:val="0"/>
                      <w:marRight w:val="0"/>
                      <w:marTop w:val="0"/>
                      <w:marBottom w:val="0"/>
                      <w:divBdr>
                        <w:top w:val="none" w:sz="0" w:space="0" w:color="auto"/>
                        <w:left w:val="none" w:sz="0" w:space="0" w:color="auto"/>
                        <w:bottom w:val="none" w:sz="0" w:space="0" w:color="auto"/>
                        <w:right w:val="none" w:sz="0" w:space="0" w:color="auto"/>
                      </w:divBdr>
                      <w:divsChild>
                        <w:div w:id="509100356">
                          <w:marLeft w:val="2325"/>
                          <w:marRight w:val="0"/>
                          <w:marTop w:val="0"/>
                          <w:marBottom w:val="0"/>
                          <w:divBdr>
                            <w:top w:val="none" w:sz="0" w:space="0" w:color="auto"/>
                            <w:left w:val="none" w:sz="0" w:space="0" w:color="auto"/>
                            <w:bottom w:val="none" w:sz="0" w:space="0" w:color="auto"/>
                            <w:right w:val="none" w:sz="0" w:space="0" w:color="auto"/>
                          </w:divBdr>
                          <w:divsChild>
                            <w:div w:id="382945936">
                              <w:marLeft w:val="0"/>
                              <w:marRight w:val="0"/>
                              <w:marTop w:val="0"/>
                              <w:marBottom w:val="0"/>
                              <w:divBdr>
                                <w:top w:val="none" w:sz="0" w:space="0" w:color="auto"/>
                                <w:left w:val="none" w:sz="0" w:space="0" w:color="auto"/>
                                <w:bottom w:val="none" w:sz="0" w:space="0" w:color="auto"/>
                                <w:right w:val="none" w:sz="0" w:space="0" w:color="auto"/>
                              </w:divBdr>
                              <w:divsChild>
                                <w:div w:id="1362053606">
                                  <w:marLeft w:val="0"/>
                                  <w:marRight w:val="0"/>
                                  <w:marTop w:val="0"/>
                                  <w:marBottom w:val="0"/>
                                  <w:divBdr>
                                    <w:top w:val="none" w:sz="0" w:space="0" w:color="auto"/>
                                    <w:left w:val="none" w:sz="0" w:space="0" w:color="auto"/>
                                    <w:bottom w:val="none" w:sz="0" w:space="0" w:color="auto"/>
                                    <w:right w:val="none" w:sz="0" w:space="0" w:color="auto"/>
                                  </w:divBdr>
                                  <w:divsChild>
                                    <w:div w:id="2060087389">
                                      <w:marLeft w:val="0"/>
                                      <w:marRight w:val="0"/>
                                      <w:marTop w:val="0"/>
                                      <w:marBottom w:val="0"/>
                                      <w:divBdr>
                                        <w:top w:val="none" w:sz="0" w:space="0" w:color="auto"/>
                                        <w:left w:val="none" w:sz="0" w:space="0" w:color="auto"/>
                                        <w:bottom w:val="none" w:sz="0" w:space="0" w:color="auto"/>
                                        <w:right w:val="none" w:sz="0" w:space="0" w:color="auto"/>
                                      </w:divBdr>
                                      <w:divsChild>
                                        <w:div w:id="923993181">
                                          <w:marLeft w:val="480"/>
                                          <w:marRight w:val="0"/>
                                          <w:marTop w:val="0"/>
                                          <w:marBottom w:val="0"/>
                                          <w:divBdr>
                                            <w:top w:val="none" w:sz="0" w:space="0" w:color="auto"/>
                                            <w:left w:val="none" w:sz="0" w:space="0" w:color="auto"/>
                                            <w:bottom w:val="none" w:sz="0" w:space="0" w:color="auto"/>
                                            <w:right w:val="none" w:sz="0" w:space="0" w:color="auto"/>
                                          </w:divBdr>
                                          <w:divsChild>
                                            <w:div w:id="850294750">
                                              <w:marLeft w:val="0"/>
                                              <w:marRight w:val="0"/>
                                              <w:marTop w:val="0"/>
                                              <w:marBottom w:val="0"/>
                                              <w:divBdr>
                                                <w:top w:val="none" w:sz="0" w:space="0" w:color="auto"/>
                                                <w:left w:val="none" w:sz="0" w:space="0" w:color="auto"/>
                                                <w:bottom w:val="none" w:sz="0" w:space="0" w:color="auto"/>
                                                <w:right w:val="none" w:sz="0" w:space="0" w:color="auto"/>
                                              </w:divBdr>
                                              <w:divsChild>
                                                <w:div w:id="1469006360">
                                                  <w:marLeft w:val="0"/>
                                                  <w:marRight w:val="0"/>
                                                  <w:marTop w:val="0"/>
                                                  <w:marBottom w:val="0"/>
                                                  <w:divBdr>
                                                    <w:top w:val="none" w:sz="0" w:space="0" w:color="auto"/>
                                                    <w:left w:val="none" w:sz="0" w:space="0" w:color="auto"/>
                                                    <w:bottom w:val="none" w:sz="0" w:space="0" w:color="auto"/>
                                                    <w:right w:val="none" w:sz="0" w:space="0" w:color="auto"/>
                                                  </w:divBdr>
                                                  <w:divsChild>
                                                    <w:div w:id="239482526">
                                                      <w:marLeft w:val="0"/>
                                                      <w:marRight w:val="0"/>
                                                      <w:marTop w:val="0"/>
                                                      <w:marBottom w:val="0"/>
                                                      <w:divBdr>
                                                        <w:top w:val="none" w:sz="0" w:space="0" w:color="auto"/>
                                                        <w:left w:val="none" w:sz="0" w:space="0" w:color="auto"/>
                                                        <w:bottom w:val="none" w:sz="0" w:space="0" w:color="auto"/>
                                                        <w:right w:val="none" w:sz="0" w:space="0" w:color="auto"/>
                                                      </w:divBdr>
                                                      <w:divsChild>
                                                        <w:div w:id="222714396">
                                                          <w:marLeft w:val="0"/>
                                                          <w:marRight w:val="0"/>
                                                          <w:marTop w:val="0"/>
                                                          <w:marBottom w:val="0"/>
                                                          <w:divBdr>
                                                            <w:top w:val="none" w:sz="0" w:space="0" w:color="auto"/>
                                                            <w:left w:val="none" w:sz="0" w:space="0" w:color="auto"/>
                                                            <w:bottom w:val="none" w:sz="0" w:space="0" w:color="auto"/>
                                                            <w:right w:val="none" w:sz="0" w:space="0" w:color="auto"/>
                                                          </w:divBdr>
                                                          <w:divsChild>
                                                            <w:div w:id="563375235">
                                                              <w:marLeft w:val="0"/>
                                                              <w:marRight w:val="0"/>
                                                              <w:marTop w:val="0"/>
                                                              <w:marBottom w:val="0"/>
                                                              <w:divBdr>
                                                                <w:top w:val="none" w:sz="0" w:space="0" w:color="auto"/>
                                                                <w:left w:val="none" w:sz="0" w:space="0" w:color="auto"/>
                                                                <w:bottom w:val="none" w:sz="0" w:space="0" w:color="auto"/>
                                                                <w:right w:val="none" w:sz="0" w:space="0" w:color="auto"/>
                                                              </w:divBdr>
                                                              <w:divsChild>
                                                                <w:div w:id="1418556528">
                                                                  <w:marLeft w:val="0"/>
                                                                  <w:marRight w:val="0"/>
                                                                  <w:marTop w:val="0"/>
                                                                  <w:marBottom w:val="0"/>
                                                                  <w:divBdr>
                                                                    <w:top w:val="none" w:sz="0" w:space="0" w:color="auto"/>
                                                                    <w:left w:val="none" w:sz="0" w:space="0" w:color="auto"/>
                                                                    <w:bottom w:val="none" w:sz="0" w:space="0" w:color="auto"/>
                                                                    <w:right w:val="none" w:sz="0" w:space="0" w:color="auto"/>
                                                                  </w:divBdr>
                                                                  <w:divsChild>
                                                                    <w:div w:id="1433621398">
                                                                      <w:marLeft w:val="0"/>
                                                                      <w:marRight w:val="0"/>
                                                                      <w:marTop w:val="96"/>
                                                                      <w:marBottom w:val="0"/>
                                                                      <w:divBdr>
                                                                        <w:top w:val="none" w:sz="0" w:space="0" w:color="auto"/>
                                                                        <w:left w:val="none" w:sz="0" w:space="0" w:color="auto"/>
                                                                        <w:bottom w:val="none" w:sz="0" w:space="0" w:color="auto"/>
                                                                        <w:right w:val="none" w:sz="0" w:space="0" w:color="auto"/>
                                                                      </w:divBdr>
                                                                      <w:divsChild>
                                                                        <w:div w:id="114645934">
                                                                          <w:marLeft w:val="0"/>
                                                                          <w:marRight w:val="0"/>
                                                                          <w:marTop w:val="72"/>
                                                                          <w:marBottom w:val="0"/>
                                                                          <w:divBdr>
                                                                            <w:top w:val="none" w:sz="0" w:space="0" w:color="auto"/>
                                                                            <w:left w:val="none" w:sz="0" w:space="0" w:color="auto"/>
                                                                            <w:bottom w:val="none" w:sz="0" w:space="0" w:color="auto"/>
                                                                            <w:right w:val="none" w:sz="0" w:space="0" w:color="auto"/>
                                                                          </w:divBdr>
                                                                          <w:divsChild>
                                                                            <w:div w:id="1108741918">
                                                                              <w:marLeft w:val="0"/>
                                                                              <w:marRight w:val="0"/>
                                                                              <w:marTop w:val="0"/>
                                                                              <w:marBottom w:val="0"/>
                                                                              <w:divBdr>
                                                                                <w:top w:val="none" w:sz="0" w:space="0" w:color="auto"/>
                                                                                <w:left w:val="none" w:sz="0" w:space="0" w:color="auto"/>
                                                                                <w:bottom w:val="none" w:sz="0" w:space="0" w:color="auto"/>
                                                                                <w:right w:val="none" w:sz="0" w:space="0" w:color="auto"/>
                                                                              </w:divBdr>
                                                                              <w:divsChild>
                                                                                <w:div w:id="29137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JE6N4JFJXNNF-9-70236</_dlc_DocId>
    <_dlc_DocIdUrl xmlns="8b66ae41-1ec6-402e-b662-35d1932ca064">
      <Url>http://rkdhs-sb/enhet/EUKansli/_layouts/DocIdRedir.aspx?ID=JE6N4JFJXNNF-9-70236</Url>
      <Description>JE6N4JFJXNNF-9-70236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CDC64-8BA0-48DE-9136-729037B32E44}"/>
</file>

<file path=customXml/itemProps2.xml><?xml version="1.0" encoding="utf-8"?>
<ds:datastoreItem xmlns:ds="http://schemas.openxmlformats.org/officeDocument/2006/customXml" ds:itemID="{69BEDC5A-D732-459C-BCD4-A016AF009B54}"/>
</file>

<file path=customXml/itemProps3.xml><?xml version="1.0" encoding="utf-8"?>
<ds:datastoreItem xmlns:ds="http://schemas.openxmlformats.org/officeDocument/2006/customXml" ds:itemID="{8D2F0755-B316-4ABE-8462-8B4C90891F71}"/>
</file>

<file path=customXml/itemProps4.xml><?xml version="1.0" encoding="utf-8"?>
<ds:datastoreItem xmlns:ds="http://schemas.openxmlformats.org/officeDocument/2006/customXml" ds:itemID="{C688ED7E-6C55-4E21-BC0E-54317F2A5D0C}"/>
</file>

<file path=customXml/itemProps5.xml><?xml version="1.0" encoding="utf-8"?>
<ds:datastoreItem xmlns:ds="http://schemas.openxmlformats.org/officeDocument/2006/customXml" ds:itemID="{8BA31798-A82C-4BE2-830B-77C44966AC84}"/>
</file>

<file path=customXml/itemProps6.xml><?xml version="1.0" encoding="utf-8"?>
<ds:datastoreItem xmlns:ds="http://schemas.openxmlformats.org/officeDocument/2006/customXml" ds:itemID="{A8FF1E29-AA78-43DE-9564-058567B33220}"/>
</file>

<file path=customXml/itemProps7.xml><?xml version="1.0" encoding="utf-8"?>
<ds:datastoreItem xmlns:ds="http://schemas.openxmlformats.org/officeDocument/2006/customXml" ds:itemID="{557EEF9E-069F-4791-939F-C5FF6454CBEE}"/>
</file>

<file path=docProps/app.xml><?xml version="1.0" encoding="utf-8"?>
<Properties xmlns="http://schemas.openxmlformats.org/officeDocument/2006/extended-properties" xmlns:vt="http://schemas.openxmlformats.org/officeDocument/2006/docPropsVTypes">
  <Template>Normal</Template>
  <TotalTime>0</TotalTime>
  <Pages>10</Pages>
  <Words>2933</Words>
  <Characters>15545</Characters>
  <Application>Microsoft Office Word</Application>
  <DocSecurity>0</DocSecurity>
  <Lines>129</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2015-12-02T10:16:00Z</dcterms:created>
  <dcterms:modified xsi:type="dcterms:W3CDTF">2015-12-02T10:16:00Z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0f8e933e-b996-4af6-96e8-daaf2b73c4f6</vt:lpwstr>
  </property>
</Properties>
</file>