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D64" w:rsidRPr="00884BFC" w:rsidRDefault="006D3D64" w:rsidP="009867D8">
      <w:pPr>
        <w:pStyle w:val="Hemstlrubrik"/>
      </w:pPr>
      <w:r w:rsidRPr="00884BFC">
        <w:t>Förslag till riksdagsbeslut</w:t>
      </w:r>
    </w:p>
    <w:p w:rsidR="006D3D64" w:rsidRPr="00884BFC" w:rsidRDefault="006D3D64" w:rsidP="006D3D64">
      <w:pPr>
        <w:pStyle w:val="Hemstlatt"/>
      </w:pPr>
      <w:r w:rsidRPr="00884BFC">
        <w:t xml:space="preserve">Riksdagen tillkännager för regeringen som sin mening vad i motionen anförs om hinder för rörlighet </w:t>
      </w:r>
      <w:r w:rsidR="001C3C87" w:rsidRPr="00884BFC">
        <w:t>för</w:t>
      </w:r>
      <w:r w:rsidRPr="00884BFC">
        <w:t xml:space="preserve"> arbetskraft</w:t>
      </w:r>
      <w:r w:rsidR="001C3C87" w:rsidRPr="00884BFC">
        <w:t>en</w:t>
      </w:r>
      <w:r w:rsidRPr="00884BFC">
        <w:t xml:space="preserve"> i Öresundsregionen vad gäller medborgarskap.</w:t>
      </w:r>
    </w:p>
    <w:p w:rsidR="006D3D64" w:rsidRPr="00884BFC" w:rsidRDefault="006D3D64" w:rsidP="006D3D64">
      <w:pPr>
        <w:pStyle w:val="Hemstlatt"/>
      </w:pPr>
      <w:r w:rsidRPr="00884BFC">
        <w:t xml:space="preserve">Riksdagen tillkännager för regeringen som sin mening vad i motionen anförs om hinder för rörlighet </w:t>
      </w:r>
      <w:r w:rsidR="001C3C87" w:rsidRPr="00884BFC">
        <w:t xml:space="preserve">för </w:t>
      </w:r>
      <w:r w:rsidRPr="00884BFC">
        <w:t>arbetskraft</w:t>
      </w:r>
      <w:r w:rsidR="001C3C87" w:rsidRPr="00884BFC">
        <w:t>en</w:t>
      </w:r>
      <w:r w:rsidRPr="00884BFC">
        <w:t xml:space="preserve"> i Öresundsregionen på grund av nuvarande utformning av socialförsäkringssystemet.</w:t>
      </w:r>
    </w:p>
    <w:p w:rsidR="005A2010" w:rsidRPr="00884BFC" w:rsidRDefault="006D3D64" w:rsidP="006D3D64">
      <w:pPr>
        <w:pStyle w:val="Hemstlatt"/>
      </w:pPr>
      <w:r w:rsidRPr="00884BFC">
        <w:t xml:space="preserve">Riksdagen tillkännager för regeringen som sin mening vad i motionen anförs om hinder för rörlighet </w:t>
      </w:r>
      <w:r w:rsidR="001C3C87" w:rsidRPr="00884BFC">
        <w:t>för</w:t>
      </w:r>
      <w:r w:rsidRPr="00884BFC">
        <w:t xml:space="preserve"> arbetskraft</w:t>
      </w:r>
      <w:r w:rsidR="001C3C87" w:rsidRPr="00884BFC">
        <w:t>en</w:t>
      </w:r>
      <w:r w:rsidRPr="00884BFC">
        <w:t xml:space="preserve"> i Öresundsregionen på grund av nuvarand</w:t>
      </w:r>
      <w:r w:rsidR="005A2010" w:rsidRPr="00884BFC">
        <w:t>e utformning av a-kassesystemet.</w:t>
      </w:r>
      <w:r w:rsidR="005A2010" w:rsidRPr="00884BFC">
        <w:rPr>
          <w:vertAlign w:val="superscript"/>
        </w:rPr>
        <w:t>1</w:t>
      </w:r>
    </w:p>
    <w:p w:rsidR="006D3D64" w:rsidRPr="00884BFC" w:rsidRDefault="006D3D64" w:rsidP="006D3D64">
      <w:pPr>
        <w:pStyle w:val="Hemstlatt"/>
      </w:pPr>
      <w:r w:rsidRPr="00884BFC">
        <w:t>Riksdagen tillkä</w:t>
      </w:r>
      <w:r w:rsidRPr="00884BFC">
        <w:t>n</w:t>
      </w:r>
      <w:r w:rsidRPr="00884BFC">
        <w:t xml:space="preserve">nager för regeringen som sin mening vad i motionen anförs om hinder för rörlighet </w:t>
      </w:r>
      <w:r w:rsidR="001C3C87" w:rsidRPr="00884BFC">
        <w:t>för</w:t>
      </w:r>
      <w:r w:rsidRPr="00884BFC">
        <w:t xml:space="preserve"> arbetskraft</w:t>
      </w:r>
      <w:r w:rsidR="001C3C87" w:rsidRPr="00884BFC">
        <w:t>en</w:t>
      </w:r>
      <w:r w:rsidRPr="00884BFC">
        <w:t xml:space="preserve"> i Öresundsregionen på grund av nuvarande u</w:t>
      </w:r>
      <w:r w:rsidRPr="00884BFC">
        <w:t>t</w:t>
      </w:r>
      <w:r w:rsidRPr="00884BFC">
        <w:t>formning av arbetsförmedlingssystemet.</w:t>
      </w:r>
      <w:r w:rsidR="005A2010" w:rsidRPr="00884BFC">
        <w:rPr>
          <w:vertAlign w:val="superscript"/>
        </w:rPr>
        <w:t>1</w:t>
      </w:r>
    </w:p>
    <w:p w:rsidR="006D3D64" w:rsidRPr="00884BFC" w:rsidRDefault="006D3D64" w:rsidP="006D3D64">
      <w:pPr>
        <w:pStyle w:val="Hemstlatt"/>
      </w:pPr>
      <w:r w:rsidRPr="00884BFC">
        <w:t xml:space="preserve">Riksdagen tillkännager för regeringen som sin mening vad i motionen anförs om hinder för fri rörlighet </w:t>
      </w:r>
      <w:r w:rsidR="001C3C87" w:rsidRPr="00884BFC">
        <w:t>för</w:t>
      </w:r>
      <w:r w:rsidRPr="00884BFC">
        <w:t xml:space="preserve"> arbetskraft</w:t>
      </w:r>
      <w:r w:rsidR="001C3C87" w:rsidRPr="00884BFC">
        <w:t>en</w:t>
      </w:r>
      <w:r w:rsidRPr="00884BFC">
        <w:t xml:space="preserve"> i Öresundsregionen på grund av nuvarande utformning av utbildningssystemet.</w:t>
      </w:r>
      <w:r w:rsidR="005A2010" w:rsidRPr="00884BFC">
        <w:rPr>
          <w:vertAlign w:val="superscript"/>
        </w:rPr>
        <w:t>2</w:t>
      </w:r>
    </w:p>
    <w:p w:rsidR="001C3C87" w:rsidRPr="00884BFC" w:rsidRDefault="001C3C87" w:rsidP="001C3C87"/>
    <w:p w:rsidR="001C3C87" w:rsidRPr="00884BFC" w:rsidRDefault="001C3C87" w:rsidP="001C3C87"/>
    <w:p w:rsidR="001C3C87" w:rsidRPr="00884BFC" w:rsidRDefault="001C3C87"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9867D8" w:rsidRPr="00884BFC" w:rsidRDefault="009867D8" w:rsidP="001C3C87">
      <w:pPr>
        <w:pStyle w:val="Normaltindrag"/>
      </w:pPr>
    </w:p>
    <w:p w:rsidR="001C3C87" w:rsidRPr="00884BFC" w:rsidRDefault="001C3C87" w:rsidP="001C3C87">
      <w:pPr>
        <w:pStyle w:val="Normaltindrag"/>
      </w:pPr>
    </w:p>
    <w:p w:rsidR="009867D8" w:rsidRPr="00884BFC" w:rsidRDefault="005A2010" w:rsidP="001C3C87">
      <w:pPr>
        <w:spacing w:line="240" w:lineRule="auto"/>
        <w:rPr>
          <w:sz w:val="16"/>
          <w:szCs w:val="16"/>
        </w:rPr>
      </w:pPr>
      <w:r w:rsidRPr="00884BFC">
        <w:rPr>
          <w:vertAlign w:val="superscript"/>
        </w:rPr>
        <w:t>1</w:t>
      </w:r>
      <w:r w:rsidR="001C3C87" w:rsidRPr="00884BFC">
        <w:t xml:space="preserve"> </w:t>
      </w:r>
      <w:r w:rsidR="009867D8" w:rsidRPr="00884BFC">
        <w:rPr>
          <w:sz w:val="16"/>
          <w:szCs w:val="16"/>
        </w:rPr>
        <w:t xml:space="preserve">Yrkandena 3 och </w:t>
      </w:r>
      <w:r w:rsidR="001C3C87" w:rsidRPr="00884BFC">
        <w:rPr>
          <w:sz w:val="16"/>
          <w:szCs w:val="16"/>
        </w:rPr>
        <w:t>4 hänvisade till AU.</w:t>
      </w:r>
    </w:p>
    <w:p w:rsidR="001C3C87" w:rsidRPr="00884BFC" w:rsidRDefault="005A2010" w:rsidP="009867D8">
      <w:pPr>
        <w:spacing w:before="0" w:line="240" w:lineRule="auto"/>
      </w:pPr>
      <w:r w:rsidRPr="00884BFC">
        <w:rPr>
          <w:vertAlign w:val="superscript"/>
        </w:rPr>
        <w:t>2</w:t>
      </w:r>
      <w:r w:rsidR="001C3C87" w:rsidRPr="00884BFC">
        <w:t xml:space="preserve"> </w:t>
      </w:r>
      <w:r w:rsidR="001C3C87" w:rsidRPr="00884BFC">
        <w:rPr>
          <w:sz w:val="16"/>
          <w:szCs w:val="16"/>
        </w:rPr>
        <w:t>Yrkande 5 hänvisat till UbU.</w:t>
      </w:r>
    </w:p>
    <w:p w:rsidR="006D3D64" w:rsidRPr="00884BFC" w:rsidRDefault="006D3D64" w:rsidP="005A2010">
      <w:pPr>
        <w:pStyle w:val="Rubrik1"/>
        <w:pageBreakBefore/>
        <w:spacing w:before="0"/>
      </w:pPr>
      <w:r w:rsidRPr="00884BFC">
        <w:lastRenderedPageBreak/>
        <w:t>Öresundsreg</w:t>
      </w:r>
      <w:r w:rsidR="009867D8" w:rsidRPr="00884BFC">
        <w:t>ionen är i dag mycket expansiv</w:t>
      </w:r>
    </w:p>
    <w:p w:rsidR="006D3D64" w:rsidRPr="00884BFC" w:rsidRDefault="006D3D64" w:rsidP="009867D8">
      <w:r w:rsidRPr="00884BFC">
        <w:t>Här händer mycket positivt. Vad som framträder är ett regionalt och intern</w:t>
      </w:r>
      <w:r w:rsidRPr="00884BFC">
        <w:t>a</w:t>
      </w:r>
      <w:r w:rsidRPr="00884BFC">
        <w:t>tionellt tryck för förändringar i många frågor som ligger inom statens b</w:t>
      </w:r>
      <w:r w:rsidRPr="00884BFC">
        <w:t>e</w:t>
      </w:r>
      <w:r w:rsidRPr="00884BFC">
        <w:t>slutande nivå. Målet som anges i regeringsavtalet om byggandet av den fasta förbindelsen över Öresund och om ekonomisk integration, i synnerhet avs</w:t>
      </w:r>
      <w:r w:rsidRPr="00884BFC">
        <w:t>e</w:t>
      </w:r>
      <w:r w:rsidRPr="00884BFC">
        <w:t xml:space="preserve">ende bostads- och arbetsmarknad, är högt ställt. Skall full integration ske är det tal om mycket långtgående förändringar. Då krävs att det finns politisk beredskap att fatta beslut och arbeta med frågorna på både kort och lång sikt. </w:t>
      </w:r>
    </w:p>
    <w:p w:rsidR="006D3D64" w:rsidRPr="00884BFC" w:rsidRDefault="006D3D64" w:rsidP="006D3D64">
      <w:pPr>
        <w:pStyle w:val="Normaltindrag"/>
      </w:pPr>
      <w:r w:rsidRPr="00884BFC">
        <w:t xml:space="preserve">Ett övergripande syfte med Öresundsregionen är att skapa en stark och funktionell region med hög tillväxt och stor beredskap att konkurrera med andra europeiska regioner. För att detta skall lyckas måste de svenska och danska regionhalvorna i allt högre grad integreras. När ett företag skall handla upp en tjänst skall det vara naturligt att hämta information från hela regionen, utan att ens reflektera över om de har kontor i Lyngby eller Lund. </w:t>
      </w:r>
    </w:p>
    <w:p w:rsidR="006D3D64" w:rsidRPr="00884BFC" w:rsidRDefault="006D3D64" w:rsidP="006D3D64">
      <w:pPr>
        <w:pStyle w:val="Normaltindrag"/>
      </w:pPr>
      <w:r w:rsidRPr="00884BFC">
        <w:t>En privatperson som söker arbete skall ha lika god information och til</w:t>
      </w:r>
      <w:r w:rsidRPr="00884BFC">
        <w:t>l</w:t>
      </w:r>
      <w:r w:rsidRPr="00884BFC">
        <w:t>gång till det själländska som det sydsvenska utbudet av företag. Bostad väljs utifrån kriterier som pris, kvalitet och läge oavsett om den ligger i den ena eller andra regionhalvan. En stark och funktionell region nås genom förstkla</w:t>
      </w:r>
      <w:r w:rsidRPr="00884BFC">
        <w:t>s</w:t>
      </w:r>
      <w:r w:rsidRPr="00884BFC">
        <w:t>sig infrastruktur i ordets vidaste bemärkelse: forsknings- och utbildningsr</w:t>
      </w:r>
      <w:r w:rsidRPr="00884BFC">
        <w:t>e</w:t>
      </w:r>
      <w:r w:rsidRPr="00884BFC">
        <w:t xml:space="preserve">surser, utbildningsnivå, fysisk infrastruktur och attraktivt affärsklimat. </w:t>
      </w:r>
    </w:p>
    <w:p w:rsidR="006D3D64" w:rsidRPr="00884BFC" w:rsidRDefault="006D3D64" w:rsidP="006D3D64">
      <w:pPr>
        <w:pStyle w:val="Normaltindrag"/>
      </w:pPr>
      <w:r w:rsidRPr="00884BFC">
        <w:t>För att Öresundsregionen i framtiden skall bli denna starka region måste de snedvridande skillnaderna som är skapade av regleringar, skatter eller avgifter förändras. Om det på sikt skall bli 5 000 eller 50 000 pendlare beror på vilka förutsättningar för integration som ges i de beslutande församlingarna. Helt avgörande för integrationen är att lagar och regler inom alla områden blir enkla och tydliga. På arbetsmarknaden mås</w:t>
      </w:r>
      <w:r w:rsidR="009867D8" w:rsidRPr="00884BFC">
        <w:t>te reglerna vara enkla och lätt</w:t>
      </w:r>
      <w:r w:rsidRPr="00884BFC">
        <w:t>ha</w:t>
      </w:r>
      <w:r w:rsidRPr="00884BFC">
        <w:t>n</w:t>
      </w:r>
      <w:r w:rsidRPr="00884BFC">
        <w:t>terliga så att föräldraledighet, pensionssystem, semesterregler m.m. är anpa</w:t>
      </w:r>
      <w:r w:rsidRPr="00884BFC">
        <w:t>s</w:t>
      </w:r>
      <w:r w:rsidRPr="00884BFC">
        <w:t xml:space="preserve">sade till en gemensam arbetsmarknad. På skatteområdet måste både person- och företagsbeskattning vara anpassade så att ett företag kan vara verksamt på båda sidor om </w:t>
      </w:r>
      <w:r w:rsidR="005A2010" w:rsidRPr="00884BFC">
        <w:t>S</w:t>
      </w:r>
      <w:r w:rsidRPr="00884BFC">
        <w:t xml:space="preserve">undet. </w:t>
      </w:r>
    </w:p>
    <w:p w:rsidR="006D3D64" w:rsidRPr="00884BFC" w:rsidRDefault="006D3D64" w:rsidP="006D3D64">
      <w:pPr>
        <w:pStyle w:val="Normaltindrag"/>
      </w:pPr>
      <w:r w:rsidRPr="00884BFC">
        <w:t>Målet är inte nödvändigtvis samma skatteregler utan ett system som ko</w:t>
      </w:r>
      <w:r w:rsidRPr="00884BFC">
        <w:t>m</w:t>
      </w:r>
      <w:r w:rsidRPr="00884BFC">
        <w:t>municerar och skapar förutsättning för konkurrens på lika villkor. Hinder som påverkar rörligheten av individen som arbetskraft i Öresundsregionen</w:t>
      </w:r>
      <w:r w:rsidR="005C7589" w:rsidRPr="00884BFC">
        <w:t>.</w:t>
      </w:r>
      <w:r w:rsidRPr="00884BFC">
        <w:t xml:space="preserve"> Vi skulle här vilja peka på några mycket konkreta problem som uppstår när man som individ vill agera som om regionen var integrerad. </w:t>
      </w:r>
    </w:p>
    <w:p w:rsidR="006D3D64" w:rsidRPr="00884BFC" w:rsidRDefault="006D3D64" w:rsidP="006D3D64">
      <w:pPr>
        <w:pStyle w:val="Rubrik1"/>
      </w:pPr>
      <w:r w:rsidRPr="00884BFC">
        <w:t xml:space="preserve">Medborgarskap </w:t>
      </w:r>
    </w:p>
    <w:p w:rsidR="006D3D64" w:rsidRPr="00884BFC" w:rsidRDefault="006D3D64" w:rsidP="009867D8">
      <w:r w:rsidRPr="00884BFC">
        <w:t xml:space="preserve">I dag är det omöjligt för icke EU-medborgare att ta arbete i det </w:t>
      </w:r>
      <w:r w:rsidR="009867D8" w:rsidRPr="00884BFC">
        <w:t>”</w:t>
      </w:r>
      <w:r w:rsidRPr="00884BFC">
        <w:t>andra la</w:t>
      </w:r>
      <w:r w:rsidRPr="00884BFC">
        <w:t>n</w:t>
      </w:r>
      <w:r w:rsidRPr="00884BFC">
        <w:t>det</w:t>
      </w:r>
      <w:r w:rsidR="009867D8" w:rsidRPr="00884BFC">
        <w:t>”</w:t>
      </w:r>
      <w:r w:rsidRPr="00884BFC">
        <w:t>, om man inte tillhör en bristyrkesgrupp. Har man en utbildning inom ett bristyrke kan man få arbetstillstånd i det andra landet, annars är d</w:t>
      </w:r>
      <w:r w:rsidR="009867D8" w:rsidRPr="00884BFC">
        <w:t>et en omö</w:t>
      </w:r>
      <w:r w:rsidR="009867D8" w:rsidRPr="00884BFC">
        <w:t>j</w:t>
      </w:r>
      <w:r w:rsidR="009867D8" w:rsidRPr="00884BFC">
        <w:t>lighet. Ett exempel: E</w:t>
      </w:r>
      <w:r w:rsidRPr="00884BFC">
        <w:t>n dansk familj, mannen dansk och kvinnan cypriot, bosatte sig i Sverige efter att ha bott och arbetat i Danmark i 16 år. Familjens målsättning var att arbetspendla till arbete i Danmark. Vid flytten miste kvi</w:t>
      </w:r>
      <w:r w:rsidRPr="00884BFC">
        <w:t>n</w:t>
      </w:r>
      <w:r w:rsidRPr="00884BFC">
        <w:t>nan sitt danska arbetstillstånd, och förlorade därmed sitt dan</w:t>
      </w:r>
      <w:r w:rsidR="009867D8" w:rsidRPr="00884BFC">
        <w:t>ska arbete. Ett annat exempel: E</w:t>
      </w:r>
      <w:r w:rsidRPr="00884BFC">
        <w:t>n besökare till ett skånskt företag kommer med flyg till K</w:t>
      </w:r>
      <w:r w:rsidRPr="00884BFC">
        <w:t>a</w:t>
      </w:r>
      <w:r w:rsidRPr="00884BFC">
        <w:t xml:space="preserve">strup från ett land som kräver visum. Det behövs då både svenskt och danskt visum. Detta har gjort att svenska företag har förlorat viktiga affärspartners, då dessa blivit avvisade vid den danska gränsen för att danskt visum inte sökts, utan endast svenskt. </w:t>
      </w:r>
    </w:p>
    <w:p w:rsidR="006D3D64" w:rsidRPr="00884BFC" w:rsidRDefault="006D3D64" w:rsidP="006D3D64">
      <w:pPr>
        <w:pStyle w:val="Normaltindrag"/>
      </w:pPr>
      <w:r w:rsidRPr="00884BFC">
        <w:t xml:space="preserve">Socialförsäkringssystemet </w:t>
      </w:r>
      <w:r w:rsidR="009867D8" w:rsidRPr="00884BFC">
        <w:t>–</w:t>
      </w:r>
      <w:r w:rsidRPr="00884BFC">
        <w:t xml:space="preserve"> hur påverkar det rörligheten på arbetsmarkn</w:t>
      </w:r>
      <w:r w:rsidRPr="00884BFC">
        <w:t>a</w:t>
      </w:r>
      <w:r w:rsidRPr="00884BFC">
        <w:t xml:space="preserve">den? Personer som är deltidsarbetslösa i ena landet och som vill fylla ut den arbetslösa delen med arbete i det andra landet drabbas enligt följande: Svensk till Danmark </w:t>
      </w:r>
      <w:r w:rsidR="009867D8" w:rsidRPr="00884BFC">
        <w:t>–</w:t>
      </w:r>
      <w:r w:rsidRPr="00884BFC">
        <w:t xml:space="preserve"> här drabbas den danske arbetsgivaren av svenska arbetsgiva</w:t>
      </w:r>
      <w:r w:rsidRPr="00884BFC">
        <w:t>r</w:t>
      </w:r>
      <w:r w:rsidRPr="00884BFC">
        <w:t xml:space="preserve">avgifter, ett lönekostnadspåslag på 33 </w:t>
      </w:r>
      <w:r w:rsidR="009867D8" w:rsidRPr="00884BFC">
        <w:t>%</w:t>
      </w:r>
      <w:r w:rsidRPr="00884BFC">
        <w:t>. Den aktuella arbetsgivaren måste tacka sin lyckliga stjärna att Danmark i princip saknar lagstadgat anställning</w:t>
      </w:r>
      <w:r w:rsidRPr="00884BFC">
        <w:t>s</w:t>
      </w:r>
      <w:r w:rsidRPr="00884BFC">
        <w:t xml:space="preserve">skydd. Dansk till Sverige </w:t>
      </w:r>
      <w:r w:rsidR="009867D8" w:rsidRPr="00884BFC">
        <w:t>–</w:t>
      </w:r>
      <w:r w:rsidRPr="00884BFC">
        <w:t xml:space="preserve"> här drabbas den danske arbetsgivaren av en ska</w:t>
      </w:r>
      <w:r w:rsidRPr="00884BFC">
        <w:t>t</w:t>
      </w:r>
      <w:r w:rsidRPr="00884BFC">
        <w:t xml:space="preserve">techock. </w:t>
      </w:r>
    </w:p>
    <w:p w:rsidR="006D3D64" w:rsidRPr="00884BFC" w:rsidRDefault="006D3D64" w:rsidP="006D3D64">
      <w:pPr>
        <w:pStyle w:val="Normaltindrag"/>
      </w:pPr>
      <w:r w:rsidRPr="00884BFC">
        <w:t>Avtalet som ingicks 2003 om beskattning av gränsgångare mellan Sverige och Danmark syftar till att renodla beskattningen, så att medborgarna endast betalar skatt till ena landet även om visst arbete sker i båda länderna. U</w:t>
      </w:r>
      <w:r w:rsidRPr="00884BFC">
        <w:t>t</w:t>
      </w:r>
      <w:r w:rsidRPr="00884BFC">
        <w:t>gångspunkten är att skatt betalas i det land där merparten av arbetet sker. Som en fortsättning på detta avtal, men helt på svenskt bevåg, görs nu en översyn av skattesituationen för personer som pendlar från Danmark till Sverige. T</w:t>
      </w:r>
      <w:r w:rsidRPr="00884BFC">
        <w:t>i</w:t>
      </w:r>
      <w:r w:rsidRPr="00884BFC">
        <w:t xml:space="preserve">digare beskattades dessa efter SINK (särskild inkomstskatt för utomlands bosatta) innebärande en fast skattesats på hela inkomsten på 25 </w:t>
      </w:r>
      <w:r w:rsidR="009867D8" w:rsidRPr="00884BFC">
        <w:t>%</w:t>
      </w:r>
      <w:r w:rsidRPr="00884BFC">
        <w:t>, men utan rätt till avdrag. Nu skall sådana personer i stället betala vanlig svensk i</w:t>
      </w:r>
      <w:r w:rsidRPr="00884BFC">
        <w:t>n</w:t>
      </w:r>
      <w:r w:rsidRPr="00884BFC">
        <w:t>komstskatt. Men regeringen tillåter inte vanliga avdrag för boenderäntor, som vanliga skattebetalare kan göra. Denna diskriminering innebär att det blir mycket svårt för svenska företag att rekrytera. För personer boende i Da</w:t>
      </w:r>
      <w:r w:rsidRPr="00884BFC">
        <w:t>n</w:t>
      </w:r>
      <w:r w:rsidRPr="00884BFC">
        <w:t>mark innebär regeln att deras kostnader fördyras avsevärt som följd av att de tar ett arbete, bara för att detta arbete råkar ligga i Sverige. Förslaget måste ändras så att vanlig skatt innebär vanliga avdrag, även om bopålarna råkar stå i Danmark</w:t>
      </w:r>
    </w:p>
    <w:p w:rsidR="006D3D64" w:rsidRPr="00884BFC" w:rsidRDefault="006D3D64" w:rsidP="006D3D64">
      <w:pPr>
        <w:pStyle w:val="Normaltindrag"/>
      </w:pPr>
      <w:r w:rsidRPr="00884BFC">
        <w:t>Föräldrapenning och förskoleplats är dåligt synkroniserade. Vid arbete i Danmark har man sex månaders föräldraledighet. Bor man i Sverige garant</w:t>
      </w:r>
      <w:r w:rsidRPr="00884BFC">
        <w:t>e</w:t>
      </w:r>
      <w:r w:rsidRPr="00884BFC">
        <w:t>ras föräldrar plats på dagis först efter tolv månader, vilket ger ett glapp på sex månader. Detta innebär att om detta inte kan lösa</w:t>
      </w:r>
      <w:r w:rsidR="009867D8" w:rsidRPr="00884BFC">
        <w:t xml:space="preserve">s </w:t>
      </w:r>
      <w:r w:rsidRPr="00884BFC">
        <w:t>i egen regi, mister man sitt danska arbete. Detta sker eftersom föräldrarna inte har rätt till dagis i Da</w:t>
      </w:r>
      <w:r w:rsidRPr="00884BFC">
        <w:t>n</w:t>
      </w:r>
      <w:r w:rsidRPr="00884BFC">
        <w:t>mark om de bor i Sverige, trots att de arbetar, betalar skatt och är socialfö</w:t>
      </w:r>
      <w:r w:rsidRPr="00884BFC">
        <w:t>r</w:t>
      </w:r>
      <w:r w:rsidRPr="00884BFC">
        <w:t>säkrad</w:t>
      </w:r>
      <w:r w:rsidR="009867D8" w:rsidRPr="00884BFC">
        <w:t>e</w:t>
      </w:r>
      <w:r w:rsidRPr="00884BFC">
        <w:t xml:space="preserve"> där.</w:t>
      </w:r>
    </w:p>
    <w:p w:rsidR="006D3D64" w:rsidRPr="00884BFC" w:rsidRDefault="006D3D64" w:rsidP="006D3D64">
      <w:pPr>
        <w:pStyle w:val="Rubrik1"/>
      </w:pPr>
      <w:r w:rsidRPr="00884BFC">
        <w:t xml:space="preserve">Förlorad pension vid kortare arbete än tolv månader </w:t>
      </w:r>
    </w:p>
    <w:p w:rsidR="006D3D64" w:rsidRPr="00884BFC" w:rsidRDefault="006D3D64" w:rsidP="009867D8">
      <w:r w:rsidRPr="00884BFC">
        <w:t>Om en person bor i Sverige och arbetar i Danmark krävs det att man arb</w:t>
      </w:r>
      <w:r w:rsidRPr="00884BFC">
        <w:t>e</w:t>
      </w:r>
      <w:r w:rsidRPr="00884BFC">
        <w:t xml:space="preserve">tar i sammanlagt tolv månader för att få tillgodoräkna sig pensionspoäng. Då en dansk arbetar i Sverige får hon/han pensionspoäng från dag ett. </w:t>
      </w:r>
    </w:p>
    <w:p w:rsidR="006D3D64" w:rsidRPr="00884BFC" w:rsidRDefault="006D3D64" w:rsidP="006D3D64">
      <w:pPr>
        <w:pStyle w:val="Rubrik1"/>
      </w:pPr>
      <w:r w:rsidRPr="00884BFC">
        <w:t xml:space="preserve">Långtidssjukskrivna är i riskzonen </w:t>
      </w:r>
    </w:p>
    <w:p w:rsidR="006D3D64" w:rsidRPr="00884BFC" w:rsidRDefault="006D3D64" w:rsidP="006D3D64">
      <w:r w:rsidRPr="00884BFC">
        <w:t>Bor du i Sverige och arbetar i Danmark och blir långtidssjukskriven blir du sannolikt uppsagd efter fyra månaders sjukdom. Därefter får du fortsatt sju</w:t>
      </w:r>
      <w:r w:rsidRPr="00884BFC">
        <w:t>k</w:t>
      </w:r>
      <w:r w:rsidRPr="00884BFC">
        <w:t>penning från den danska kommun där du arbetat under totalt ett år (i unda</w:t>
      </w:r>
      <w:r w:rsidRPr="00884BFC">
        <w:t>n</w:t>
      </w:r>
      <w:r w:rsidRPr="00884BFC">
        <w:t xml:space="preserve">tagsfall i två år). Efter detta står du helt utanför sjukförsäkringssystemen, eftersom du då inte kan komma in i det svenska socialförsäkringssystemet. </w:t>
      </w:r>
    </w:p>
    <w:p w:rsidR="006D3D64" w:rsidRPr="00884BFC" w:rsidRDefault="006D3D64" w:rsidP="006D3D64">
      <w:pPr>
        <w:pStyle w:val="Rubrik1"/>
      </w:pPr>
      <w:r w:rsidRPr="00884BFC">
        <w:t xml:space="preserve">A-kassesystemet </w:t>
      </w:r>
    </w:p>
    <w:p w:rsidR="006D3D64" w:rsidRPr="00884BFC" w:rsidRDefault="006D3D64" w:rsidP="009867D8">
      <w:r w:rsidRPr="00884BFC">
        <w:t>Att arbeta i båda länderna samtidigt, detta förhållande gäller den i alla häns</w:t>
      </w:r>
      <w:r w:rsidRPr="00884BFC">
        <w:t>e</w:t>
      </w:r>
      <w:r w:rsidRPr="00884BFC">
        <w:t>enden mest integrerade medborgaren. Här stöter en person på följande pr</w:t>
      </w:r>
      <w:r w:rsidRPr="00884BFC">
        <w:t>o</w:t>
      </w:r>
      <w:r w:rsidRPr="00884BFC">
        <w:t>blem: Är vederbörande inte fast anställd utan arbetar deltid, på timvikariat, som frilansare etc. måste han/hon, om de inte arbetar i båda länderna under samma vecka (enligt AMS sätt att se på saken) pendla mellan de båda lände</w:t>
      </w:r>
      <w:r w:rsidRPr="00884BFC">
        <w:t>r</w:t>
      </w:r>
      <w:r w:rsidRPr="00884BFC">
        <w:t xml:space="preserve">nas a-kassor. </w:t>
      </w:r>
    </w:p>
    <w:p w:rsidR="006D3D64" w:rsidRPr="00884BFC" w:rsidRDefault="006D3D64" w:rsidP="006D3D64">
      <w:pPr>
        <w:pStyle w:val="Normaltindrag"/>
      </w:pPr>
      <w:r w:rsidRPr="00884BFC">
        <w:t>Arbejdsdirektoratet i Danmark ser däremot till var en person under en längre period haft sin huvudsakliga sysselsättning, och menar att det är i det landet man ska</w:t>
      </w:r>
      <w:r w:rsidR="00A45B96" w:rsidRPr="00884BFC">
        <w:t>ll</w:t>
      </w:r>
      <w:r w:rsidRPr="00884BFC">
        <w:t xml:space="preserve"> vara arbets</w:t>
      </w:r>
      <w:r w:rsidR="009867D8" w:rsidRPr="00884BFC">
        <w:t>löshetsförsäkrad. Ett exempel: E</w:t>
      </w:r>
      <w:r w:rsidRPr="00884BFC">
        <w:t>n servitör som är bosatt i Malmö timvikarierar i både Malmö och Köpenhamn. Eftersom arbetet utförs efter behov så är en längre planläggning orealistisk, och det händer att arbete vissa veckor sker endast i Danmark. Följden blir att övergångsansö</w:t>
      </w:r>
      <w:r w:rsidRPr="00884BFC">
        <w:t>k</w:t>
      </w:r>
      <w:r w:rsidRPr="00884BFC">
        <w:t>ningarna och inträdesansökningarna i de båda ländernas a-kassor blir så fr</w:t>
      </w:r>
      <w:r w:rsidRPr="00884BFC">
        <w:t>e</w:t>
      </w:r>
      <w:r w:rsidRPr="00884BFC">
        <w:t xml:space="preserve">kventa att servitören ofta inte hunnit få övergångshandlingarna från a-kassan förrän det är dags att begära inträdeshandlingar till samma a-kassa. En absurd situation som borde kunna undanröjas av AMS, med den mer pragmatiska danska tolkningen. </w:t>
      </w:r>
    </w:p>
    <w:p w:rsidR="006D3D64" w:rsidRPr="00884BFC" w:rsidRDefault="006D3D64" w:rsidP="006D3D64">
      <w:pPr>
        <w:pStyle w:val="Normaltindrag"/>
      </w:pPr>
      <w:r w:rsidRPr="00884BFC">
        <w:t xml:space="preserve">Egen företagare: </w:t>
      </w:r>
      <w:r w:rsidR="009867D8" w:rsidRPr="00884BFC">
        <w:t xml:space="preserve">Som </w:t>
      </w:r>
      <w:r w:rsidRPr="00884BFC">
        <w:t>egenföretagare och medlem av a-kassan kan man inte ta med sig sin inarbetade kvalifikationstid och medlemstid till det andra landet på samma sätt som man kan om man varit anställd. Det innebär att en arbetslös egenföretagare i Sverige inte kan ta ett ledigt deltidsarbete i Da</w:t>
      </w:r>
      <w:r w:rsidRPr="00884BFC">
        <w:t>n</w:t>
      </w:r>
      <w:r w:rsidRPr="00884BFC">
        <w:t>mark. Då får man inte behålla sin deltidsersättning i Sverige, eftersom man vid deltidsarbete i Danmark ska</w:t>
      </w:r>
      <w:r w:rsidR="003E3A9E" w:rsidRPr="00884BFC">
        <w:t>ll</w:t>
      </w:r>
      <w:r w:rsidRPr="00884BFC">
        <w:t xml:space="preserve"> ha sin a-kasseersättning från Danmark, men eftersom man inte kan ta med sig sin inarbetade medlems- och kvalifikation</w:t>
      </w:r>
      <w:r w:rsidRPr="00884BFC">
        <w:t>s</w:t>
      </w:r>
      <w:r w:rsidRPr="00884BFC">
        <w:t xml:space="preserve">tid från Sverige får man inte heller någon ersättning i Danmark. </w:t>
      </w:r>
    </w:p>
    <w:p w:rsidR="006D3D64" w:rsidRPr="00884BFC" w:rsidRDefault="006D3D64" w:rsidP="006D3D64">
      <w:pPr>
        <w:pStyle w:val="Normaltindrag"/>
      </w:pPr>
      <w:r w:rsidRPr="00884BFC">
        <w:t xml:space="preserve">Deltidsarbetslös eller temporärt arbetslös: </w:t>
      </w:r>
      <w:r w:rsidR="009867D8" w:rsidRPr="00884BFC">
        <w:t xml:space="preserve">Här </w:t>
      </w:r>
      <w:r w:rsidRPr="00884BFC">
        <w:t>krävs klara överenskomme</w:t>
      </w:r>
      <w:r w:rsidRPr="00884BFC">
        <w:t>l</w:t>
      </w:r>
      <w:r w:rsidRPr="00884BFC">
        <w:t>ser mellan de båda länderna om vad som ska gälla. Frågan blir t.ex. om ne</w:t>
      </w:r>
      <w:r w:rsidRPr="00884BFC">
        <w:t>d</w:t>
      </w:r>
      <w:r w:rsidRPr="00884BFC">
        <w:t>gången till deltid eller det temporära uppehållet i anställningen behöver härr</w:t>
      </w:r>
      <w:r w:rsidRPr="00884BFC">
        <w:t>ö</w:t>
      </w:r>
      <w:r w:rsidRPr="00884BFC">
        <w:t>ra från samma företag. Det danska Arbejdsdirektoratet hävdar att ett oefte</w:t>
      </w:r>
      <w:r w:rsidRPr="00884BFC">
        <w:t>r</w:t>
      </w:r>
      <w:r w:rsidRPr="00884BFC">
        <w:t xml:space="preserve">givligt krav för att uppbära dansk a-kassa är att man är bosatt i Danmark, något som rimligtvis står helt i strid med regelverket kring deltidsarbetslöshet, där en svensk pendlare ju definitionsmässigt saknar bostad i Danmark. </w:t>
      </w:r>
    </w:p>
    <w:p w:rsidR="006D3D64" w:rsidRPr="00884BFC" w:rsidRDefault="006D3D64" w:rsidP="006D3D64">
      <w:pPr>
        <w:pStyle w:val="Normaltindrag"/>
      </w:pPr>
      <w:r w:rsidRPr="00884BFC">
        <w:t xml:space="preserve">A-kassa vid flytt till andra landet: </w:t>
      </w:r>
      <w:r w:rsidR="009867D8" w:rsidRPr="00884BFC">
        <w:t>I</w:t>
      </w:r>
      <w:r w:rsidRPr="00884BFC">
        <w:t xml:space="preserve"> detta exempel samverkar flera områden för att skapa problem för individen. En dansk barnfamilj flyttar över till Sv</w:t>
      </w:r>
      <w:r w:rsidRPr="00884BFC">
        <w:t>e</w:t>
      </w:r>
      <w:r w:rsidRPr="00884BFC">
        <w:t>rige. Då föräldraledigheten går ut upplyses familjen om att den svenska kommunen inte kan bidra med barnomsorg i tillräcklig utsträckning för att tä</w:t>
      </w:r>
      <w:r w:rsidR="009867D8" w:rsidRPr="00884BFC">
        <w:t>cka upp den borto</w:t>
      </w:r>
      <w:r w:rsidRPr="00884BFC">
        <w:t xml:space="preserve">varo som familjens arbeten kräver. Om familjen inte kan lösa sin barnomsorg på annat sätt kvarstår då för en i familjen att säga upp sig från sitt danska arbete. </w:t>
      </w:r>
    </w:p>
    <w:p w:rsidR="006D3D64" w:rsidRPr="00884BFC" w:rsidRDefault="006D3D64" w:rsidP="006D3D64">
      <w:pPr>
        <w:pStyle w:val="Normaltindrag"/>
      </w:pPr>
      <w:r w:rsidRPr="00884BFC">
        <w:t>Den familjemedlemmen får då ingen ersättning från dansk a-kassa, efte</w:t>
      </w:r>
      <w:r w:rsidRPr="00884BFC">
        <w:t>r</w:t>
      </w:r>
      <w:r w:rsidRPr="00884BFC">
        <w:t>som hon bor i Sverige, men ej heller från svensk a-kassa då hon inte uppfyller villkoret för medräkning (en dags arbete). Hade förhållandet varit det omvä</w:t>
      </w:r>
      <w:r w:rsidRPr="00884BFC">
        <w:t>n</w:t>
      </w:r>
      <w:r w:rsidRPr="00884BFC">
        <w:t xml:space="preserve">da, </w:t>
      </w:r>
      <w:r w:rsidR="009867D8" w:rsidRPr="00884BFC">
        <w:t>dvs.</w:t>
      </w:r>
      <w:r w:rsidRPr="00884BFC">
        <w:t xml:space="preserve"> att det rörde sig om en svensk familj i Danmark, hade kvinnan kunnat få ersättning från svensk a-kassa om hon besökt svensk arbetsförmedling varje dag under arbetslöshetsperioden, vilket kanske i sig är orimligt med tanke på pendlingskostnaden, dock inte under avstängningsperioden. </w:t>
      </w:r>
    </w:p>
    <w:p w:rsidR="006D3D64" w:rsidRPr="00884BFC" w:rsidRDefault="006D3D64" w:rsidP="006D3D64">
      <w:pPr>
        <w:pStyle w:val="Rubrik1"/>
      </w:pPr>
      <w:r w:rsidRPr="00884BFC">
        <w:t xml:space="preserve">Arbetsförmedlingssystemet </w:t>
      </w:r>
    </w:p>
    <w:p w:rsidR="006D3D64" w:rsidRPr="00884BFC" w:rsidRDefault="006D3D64" w:rsidP="009867D8">
      <w:r w:rsidRPr="00884BFC">
        <w:t>Utbildning med utbildningsbidrag kan bedrivas av svenska arbetslösa på båda sidor om sundet, men för danska arbetslösa föreligger inte samma möjligh</w:t>
      </w:r>
      <w:r w:rsidRPr="00884BFC">
        <w:t>e</w:t>
      </w:r>
      <w:r w:rsidRPr="00884BFC">
        <w:t>ter. Detta hindrar ett gemensamt aktivt arbete för att komma till rätta med problematiken kring flaskhalsyrken. Intresse för att få i gång gränsöverskr</w:t>
      </w:r>
      <w:r w:rsidRPr="00884BFC">
        <w:t>i</w:t>
      </w:r>
      <w:r w:rsidRPr="00884BFC">
        <w:t xml:space="preserve">dande utbildningar finns på båda sidor, men i dag försvårar reglerna detta. </w:t>
      </w:r>
    </w:p>
    <w:p w:rsidR="006D3D64" w:rsidRPr="00884BFC" w:rsidRDefault="009867D8" w:rsidP="00334FFA">
      <w:pPr>
        <w:pStyle w:val="Normaltindrag"/>
      </w:pPr>
      <w:r w:rsidRPr="00884BFC">
        <w:t>Praktik med utbildningsbidrag: I</w:t>
      </w:r>
      <w:r w:rsidR="006D3D64" w:rsidRPr="00884BFC">
        <w:t>nom detta område är det lika omöjligt för sökande på båda sidor att gå över gränsen. Speciellt svensk sida borde här kunna göra stora vinster om praktik på dansk sida blev möjlig, eftersom a</w:t>
      </w:r>
      <w:r w:rsidR="006D3D64" w:rsidRPr="00884BFC">
        <w:t>r</w:t>
      </w:r>
      <w:r w:rsidR="006D3D64" w:rsidRPr="00884BFC">
        <w:t>betsmarknadsläget på Själland är gott även inom yrken som inte kräver sä</w:t>
      </w:r>
      <w:r w:rsidR="006D3D64" w:rsidRPr="00884BFC">
        <w:t>r</w:t>
      </w:r>
      <w:r w:rsidR="006D3D64" w:rsidRPr="00884BFC">
        <w:t xml:space="preserve">skilt lång utbildning. </w:t>
      </w:r>
    </w:p>
    <w:p w:rsidR="006D3D64" w:rsidRPr="00884BFC" w:rsidRDefault="006D3D64" w:rsidP="006D3D64">
      <w:pPr>
        <w:pStyle w:val="Normaltindrag"/>
      </w:pPr>
      <w:r w:rsidRPr="00884BFC">
        <w:t>Sökand</w:t>
      </w:r>
      <w:r w:rsidR="009867D8" w:rsidRPr="00884BFC">
        <w:t>eresor och flytt över gränsen: D</w:t>
      </w:r>
      <w:r w:rsidRPr="00884BFC">
        <w:t>etta är en omöjlighet i både Sverige och Danmark. De borde vara möjligt att tänka sig att sökanderesor var möjl</w:t>
      </w:r>
      <w:r w:rsidRPr="00884BFC">
        <w:t>i</w:t>
      </w:r>
      <w:r w:rsidRPr="00884BFC">
        <w:t xml:space="preserve">ga då dessa underlättar för arbetssökande med en lägre inkomst att faktiskt söka ett arbete i Danmark. </w:t>
      </w:r>
    </w:p>
    <w:p w:rsidR="006D3D64" w:rsidRPr="00884BFC" w:rsidRDefault="006D3D64" w:rsidP="006D3D64">
      <w:pPr>
        <w:pStyle w:val="Normaltindrag"/>
      </w:pPr>
      <w:r w:rsidRPr="00884BFC">
        <w:t>Vad gäller utbildningssystemet inom detta område finns det över</w:t>
      </w:r>
      <w:r w:rsidR="009867D8" w:rsidRPr="00884BFC">
        <w:t xml:space="preserve"> </w:t>
      </w:r>
      <w:r w:rsidRPr="00884BFC">
        <w:t>huvud</w:t>
      </w:r>
      <w:r w:rsidR="009867D8" w:rsidRPr="00884BFC">
        <w:t xml:space="preserve"> </w:t>
      </w:r>
      <w:r w:rsidRPr="00884BFC">
        <w:t>taget inte någon synkronisering, vilket skapar problem i anställningsfasen. Detta då arbetsgivare på båda sidor har svårt att värdera det andra landets utbildningsnivåer. En angelägen åtgärd vore att slopa tvånget på svenskt pe</w:t>
      </w:r>
      <w:r w:rsidRPr="00884BFC">
        <w:t>r</w:t>
      </w:r>
      <w:r w:rsidRPr="00884BFC">
        <w:t xml:space="preserve">sonnummer för danskar i Sverige och CPR-nummer för svenskar i Danmark. Detta tvång att ha </w:t>
      </w:r>
      <w:r w:rsidR="009867D8" w:rsidRPr="00884BFC">
        <w:t>”</w:t>
      </w:r>
      <w:r w:rsidRPr="00884BFC">
        <w:t>rätt</w:t>
      </w:r>
      <w:r w:rsidR="009867D8" w:rsidRPr="00884BFC">
        <w:t>”</w:t>
      </w:r>
      <w:r w:rsidRPr="00884BFC">
        <w:t xml:space="preserve"> typ av nummer kan omöjliggöra ett normalt liv. I</w:t>
      </w:r>
      <w:r w:rsidRPr="00884BFC">
        <w:t>n</w:t>
      </w:r>
      <w:r w:rsidRPr="00884BFC">
        <w:t>satser borde även sättas in för att undanröja visumproblem för utländska st</w:t>
      </w:r>
      <w:r w:rsidRPr="00884BFC">
        <w:t>u</w:t>
      </w:r>
      <w:r w:rsidRPr="00884BFC">
        <w:t xml:space="preserve">denter inom Öresundsuniversitetet när de passerar gränsen eller problem med uppehållstillstånd i det ena landet vid studier i det andra landet.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67D8" w:rsidRPr="00884BFC">
        <w:tblPrEx>
          <w:tblCellMar>
            <w:top w:w="0" w:type="dxa"/>
            <w:bottom w:w="0" w:type="dxa"/>
          </w:tblCellMar>
        </w:tblPrEx>
        <w:trPr>
          <w:cantSplit/>
        </w:trPr>
        <w:tc>
          <w:tcPr>
            <w:tcW w:w="3046" w:type="dxa"/>
          </w:tcPr>
          <w:p w:rsidR="009867D8" w:rsidRPr="00884BFC" w:rsidRDefault="009867D8" w:rsidP="009867D8">
            <w:pPr>
              <w:pStyle w:val="UnderskriftDatum"/>
              <w:spacing w:before="0"/>
            </w:pPr>
            <w:r w:rsidRPr="00884BFC">
              <w:t>Stockholm den 30 september 2005</w:t>
            </w:r>
          </w:p>
        </w:tc>
        <w:tc>
          <w:tcPr>
            <w:tcW w:w="3047" w:type="dxa"/>
          </w:tcPr>
          <w:p w:rsidR="009867D8" w:rsidRPr="00884BFC" w:rsidRDefault="009867D8" w:rsidP="009867D8">
            <w:pPr>
              <w:pStyle w:val="Underskrifter"/>
            </w:pPr>
          </w:p>
        </w:tc>
      </w:tr>
      <w:tr w:rsidR="009867D8" w:rsidRPr="00884BFC">
        <w:tblPrEx>
          <w:tblCellMar>
            <w:top w:w="0" w:type="dxa"/>
            <w:bottom w:w="0" w:type="dxa"/>
          </w:tblCellMar>
        </w:tblPrEx>
        <w:trPr>
          <w:cantSplit/>
        </w:trPr>
        <w:tc>
          <w:tcPr>
            <w:tcW w:w="3046" w:type="dxa"/>
          </w:tcPr>
          <w:p w:rsidR="009867D8" w:rsidRPr="00884BFC" w:rsidRDefault="009867D8" w:rsidP="009867D8">
            <w:pPr>
              <w:pStyle w:val="Underskrifter"/>
            </w:pPr>
            <w:r w:rsidRPr="00884BFC">
              <w:t>Tobias Billström (m)</w:t>
            </w:r>
          </w:p>
        </w:tc>
        <w:tc>
          <w:tcPr>
            <w:tcW w:w="3047" w:type="dxa"/>
          </w:tcPr>
          <w:p w:rsidR="009867D8" w:rsidRPr="00884BFC" w:rsidRDefault="009867D8" w:rsidP="009867D8">
            <w:pPr>
              <w:pStyle w:val="Underskrifter"/>
            </w:pPr>
          </w:p>
        </w:tc>
      </w:tr>
      <w:tr w:rsidR="009867D8" w:rsidRPr="00884BFC">
        <w:tblPrEx>
          <w:tblCellMar>
            <w:top w:w="0" w:type="dxa"/>
            <w:bottom w:w="0" w:type="dxa"/>
          </w:tblCellMar>
        </w:tblPrEx>
        <w:trPr>
          <w:cantSplit/>
        </w:trPr>
        <w:tc>
          <w:tcPr>
            <w:tcW w:w="3046" w:type="dxa"/>
          </w:tcPr>
          <w:p w:rsidR="009867D8" w:rsidRPr="00884BFC" w:rsidRDefault="009867D8" w:rsidP="009867D8">
            <w:pPr>
              <w:pStyle w:val="Underskrifter"/>
            </w:pPr>
            <w:r w:rsidRPr="00884BFC">
              <w:t>Carl-Axel Roslund (m)</w:t>
            </w:r>
          </w:p>
        </w:tc>
        <w:tc>
          <w:tcPr>
            <w:tcW w:w="3047" w:type="dxa"/>
          </w:tcPr>
          <w:p w:rsidR="009867D8" w:rsidRPr="00884BFC" w:rsidRDefault="009867D8" w:rsidP="009867D8">
            <w:pPr>
              <w:pStyle w:val="Underskrifter"/>
            </w:pPr>
            <w:r w:rsidRPr="00884BFC">
              <w:t>Cristina Husmark Pehrsson (m)</w:t>
            </w:r>
          </w:p>
        </w:tc>
      </w:tr>
      <w:tr w:rsidR="009867D8" w:rsidRPr="00884BFC">
        <w:tblPrEx>
          <w:tblCellMar>
            <w:top w:w="0" w:type="dxa"/>
            <w:bottom w:w="0" w:type="dxa"/>
          </w:tblCellMar>
        </w:tblPrEx>
        <w:trPr>
          <w:cantSplit/>
        </w:trPr>
        <w:tc>
          <w:tcPr>
            <w:tcW w:w="3046" w:type="dxa"/>
          </w:tcPr>
          <w:p w:rsidR="009867D8" w:rsidRPr="00884BFC" w:rsidRDefault="009867D8" w:rsidP="009867D8">
            <w:pPr>
              <w:pStyle w:val="Underskrifter"/>
            </w:pPr>
            <w:r w:rsidRPr="00884BFC">
              <w:t>Peter Danielsson (m)</w:t>
            </w:r>
          </w:p>
        </w:tc>
        <w:tc>
          <w:tcPr>
            <w:tcW w:w="3047" w:type="dxa"/>
          </w:tcPr>
          <w:p w:rsidR="009867D8" w:rsidRPr="00884BFC" w:rsidRDefault="009867D8" w:rsidP="009867D8">
            <w:pPr>
              <w:pStyle w:val="Underskrifter"/>
            </w:pPr>
            <w:r w:rsidRPr="00884BFC">
              <w:t>Lars Lindblad (m)</w:t>
            </w:r>
          </w:p>
        </w:tc>
      </w:tr>
      <w:tr w:rsidR="009867D8" w:rsidRPr="00884BFC">
        <w:tblPrEx>
          <w:tblCellMar>
            <w:top w:w="0" w:type="dxa"/>
            <w:bottom w:w="0" w:type="dxa"/>
          </w:tblCellMar>
        </w:tblPrEx>
        <w:trPr>
          <w:cantSplit/>
        </w:trPr>
        <w:tc>
          <w:tcPr>
            <w:tcW w:w="3046" w:type="dxa"/>
          </w:tcPr>
          <w:p w:rsidR="009867D8" w:rsidRPr="00884BFC" w:rsidRDefault="009867D8" w:rsidP="009867D8">
            <w:pPr>
              <w:pStyle w:val="Underskrifter"/>
            </w:pPr>
            <w:r w:rsidRPr="00884BFC">
              <w:t>Ewa Thalén Finné (m)</w:t>
            </w:r>
          </w:p>
        </w:tc>
        <w:tc>
          <w:tcPr>
            <w:tcW w:w="3047" w:type="dxa"/>
          </w:tcPr>
          <w:p w:rsidR="009867D8" w:rsidRPr="00884BFC" w:rsidRDefault="009867D8" w:rsidP="009867D8">
            <w:pPr>
              <w:pStyle w:val="Underskrifter"/>
            </w:pPr>
            <w:r w:rsidRPr="00884BFC">
              <w:t>Anne-Marie Pålsson (m)</w:t>
            </w:r>
          </w:p>
        </w:tc>
      </w:tr>
      <w:tr w:rsidR="009867D8" w:rsidRPr="00884BFC">
        <w:tblPrEx>
          <w:tblCellMar>
            <w:top w:w="0" w:type="dxa"/>
            <w:bottom w:w="0" w:type="dxa"/>
          </w:tblCellMar>
        </w:tblPrEx>
        <w:trPr>
          <w:cantSplit/>
        </w:trPr>
        <w:tc>
          <w:tcPr>
            <w:tcW w:w="3046" w:type="dxa"/>
          </w:tcPr>
          <w:p w:rsidR="009867D8" w:rsidRPr="00884BFC" w:rsidRDefault="009867D8" w:rsidP="009867D8">
            <w:pPr>
              <w:pStyle w:val="Underskrifter"/>
            </w:pPr>
            <w:r w:rsidRPr="00884BFC">
              <w:t>Maud Ekendahl (m)</w:t>
            </w:r>
          </w:p>
        </w:tc>
        <w:tc>
          <w:tcPr>
            <w:tcW w:w="3047" w:type="dxa"/>
          </w:tcPr>
          <w:p w:rsidR="009867D8" w:rsidRPr="00884BFC" w:rsidRDefault="009867D8" w:rsidP="009867D8">
            <w:pPr>
              <w:pStyle w:val="Underskrifter"/>
            </w:pPr>
            <w:r w:rsidRPr="00884BFC">
              <w:t>Margareta Pålsson (m)</w:t>
            </w:r>
          </w:p>
        </w:tc>
      </w:tr>
    </w:tbl>
    <w:p w:rsidR="00E84F25" w:rsidRPr="00884BFC" w:rsidRDefault="00E84F25" w:rsidP="009867D8">
      <w:pPr>
        <w:pStyle w:val="Normaltindrag"/>
      </w:pPr>
    </w:p>
    <w:sectPr w:rsidR="00E84F25" w:rsidRPr="00884BFC" w:rsidSect="009867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8E3" w:rsidRPr="00884BFC" w:rsidRDefault="002C28E3">
      <w:r w:rsidRPr="00884BFC">
        <w:separator/>
      </w:r>
    </w:p>
  </w:endnote>
  <w:endnote w:type="continuationSeparator" w:id="0">
    <w:p w:rsidR="002C28E3" w:rsidRPr="00884BFC" w:rsidRDefault="002C28E3">
      <w:r w:rsidRPr="00884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58" w:rsidRPr="00884BFC" w:rsidRDefault="00884BFC" w:rsidP="009867D8">
    <w:pPr>
      <w:pStyle w:val="Sidfot"/>
    </w:pPr>
    <w:r w:rsidRPr="00884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67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7D8" w:rsidRDefault="009867D8">
                          <w:pPr>
                            <w:pStyle w:val="NormalS5sidnrV"/>
                          </w:pPr>
                          <w:r>
                            <w:fldChar w:fldCharType="begin"/>
                          </w:r>
                          <w:r>
                            <w:instrText xml:space="preserve"> PAGE *\charformat</w:instrText>
                          </w:r>
                          <w:r>
                            <w:fldChar w:fldCharType="separate"/>
                          </w:r>
                          <w:r w:rsidR="005A201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67D8" w:rsidRDefault="009867D8">
                    <w:pPr>
                      <w:pStyle w:val="NormalS5sidnrV"/>
                    </w:pPr>
                    <w:r>
                      <w:fldChar w:fldCharType="begin"/>
                    </w:r>
                    <w:r>
                      <w:instrText xml:space="preserve"> PAGE *\charformat</w:instrText>
                    </w:r>
                    <w:r>
                      <w:fldChar w:fldCharType="separate"/>
                    </w:r>
                    <w:r w:rsidR="005A2010">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EF" w:rsidRPr="00884BFC" w:rsidRDefault="00884BFC" w:rsidP="009867D8">
    <w:pPr>
      <w:pStyle w:val="Sidfot"/>
    </w:pPr>
    <w:r w:rsidRPr="00884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915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7D8" w:rsidRDefault="009867D8">
                          <w:pPr>
                            <w:pStyle w:val="NormalS5sidnrH"/>
                            <w:ind w:right="0"/>
                          </w:pPr>
                          <w:r>
                            <w:fldChar w:fldCharType="begin"/>
                          </w:r>
                          <w:r>
                            <w:instrText xml:space="preserve"> PAGE *\charformat</w:instrText>
                          </w:r>
                          <w:r>
                            <w:fldChar w:fldCharType="separate"/>
                          </w:r>
                          <w:r w:rsidR="005A201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67D8" w:rsidRDefault="009867D8">
                    <w:pPr>
                      <w:pStyle w:val="NormalS5sidnrH"/>
                      <w:ind w:right="0"/>
                    </w:pPr>
                    <w:r>
                      <w:fldChar w:fldCharType="begin"/>
                    </w:r>
                    <w:r>
                      <w:instrText xml:space="preserve"> PAGE *\charformat</w:instrText>
                    </w:r>
                    <w:r>
                      <w:fldChar w:fldCharType="separate"/>
                    </w:r>
                    <w:r w:rsidR="005A201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EF" w:rsidRPr="00884BFC" w:rsidRDefault="00884BFC" w:rsidP="009867D8">
    <w:pPr>
      <w:pStyle w:val="Sidfot"/>
    </w:pPr>
    <w:r w:rsidRPr="00884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321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7D8" w:rsidRDefault="009867D8">
                          <w:pPr>
                            <w:pStyle w:val="NormalS5sidnrH"/>
                            <w:ind w:right="0"/>
                          </w:pPr>
                          <w:r>
                            <w:fldChar w:fldCharType="begin"/>
                          </w:r>
                          <w:r>
                            <w:instrText xml:space="preserve"> PAGE *\charformat</w:instrText>
                          </w:r>
                          <w:r>
                            <w:fldChar w:fldCharType="separate"/>
                          </w:r>
                          <w:r w:rsidR="005A20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67D8" w:rsidRDefault="009867D8">
                    <w:pPr>
                      <w:pStyle w:val="NormalS5sidnrH"/>
                      <w:ind w:right="0"/>
                    </w:pPr>
                    <w:r>
                      <w:fldChar w:fldCharType="begin"/>
                    </w:r>
                    <w:r>
                      <w:instrText xml:space="preserve"> PAGE *\charformat</w:instrText>
                    </w:r>
                    <w:r>
                      <w:fldChar w:fldCharType="separate"/>
                    </w:r>
                    <w:r w:rsidR="005A20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8E3" w:rsidRPr="00884BFC" w:rsidRDefault="002C28E3">
      <w:r w:rsidRPr="00884BFC">
        <w:separator/>
      </w:r>
    </w:p>
  </w:footnote>
  <w:footnote w:type="continuationSeparator" w:id="0">
    <w:p w:rsidR="002C28E3" w:rsidRPr="00884BFC" w:rsidRDefault="002C28E3">
      <w:r w:rsidRPr="00884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58" w:rsidRPr="00884BFC" w:rsidRDefault="00884BFC" w:rsidP="009867D8">
    <w:pPr>
      <w:pStyle w:val="Sidhuvud"/>
    </w:pPr>
    <w:r w:rsidRPr="00884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681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7D8" w:rsidRDefault="009867D8">
                          <w:pPr>
                            <w:pStyle w:val="KantRubrikS5V"/>
                          </w:pPr>
                          <w:r>
                            <w:fldChar w:fldCharType="begin"/>
                          </w:r>
                          <w:r>
                            <w:instrText xml:space="preserve"> DOCPROPERTY "YearUser" *\charformat </w:instrText>
                          </w:r>
                          <w:r>
                            <w:fldChar w:fldCharType="separate"/>
                          </w:r>
                          <w:r w:rsidR="005A2010">
                            <w:t>2005/06</w:t>
                          </w:r>
                          <w:r>
                            <w:fldChar w:fldCharType="end"/>
                          </w:r>
                          <w:r>
                            <w:t>:</w:t>
                          </w:r>
                          <w:r>
                            <w:fldChar w:fldCharType="begin"/>
                          </w:r>
                          <w:r>
                            <w:instrText xml:space="preserve"> DOCPROPERTY "Motionsnummer" *\charformat </w:instrText>
                          </w:r>
                          <w:r>
                            <w:fldChar w:fldCharType="separate"/>
                          </w:r>
                          <w:r w:rsidR="005A2010">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67D8" w:rsidRDefault="009867D8">
                    <w:pPr>
                      <w:pStyle w:val="KantRubrikS5V"/>
                    </w:pPr>
                    <w:r>
                      <w:fldChar w:fldCharType="begin"/>
                    </w:r>
                    <w:r>
                      <w:instrText xml:space="preserve"> DOCPROPERTY "YearUser" *\charformat </w:instrText>
                    </w:r>
                    <w:r>
                      <w:fldChar w:fldCharType="separate"/>
                    </w:r>
                    <w:r w:rsidR="005A2010">
                      <w:t>2005/06</w:t>
                    </w:r>
                    <w:r>
                      <w:fldChar w:fldCharType="end"/>
                    </w:r>
                    <w:r>
                      <w:t>:</w:t>
                    </w:r>
                    <w:r>
                      <w:fldChar w:fldCharType="begin"/>
                    </w:r>
                    <w:r>
                      <w:instrText xml:space="preserve"> DOCPROPERTY "Motionsnummer" *\charformat </w:instrText>
                    </w:r>
                    <w:r>
                      <w:fldChar w:fldCharType="separate"/>
                    </w:r>
                    <w:r w:rsidR="005A2010">
                      <w:t>Sf279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6EF" w:rsidRPr="00884BFC" w:rsidRDefault="00884BFC" w:rsidP="009867D8">
    <w:pPr>
      <w:pStyle w:val="Sidhuvud"/>
    </w:pPr>
    <w:r w:rsidRPr="00884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19976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7D8" w:rsidRDefault="009867D8">
                          <w:pPr>
                            <w:pStyle w:val="KantRubrikS5H"/>
                            <w:ind w:right="0"/>
                          </w:pPr>
                          <w:r>
                            <w:fldChar w:fldCharType="begin"/>
                          </w:r>
                          <w:r>
                            <w:instrText xml:space="preserve"> DOCPROPERTY "YearUser" *\charformat </w:instrText>
                          </w:r>
                          <w:r>
                            <w:fldChar w:fldCharType="separate"/>
                          </w:r>
                          <w:r w:rsidR="005A2010">
                            <w:t>2005/06</w:t>
                          </w:r>
                          <w:r>
                            <w:fldChar w:fldCharType="end"/>
                          </w:r>
                          <w:r>
                            <w:t>:</w:t>
                          </w:r>
                          <w:r>
                            <w:fldChar w:fldCharType="begin"/>
                          </w:r>
                          <w:r>
                            <w:instrText xml:space="preserve"> DOCPROPERTY "Motionsnummer" *\charformat </w:instrText>
                          </w:r>
                          <w:r>
                            <w:fldChar w:fldCharType="separate"/>
                          </w:r>
                          <w:r w:rsidR="005A2010">
                            <w:t>Sf279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67D8" w:rsidRDefault="009867D8">
                    <w:pPr>
                      <w:pStyle w:val="KantRubrikS5H"/>
                      <w:ind w:right="0"/>
                    </w:pPr>
                    <w:r>
                      <w:fldChar w:fldCharType="begin"/>
                    </w:r>
                    <w:r>
                      <w:instrText xml:space="preserve"> DOCPROPERTY "YearUser" *\charformat </w:instrText>
                    </w:r>
                    <w:r>
                      <w:fldChar w:fldCharType="separate"/>
                    </w:r>
                    <w:r w:rsidR="005A2010">
                      <w:t>2005/06</w:t>
                    </w:r>
                    <w:r>
                      <w:fldChar w:fldCharType="end"/>
                    </w:r>
                    <w:r>
                      <w:t>:</w:t>
                    </w:r>
                    <w:r>
                      <w:fldChar w:fldCharType="begin"/>
                    </w:r>
                    <w:r>
                      <w:instrText xml:space="preserve"> DOCPROPERTY "Motionsnummer" *\charformat </w:instrText>
                    </w:r>
                    <w:r>
                      <w:fldChar w:fldCharType="separate"/>
                    </w:r>
                    <w:r w:rsidR="005A2010">
                      <w:t>Sf279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7D8" w:rsidRPr="00884BFC" w:rsidRDefault="009867D8">
    <w:pPr>
      <w:pStyle w:val="FSHNormal"/>
      <w:tabs>
        <w:tab w:val="right" w:pos="5840"/>
      </w:tabs>
    </w:pPr>
    <w:r w:rsidRPr="00884BFC">
      <w:br/>
    </w:r>
    <w:r w:rsidRPr="00884BFC">
      <w:fldChar w:fldCharType="begin" w:fldLock="1"/>
    </w:r>
    <w:r w:rsidRPr="00884BFC">
      <w:instrText xml:space="preserve"> DOCPROPERTY</w:instrText>
    </w:r>
    <w:r w:rsidRPr="00884BFC">
      <w:rPr>
        <w:sz w:val="18"/>
      </w:rPr>
      <w:instrText xml:space="preserve"> "YearUser" *\charformat </w:instrText>
    </w:r>
    <w:r w:rsidRPr="00884BFC">
      <w:fldChar w:fldCharType="separate"/>
    </w:r>
    <w:r w:rsidR="005A2010" w:rsidRPr="00884BFC">
      <w:t>2005/06</w:t>
    </w:r>
    <w:r w:rsidRPr="00884BFC">
      <w:fldChar w:fldCharType="end"/>
    </w:r>
    <w:r w:rsidRPr="00884BFC">
      <w:t xml:space="preserve"> </w:t>
    </w:r>
    <w:r w:rsidRPr="00884BFC">
      <w:tab/>
      <w:t xml:space="preserve">mnr: </w:t>
    </w:r>
    <w:r w:rsidRPr="00884BFC">
      <w:fldChar w:fldCharType="begin" w:fldLock="1"/>
    </w:r>
    <w:r w:rsidRPr="00884BFC">
      <w:instrText xml:space="preserve"> DOCPROPERTY</w:instrText>
    </w:r>
    <w:r w:rsidRPr="00884BFC">
      <w:rPr>
        <w:sz w:val="18"/>
      </w:rPr>
      <w:instrText xml:space="preserve"> "Motionsnummer" *\charformat </w:instrText>
    </w:r>
    <w:r w:rsidRPr="00884BFC">
      <w:fldChar w:fldCharType="separate"/>
    </w:r>
    <w:r w:rsidR="005A2010" w:rsidRPr="00884BFC">
      <w:t>Sf279</w:t>
    </w:r>
    <w:r w:rsidRPr="00884BFC">
      <w:fldChar w:fldCharType="end"/>
    </w:r>
    <w:r w:rsidRPr="00884BFC">
      <w:br/>
    </w:r>
    <w:r w:rsidRPr="00884BFC">
      <w:fldChar w:fldCharType="begin" w:fldLock="1"/>
    </w:r>
    <w:r w:rsidRPr="00884BFC">
      <w:instrText xml:space="preserve"> DOCPROPERTY</w:instrText>
    </w:r>
    <w:r w:rsidRPr="00884BFC">
      <w:rPr>
        <w:sz w:val="18"/>
      </w:rPr>
      <w:instrText xml:space="preserve"> "Samling" *\charformat </w:instrText>
    </w:r>
    <w:r w:rsidRPr="00884BFC">
      <w:fldChar w:fldCharType="end"/>
    </w:r>
    <w:r w:rsidRPr="00884BFC">
      <w:tab/>
      <w:t xml:space="preserve">pnr: </w:t>
    </w:r>
    <w:r w:rsidRPr="00884BFC">
      <w:fldChar w:fldCharType="begin" w:fldLock="1"/>
    </w:r>
    <w:r w:rsidRPr="00884BFC">
      <w:instrText xml:space="preserve"> DOCPROPERTY</w:instrText>
    </w:r>
    <w:r w:rsidRPr="00884BFC">
      <w:rPr>
        <w:sz w:val="18"/>
      </w:rPr>
      <w:instrText xml:space="preserve"> "Partinummer" *\charformat </w:instrText>
    </w:r>
    <w:r w:rsidRPr="00884BFC">
      <w:fldChar w:fldCharType="separate"/>
    </w:r>
    <w:r w:rsidR="005A2010" w:rsidRPr="00884BFC">
      <w:t>m1549</w:t>
    </w:r>
    <w:r w:rsidRPr="00884BFC">
      <w:fldChar w:fldCharType="end"/>
    </w:r>
  </w:p>
  <w:p w:rsidR="009867D8" w:rsidRPr="00884BFC" w:rsidRDefault="009867D8">
    <w:pPr>
      <w:pStyle w:val="FSHRub1"/>
    </w:pPr>
    <w:r w:rsidRPr="00884BFC">
      <w:t>Motion till riksdagen</w:t>
    </w:r>
    <w:r w:rsidRPr="00884BFC">
      <w:br/>
    </w:r>
    <w:r w:rsidRPr="00884BFC">
      <w:fldChar w:fldCharType="begin" w:fldLock="1"/>
    </w:r>
    <w:r w:rsidRPr="00884BFC">
      <w:instrText xml:space="preserve"> DOCPROPERTY "YearUser" *\charformat </w:instrText>
    </w:r>
    <w:r w:rsidRPr="00884BFC">
      <w:fldChar w:fldCharType="separate"/>
    </w:r>
    <w:r w:rsidR="005A2010" w:rsidRPr="00884BFC">
      <w:t>2005/06</w:t>
    </w:r>
    <w:r w:rsidRPr="00884BFC">
      <w:fldChar w:fldCharType="end"/>
    </w:r>
    <w:r w:rsidRPr="00884BFC">
      <w:t>:</w:t>
    </w:r>
    <w:r w:rsidRPr="00884BFC">
      <w:fldChar w:fldCharType="begin" w:fldLock="1"/>
    </w:r>
    <w:r w:rsidRPr="00884BFC">
      <w:instrText xml:space="preserve"> DOCPROPERTY "Motionsnummer" *\charformat </w:instrText>
    </w:r>
    <w:r w:rsidRPr="00884BFC">
      <w:fldChar w:fldCharType="separate"/>
    </w:r>
    <w:r w:rsidR="005A2010" w:rsidRPr="00884BFC">
      <w:t>Sf279</w:t>
    </w:r>
    <w:r w:rsidRPr="00884BFC">
      <w:fldChar w:fldCharType="end"/>
    </w:r>
  </w:p>
  <w:p w:rsidR="009867D8" w:rsidRPr="00884BFC" w:rsidRDefault="009867D8">
    <w:pPr>
      <w:pStyle w:val="FSHNormalS5"/>
    </w:pPr>
    <w:r w:rsidRPr="00884BFC">
      <w:fldChar w:fldCharType="begin" w:fldLock="1"/>
    </w:r>
    <w:r w:rsidRPr="00884BFC">
      <w:instrText xml:space="preserve"> DOCPROPERTY "MotionarText" *\charformat </w:instrText>
    </w:r>
    <w:r w:rsidRPr="00884BFC">
      <w:fldChar w:fldCharType="separate"/>
    </w:r>
    <w:r w:rsidR="005A2010" w:rsidRPr="00884BFC">
      <w:t>av Tobias Billström m.fl. (m)</w:t>
    </w:r>
    <w:r w:rsidRPr="00884BFC">
      <w:fldChar w:fldCharType="end"/>
    </w:r>
    <w:r w:rsidRPr="00884BFC">
      <w:br/>
    </w:r>
    <w:r w:rsidRPr="00884BFC">
      <w:fldChar w:fldCharType="begin" w:fldLock="1"/>
    </w:r>
    <w:r w:rsidRPr="00884BFC">
      <w:instrText xml:space="preserve"> DOCPROPERTY "SvarFrasKort" *\charformat </w:instrText>
    </w:r>
    <w:r w:rsidRPr="00884BFC">
      <w:fldChar w:fldCharType="end"/>
    </w:r>
  </w:p>
  <w:p w:rsidR="009867D8" w:rsidRPr="00884BFC" w:rsidRDefault="009867D8">
    <w:pPr>
      <w:pStyle w:val="FSHTitel"/>
    </w:pPr>
    <w:r w:rsidRPr="00884BFC">
      <w:fldChar w:fldCharType="begin" w:fldLock="1"/>
    </w:r>
    <w:r w:rsidRPr="00884BFC">
      <w:instrText xml:space="preserve"> DOCPROPERTY</w:instrText>
    </w:r>
    <w:r w:rsidRPr="00884BFC">
      <w:rPr>
        <w:sz w:val="18"/>
      </w:rPr>
      <w:instrText xml:space="preserve"> "RubrikSvar" *\charformat </w:instrText>
    </w:r>
    <w:r w:rsidRPr="00884BFC">
      <w:fldChar w:fldCharType="separate"/>
    </w:r>
    <w:r w:rsidR="005A2010" w:rsidRPr="00884BFC">
      <w:t>Arbetskraftens rörlighet i Öresundsregionen</w:t>
    </w:r>
    <w:r w:rsidRPr="00884BFC">
      <w:fldChar w:fldCharType="end"/>
    </w:r>
  </w:p>
  <w:p w:rsidR="009867D8" w:rsidRPr="00884BFC" w:rsidRDefault="009867D8" w:rsidP="009867D8">
    <w:pPr>
      <w:pStyle w:val="Normal00"/>
      <w:rPr>
        <w:i/>
      </w:rPr>
    </w:pPr>
    <w:r w:rsidRPr="00884BF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BD46D0"/>
    <w:multiLevelType w:val="multilevel"/>
    <w:tmpl w:val="7BF01D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4321728"/>
    <w:multiLevelType w:val="hybridMultilevel"/>
    <w:tmpl w:val="7478978E"/>
    <w:lvl w:ilvl="0" w:tplc="96C68F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5EC78C1"/>
    <w:multiLevelType w:val="multilevel"/>
    <w:tmpl w:val="09844D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93382448">
    <w:abstractNumId w:val="16"/>
  </w:num>
  <w:num w:numId="2" w16cid:durableId="1169368920">
    <w:abstractNumId w:val="10"/>
  </w:num>
  <w:num w:numId="3" w16cid:durableId="150407600">
    <w:abstractNumId w:val="11"/>
  </w:num>
  <w:num w:numId="4" w16cid:durableId="1333994828">
    <w:abstractNumId w:val="14"/>
  </w:num>
  <w:num w:numId="5" w16cid:durableId="268658723">
    <w:abstractNumId w:val="8"/>
  </w:num>
  <w:num w:numId="6" w16cid:durableId="1190607981">
    <w:abstractNumId w:val="3"/>
  </w:num>
  <w:num w:numId="7" w16cid:durableId="1703364525">
    <w:abstractNumId w:val="2"/>
  </w:num>
  <w:num w:numId="8" w16cid:durableId="2141262367">
    <w:abstractNumId w:val="1"/>
  </w:num>
  <w:num w:numId="9" w16cid:durableId="1677727708">
    <w:abstractNumId w:val="0"/>
  </w:num>
  <w:num w:numId="10" w16cid:durableId="425805120">
    <w:abstractNumId w:val="9"/>
  </w:num>
  <w:num w:numId="11" w16cid:durableId="1814254890">
    <w:abstractNumId w:val="7"/>
  </w:num>
  <w:num w:numId="12" w16cid:durableId="1972052136">
    <w:abstractNumId w:val="6"/>
  </w:num>
  <w:num w:numId="13" w16cid:durableId="285891659">
    <w:abstractNumId w:val="5"/>
  </w:num>
  <w:num w:numId="14" w16cid:durableId="43910559">
    <w:abstractNumId w:val="4"/>
  </w:num>
  <w:num w:numId="15" w16cid:durableId="1515148578">
    <w:abstractNumId w:val="12"/>
  </w:num>
  <w:num w:numId="16" w16cid:durableId="1342705498">
    <w:abstractNumId w:val="13"/>
  </w:num>
  <w:num w:numId="17" w16cid:durableId="7897410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334FFA"/>
    <w:rsid w:val="0004381F"/>
    <w:rsid w:val="00064BC3"/>
    <w:rsid w:val="00066775"/>
    <w:rsid w:val="00072FB9"/>
    <w:rsid w:val="00100531"/>
    <w:rsid w:val="001C3C87"/>
    <w:rsid w:val="00201DFB"/>
    <w:rsid w:val="00204A63"/>
    <w:rsid w:val="00212FF1"/>
    <w:rsid w:val="00230193"/>
    <w:rsid w:val="0025068A"/>
    <w:rsid w:val="002818D3"/>
    <w:rsid w:val="002C28E3"/>
    <w:rsid w:val="002D11A8"/>
    <w:rsid w:val="00334FFA"/>
    <w:rsid w:val="003E3A9E"/>
    <w:rsid w:val="00445271"/>
    <w:rsid w:val="004A0504"/>
    <w:rsid w:val="004A6BB1"/>
    <w:rsid w:val="004E38D9"/>
    <w:rsid w:val="005A2010"/>
    <w:rsid w:val="005B145B"/>
    <w:rsid w:val="005C7589"/>
    <w:rsid w:val="006C16EF"/>
    <w:rsid w:val="006D3D64"/>
    <w:rsid w:val="00740D6D"/>
    <w:rsid w:val="00794149"/>
    <w:rsid w:val="007B67A7"/>
    <w:rsid w:val="007C6092"/>
    <w:rsid w:val="00884BFC"/>
    <w:rsid w:val="009867D8"/>
    <w:rsid w:val="00A053C6"/>
    <w:rsid w:val="00A45B96"/>
    <w:rsid w:val="00B13BF0"/>
    <w:rsid w:val="00BA76DA"/>
    <w:rsid w:val="00C1285C"/>
    <w:rsid w:val="00C27B7D"/>
    <w:rsid w:val="00CF7A43"/>
    <w:rsid w:val="00D1174F"/>
    <w:rsid w:val="00DC6C70"/>
    <w:rsid w:val="00DE0958"/>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136F0B-560E-40B3-88AA-29134281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867D8"/>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67D8"/>
    <w:pPr>
      <w:numPr>
        <w:ilvl w:val="1"/>
      </w:numPr>
      <w:spacing w:before="500" w:line="250" w:lineRule="exact"/>
      <w:outlineLvl w:val="1"/>
    </w:pPr>
    <w:rPr>
      <w:sz w:val="27"/>
    </w:rPr>
  </w:style>
  <w:style w:type="paragraph" w:styleId="Rubrik3">
    <w:name w:val="heading 3"/>
    <w:aliases w:val="Mellanrubrik"/>
    <w:basedOn w:val="Rubrik2"/>
    <w:next w:val="Normal"/>
    <w:qFormat/>
    <w:rsid w:val="009867D8"/>
    <w:pPr>
      <w:numPr>
        <w:ilvl w:val="2"/>
      </w:numPr>
      <w:spacing w:before="250" w:after="0"/>
      <w:outlineLvl w:val="2"/>
    </w:pPr>
    <w:rPr>
      <w:b/>
      <w:sz w:val="21"/>
    </w:rPr>
  </w:style>
  <w:style w:type="paragraph" w:styleId="Rubrik4">
    <w:name w:val="heading 4"/>
    <w:aliases w:val="KursivRubrik"/>
    <w:basedOn w:val="Rubrik3"/>
    <w:next w:val="Normal"/>
    <w:qFormat/>
    <w:rsid w:val="009867D8"/>
    <w:pPr>
      <w:numPr>
        <w:ilvl w:val="3"/>
      </w:numPr>
      <w:outlineLvl w:val="3"/>
    </w:pPr>
    <w:rPr>
      <w:b w:val="0"/>
      <w:i/>
    </w:rPr>
  </w:style>
  <w:style w:type="paragraph" w:styleId="Rubrik5">
    <w:name w:val="heading 5"/>
    <w:aliases w:val="PackadFetRubrik,PackadKursivRubrik"/>
    <w:basedOn w:val="Rubrik4"/>
    <w:next w:val="Normal"/>
    <w:qFormat/>
    <w:rsid w:val="009867D8"/>
    <w:pPr>
      <w:numPr>
        <w:ilvl w:val="4"/>
      </w:numPr>
      <w:tabs>
        <w:tab w:val="clear" w:pos="1021"/>
      </w:tabs>
      <w:spacing w:before="125"/>
      <w:outlineLvl w:val="4"/>
    </w:pPr>
    <w:rPr>
      <w:i w:val="0"/>
      <w:sz w:val="19"/>
    </w:rPr>
  </w:style>
  <w:style w:type="paragraph" w:styleId="Rubrik6">
    <w:name w:val="heading 6"/>
    <w:basedOn w:val="Rubrik5"/>
    <w:next w:val="Normal"/>
    <w:qFormat/>
    <w:rsid w:val="009867D8"/>
    <w:pPr>
      <w:numPr>
        <w:ilvl w:val="5"/>
      </w:numPr>
      <w:spacing w:before="50" w:line="200" w:lineRule="exact"/>
      <w:outlineLvl w:val="5"/>
    </w:pPr>
    <w:rPr>
      <w:caps/>
      <w:sz w:val="14"/>
    </w:rPr>
  </w:style>
  <w:style w:type="paragraph" w:styleId="Rubrik7">
    <w:name w:val="heading 7"/>
    <w:basedOn w:val="Rubrik6"/>
    <w:next w:val="Normal"/>
    <w:qFormat/>
    <w:rsid w:val="009867D8"/>
    <w:pPr>
      <w:numPr>
        <w:ilvl w:val="6"/>
      </w:numPr>
      <w:spacing w:before="0"/>
      <w:outlineLvl w:val="6"/>
    </w:pPr>
  </w:style>
  <w:style w:type="paragraph" w:styleId="Rubrik8">
    <w:name w:val="heading 8"/>
    <w:basedOn w:val="Rubrik7"/>
    <w:next w:val="Normal"/>
    <w:qFormat/>
    <w:rsid w:val="009867D8"/>
    <w:pPr>
      <w:numPr>
        <w:ilvl w:val="7"/>
      </w:numPr>
      <w:outlineLvl w:val="7"/>
    </w:pPr>
  </w:style>
  <w:style w:type="paragraph" w:styleId="Rubrik9">
    <w:name w:val="heading 9"/>
    <w:basedOn w:val="Rubrik8"/>
    <w:next w:val="Normal"/>
    <w:qFormat/>
    <w:rsid w:val="009867D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867D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867D8"/>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1893</Words>
  <Characters>10645</Characters>
  <Application>Microsoft Office Word</Application>
  <DocSecurity>4</DocSecurity>
  <Lines>204</Lines>
  <Paragraphs>52</Paragraphs>
  <ScaleCrop>false</ScaleCrop>
  <HeadingPairs>
    <vt:vector size="2" baseType="variant">
      <vt:variant>
        <vt:lpstr>Rubrik</vt:lpstr>
      </vt:variant>
      <vt:variant>
        <vt:i4>1</vt:i4>
      </vt:variant>
    </vt:vector>
  </HeadingPairs>
  <TitlesOfParts>
    <vt:vector size="1" baseType="lpstr">
      <vt:lpstr>Sf279</vt:lpstr>
    </vt:vector>
  </TitlesOfParts>
  <Company>Riksdagen</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Sf279</dc:title>
  <dc:subject>Sf279</dc:subject>
  <dc:creator>Riksdagen</dc:creator>
  <cp:keywords>Riksdagen</cp:keywords>
  <dc:description/>
  <cp:lastModifiedBy>Lars Brink</cp:lastModifiedBy>
  <cp:revision>2</cp:revision>
  <cp:lastPrinted>2006-01-11T12:23:00Z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Arbetskraftens rörlighet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Arbetskraftens rörlighet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Tobias Billström m.fl. (m)</vt:lpwstr>
  </property>
  <property fmtid="{D5CDD505-2E9C-101B-9397-08002B2CF9AE}" pid="26" name="MotionarLista">
    <vt:lpwstr>Billström, Tobias (m)\Roslund, Carl-Axel (m)\Husmark Pehrsson, Cristina (m)\Danielsson, Peter (m)\Lindblad, Lars (m)\Thalén Finné, Ewa (m)\Pålsson, Anne-Marie (m)\Ekendahl, Maud (m)\Pålsson,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Carl-Axel Roslund (m), Cristina Husmark Pehrsson (m), Peter Danielsson (m), Lars Lindblad (m), Ewa Thalén Finné (m), Anne-Marie Pålsson (m), Maud Ekendahl (m), 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Sf279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louise edlund</vt:lpwstr>
  </property>
  <property fmtid="{D5CDD505-2E9C-101B-9397-08002B2CF9AE}" pid="46" name="MotionID">
    <vt:lpwstr>20052006000000000109000015490069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20052006000000000109000015490069</vt:lpwstr>
  </property>
  <property fmtid="{D5CDD505-2E9C-101B-9397-08002B2CF9AE}" pid="50" name="nummer">
    <vt:lpwstr>279</vt:lpwstr>
  </property>
  <property fmtid="{D5CDD505-2E9C-101B-9397-08002B2CF9AE}" pid="51" name="utskottsbeteckning">
    <vt:lpwstr>Sf</vt:lpwstr>
  </property>
</Properties>
</file>