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23 februari 2022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Nytt punktskattedirektiv och vissa andra ändringar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Återinförande av tillfälliga åtgärder för att underlätta genomförandet av bolags- och föreningsstämmor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Handläggande myndighet för ärenden om stöd vid korttidsarbete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Elisabeth Björnsdotter Rahm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Tegnér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Regional utveckling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Eric Palmqvist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Helander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Arman Teimouri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Monica Haider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Näringspolitik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Olsson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Alexander Christiansson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Arman Teimouri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Frimert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Åsa Eriksson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Vissa frågor om sekretess när Justitiekanslern bevakar statens rätt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Karlsson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Allmänna helgdagar m.m.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Jilmstad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Valfrågor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Lindahl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Modig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Axel Hallberg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Offentlig förvaltning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Strandman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4.45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2021 års redogörelse för tillämpningen av lagen om särskild utlänningskontroll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5.17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Redovisning av användningen av hemliga tvångsmedel under 2020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5.17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Preventiva tvångsmedel för att förhindra allvarlig brottslighet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Forssell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5.47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Socialavgifter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Gabrielsson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Elsemarie Bjellqvist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6.17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Pensioner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Katarina Brännström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Gabrielsson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Teresa Carvalho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7.19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Medborgarskap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Arin Karapet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Andersson i Skellefteå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Hannah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Rikard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Jonny Cato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8.11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8 tim. 11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23 februari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2022-02-23</SAFIR_Sammantradesdatum_Doc>
    <SAFIR_SammantradeID xmlns="C07A1A6C-0B19-41D9-BDF8-F523BA3921EB">98e9b658-5fc0-4ff5-b8cf-26d2c1f7f4fb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4ECF0F3C-9033-4D9A-BC38-222F5196EDC2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23 februari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