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6834EC" w14:paraId="2A21D086" w14:textId="77777777">
      <w:pPr>
        <w:pStyle w:val="RubrikFrslagTIllRiksdagsbeslut"/>
      </w:pPr>
      <w:sdt>
        <w:sdtPr>
          <w:alias w:val="CC_Boilerplate_4"/>
          <w:tag w:val="CC_Boilerplate_4"/>
          <w:id w:val="-1644581176"/>
          <w:lock w:val="sdtContentLocked"/>
          <w:placeholder>
            <w:docPart w:val="7CBC828A1E6047F9B8D31EF829432536"/>
          </w:placeholder>
          <w:text/>
        </w:sdtPr>
        <w:sdtContent>
          <w:r w:rsidRPr="009B062B">
            <w:t>Förslag till riksdagsbeslut</w:t>
          </w:r>
        </w:sdtContent>
      </w:sdt>
      <w:bookmarkEnd w:id="0"/>
      <w:bookmarkEnd w:id="1"/>
    </w:p>
    <w:sdt>
      <w:sdtPr>
        <w:alias w:val="Yrkande 1"/>
        <w:tag w:val="d6f58291-1a19-4cf6-a180-7befc49e9e81"/>
        <w:id w:val="-1611580330"/>
        <w:lock w:val="sdtLocked"/>
        <w:richText/>
      </w:sdtPr>
      <w:sdtContent>
        <w:p>
          <w:pPr>
            <w:pStyle w:val="Frslagstext"/>
            <w:numPr>
              <w:ilvl w:val="0"/>
              <w:numId w:val="0"/>
            </w:numPr>
          </w:pPr>
          <w:r>
            <w:t>Riksdagen ställer sig bakom det som anförs i motionen om ett samlat och konkret genomförande av Riksrevisionens rekommendationer för att förebygga och behandla problem med spel om pengar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7C8DE09F3DE402E83374703A067F62F"/>
        </w:placeholder>
        <w:text/>
      </w:sdtPr>
      <w:sdtContent>
        <w:p w:rsidR="006D79C9" w:rsidRPr="009B062B" w:rsidP="00333E95" w14:paraId="1020B8B0" w14:textId="77777777">
          <w:pPr>
            <w:pStyle w:val="Heading1"/>
          </w:pPr>
          <w:r>
            <w:t>Motivering</w:t>
          </w:r>
        </w:p>
      </w:sdtContent>
    </w:sdt>
    <w:bookmarkEnd w:id="3" w:displacedByCustomXml="prev"/>
    <w:bookmarkEnd w:id="4" w:displacedByCustomXml="prev"/>
    <w:p w:rsidR="00216036" w:rsidP="0054396B" w14:paraId="14FB199B" w14:textId="27AFC728">
      <w:pPr>
        <w:pStyle w:val="Normalutanindragellerluft"/>
      </w:pPr>
      <w:r>
        <w:t xml:space="preserve">Riksrevisionen konstaterar att statens arbete för att minska problem med spel om pengar </w:t>
      </w:r>
      <w:r w:rsidRPr="0054396B">
        <w:rPr>
          <w:spacing w:val="-1"/>
        </w:rPr>
        <w:t>inte är effektivt. Kunskapsstöden håller i flera delar hög kvalitet, men ger inte kommuner</w:t>
      </w:r>
      <w:r>
        <w:t xml:space="preserve"> och regioner den praktiska vägledning som behövs för att upptäcka, förebygga och behandla spelproblem. Bristerna är särskilt allvarliga för barn och unga, en grupp där spelandet och spelproblemen har ökat. </w:t>
      </w:r>
    </w:p>
    <w:p w:rsidR="00216036" w:rsidP="0054396B" w14:paraId="001207BC" w14:textId="77777777">
      <w:r>
        <w:t xml:space="preserve">Regeringen instämmer i stor utsträckning i Riksrevisionens iakttagelser, men bedömer ändå att ytterligare åtgärder inte behövs utifrån Riksrevisionens rapport. Centerpartiet delar inte den slutsatsen. När en statlig granskning visar att stödet till kommuner och regioner inte fungerar tillräckligt väl måste regeringen säkerställa att rekommendationerna omsätts i konkret förbättringsarbete. </w:t>
      </w:r>
    </w:p>
    <w:p w:rsidR="00422B9E" w:rsidP="0054396B" w14:paraId="5259EF4F" w14:textId="7DC14557">
      <w:r>
        <w:t xml:space="preserve">Regeringen bör därför återkomma med ett samlat genomförande av Riksrevisionens rekommendationer. Det bör </w:t>
      </w:r>
      <w:r>
        <w:t>bl</w:t>
      </w:r>
      <w:r w:rsidR="00F70EE3">
        <w:t>.a.</w:t>
      </w:r>
      <w:r w:rsidR="00F70EE3">
        <w:t xml:space="preserve"> </w:t>
      </w:r>
      <w:r>
        <w:t xml:space="preserve">innebära att Folkhälsomyndigheten får säkerställa verksamhetsnära och samordnade kunskapsstöd, byggda också på beprövade </w:t>
      </w:r>
      <w:r w:rsidRPr="0054396B">
        <w:rPr>
          <w:spacing w:val="-1"/>
        </w:rPr>
        <w:t>erfaren</w:t>
      </w:r>
      <w:r w:rsidRPr="0054396B" w:rsidR="0054396B">
        <w:rPr>
          <w:spacing w:val="-1"/>
        </w:rPr>
        <w:softHyphen/>
      </w:r>
      <w:r w:rsidRPr="0054396B">
        <w:rPr>
          <w:spacing w:val="-1"/>
        </w:rPr>
        <w:t>heter där forskningsunderlaget är otillräckligt. Socialstyrelsen bör utveckla rekommenda</w:t>
      </w:r>
      <w:r w:rsidRPr="0054396B" w:rsidR="0054396B">
        <w:rPr>
          <w:spacing w:val="-1"/>
        </w:rPr>
        <w:softHyphen/>
      </w:r>
      <w:r w:rsidRPr="0054396B">
        <w:rPr>
          <w:spacing w:val="-1"/>
        </w:rPr>
        <w:t>tioner</w:t>
      </w:r>
      <w:r>
        <w:t xml:space="preserve"> för hur socialtjänst och hälso- och sjukvård kan identifiera spelproblem bland barn och unga samt erbjuda stöd och behandling. Kunskapsstödet om spelproblem bör också införlivas i de nationella riktlinjerna för missbruk och beroende. Barn och unga måste ges ett starkare skydd. Det behövs bättre uppföljning av barn och ungas spelande, </w:t>
      </w:r>
      <w:r>
        <w:t>relevanta indikatorer i det nationella uppföljningssystemet och stöd till skolan att även omfatta spelproblem i arbetet mot alkohol, narkotika, dopning och tobak.</w:t>
      </w:r>
    </w:p>
    <w:p w:rsidR="00F80781" w:rsidP="0054396B" w14:paraId="6845F46F" w14:textId="7A8E1FC0">
      <w:r w:rsidRPr="00F80781">
        <w:t xml:space="preserve">Det behövs </w:t>
      </w:r>
      <w:r w:rsidR="00125991">
        <w:t xml:space="preserve">vidare </w:t>
      </w:r>
      <w:r w:rsidRPr="00F80781">
        <w:t>fler åtgärder för att stärka konsumentskyddet och konsument</w:t>
      </w:r>
      <w:r w:rsidR="0054396B">
        <w:softHyphen/>
      </w:r>
      <w:r w:rsidRPr="00F80781">
        <w:t>upplysning</w:t>
      </w:r>
      <w:r w:rsidR="00F70EE3">
        <w:t>en</w:t>
      </w:r>
      <w:r w:rsidRPr="00F80781">
        <w:t xml:space="preserve"> inom verksamheter som bedriver spel om pengar. Det finns också ett utbrett problem med organiserad brottslighet inom pengaspel.</w:t>
      </w:r>
    </w:p>
    <w:p w:rsidR="00F80781" w:rsidP="0054396B" w14:paraId="2C304017" w14:textId="4160E05F">
      <w:r>
        <w:t>Allmännyttiga lotterier är en viktig inkomstkälla för civilsamhället. Det är samtidigt viktigt med konsumentupplysning. Eftersom lotterna säljs för allmännyttiga ändamål är det också viktigt att det i högre grad redovisas vart överskottet från lotterierna går. Det är rimligt att mindre lotterier helt undantas, men för större lotterier är det rimligt att redovisa vilka som tar del av vinsterna från lotteriet. På samma sätt som det är konsumentupplysning att redovisa en vinstplan är det minst lika viktigt att redovisa vart överskottet går. Det finns tydliga exempel på lotterier där detta inte alls är tydligt, vilket gör det svårare för konsumenter att göra ett upplyst val.</w:t>
      </w:r>
    </w:p>
    <w:p w:rsidR="00F80781" w:rsidP="0054396B" w14:paraId="2E0F6169" w14:textId="3C8C839D">
      <w:r>
        <w:t>Alla typer av kommersiella spel bör också vara lika inför lagen. När den nya spel</w:t>
      </w:r>
      <w:r w:rsidR="0054396B">
        <w:softHyphen/>
      </w:r>
      <w:r>
        <w:t xml:space="preserve">regleringen infördes var restaurangkasinon en verksamhet på tydlig nedgång, och den ansågs därför inte behöva samma reglering. På senare år har dock utvecklingen vänt och vissa restaurangkasinon har en mycket omfattande verksamhet utan att behöva omfattas av samma regelverk som andra </w:t>
      </w:r>
      <w:r w:rsidR="00F70EE3">
        <w:t>k</w:t>
      </w:r>
      <w:r>
        <w:t>asinon eller annan spelverksamhet. Det innebär ett betydligt sämre konsumentskydd än för andra spelverksamheter. Exempelvis kan du inte stänga av dig vid problemspelande, och registrering av spelare saknas. Det är inte rimligt att en så tydlig del av spelmarknaden ska sakna sådan reglering. Undantagen i kravställningen för licensinnehavare av restaurangkasinon bör därför upphöra.</w:t>
      </w:r>
    </w:p>
    <w:p w:rsidR="00216036" w:rsidP="0054396B" w14:paraId="730455F2" w14:textId="3BAE42ED">
      <w:r w:rsidRPr="00542FA0">
        <w:t>I prop</w:t>
      </w:r>
      <w:r w:rsidR="00F70EE3">
        <w:t>osition</w:t>
      </w:r>
      <w:r w:rsidRPr="00542FA0">
        <w:t xml:space="preserve"> 2023/24:53 Åtgärder för att stärka konsumentskyddet och bekämpa kriminell verksamhet i samband med spel om pengar</w:t>
      </w:r>
      <w:r>
        <w:t xml:space="preserve"> </w:t>
      </w:r>
      <w:r w:rsidRPr="00542FA0">
        <w:t>f</w:t>
      </w:r>
      <w:r>
        <w:t>a</w:t>
      </w:r>
      <w:r w:rsidRPr="00542FA0">
        <w:t xml:space="preserve">nns åtgärder </w:t>
      </w:r>
      <w:r>
        <w:t>för att</w:t>
      </w:r>
      <w:r w:rsidRPr="00542FA0">
        <w:t xml:space="preserve"> stärka konsumentskyddet och bekämpa kriminell verksamhet vid spel om pengar</w:t>
      </w:r>
      <w:r w:rsidR="00F70EE3">
        <w:t>,</w:t>
      </w:r>
      <w:r>
        <w:t xml:space="preserve"> vilket var </w:t>
      </w:r>
      <w:r w:rsidRPr="0054396B">
        <w:rPr>
          <w:spacing w:val="-1"/>
        </w:rPr>
        <w:t>positivt. För att säkerställa att det finns en adekvat lagstiftning som skyddar konsumenter</w:t>
      </w:r>
      <w:r w:rsidRPr="00542FA0">
        <w:t xml:space="preserve"> och bekämpar organiserad brottslighet inom pengaspel krävs uppföljning av hur de</w:t>
      </w:r>
      <w:r>
        <w:t xml:space="preserve">ssa tillkomna </w:t>
      </w:r>
      <w:r w:rsidRPr="00542FA0">
        <w:t>delar</w:t>
      </w:r>
      <w:r>
        <w:t xml:space="preserve"> </w:t>
      </w:r>
      <w:r w:rsidRPr="00542FA0">
        <w:t>i lagstiftningen fungerar för att också se vilka ytterligare åtgärder som behöver vidtas.</w:t>
      </w:r>
    </w:p>
    <w:sdt>
      <w:sdtPr>
        <w:rPr>
          <w:i/>
          <w:noProof/>
        </w:rPr>
        <w:alias w:val="CC_Underskrifter"/>
        <w:tag w:val="CC_Underskrifter"/>
        <w:id w:val="583496634"/>
        <w:lock w:val="sdtContentLocked"/>
        <w:placeholder>
          <w:docPart w:val="FD445679A247445398F7001CDA5F0B39"/>
        </w:placeholder>
        <w:richText/>
      </w:sdtPr>
      <w:sdtContent>
        <w:p w:rsidR="006834EC" w:rsidP="006834EC" w14:paraId="49C266D5" w14:textId="77777777"/>
        <w:p w:rsidR="006834EC" w:rsidP="006834EC" w14:paraId="22EA8A13" w14:textId="1D242D88"/>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Christofer Bergenblock (C)</w:t>
            </w:r>
          </w:p>
        </w:tc>
        <w:tc>
          <w:tcPr>
            <w:tcW w:w="50" w:type="pct"/>
            <w:vAlign w:val="bottom"/>
          </w:tcPr>
          <w:p>
            <w:pPr>
              <w:pStyle w:val="Underskrifter"/>
              <w:spacing w:after="0"/>
            </w:pPr>
            <w:r>
              <w:t>Rickard Nordin (C)</w:t>
            </w:r>
          </w:p>
        </w:tc>
      </w:tr>
    </w:tbl>
    <w:p w:rsidR="004801AC" w:rsidRPr="008E0FE2" w:rsidP="00DF3554" w14:paraId="5DB7EF36"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B1FC83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752B83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6834EC" w:rsidP="006834EC" w14:paraId="6AB1A40D" w14:textId="7E17267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3B184D6"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07C5677">
                          <w:pPr>
                            <w:jc w:val="right"/>
                          </w:pPr>
                          <w:sdt>
                            <w:sdtPr>
                              <w:alias w:val="CC_Noformat_Partikod"/>
                              <w:tag w:val="CC_Noformat_Partikod"/>
                              <w:id w:val="-53464382"/>
                              <w:placeholder>
                                <w:docPart w:val="48D251A5F47648D4BBF373632B8B1BC6"/>
                              </w:placeholder>
                              <w:text/>
                            </w:sdtPr>
                            <w:sdtContent>
                              <w:r w:rsidR="00216036">
                                <w:t>C</w:t>
                              </w:r>
                            </w:sdtContent>
                          </w:sdt>
                          <w:sdt>
                            <w:sdtPr>
                              <w:alias w:val="CC_Noformat_Partinummer"/>
                              <w:tag w:val="CC_Noformat_Partinummer"/>
                              <w:id w:val="-1709555926"/>
                              <w:placeholder>
                                <w:docPart w:val="C181553C30494E46BC6F82E5393D5CB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862E076" w14:textId="107C5677">
                    <w:pPr>
                      <w:jc w:val="right"/>
                    </w:pPr>
                    <w:sdt>
                      <w:sdtPr>
                        <w:alias w:val="CC_Noformat_Partikod"/>
                        <w:tag w:val="CC_Noformat_Partikod"/>
                        <w:id w:val="1309269928"/>
                        <w:placeholder>
                          <w:docPart w:val="48D251A5F47648D4BBF373632B8B1BC6"/>
                        </w:placeholder>
                        <w:text/>
                      </w:sdtPr>
                      <w:sdtContent>
                        <w:r w:rsidR="00216036">
                          <w:t>C</w:t>
                        </w:r>
                      </w:sdtContent>
                    </w:sdt>
                    <w:sdt>
                      <w:sdtPr>
                        <w:alias w:val="CC_Noformat_Partinummer"/>
                        <w:tag w:val="CC_Noformat_Partinummer"/>
                        <w:id w:val="301797832"/>
                        <w:placeholder>
                          <w:docPart w:val="C181553C30494E46BC6F82E5393D5CBB"/>
                        </w:placeholder>
                        <w:showingPlcHdr/>
                        <w:text/>
                      </w:sdtPr>
                      <w:sdtContent>
                        <w:r>
                          <w:t xml:space="preserve"> </w:t>
                        </w:r>
                      </w:sdtContent>
                    </w:sdt>
                  </w:p>
                </w:txbxContent>
              </v:textbox>
            </v:shape>
          </w:pict>
        </mc:Fallback>
      </mc:AlternateContent>
    </w:r>
  </w:p>
  <w:p w:rsidR="00262EA3" w:rsidRPr="00293C4F" w:rsidP="00776B74" w14:paraId="4C41B41F"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9413147" w14:textId="77777777">
    <w:pPr>
      <w:jc w:val="right"/>
    </w:pPr>
  </w:p>
  <w:p w:rsidR="00262EA3" w:rsidP="00776B74" w14:paraId="150C4BE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134B4B1"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E04C664" w14:textId="12AE491F">
    <w:pPr>
      <w:pStyle w:val="FSHNormal"/>
      <w:spacing w:before="40"/>
    </w:pPr>
    <w:sdt>
      <w:sdtPr>
        <w:alias w:val="CC_Noformat_Motionstyp"/>
        <w:tag w:val="CC_Noformat_Motionstyp"/>
        <w:id w:val="1162973129"/>
        <w:lock w:val="sdtContentLocked"/>
        <w:text/>
        <w15:appearance w15:val="hidden"/>
      </w:sdtPr>
      <w:sdtContent>
        <w:r w:rsidR="00DF37A4">
          <w:t>Kommittémotion</w:t>
        </w:r>
      </w:sdtContent>
    </w:sdt>
    <w:r w:rsidR="00821B36">
      <w:t xml:space="preserve"> </w:t>
    </w:r>
    <w:sdt>
      <w:sdtPr>
        <w:alias w:val="CC_Noformat_Partikod"/>
        <w:tag w:val="CC_Noformat_Partikod"/>
        <w:id w:val="1471015553"/>
        <w:lock w:val="contentLocked"/>
        <w:text/>
      </w:sdtPr>
      <w:sdtContent>
        <w:r w:rsidR="00216036">
          <w:t>C</w:t>
        </w:r>
      </w:sdtContent>
    </w:sdt>
    <w:sdt>
      <w:sdtPr>
        <w:alias w:val="CC_Noformat_Partinummer"/>
        <w:tag w:val="CC_Noformat_Partinummer"/>
        <w:id w:val="-2014525982"/>
        <w:lock w:val="contentLocked"/>
        <w:showingPlcHdr/>
        <w:text/>
      </w:sdtPr>
      <w:sdtContent>
        <w:r w:rsidR="00821B36">
          <w:t xml:space="preserve"> </w:t>
        </w:r>
      </w:sdtContent>
    </w:sdt>
  </w:p>
  <w:p w:rsidR="00262EA3" w:rsidRPr="008227B3" w:rsidP="008227B3" w14:paraId="383BA6D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37D89DC" w14:textId="5BC142DD">
    <w:pPr>
      <w:pStyle w:val="MotionTIllRiksdagen"/>
    </w:pPr>
    <w:sdt>
      <w:sdtPr>
        <w:rPr>
          <w:rStyle w:val="BeteckningChar"/>
        </w:rPr>
        <w:alias w:val="CC_Noformat_Riksmote"/>
        <w:tag w:val="CC_Noformat_Riksmote"/>
        <w:id w:val="1201050710"/>
        <w:lock w:val="sdtContentLocked"/>
        <w:placeholder>
          <w:docPart w:val="83670F26405C4C4D831220D323729B3F"/>
        </w:placeholder>
        <w:text/>
        <w15:appearance w15:val="hidden"/>
      </w:sdtPr>
      <w:sdtEndPr>
        <w:rPr>
          <w:rStyle w:val="Rubrik1Char"/>
          <w:rFonts w:asciiTheme="majorHAnsi" w:hAnsiTheme="majorHAnsi"/>
          <w:sz w:val="38"/>
        </w:rPr>
      </w:sdtEndPr>
      <w:sdtContent>
        <w:r w:rsidR="00DF37A4">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DF37A4">
          <w:t>:13</w:t>
        </w:r>
      </w:sdtContent>
    </w:sdt>
  </w:p>
  <w:p w:rsidR="00262EA3" w:rsidP="00E03A3D" w14:paraId="621E9662" w14:textId="2D69C263">
    <w:pPr>
      <w:pStyle w:val="Motionr"/>
    </w:pPr>
    <w:sdt>
      <w:sdtPr>
        <w:alias w:val="CC_Noformat_Avtext"/>
        <w:tag w:val="CC_Noformat_Avtext"/>
        <w:id w:val="-2020768203"/>
        <w:lock w:val="sdtContentLocked"/>
        <w:placeholder>
          <w:docPart w:val="48D251A5F47648D4BBF373632B8B1BC6"/>
        </w:placeholder>
        <w:text/>
        <w15:appearance w15:val="hidden"/>
      </w:sdtPr>
      <w:sdtContent>
        <w:r w:rsidR="00DF37A4">
          <w:t>av Christofer Bergenblock och Rickard Nordin (båda C)</w:t>
        </w:r>
      </w:sdtContent>
    </w:sdt>
  </w:p>
  <w:sdt>
    <w:sdtPr>
      <w:alias w:val="CC_Noformat_Rubtext"/>
      <w:tag w:val="CC_Noformat_Rubtext"/>
      <w:id w:val="-218060500"/>
      <w:lock w:val="sdtLocked"/>
      <w:placeholder>
        <w:docPart w:val="C181553C30494E46BC6F82E5393D5CBB"/>
      </w:placeholder>
      <w:text/>
    </w:sdtPr>
    <w:sdtContent>
      <w:p w:rsidR="00262EA3" w:rsidP="00283E0F" w14:paraId="4A7C2928" w14:textId="2A750E25">
        <w:pPr>
          <w:pStyle w:val="FSHRub2"/>
        </w:pPr>
        <w:r>
          <w:t>med anledning av skr. 2025/26:269 Riksrevisionens rapport statens arbete mot problem med spel om pengar</w:t>
        </w:r>
      </w:p>
    </w:sdtContent>
  </w:sdt>
  <w:sdt>
    <w:sdtPr>
      <w:alias w:val="CC_Boilerplate_3"/>
      <w:tag w:val="CC_Boilerplate_3"/>
      <w:id w:val="1606463544"/>
      <w:lock w:val="sdtContentLocked"/>
      <w:text w:multiLine="1"/>
      <w15:appearance w15:val="hidden"/>
    </w:sdtPr>
    <w:sdtContent>
      <w:p w:rsidR="00262EA3" w:rsidP="00283E0F" w14:paraId="1843D187"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036"/>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015"/>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5991"/>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B3E"/>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3BBB"/>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036"/>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12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2FA0"/>
    <w:rsid w:val="00543302"/>
    <w:rsid w:val="005434AF"/>
    <w:rsid w:val="0054396B"/>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3E4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04A"/>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4EC"/>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38C"/>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471AB"/>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0C3E"/>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486"/>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7E8"/>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0B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C48"/>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441"/>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29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4AF5"/>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1E22"/>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37A4"/>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C00"/>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1E4"/>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0EE3"/>
    <w:rsid w:val="00F711F8"/>
    <w:rsid w:val="00F71B58"/>
    <w:rsid w:val="00F722EE"/>
    <w:rsid w:val="00F7427F"/>
    <w:rsid w:val="00F75848"/>
    <w:rsid w:val="00F75A6B"/>
    <w:rsid w:val="00F76FBF"/>
    <w:rsid w:val="00F7702C"/>
    <w:rsid w:val="00F77A2D"/>
    <w:rsid w:val="00F77C89"/>
    <w:rsid w:val="00F80781"/>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3EF0087"/>
  <w15:chartTrackingRefBased/>
  <w15:docId w15:val="{B9C24A03-AE82-4B82-A6F4-1972C34A1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F80781"/>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CBC828A1E6047F9B8D31EF829432536"/>
        <w:category>
          <w:name w:val="Allmänt"/>
          <w:gallery w:val="placeholder"/>
        </w:category>
        <w:types>
          <w:type w:val="bbPlcHdr"/>
        </w:types>
        <w:behaviors>
          <w:behavior w:val="content"/>
        </w:behaviors>
        <w:guid w:val="{9083D0E6-F4FE-4550-B582-ADCADC637626}"/>
      </w:docPartPr>
      <w:docPartBody>
        <w:p w:rsidR="00C24C48">
          <w:pPr>
            <w:pStyle w:val="7CBC828A1E6047F9B8D31EF829432536"/>
          </w:pPr>
          <w:r w:rsidRPr="005A0A93">
            <w:rPr>
              <w:rStyle w:val="PlaceholderText"/>
            </w:rPr>
            <w:t>Förslag till riksdagsbeslut</w:t>
          </w:r>
        </w:p>
      </w:docPartBody>
    </w:docPart>
    <w:docPart>
      <w:docPartPr>
        <w:name w:val="87C8DE09F3DE402E83374703A067F62F"/>
        <w:category>
          <w:name w:val="Allmänt"/>
          <w:gallery w:val="placeholder"/>
        </w:category>
        <w:types>
          <w:type w:val="bbPlcHdr"/>
        </w:types>
        <w:behaviors>
          <w:behavior w:val="content"/>
        </w:behaviors>
        <w:guid w:val="{8C58FBD2-F384-4AC4-9FB2-9019C3AB5417}"/>
      </w:docPartPr>
      <w:docPartBody>
        <w:p w:rsidR="00C24C48">
          <w:pPr>
            <w:pStyle w:val="87C8DE09F3DE402E83374703A067F62F"/>
          </w:pPr>
          <w:r w:rsidRPr="005A0A93">
            <w:rPr>
              <w:rStyle w:val="PlaceholderText"/>
            </w:rPr>
            <w:t>Motivering</w:t>
          </w:r>
        </w:p>
      </w:docPartBody>
    </w:docPart>
    <w:docPart>
      <w:docPartPr>
        <w:name w:val="48D251A5F47648D4BBF373632B8B1BC6"/>
        <w:category>
          <w:name w:val="Allmänt"/>
          <w:gallery w:val="placeholder"/>
        </w:category>
        <w:types>
          <w:type w:val="bbPlcHdr"/>
        </w:types>
        <w:behaviors>
          <w:behavior w:val="content"/>
        </w:behaviors>
        <w:guid w:val="{D2C75A43-EE1C-4DC8-B8AA-C2F2A61CA007}"/>
      </w:docPartPr>
      <w:docPartBody>
        <w:p w:rsidR="00C24C48">
          <w:pPr>
            <w:pStyle w:val="48D251A5F47648D4BBF373632B8B1BC6"/>
          </w:pPr>
          <w:r>
            <w:rPr>
              <w:rStyle w:val="PlaceholderText"/>
            </w:rPr>
            <w:t xml:space="preserve"> </w:t>
          </w:r>
        </w:p>
      </w:docPartBody>
    </w:docPart>
    <w:docPart>
      <w:docPartPr>
        <w:name w:val="C181553C30494E46BC6F82E5393D5CBB"/>
        <w:category>
          <w:name w:val="Allmänt"/>
          <w:gallery w:val="placeholder"/>
        </w:category>
        <w:types>
          <w:type w:val="bbPlcHdr"/>
        </w:types>
        <w:behaviors>
          <w:behavior w:val="content"/>
        </w:behaviors>
        <w:guid w:val="{1F94FFCD-99B5-4C83-BE3F-AD8559ECACB8}"/>
      </w:docPartPr>
      <w:docPartBody>
        <w:p w:rsidR="00C24C48">
          <w:pPr>
            <w:pStyle w:val="C181553C30494E46BC6F82E5393D5CBB"/>
          </w:pPr>
          <w:r>
            <w:t xml:space="preserve"> </w:t>
          </w:r>
        </w:p>
      </w:docPartBody>
    </w:docPart>
    <w:docPart>
      <w:docPartPr>
        <w:name w:val="83670F26405C4C4D831220D323729B3F"/>
        <w:category>
          <w:name w:val="Allmänt"/>
          <w:gallery w:val="placeholder"/>
        </w:category>
        <w:types>
          <w:type w:val="bbPlcHdr"/>
        </w:types>
        <w:behaviors>
          <w:behavior w:val="content"/>
        </w:behaviors>
        <w:guid w:val="{32642DB7-664F-4FF9-853F-B9E433D0D5C7}"/>
      </w:docPartPr>
      <w:docPartBody>
        <w:p w:rsidR="00C24C48">
          <w:r w:rsidRPr="0062704A">
            <w:rPr>
              <w:rStyle w:val="PlaceholderText"/>
              <w:lang w:val="en-GB"/>
            </w:rPr>
            <w:t>[ange din text här]</w:t>
          </w:r>
        </w:p>
      </w:docPartBody>
    </w:docPart>
    <w:docPart>
      <w:docPartPr>
        <w:name w:val="FD445679A247445398F7001CDA5F0B39"/>
        <w:category>
          <w:name w:val="Allmänt"/>
          <w:gallery w:val="placeholder"/>
        </w:category>
        <w:types>
          <w:type w:val="bbPlcHdr"/>
        </w:types>
        <w:behaviors>
          <w:behavior w:val="content"/>
        </w:behaviors>
        <w:guid w:val="{1F8A8339-CAC7-4E05-AD74-09F695F91045}"/>
      </w:docPartPr>
      <w:docPartBody>
        <w:p w:rsidR="00185B3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02A"/>
    <w:rsid w:val="00022015"/>
    <w:rsid w:val="00185B3E"/>
    <w:rsid w:val="001C3BBB"/>
    <w:rsid w:val="003611E2"/>
    <w:rsid w:val="003A0107"/>
    <w:rsid w:val="00421124"/>
    <w:rsid w:val="00482817"/>
    <w:rsid w:val="006A738C"/>
    <w:rsid w:val="00C24C48"/>
    <w:rsid w:val="00D94AF5"/>
    <w:rsid w:val="00DA78E7"/>
    <w:rsid w:val="00F551E4"/>
    <w:rsid w:val="00F8202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202A"/>
    <w:rPr>
      <w:color w:val="F1A983" w:themeColor="accent2" w:themeTint="99"/>
    </w:rPr>
  </w:style>
  <w:style w:type="paragraph" w:customStyle="1" w:styleId="7CBC828A1E6047F9B8D31EF829432536">
    <w:name w:val="7CBC828A1E6047F9B8D31EF829432536"/>
  </w:style>
  <w:style w:type="paragraph" w:customStyle="1" w:styleId="87C8DE09F3DE402E83374703A067F62F">
    <w:name w:val="87C8DE09F3DE402E83374703A067F62F"/>
  </w:style>
  <w:style w:type="paragraph" w:customStyle="1" w:styleId="48D251A5F47648D4BBF373632B8B1BC6">
    <w:name w:val="48D251A5F47648D4BBF373632B8B1BC6"/>
  </w:style>
  <w:style w:type="paragraph" w:customStyle="1" w:styleId="C181553C30494E46BC6F82E5393D5CBB">
    <w:name w:val="C181553C30494E46BC6F82E5393D5C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075E1AEA-A285-4327-BBD4-9735496B3BA9}"/>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24</TotalTime>
  <Pages>2</Pages>
  <Words>572</Words>
  <Characters>3536</Characters>
  <Application>Microsoft Office Word</Application>
  <DocSecurity>0</DocSecurity>
  <Lines>62</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C med anledning av skr  2025 26 269 Riksrevisionens rapport statens arbete mot  problem med spel om pengar</vt:lpstr>
      <vt:lpstr>
      </vt:lpstr>
    </vt:vector>
  </TitlesOfParts>
  <Company>Sveriges riksdag</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