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076" w:rsidRPr="000F6841" w:rsidRDefault="00A23076">
      <w:pPr>
        <w:pStyle w:val="Hemstlrubrik"/>
      </w:pPr>
      <w:r w:rsidRPr="000F6841">
        <w:t>Förslag till riksdagsbeslut</w:t>
      </w:r>
    </w:p>
    <w:p w:rsidR="00A23076" w:rsidRPr="000F6841" w:rsidRDefault="00A23076">
      <w:pPr>
        <w:pStyle w:val="Hemstlatt"/>
        <w:ind w:left="0"/>
      </w:pPr>
      <w:r w:rsidRPr="000F6841">
        <w:t>Riksdagen tillkännager för regeringen som sin mening vad som anförs i motionen om behovet av att införa en tröskelbestämmelse i 19 a § MBL.</w:t>
      </w:r>
    </w:p>
    <w:p w:rsidR="00A23076" w:rsidRPr="000F6841" w:rsidRDefault="00A23076">
      <w:pPr>
        <w:pStyle w:val="Rubrik1"/>
      </w:pPr>
      <w:r w:rsidRPr="000F6841">
        <w:t>Motivering</w:t>
      </w:r>
    </w:p>
    <w:p w:rsidR="00A23076" w:rsidRPr="000F6841" w:rsidRDefault="00A23076">
      <w:r w:rsidRPr="000F6841">
        <w:t>Svenska arbetsgivare har sedan länge en långtgående informationsskyldighet gentemot arbetstagarorganisationer med vilka de har kollektivavtal. Med an</w:t>
      </w:r>
      <w:r w:rsidRPr="000F6841">
        <w:softHyphen/>
        <w:t>ledning av Europa</w:t>
      </w:r>
      <w:r w:rsidRPr="000F6841">
        <w:softHyphen/>
        <w:t>p</w:t>
      </w:r>
      <w:r w:rsidRPr="000F6841">
        <w:rPr>
          <w:spacing w:val="-2"/>
        </w:rPr>
        <w:t xml:space="preserve">arlamentets och rådets direktiv 2002/14/EG av den 11 </w:t>
      </w:r>
      <w:r w:rsidRPr="000F6841">
        <w:t xml:space="preserve">mars 2002 om inrättande av en allmän ram för information till och samråd med arbetstagare i Europeiska gemenskapen, infördes </w:t>
      </w:r>
      <w:smartTag w:uri="urn:schemas-microsoft-com:office:smarttags" w:element="metricconverter">
        <w:smartTagPr>
          <w:attr w:name="ProductID" w:val="19 a"/>
        </w:smartTagPr>
        <w:r w:rsidRPr="000F6841">
          <w:t>19 a</w:t>
        </w:r>
      </w:smartTag>
      <w:r w:rsidRPr="000F6841">
        <w:t xml:space="preserve"> § i lagen (1976:580) om medbestämmande i arbetslivet – MBL.</w:t>
      </w:r>
    </w:p>
    <w:p w:rsidR="00A23076" w:rsidRPr="000F6841" w:rsidRDefault="00A23076">
      <w:pPr>
        <w:pStyle w:val="Normaltindrag"/>
      </w:pPr>
      <w:r w:rsidRPr="000F6841">
        <w:t xml:space="preserve">Enligt </w:t>
      </w:r>
      <w:smartTag w:uri="urn:schemas-microsoft-com:office:smarttags" w:element="metricconverter">
        <w:smartTagPr>
          <w:attr w:name="ProductID" w:val="19 a"/>
        </w:smartTagPr>
        <w:r w:rsidRPr="000F6841">
          <w:t>19 a</w:t>
        </w:r>
      </w:smartTag>
      <w:r w:rsidRPr="000F6841">
        <w:t xml:space="preserve"> § MBL skall en arbetsgivare som inte är bunden av något ko</w:t>
      </w:r>
      <w:r w:rsidRPr="000F6841">
        <w:t>l</w:t>
      </w:r>
      <w:r w:rsidRPr="000F6841">
        <w:t>lektivavtal fortlöpande hålla de arbetstagarorganisationer som har medlemmar vilka är anställda hos arbetsgivaren underrättade om hur verksamheten u</w:t>
      </w:r>
      <w:r w:rsidRPr="000F6841">
        <w:t>t</w:t>
      </w:r>
      <w:r w:rsidRPr="000F6841">
        <w:t>vecklas produktionsmässigt och ekonomiskt tillika om riktlinjerna för pers</w:t>
      </w:r>
      <w:r w:rsidRPr="000F6841">
        <w:t>o</w:t>
      </w:r>
      <w:r w:rsidRPr="000F6841">
        <w:t>nalpolitiken. Informationsskyldigheten har därmed utökats till att omfatta även arbetsgivare som inte har något kollektivavtal.</w:t>
      </w:r>
    </w:p>
    <w:p w:rsidR="00A23076" w:rsidRPr="000F6841" w:rsidRDefault="00A23076">
      <w:pPr>
        <w:pStyle w:val="Normaltindrag"/>
      </w:pPr>
      <w:r w:rsidRPr="000F6841">
        <w:t xml:space="preserve">I förarbetena till </w:t>
      </w:r>
      <w:smartTag w:uri="urn:schemas-microsoft-com:office:smarttags" w:element="metricconverter">
        <w:smartTagPr>
          <w:attr w:name="ProductID" w:val="19 a"/>
        </w:smartTagPr>
        <w:r w:rsidRPr="000F6841">
          <w:t>19 a</w:t>
        </w:r>
      </w:smartTag>
      <w:r w:rsidRPr="000F6841">
        <w:t xml:space="preserve"> § MBL anges att arbetstagarorganisationerna LO, TCO, Landstingsförbundet, Svenska Kommunförbundet och Svenska Tran</w:t>
      </w:r>
      <w:r w:rsidRPr="000F6841">
        <w:t>s</w:t>
      </w:r>
      <w:r w:rsidRPr="000F6841">
        <w:t xml:space="preserve">portarbetareförbundet ansett att införandet av </w:t>
      </w:r>
      <w:smartTag w:uri="urn:schemas-microsoft-com:office:smarttags" w:element="metricconverter">
        <w:smartTagPr>
          <w:attr w:name="ProductID" w:val="19 a"/>
        </w:smartTagPr>
        <w:r w:rsidRPr="000F6841">
          <w:t>19 a</w:t>
        </w:r>
      </w:smartTag>
      <w:r w:rsidRPr="000F6841">
        <w:t xml:space="preserve"> § MBL inte varit nödvä</w:t>
      </w:r>
      <w:r w:rsidRPr="000F6841">
        <w:t>n</w:t>
      </w:r>
      <w:r w:rsidRPr="000F6841">
        <w:t xml:space="preserve">digt för att uppfylla direktivets krav. LO och TCO har dessutom anfört att </w:t>
      </w:r>
      <w:smartTag w:uri="urn:schemas-microsoft-com:office:smarttags" w:element="metricconverter">
        <w:smartTagPr>
          <w:attr w:name="ProductID" w:val="19 a"/>
        </w:smartTagPr>
        <w:r w:rsidRPr="000F6841">
          <w:t>19 a</w:t>
        </w:r>
      </w:smartTag>
      <w:r w:rsidRPr="000F6841">
        <w:t xml:space="preserve"> § MBL kan få till följd att den svenska arbetsmarknadsmodellen försv</w:t>
      </w:r>
      <w:r w:rsidRPr="000F6841">
        <w:t>a</w:t>
      </w:r>
      <w:r w:rsidRPr="000F6841">
        <w:t>gas.</w:t>
      </w:r>
    </w:p>
    <w:p w:rsidR="00A23076" w:rsidRPr="000F6841" w:rsidRDefault="00A23076">
      <w:pPr>
        <w:pStyle w:val="Normaltindrag"/>
        <w:rPr>
          <w:lang w:eastAsia="en-GB"/>
        </w:rPr>
      </w:pPr>
      <w:r w:rsidRPr="000F6841">
        <w:rPr>
          <w:lang w:eastAsia="en-GB"/>
        </w:rPr>
        <w:t xml:space="preserve">Enligt regeringens bedömning krävdes dock </w:t>
      </w:r>
      <w:smartTag w:uri="urn:schemas-microsoft-com:office:smarttags" w:element="metricconverter">
        <w:smartTagPr>
          <w:attr w:name="ProductID" w:val="19 a"/>
        </w:smartTagPr>
        <w:r w:rsidRPr="000F6841">
          <w:rPr>
            <w:lang w:eastAsia="en-GB"/>
          </w:rPr>
          <w:t>19 a</w:t>
        </w:r>
      </w:smartTag>
      <w:r w:rsidRPr="000F6841">
        <w:rPr>
          <w:lang w:eastAsia="en-GB"/>
        </w:rPr>
        <w:t xml:space="preserve"> § i MBL för att Sverige skall uppfylla sina förpliktelser enligt direktivet. Därigenom fick tusentals svenska småföretag som inte har kollektivavtal, men väl fackligt ansluten </w:t>
      </w:r>
      <w:r w:rsidRPr="000F6841">
        <w:rPr>
          <w:lang w:eastAsia="en-GB"/>
        </w:rPr>
        <w:lastRenderedPageBreak/>
        <w:t>personal, en formell administrativ börda med ökade administrativa kostnader som följd.</w:t>
      </w:r>
    </w:p>
    <w:p w:rsidR="00A23076" w:rsidRPr="000F6841" w:rsidRDefault="00A23076">
      <w:pPr>
        <w:pStyle w:val="Normaltindrag"/>
      </w:pPr>
      <w:r w:rsidRPr="000F6841">
        <w:rPr>
          <w:lang w:eastAsia="en-GB"/>
        </w:rPr>
        <w:t>Småföretagen måste således bedöma vilka händelser i företaget som föra</w:t>
      </w:r>
      <w:r w:rsidRPr="000F6841">
        <w:rPr>
          <w:lang w:eastAsia="en-GB"/>
        </w:rPr>
        <w:t>n</w:t>
      </w:r>
      <w:r w:rsidRPr="000F6841">
        <w:rPr>
          <w:lang w:eastAsia="en-GB"/>
        </w:rPr>
        <w:t>leder informations</w:t>
      </w:r>
      <w:r w:rsidRPr="000F6841">
        <w:rPr>
          <w:lang w:eastAsia="en-GB"/>
        </w:rPr>
        <w:softHyphen/>
        <w:t xml:space="preserve">plikt. Tid måste avsättas för förberedelse och utlämnande av informationen, vilket i framför allt </w:t>
      </w:r>
      <w:r w:rsidRPr="000F6841">
        <w:t xml:space="preserve">mindre företag </w:t>
      </w:r>
      <w:r w:rsidRPr="000F6841">
        <w:rPr>
          <w:lang w:eastAsia="en-GB"/>
        </w:rPr>
        <w:t xml:space="preserve">kan vara en menlig belastning. </w:t>
      </w:r>
      <w:r w:rsidRPr="000F6841">
        <w:t>Dessa aktiviteter genererar i sig kostnader för företagen. Enligt Näringslivets Regelnämnd kan kostnadsökningen uppskattas till mellan 75 och 150 miljoner kronor per år. Detta gå helt på kollisionskurs med regerin</w:t>
      </w:r>
      <w:r w:rsidRPr="000F6841">
        <w:t>g</w:t>
      </w:r>
      <w:r w:rsidRPr="000F6841">
        <w:t>ens uttalade ambition att minska regelbördan för småföretagare.</w:t>
      </w:r>
    </w:p>
    <w:p w:rsidR="00A23076" w:rsidRPr="000F6841" w:rsidRDefault="00A23076">
      <w:pPr>
        <w:pStyle w:val="Normaltindrag"/>
      </w:pPr>
      <w:r w:rsidRPr="000F6841">
        <w:t>Av direktivet framgår emellertid att EG förutsett att de lagar och reg</w:t>
      </w:r>
      <w:r w:rsidRPr="000F6841">
        <w:t>ler som antas i anledning av direktivet kan komma att utöka företagens adminis</w:t>
      </w:r>
      <w:r w:rsidRPr="000F6841">
        <w:t>t</w:t>
      </w:r>
      <w:r w:rsidRPr="000F6841">
        <w:t>rativa, ekonomiska och rättsliga förpliktelser och därmed motverka etablering och utveckling av små och medelstora företag. Direktivet behöver därför endast tillämpas på a) företag som i en medlemsstat sysselsätter minst 50 ar</w:t>
      </w:r>
      <w:r w:rsidRPr="000F6841">
        <w:softHyphen/>
        <w:t>bets</w:t>
      </w:r>
      <w:r w:rsidRPr="000F6841">
        <w:softHyphen/>
        <w:t>tagare, eller b) driftställen som i en medlemsstat sysselsätter minst 20 arbetstagare.</w:t>
      </w:r>
    </w:p>
    <w:p w:rsidR="00A23076" w:rsidRPr="000F6841" w:rsidRDefault="00A23076">
      <w:pPr>
        <w:pStyle w:val="Normaltindrag"/>
      </w:pPr>
      <w:r w:rsidRPr="000F6841">
        <w:t>Detta på grund av att de regler som sätts upp även bör syfta till att undvika sådana administrativa, ekonomiska oc</w:t>
      </w:r>
      <w:r w:rsidRPr="000F6841">
        <w:t>h rättsliga förpliktelser som kan mo</w:t>
      </w:r>
      <w:r w:rsidRPr="000F6841">
        <w:t>t</w:t>
      </w:r>
      <w:r w:rsidRPr="000F6841">
        <w:t>verka etablering och utveckling av små och medelstora företag.</w:t>
      </w:r>
    </w:p>
    <w:p w:rsidR="00A23076" w:rsidRPr="000F6841" w:rsidRDefault="00A23076">
      <w:pPr>
        <w:pStyle w:val="Normaltindrag"/>
      </w:pPr>
      <w:r w:rsidRPr="000F6841">
        <w:t>Av propositionen framgår att Arbetsgivarverket ansåg att man borde ha använt sig av direktivets möjlighet att införa tröskelbestämmelser för att un</w:t>
      </w:r>
      <w:r w:rsidRPr="000F6841">
        <w:t>d</w:t>
      </w:r>
      <w:r w:rsidRPr="000F6841">
        <w:t>vika så kallad över</w:t>
      </w:r>
      <w:r w:rsidRPr="000F6841">
        <w:softHyphen/>
        <w:t>implementering, det vill säga att i svensk lagstiftning gå utöver vad direktivet kräver. Vidare framgår att även Svenskt Näringsliv, Bankinstitutens Arbetsgivarorganisation (BAO) och Näringslivets Rege</w:t>
      </w:r>
      <w:r w:rsidRPr="000F6841">
        <w:t>l</w:t>
      </w:r>
      <w:r w:rsidRPr="000F6841">
        <w:t>nämnd varit av uppfattningen att Direktivets möjlighet till tröskelvärden bo</w:t>
      </w:r>
      <w:r w:rsidRPr="000F6841">
        <w:t>r</w:t>
      </w:r>
      <w:r w:rsidRPr="000F6841">
        <w:t>de ha använts.</w:t>
      </w:r>
    </w:p>
    <w:p w:rsidR="00A23076" w:rsidRPr="000F6841" w:rsidRDefault="00A23076">
      <w:pPr>
        <w:pStyle w:val="Normaltindrag"/>
      </w:pPr>
      <w:r w:rsidRPr="000F6841">
        <w:t>I svensk arbetsrättslig lagstiftning finns redan ett flertal tröskelbestämme</w:t>
      </w:r>
      <w:r w:rsidRPr="000F6841">
        <w:t>l</w:t>
      </w:r>
      <w:r w:rsidRPr="000F6841">
        <w:t>ser. Till exem</w:t>
      </w:r>
      <w:r w:rsidRPr="000F6841">
        <w:softHyphen/>
        <w:t>pel finns sådana bestämmelser i 4 § lagen (1987:1245) om st</w:t>
      </w:r>
      <w:r w:rsidRPr="000F6841">
        <w:t>y</w:t>
      </w:r>
      <w:r w:rsidRPr="000F6841">
        <w:t>relserepresentation för de privatanställda, i 22 § lagen (1982:80) om anstäl</w:t>
      </w:r>
      <w:r w:rsidRPr="000F6841">
        <w:t>l</w:t>
      </w:r>
      <w:r w:rsidRPr="000F6841">
        <w:t>ningsskydd och i 11 och 13 §§ jäm</w:t>
      </w:r>
      <w:r w:rsidRPr="000F6841">
        <w:softHyphen/>
        <w:t xml:space="preserve">ställdhetslagen (1991:433). Det skulle således vara väl förenligt med svensk arbetsrättslig tradition att införa en tröskelbestämmelse även i </w:t>
      </w:r>
      <w:smartTag w:uri="urn:schemas-microsoft-com:office:smarttags" w:element="metricconverter">
        <w:smartTagPr>
          <w:attr w:name="ProductID" w:val="19 a"/>
        </w:smartTagPr>
        <w:r w:rsidRPr="000F6841">
          <w:t>19 a</w:t>
        </w:r>
      </w:smartTag>
      <w:r w:rsidRPr="000F6841">
        <w:t xml:space="preserve"> § MBL.</w:t>
      </w:r>
    </w:p>
    <w:p w:rsidR="00A23076" w:rsidRPr="000F6841" w:rsidRDefault="00A23076">
      <w:pPr>
        <w:pStyle w:val="Normaltindrag"/>
      </w:pPr>
      <w:r w:rsidRPr="000F6841">
        <w:t xml:space="preserve">Att inte införa en tröskelbestämmelse i </w:t>
      </w:r>
      <w:smartTag w:uri="urn:schemas-microsoft-com:office:smarttags" w:element="metricconverter">
        <w:smartTagPr>
          <w:attr w:name="ProductID" w:val="19 a"/>
        </w:smartTagPr>
        <w:r w:rsidRPr="000F6841">
          <w:t>19 a</w:t>
        </w:r>
      </w:smartTag>
      <w:r w:rsidRPr="000F6841">
        <w:t xml:space="preserve"> § MBL utgör just en sådan överimplemen</w:t>
      </w:r>
      <w:r w:rsidRPr="000F6841">
        <w:softHyphen/>
        <w:t>tering av direktivet som Arbetsgivarverket varnade för. I fö</w:t>
      </w:r>
      <w:r w:rsidRPr="000F6841">
        <w:t>r</w:t>
      </w:r>
      <w:r w:rsidRPr="000F6841">
        <w:t>hållande till småföretagare i de EU länder som har begagnat möjligheten att undanta små och medelstora företag utgör frånvaron av en tröskelbestämme</w:t>
      </w:r>
      <w:r w:rsidRPr="000F6841">
        <w:t>l</w:t>
      </w:r>
      <w:r w:rsidRPr="000F6841">
        <w:t>se dessutom en konkurrensnackdel för svenska småföretagare. Med beaktande av den ökade rörligheten på den europeiska varu- och tjänstemarknaden är detta allva</w:t>
      </w:r>
      <w:r w:rsidRPr="000F6841">
        <w:rPr>
          <w:spacing w:val="-2"/>
        </w:rPr>
        <w:t xml:space="preserve">rligt och en tröskelbestämmelse bör därför skyndsamt införas i </w:t>
      </w:r>
      <w:smartTag w:uri="urn:schemas-microsoft-com:office:smarttags" w:element="metricconverter">
        <w:smartTagPr>
          <w:attr w:name="ProductID" w:val="19 a"/>
        </w:smartTagPr>
        <w:r w:rsidRPr="000F6841">
          <w:rPr>
            <w:spacing w:val="-2"/>
          </w:rPr>
          <w:t>19 a</w:t>
        </w:r>
      </w:smartTag>
      <w:r w:rsidRPr="000F6841">
        <w:rPr>
          <w:spacing w:val="-2"/>
        </w:rPr>
        <w:t xml:space="preserve"> </w:t>
      </w:r>
      <w:r w:rsidRPr="000F6841">
        <w:t>§ MBL.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6841">
        <w:trPr>
          <w:cantSplit/>
        </w:trPr>
        <w:tc>
          <w:tcPr>
            <w:tcW w:w="3046" w:type="dxa"/>
          </w:tcPr>
          <w:p w:rsidR="00A23076" w:rsidRPr="000F6841" w:rsidRDefault="00A23076">
            <w:pPr>
              <w:pStyle w:val="UnderskriftDatum"/>
              <w:spacing w:before="240"/>
            </w:pPr>
            <w:r w:rsidRPr="000F6841">
              <w:t>Stockholm den 1 oktober 2007</w:t>
            </w:r>
          </w:p>
        </w:tc>
        <w:tc>
          <w:tcPr>
            <w:tcW w:w="3047" w:type="dxa"/>
          </w:tcPr>
          <w:p w:rsidR="00A23076" w:rsidRPr="000F6841" w:rsidRDefault="00A23076">
            <w:pPr>
              <w:pStyle w:val="Underskrifter"/>
              <w:spacing w:before="240"/>
            </w:pPr>
          </w:p>
        </w:tc>
      </w:tr>
      <w:tr w:rsidR="00000000" w:rsidRPr="000F6841">
        <w:trPr>
          <w:cantSplit/>
        </w:trPr>
        <w:tc>
          <w:tcPr>
            <w:tcW w:w="3046" w:type="dxa"/>
          </w:tcPr>
          <w:p w:rsidR="00A23076" w:rsidRPr="000F6841" w:rsidRDefault="00A23076">
            <w:pPr>
              <w:pStyle w:val="Underskrifter"/>
            </w:pPr>
            <w:r w:rsidRPr="000F6841">
              <w:t>Hans Rothenberg (m)</w:t>
            </w:r>
          </w:p>
        </w:tc>
        <w:tc>
          <w:tcPr>
            <w:tcW w:w="3046" w:type="dxa"/>
          </w:tcPr>
          <w:p w:rsidR="00A23076" w:rsidRPr="000F6841" w:rsidRDefault="00A23076">
            <w:pPr>
              <w:pStyle w:val="Underskrifter"/>
            </w:pPr>
            <w:r w:rsidRPr="000F6841">
              <w:t>Margareta Cederfelt (m)</w:t>
            </w:r>
          </w:p>
        </w:tc>
      </w:tr>
    </w:tbl>
    <w:p w:rsidR="00A23076" w:rsidRPr="000F6841" w:rsidRDefault="00A23076">
      <w:pPr>
        <w:pStyle w:val="Normaltindrag"/>
      </w:pPr>
    </w:p>
    <w:sectPr w:rsidR="00A23076" w:rsidRPr="000F68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076" w:rsidRPr="000F6841" w:rsidRDefault="00A23076">
      <w:r w:rsidRPr="000F6841">
        <w:separator/>
      </w:r>
    </w:p>
  </w:endnote>
  <w:endnote w:type="continuationSeparator" w:id="0">
    <w:p w:rsidR="00A23076" w:rsidRPr="000F6841" w:rsidRDefault="00A23076">
      <w:r w:rsidRPr="000F68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076" w:rsidRPr="000F6841" w:rsidRDefault="000F6841">
    <w:pPr>
      <w:pStyle w:val="Sidfot"/>
    </w:pPr>
    <w:r w:rsidRPr="000F68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16437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076" w:rsidRDefault="00A230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23076" w:rsidRDefault="00A230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076" w:rsidRPr="000F6841" w:rsidRDefault="000F6841">
    <w:pPr>
      <w:pStyle w:val="Sidfot"/>
    </w:pPr>
    <w:r w:rsidRPr="000F68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023014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076" w:rsidRDefault="00A230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3076" w:rsidRDefault="00A230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076" w:rsidRPr="000F6841" w:rsidRDefault="000F6841">
    <w:pPr>
      <w:pStyle w:val="Sidfot"/>
    </w:pPr>
    <w:r w:rsidRPr="000F68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20763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076" w:rsidRDefault="00A230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3076" w:rsidRDefault="00A230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076" w:rsidRPr="000F6841" w:rsidRDefault="00A23076">
      <w:r w:rsidRPr="000F6841">
        <w:separator/>
      </w:r>
    </w:p>
  </w:footnote>
  <w:footnote w:type="continuationSeparator" w:id="0">
    <w:p w:rsidR="00A23076" w:rsidRPr="000F6841" w:rsidRDefault="00A23076">
      <w:r w:rsidRPr="000F68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076" w:rsidRPr="000F6841" w:rsidRDefault="000F6841">
    <w:pPr>
      <w:pStyle w:val="Sidhuvud"/>
    </w:pPr>
    <w:r w:rsidRPr="000F68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80212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076" w:rsidRDefault="00A230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23076" w:rsidRDefault="00A230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076" w:rsidRPr="000F6841" w:rsidRDefault="000F6841">
    <w:pPr>
      <w:pStyle w:val="Sidhuvud"/>
    </w:pPr>
    <w:r w:rsidRPr="000F68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76816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076" w:rsidRDefault="00A230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23076" w:rsidRDefault="00A230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076" w:rsidRPr="000F6841" w:rsidRDefault="00A23076">
    <w:pPr>
      <w:pStyle w:val="FSHNormal"/>
      <w:tabs>
        <w:tab w:val="right" w:pos="5840"/>
      </w:tabs>
    </w:pPr>
    <w:r w:rsidRPr="000F6841">
      <w:br/>
    </w:r>
    <w:r w:rsidRPr="000F6841">
      <w:fldChar w:fldCharType="begin" w:fldLock="1"/>
    </w:r>
    <w:r w:rsidRPr="000F6841">
      <w:instrText xml:space="preserve"> DOCPROPERTY</w:instrText>
    </w:r>
    <w:r w:rsidRPr="000F6841">
      <w:rPr>
        <w:sz w:val="18"/>
      </w:rPr>
      <w:instrText xml:space="preserve"> "YearUser" *\charformat </w:instrText>
    </w:r>
    <w:r w:rsidRPr="000F6841">
      <w:fldChar w:fldCharType="separate"/>
    </w:r>
    <w:r w:rsidRPr="000F6841">
      <w:t>2007/08</w:t>
    </w:r>
    <w:r w:rsidRPr="000F6841">
      <w:fldChar w:fldCharType="end"/>
    </w:r>
    <w:r w:rsidRPr="000F6841">
      <w:t xml:space="preserve"> </w:t>
    </w:r>
    <w:r w:rsidRPr="000F6841">
      <w:tab/>
      <w:t xml:space="preserve">mnr: </w:t>
    </w:r>
    <w:r w:rsidRPr="000F6841">
      <w:fldChar w:fldCharType="begin" w:fldLock="1"/>
    </w:r>
    <w:r w:rsidRPr="000F6841">
      <w:instrText xml:space="preserve"> DOCPROPERTY</w:instrText>
    </w:r>
    <w:r w:rsidRPr="000F6841">
      <w:rPr>
        <w:sz w:val="18"/>
      </w:rPr>
      <w:instrText xml:space="preserve"> "Motionsnummer" *\charformat </w:instrText>
    </w:r>
    <w:r w:rsidRPr="000F6841">
      <w:fldChar w:fldCharType="separate"/>
    </w:r>
    <w:r w:rsidRPr="000F6841">
      <w:t>A358</w:t>
    </w:r>
    <w:r w:rsidRPr="000F6841">
      <w:fldChar w:fldCharType="end"/>
    </w:r>
    <w:r w:rsidRPr="000F6841">
      <w:br/>
    </w:r>
    <w:r w:rsidRPr="000F6841">
      <w:fldChar w:fldCharType="begin" w:fldLock="1"/>
    </w:r>
    <w:r w:rsidRPr="000F6841">
      <w:instrText xml:space="preserve"> DOCPROPERTY</w:instrText>
    </w:r>
    <w:r w:rsidRPr="000F6841">
      <w:rPr>
        <w:sz w:val="18"/>
      </w:rPr>
      <w:instrText xml:space="preserve"> "Samling" *\charformat </w:instrText>
    </w:r>
    <w:r w:rsidRPr="000F6841">
      <w:fldChar w:fldCharType="end"/>
    </w:r>
    <w:r w:rsidRPr="000F6841">
      <w:tab/>
      <w:t xml:space="preserve">pnr: </w:t>
    </w:r>
    <w:r w:rsidRPr="000F6841">
      <w:fldChar w:fldCharType="begin" w:fldLock="1"/>
    </w:r>
    <w:r w:rsidRPr="000F6841">
      <w:instrText xml:space="preserve"> DOCPROPERTY</w:instrText>
    </w:r>
    <w:r w:rsidRPr="000F6841">
      <w:rPr>
        <w:sz w:val="18"/>
      </w:rPr>
      <w:instrText xml:space="preserve"> "Partinummer" *\charformat </w:instrText>
    </w:r>
    <w:r w:rsidRPr="000F6841">
      <w:fldChar w:fldCharType="separate"/>
    </w:r>
    <w:r w:rsidRPr="000F6841">
      <w:t>m1430</w:t>
    </w:r>
    <w:r w:rsidRPr="000F6841">
      <w:fldChar w:fldCharType="end"/>
    </w:r>
  </w:p>
  <w:p w:rsidR="00A23076" w:rsidRPr="000F6841" w:rsidRDefault="00A23076">
    <w:pPr>
      <w:pStyle w:val="FSHRub1"/>
    </w:pPr>
    <w:r w:rsidRPr="000F6841">
      <w:t>Motion till riksdagen</w:t>
    </w:r>
    <w:r w:rsidRPr="000F6841">
      <w:br/>
    </w:r>
    <w:r w:rsidRPr="000F6841">
      <w:fldChar w:fldCharType="begin" w:fldLock="1"/>
    </w:r>
    <w:r w:rsidRPr="000F6841">
      <w:instrText xml:space="preserve"> DOCPROPERTY "YearUser" *\charformat </w:instrText>
    </w:r>
    <w:r w:rsidRPr="000F6841">
      <w:fldChar w:fldCharType="separate"/>
    </w:r>
    <w:r w:rsidRPr="000F6841">
      <w:t>2007/08</w:t>
    </w:r>
    <w:r w:rsidRPr="000F6841">
      <w:fldChar w:fldCharType="end"/>
    </w:r>
    <w:r w:rsidRPr="000F6841">
      <w:t>:</w:t>
    </w:r>
    <w:r w:rsidRPr="000F6841">
      <w:fldChar w:fldCharType="begin" w:fldLock="1"/>
    </w:r>
    <w:r w:rsidRPr="000F6841">
      <w:instrText xml:space="preserve"> DOCPROPERTY "Motionsnummer" *\charformat </w:instrText>
    </w:r>
    <w:r w:rsidRPr="000F6841">
      <w:fldChar w:fldCharType="separate"/>
    </w:r>
    <w:r w:rsidRPr="000F6841">
      <w:t>A358</w:t>
    </w:r>
    <w:r w:rsidRPr="000F6841">
      <w:fldChar w:fldCharType="end"/>
    </w:r>
  </w:p>
  <w:p w:rsidR="00A23076" w:rsidRPr="000F6841" w:rsidRDefault="00A23076">
    <w:pPr>
      <w:pStyle w:val="FSHNormalS5"/>
    </w:pPr>
    <w:r w:rsidRPr="000F6841">
      <w:fldChar w:fldCharType="begin" w:fldLock="1"/>
    </w:r>
    <w:r w:rsidRPr="000F6841">
      <w:instrText xml:space="preserve"> DOCPROPERTY "MotionarText" *\charformat </w:instrText>
    </w:r>
    <w:r w:rsidRPr="000F6841">
      <w:fldChar w:fldCharType="separate"/>
    </w:r>
    <w:r w:rsidRPr="000F6841">
      <w:t>av Hans Rothenberg och Margareta Cederfelt (m)</w:t>
    </w:r>
    <w:r w:rsidRPr="000F6841">
      <w:fldChar w:fldCharType="end"/>
    </w:r>
    <w:r w:rsidRPr="000F6841">
      <w:br/>
    </w:r>
    <w:r w:rsidRPr="000F6841">
      <w:fldChar w:fldCharType="begin" w:fldLock="1"/>
    </w:r>
    <w:r w:rsidRPr="000F6841">
      <w:instrText xml:space="preserve"> DOCPROPERTY "SvarFrasKort" *\charformat </w:instrText>
    </w:r>
    <w:r w:rsidRPr="000F6841">
      <w:fldChar w:fldCharType="end"/>
    </w:r>
  </w:p>
  <w:p w:rsidR="00A23076" w:rsidRPr="000F6841" w:rsidRDefault="00A23076">
    <w:pPr>
      <w:pStyle w:val="FSHTitel"/>
    </w:pPr>
    <w:r w:rsidRPr="000F6841">
      <w:fldChar w:fldCharType="begin" w:fldLock="1"/>
    </w:r>
    <w:r w:rsidRPr="000F6841">
      <w:instrText xml:space="preserve"> DOCPROPERTY</w:instrText>
    </w:r>
    <w:r w:rsidRPr="000F6841">
      <w:rPr>
        <w:sz w:val="18"/>
      </w:rPr>
      <w:instrText xml:space="preserve"> "RubrikSvar" *\charformat </w:instrText>
    </w:r>
    <w:r w:rsidRPr="000F6841">
      <w:fldChar w:fldCharType="separate"/>
    </w:r>
    <w:r w:rsidRPr="000F6841">
      <w:t>Införande av en tröskelbestämmelse i 19 a § MBL</w:t>
    </w:r>
    <w:r w:rsidRPr="000F6841">
      <w:fldChar w:fldCharType="end"/>
    </w:r>
  </w:p>
  <w:p w:rsidR="00A23076" w:rsidRPr="000F6841" w:rsidRDefault="00A23076">
    <w:pPr>
      <w:pStyle w:val="Normal00"/>
    </w:pPr>
  </w:p>
  <w:p w:rsidR="00A23076" w:rsidRPr="000F6841" w:rsidRDefault="00A230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67643653">
    <w:abstractNumId w:val="8"/>
  </w:num>
  <w:num w:numId="2" w16cid:durableId="1967353789">
    <w:abstractNumId w:val="9"/>
  </w:num>
  <w:num w:numId="3" w16cid:durableId="1680278972">
    <w:abstractNumId w:val="8"/>
  </w:num>
  <w:num w:numId="4" w16cid:durableId="630482791">
    <w:abstractNumId w:val="9"/>
  </w:num>
  <w:num w:numId="5" w16cid:durableId="621767768">
    <w:abstractNumId w:val="13"/>
  </w:num>
  <w:num w:numId="6" w16cid:durableId="1217664760">
    <w:abstractNumId w:val="10"/>
  </w:num>
  <w:num w:numId="7" w16cid:durableId="1539902101">
    <w:abstractNumId w:val="11"/>
  </w:num>
  <w:num w:numId="8" w16cid:durableId="746415196">
    <w:abstractNumId w:val="12"/>
  </w:num>
  <w:num w:numId="9" w16cid:durableId="2073117048">
    <w:abstractNumId w:val="8"/>
  </w:num>
  <w:num w:numId="10" w16cid:durableId="1709065598">
    <w:abstractNumId w:val="3"/>
  </w:num>
  <w:num w:numId="11" w16cid:durableId="789127399">
    <w:abstractNumId w:val="2"/>
  </w:num>
  <w:num w:numId="12" w16cid:durableId="1846358929">
    <w:abstractNumId w:val="1"/>
  </w:num>
  <w:num w:numId="13" w16cid:durableId="1887638713">
    <w:abstractNumId w:val="0"/>
  </w:num>
  <w:num w:numId="14" w16cid:durableId="820924414">
    <w:abstractNumId w:val="9"/>
  </w:num>
  <w:num w:numId="15" w16cid:durableId="422842540">
    <w:abstractNumId w:val="7"/>
  </w:num>
  <w:num w:numId="16" w16cid:durableId="1447385906">
    <w:abstractNumId w:val="6"/>
  </w:num>
  <w:num w:numId="17" w16cid:durableId="1585071022">
    <w:abstractNumId w:val="5"/>
  </w:num>
  <w:num w:numId="18" w16cid:durableId="692263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1290D60C-AFE5-4372-9F7C-AF7DBD9EEEA0},{0727F543-7FEE-4921-B5B5-B06F7792BEC4}"/>
  </w:docVars>
  <w:rsids>
    <w:rsidRoot w:val="007B538E"/>
    <w:rsid w:val="000F6841"/>
    <w:rsid w:val="007B538E"/>
    <w:rsid w:val="00A2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A1A3692-722F-4B8F-A5E4-27F9DF4D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3759</Characters>
  <Application>Microsoft Office Word</Application>
  <DocSecurity>4</DocSecurity>
  <Lines>69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m1430</vt:lpstr>
    </vt:vector>
  </TitlesOfParts>
  <Company>Riksdagen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m1430</dc:title>
  <dc:subject>m1430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2007-12-04T10:14:00Z</cp:lastPrinted>
  <dcterms:created xsi:type="dcterms:W3CDTF">2025-12-17T04:34:00Z</dcterms:created>
  <dcterms:modified xsi:type="dcterms:W3CDTF">2025-12-17T04:34:00Z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meo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Införande av en tröskelbestämmelse i 19 a § MBL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en tröskelbestämmelse i 19 a § MBL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m1430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Margareta Cederfelt (m)</vt:lpwstr>
  </property>
  <property fmtid="{D5CDD505-2E9C-101B-9397-08002B2CF9AE}" pid="26" name="MotionarLista">
    <vt:lpwstr>Rothenberg, Hans (m)\Cederfelt,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marianne.olsson@riksdagen.se</vt:lpwstr>
  </property>
  <property fmtid="{D5CDD505-2E9C-101B-9397-08002B2CF9AE}" pid="45" name="ReservUID">
    <vt:lpwstr>me0403aa</vt:lpwstr>
  </property>
  <property fmtid="{D5CDD505-2E9C-101B-9397-08002B2CF9AE}" pid="46" name="MotionID">
    <vt:lpwstr>20072008000000000109000014300069</vt:lpwstr>
  </property>
  <property fmtid="{D5CDD505-2E9C-101B-9397-08002B2CF9AE}" pid="47" name="datum">
    <vt:lpwstr>071001</vt:lpwstr>
  </property>
  <property fmtid="{D5CDD505-2E9C-101B-9397-08002B2CF9AE}" pid="48" name="avsändar-e-post">
    <vt:lpwstr>marianne.olsson@riksdagen.se</vt:lpwstr>
  </property>
  <property fmtid="{D5CDD505-2E9C-101B-9397-08002B2CF9AE}" pid="49" name="id">
    <vt:lpwstr>20072008000000000109000014300069</vt:lpwstr>
  </property>
  <property fmtid="{D5CDD505-2E9C-101B-9397-08002B2CF9AE}" pid="50" name="nummer">
    <vt:lpwstr>358</vt:lpwstr>
  </property>
  <property fmtid="{D5CDD505-2E9C-101B-9397-08002B2CF9AE}" pid="51" name="utskottsbeteckning">
    <vt:lpwstr>A</vt:lpwstr>
  </property>
  <property fmtid="{D5CDD505-2E9C-101B-9397-08002B2CF9AE}" pid="52" name="GlobalUID">
    <vt:lpwstr>{883637DD-9FC9-43C3-914A-F92E56D74CB5}</vt:lpwstr>
  </property>
  <property fmtid="{D5CDD505-2E9C-101B-9397-08002B2CF9AE}" pid="53" name="Överföringar">
    <vt:i4>0</vt:i4>
  </property>
  <property fmtid="{D5CDD505-2E9C-101B-9397-08002B2CF9AE}" pid="54" name="Checksum">
    <vt:lpwstr>*1001892015386*</vt:lpwstr>
  </property>
  <property fmtid="{D5CDD505-2E9C-101B-9397-08002B2CF9AE}" pid="55" name="skuggnummer">
    <vt:lpwstr>2186</vt:lpwstr>
  </property>
  <property fmtid="{D5CDD505-2E9C-101B-9397-08002B2CF9AE}" pid="56" name="urixVersion">
    <vt:lpwstr>3.2.0.8</vt:lpwstr>
  </property>
  <property fmtid="{D5CDD505-2E9C-101B-9397-08002B2CF9AE}" pid="57" name="urixOrigin">
    <vt:lpwstr>071204 11:14:19.804</vt:lpwstr>
  </property>
  <property fmtid="{D5CDD505-2E9C-101B-9397-08002B2CF9AE}" pid="58" name="urixGuid">
    <vt:lpwstr>{483EF672-14AE-4C32-8513-3CD0D1B20DF0}</vt:lpwstr>
  </property>
</Properties>
</file>