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1748D1" w:rsidTr="00230356">
        <w:tblPrEx>
          <w:tblCellMar>
            <w:top w:w="0" w:type="dxa"/>
            <w:left w:w="0" w:type="dxa"/>
            <w:bottom w:w="0" w:type="dxa"/>
            <w:right w:w="0" w:type="dxa"/>
          </w:tblCellMar>
        </w:tblPrEx>
        <w:trPr>
          <w:cantSplit/>
          <w:trHeight w:val="1320"/>
        </w:trPr>
        <w:tc>
          <w:tcPr>
            <w:tcW w:w="5897" w:type="dxa"/>
          </w:tcPr>
          <w:p w:rsidR="006D4AA5" w:rsidRPr="001748D1" w:rsidRDefault="004764AD">
            <w:pPr>
              <w:pStyle w:val="HuvudRubrik"/>
            </w:pPr>
            <w:r w:rsidRPr="001748D1">
              <w:t>Regeringskansliet</w:t>
            </w:r>
          </w:p>
          <w:p w:rsidR="006D4AA5" w:rsidRPr="001748D1" w:rsidRDefault="006D4AA5">
            <w:pPr>
              <w:pStyle w:val="HuvudRubrik"/>
            </w:pPr>
            <w:r w:rsidRPr="001748D1">
              <w:t xml:space="preserve">Faktapromemoria  </w:t>
            </w:r>
            <w:r w:rsidRPr="001748D1">
              <w:fldChar w:fldCharType="begin" w:fldLock="1"/>
            </w:r>
            <w:r w:rsidRPr="001748D1">
              <w:instrText>DOCPROPERTY Ar</w:instrText>
            </w:r>
            <w:r w:rsidRPr="001748D1">
              <w:fldChar w:fldCharType="separate"/>
            </w:r>
            <w:r w:rsidR="0032324F" w:rsidRPr="001748D1">
              <w:t>2010/11</w:t>
            </w:r>
            <w:r w:rsidRPr="001748D1">
              <w:fldChar w:fldCharType="end"/>
            </w:r>
            <w:r w:rsidRPr="001748D1">
              <w:t>:</w:t>
            </w:r>
            <w:r w:rsidRPr="001748D1">
              <w:fldChar w:fldCharType="begin" w:fldLock="1"/>
            </w:r>
            <w:r w:rsidRPr="001748D1">
              <w:instrText>DOCPROPERTY Typ</w:instrText>
            </w:r>
            <w:r w:rsidRPr="001748D1">
              <w:fldChar w:fldCharType="separate"/>
            </w:r>
            <w:r w:rsidR="0032324F" w:rsidRPr="001748D1">
              <w:t>FPM</w:t>
            </w:r>
            <w:r w:rsidRPr="001748D1">
              <w:fldChar w:fldCharType="end"/>
            </w:r>
            <w:r w:rsidRPr="001748D1">
              <w:fldChar w:fldCharType="begin" w:fldLock="1"/>
            </w:r>
            <w:r w:rsidRPr="001748D1">
              <w:instrText>DOCPROPERTY Nr</w:instrText>
            </w:r>
            <w:r w:rsidRPr="001748D1">
              <w:fldChar w:fldCharType="separate"/>
            </w:r>
            <w:r w:rsidR="0032324F" w:rsidRPr="001748D1">
              <w:t>15</w:t>
            </w:r>
            <w:r w:rsidRPr="001748D1">
              <w:fldChar w:fldCharType="end"/>
            </w:r>
          </w:p>
        </w:tc>
        <w:tc>
          <w:tcPr>
            <w:tcW w:w="1758" w:type="dxa"/>
            <w:gridSpan w:val="2"/>
          </w:tcPr>
          <w:p w:rsidR="006D4AA5" w:rsidRPr="001748D1" w:rsidRDefault="006D4AA5">
            <w:pPr>
              <w:rPr>
                <w:sz w:val="24"/>
              </w:rPr>
            </w:pPr>
          </w:p>
        </w:tc>
      </w:tr>
      <w:tr w:rsidR="006D4AA5" w:rsidRPr="001748D1" w:rsidTr="00230356">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1748D1" w:rsidRDefault="006D4AA5">
            <w:pPr>
              <w:pStyle w:val="HuvudRubrik"/>
              <w:rPr>
                <w:sz w:val="28"/>
              </w:rPr>
            </w:pPr>
            <w:r w:rsidRPr="001748D1">
              <w:fldChar w:fldCharType="begin" w:fldLock="1"/>
            </w:r>
            <w:r w:rsidRPr="001748D1">
              <w:instrText xml:space="preserve"> DOCVARIABLE Rub </w:instrText>
            </w:r>
            <w:r w:rsidR="00346971" w:rsidRPr="001748D1">
              <w:fldChar w:fldCharType="separate"/>
            </w:r>
            <w:r w:rsidR="0032324F" w:rsidRPr="001748D1">
              <w:t>Direktiv om angrepp mot informationssystem</w:t>
            </w:r>
            <w:r w:rsidRPr="001748D1">
              <w:fldChar w:fldCharType="end"/>
            </w:r>
          </w:p>
        </w:tc>
        <w:tc>
          <w:tcPr>
            <w:tcW w:w="1758" w:type="dxa"/>
            <w:gridSpan w:val="2"/>
            <w:tcBorders>
              <w:bottom w:val="single" w:sz="4" w:space="0" w:color="auto"/>
            </w:tcBorders>
          </w:tcPr>
          <w:p w:rsidR="006D4AA5" w:rsidRPr="001748D1" w:rsidRDefault="006D4AA5">
            <w:pPr>
              <w:pStyle w:val="BetUnderLogga"/>
            </w:pPr>
            <w:r w:rsidRPr="001748D1">
              <w:fldChar w:fldCharType="begin" w:fldLock="1"/>
            </w:r>
            <w:r w:rsidRPr="001748D1">
              <w:instrText>DOCPROPERTY Ar</w:instrText>
            </w:r>
            <w:r w:rsidRPr="001748D1">
              <w:fldChar w:fldCharType="separate"/>
            </w:r>
            <w:r w:rsidR="0032324F" w:rsidRPr="001748D1">
              <w:t>2010/11</w:t>
            </w:r>
            <w:r w:rsidRPr="001748D1">
              <w:fldChar w:fldCharType="end"/>
            </w:r>
            <w:r w:rsidRPr="001748D1">
              <w:t>:</w:t>
            </w:r>
            <w:r w:rsidRPr="001748D1">
              <w:fldChar w:fldCharType="begin" w:fldLock="1"/>
            </w:r>
            <w:r w:rsidRPr="001748D1">
              <w:instrText>DOCPROPERTY Typ</w:instrText>
            </w:r>
            <w:r w:rsidRPr="001748D1">
              <w:fldChar w:fldCharType="separate"/>
            </w:r>
            <w:r w:rsidR="0032324F" w:rsidRPr="001748D1">
              <w:t>FPM</w:t>
            </w:r>
            <w:r w:rsidRPr="001748D1">
              <w:fldChar w:fldCharType="end"/>
            </w:r>
            <w:r w:rsidRPr="001748D1">
              <w:fldChar w:fldCharType="begin" w:fldLock="1"/>
            </w:r>
            <w:r w:rsidRPr="001748D1">
              <w:instrText>DOCPROPERTY Nr</w:instrText>
            </w:r>
            <w:r w:rsidRPr="001748D1">
              <w:fldChar w:fldCharType="separate"/>
            </w:r>
            <w:r w:rsidR="0032324F" w:rsidRPr="001748D1">
              <w:t>15</w:t>
            </w:r>
            <w:r w:rsidRPr="001748D1">
              <w:fldChar w:fldCharType="end"/>
            </w:r>
          </w:p>
        </w:tc>
      </w:tr>
      <w:tr w:rsidR="006D4AA5" w:rsidRPr="001748D1" w:rsidTr="00230356">
        <w:tblPrEx>
          <w:tblCellMar>
            <w:top w:w="0" w:type="dxa"/>
            <w:left w:w="0" w:type="dxa"/>
            <w:bottom w:w="0" w:type="dxa"/>
            <w:right w:w="0" w:type="dxa"/>
          </w:tblCellMar>
        </w:tblPrEx>
        <w:trPr>
          <w:cantSplit/>
          <w:trHeight w:val="285"/>
        </w:trPr>
        <w:tc>
          <w:tcPr>
            <w:tcW w:w="7655" w:type="dxa"/>
            <w:gridSpan w:val="3"/>
          </w:tcPr>
          <w:p w:rsidR="006D4AA5" w:rsidRPr="001748D1" w:rsidRDefault="006D4AA5">
            <w:pPr>
              <w:pStyle w:val="Departement"/>
              <w:rPr>
                <w:sz w:val="28"/>
              </w:rPr>
            </w:pPr>
            <w:r w:rsidRPr="001748D1">
              <w:fldChar w:fldCharType="begin" w:fldLock="1"/>
            </w:r>
            <w:r w:rsidRPr="001748D1">
              <w:instrText xml:space="preserve"> DOCVARIABLE Dep</w:instrText>
            </w:r>
            <w:r w:rsidR="00346971" w:rsidRPr="001748D1">
              <w:fldChar w:fldCharType="separate"/>
            </w:r>
            <w:r w:rsidR="0032324F" w:rsidRPr="001748D1">
              <w:t>Justitiedepartementet</w:t>
            </w:r>
            <w:r w:rsidRPr="001748D1">
              <w:fldChar w:fldCharType="end"/>
            </w:r>
          </w:p>
        </w:tc>
      </w:tr>
      <w:tr w:rsidR="006D4AA5" w:rsidRPr="001748D1" w:rsidTr="00230356">
        <w:tblPrEx>
          <w:tblCellMar>
            <w:top w:w="0" w:type="dxa"/>
            <w:left w:w="0" w:type="dxa"/>
            <w:bottom w:w="0" w:type="dxa"/>
            <w:right w:w="0" w:type="dxa"/>
          </w:tblCellMar>
        </w:tblPrEx>
        <w:trPr>
          <w:cantSplit/>
          <w:trHeight w:val="240"/>
        </w:trPr>
        <w:tc>
          <w:tcPr>
            <w:tcW w:w="7655" w:type="dxa"/>
            <w:gridSpan w:val="3"/>
          </w:tcPr>
          <w:p w:rsidR="006D4AA5" w:rsidRPr="001748D1" w:rsidRDefault="006D4AA5">
            <w:pPr>
              <w:pStyle w:val="Dokumentdatum"/>
            </w:pPr>
            <w:r w:rsidRPr="001748D1">
              <w:fldChar w:fldCharType="begin" w:fldLock="1"/>
            </w:r>
            <w:r w:rsidRPr="001748D1">
              <w:instrText xml:space="preserve"> DOCVARIABLE UppDat</w:instrText>
            </w:r>
            <w:r w:rsidR="00346971" w:rsidRPr="001748D1">
              <w:fldChar w:fldCharType="separate"/>
            </w:r>
            <w:r w:rsidR="0032324F" w:rsidRPr="001748D1">
              <w:t>2010-11-04</w:t>
            </w:r>
            <w:r w:rsidRPr="001748D1">
              <w:fldChar w:fldCharType="end"/>
            </w:r>
          </w:p>
        </w:tc>
      </w:tr>
      <w:tr w:rsidR="006D4AA5" w:rsidRPr="001748D1" w:rsidTr="00230356">
        <w:tblPrEx>
          <w:tblCellMar>
            <w:top w:w="0" w:type="dxa"/>
            <w:left w:w="0" w:type="dxa"/>
            <w:bottom w:w="0" w:type="dxa"/>
            <w:right w:w="0" w:type="dxa"/>
          </w:tblCellMar>
        </w:tblPrEx>
        <w:trPr>
          <w:cantSplit/>
          <w:trHeight w:val="726"/>
        </w:trPr>
        <w:tc>
          <w:tcPr>
            <w:tcW w:w="7655" w:type="dxa"/>
            <w:gridSpan w:val="3"/>
            <w:vAlign w:val="bottom"/>
          </w:tcPr>
          <w:p w:rsidR="006D4AA5" w:rsidRPr="001748D1" w:rsidRDefault="004764AD">
            <w:pPr>
              <w:pStyle w:val="Dokumentbeteckning"/>
            </w:pPr>
            <w:r w:rsidRPr="001748D1">
              <w:t>Dokumentbeteckning</w:t>
            </w:r>
          </w:p>
        </w:tc>
      </w:tr>
      <w:bookmarkStart w:id="0" w:name="KomNr"/>
      <w:bookmarkEnd w:id="0"/>
      <w:tr w:rsidR="00230356" w:rsidRPr="001748D1" w:rsidTr="00230356">
        <w:tblPrEx>
          <w:tblCellMar>
            <w:top w:w="0" w:type="dxa"/>
            <w:left w:w="0" w:type="dxa"/>
            <w:bottom w:w="0" w:type="dxa"/>
            <w:right w:w="0" w:type="dxa"/>
          </w:tblCellMar>
        </w:tblPrEx>
        <w:trPr>
          <w:gridAfter w:val="1"/>
          <w:wAfter w:w="1560" w:type="dxa"/>
          <w:trHeight w:val="120"/>
        </w:trPr>
        <w:tc>
          <w:tcPr>
            <w:tcW w:w="6095" w:type="dxa"/>
            <w:gridSpan w:val="2"/>
          </w:tcPr>
          <w:p w:rsidR="00230356" w:rsidRPr="001748D1" w:rsidRDefault="0032324F" w:rsidP="0032324F">
            <w:r w:rsidRPr="001748D1">
              <w:fldChar w:fldCharType="begin" w:fldLock="1"/>
            </w:r>
            <w:r w:rsidRPr="001748D1">
              <w:instrText xml:space="preserve"> DOCVARIABLE"GDB1", PreserveFormatting:=False \* MERGEFORMAT </w:instrText>
            </w:r>
            <w:r w:rsidRPr="001748D1">
              <w:fldChar w:fldCharType="separate"/>
            </w:r>
            <w:r w:rsidRPr="001748D1">
              <w:t>KOM (2010) 517</w:t>
            </w:r>
            <w:r w:rsidRPr="001748D1">
              <w:fldChar w:fldCharType="end"/>
            </w:r>
          </w:p>
        </w:tc>
      </w:tr>
      <w:tr w:rsidR="0032324F" w:rsidRPr="001748D1" w:rsidTr="00230356">
        <w:tblPrEx>
          <w:tblCellMar>
            <w:top w:w="0" w:type="dxa"/>
            <w:left w:w="0" w:type="dxa"/>
            <w:bottom w:w="0" w:type="dxa"/>
            <w:right w:w="0" w:type="dxa"/>
          </w:tblCellMar>
        </w:tblPrEx>
        <w:trPr>
          <w:gridAfter w:val="1"/>
          <w:wAfter w:w="1560" w:type="dxa"/>
          <w:trHeight w:val="120"/>
        </w:trPr>
        <w:tc>
          <w:tcPr>
            <w:tcW w:w="6095" w:type="dxa"/>
            <w:gridSpan w:val="2"/>
          </w:tcPr>
          <w:p w:rsidR="0032324F" w:rsidRPr="001748D1" w:rsidRDefault="0032324F" w:rsidP="0032324F">
            <w:pPr>
              <w:pStyle w:val="Dokumentbeteckning-titel"/>
            </w:pPr>
            <w:r w:rsidRPr="001748D1">
              <w:fldChar w:fldCharType="begin" w:fldLock="1"/>
            </w:r>
            <w:r w:rsidRPr="001748D1">
              <w:instrText xml:space="preserve"> DOCVARIABLE"GDT1", PreserveFormatting:=False \* MERGEFORMAT </w:instrText>
            </w:r>
            <w:r w:rsidRPr="001748D1">
              <w:fldChar w:fldCharType="separate"/>
            </w:r>
            <w:r w:rsidRPr="001748D1">
              <w:t>Förslag till Europaparlamentets och rådets direktiv om angrepp mot inform</w:t>
            </w:r>
            <w:r w:rsidRPr="001748D1">
              <w:t>a</w:t>
            </w:r>
            <w:r w:rsidRPr="001748D1">
              <w:t>tionssystem och om upphävande av rambeslut 2005/222/RIF</w:t>
            </w:r>
            <w:r w:rsidRPr="001748D1">
              <w:fldChar w:fldCharType="end"/>
            </w:r>
          </w:p>
        </w:tc>
      </w:tr>
    </w:tbl>
    <w:p w:rsidR="004764AD" w:rsidRPr="001748D1" w:rsidRDefault="004764AD" w:rsidP="004764AD">
      <w:pPr>
        <w:pStyle w:val="Rubrik1"/>
        <w:numPr>
          <w:ilvl w:val="0"/>
          <w:numId w:val="0"/>
        </w:numPr>
      </w:pPr>
      <w:r w:rsidRPr="001748D1">
        <w:t>Sammanfattning</w:t>
      </w:r>
    </w:p>
    <w:p w:rsidR="001640FF" w:rsidRPr="001748D1" w:rsidRDefault="001640FF" w:rsidP="001640FF">
      <w:r w:rsidRPr="001748D1">
        <w:t>Direktivförslaget, som avser att ersätta rambeslutet om angrepp mot inform</w:t>
      </w:r>
      <w:r w:rsidRPr="001748D1">
        <w:t>a</w:t>
      </w:r>
      <w:r w:rsidRPr="001748D1">
        <w:t>tionssystem (2005/222/RIF), syftar till att ytterligare tillnärma medlemsst</w:t>
      </w:r>
      <w:r w:rsidRPr="001748D1">
        <w:t>a</w:t>
      </w:r>
      <w:r w:rsidRPr="001748D1">
        <w:t>ternas strafflagstiftning på området för angrepp mot inform</w:t>
      </w:r>
      <w:r w:rsidRPr="001748D1">
        <w:t>a</w:t>
      </w:r>
      <w:r w:rsidRPr="001748D1">
        <w:t>tionssystem. Vidare är avsikten att förbättra samarbetet mellan rättsliga och andra behör</w:t>
      </w:r>
      <w:r w:rsidRPr="001748D1">
        <w:t>i</w:t>
      </w:r>
      <w:r w:rsidRPr="001748D1">
        <w:t>ga myndigheter, inbegripet polismyndigheter och andra special</w:t>
      </w:r>
      <w:r w:rsidRPr="001748D1">
        <w:t>i</w:t>
      </w:r>
      <w:r w:rsidRPr="001748D1">
        <w:t>serade brotts-bekämpande organ i me</w:t>
      </w:r>
      <w:r w:rsidRPr="001748D1">
        <w:t>d</w:t>
      </w:r>
      <w:r w:rsidRPr="001748D1">
        <w:t>lemsstaterna.</w:t>
      </w:r>
    </w:p>
    <w:p w:rsidR="001640FF" w:rsidRPr="001748D1" w:rsidRDefault="001640FF" w:rsidP="001640FF">
      <w:r w:rsidRPr="001748D1">
        <w:t>Förslaget bygger i stora delar på rambeslutet från 2005 men inn</w:t>
      </w:r>
      <w:r w:rsidRPr="001748D1">
        <w:t>e</w:t>
      </w:r>
      <w:r w:rsidRPr="001748D1">
        <w:t>håller också bestämmelser om utvidgad kriminalisering av angrepp mot informationss</w:t>
      </w:r>
      <w:r w:rsidRPr="001748D1">
        <w:t>y</w:t>
      </w:r>
      <w:r w:rsidR="00BD7407" w:rsidRPr="001748D1">
        <w:t>stem</w:t>
      </w:r>
      <w:r w:rsidR="009E2689" w:rsidRPr="001748D1">
        <w:t xml:space="preserve">, liksom </w:t>
      </w:r>
      <w:r w:rsidR="00BD7407" w:rsidRPr="001748D1">
        <w:t xml:space="preserve">av </w:t>
      </w:r>
      <w:r w:rsidRPr="001748D1">
        <w:t>anstiftan</w:t>
      </w:r>
      <w:r w:rsidR="00BD7407" w:rsidRPr="001748D1">
        <w:t xml:space="preserve"> av </w:t>
      </w:r>
      <w:r w:rsidR="009E2689" w:rsidRPr="001748D1">
        <w:t xml:space="preserve">och </w:t>
      </w:r>
      <w:r w:rsidRPr="001748D1">
        <w:t>medhjälp och försök till sådana brott. Vid</w:t>
      </w:r>
      <w:r w:rsidRPr="001748D1">
        <w:t>a</w:t>
      </w:r>
      <w:r w:rsidRPr="001748D1">
        <w:t xml:space="preserve">re föreslås skärpta lägsta </w:t>
      </w:r>
      <w:r w:rsidR="003C3E4C" w:rsidRPr="001748D1">
        <w:t>maxi</w:t>
      </w:r>
      <w:r w:rsidRPr="001748D1">
        <w:t>mistraff och utvidgade regler om försv</w:t>
      </w:r>
      <w:r w:rsidRPr="001748D1">
        <w:t>å</w:t>
      </w:r>
      <w:r w:rsidRPr="001748D1">
        <w:t>rande omständigheter. I övrigt innehåller initiativet regler om ansvar och sankti</w:t>
      </w:r>
      <w:r w:rsidRPr="001748D1">
        <w:t>o</w:t>
      </w:r>
      <w:r w:rsidRPr="001748D1">
        <w:t>ner för juridiska personer, utvidgad jurisdiktion, utbyte av uppgifter samt stat</w:t>
      </w:r>
      <w:r w:rsidRPr="001748D1">
        <w:t>i</w:t>
      </w:r>
      <w:r w:rsidRPr="001748D1">
        <w:t xml:space="preserve">stik.  </w:t>
      </w:r>
    </w:p>
    <w:p w:rsidR="001640FF" w:rsidRPr="001748D1" w:rsidRDefault="001640FF" w:rsidP="001640FF">
      <w:r w:rsidRPr="001748D1">
        <w:t>Regeringen välkomnar initiativet till fortsatt arbete inom EU i syfte att ytte</w:t>
      </w:r>
      <w:r w:rsidRPr="001748D1">
        <w:t>r</w:t>
      </w:r>
      <w:r w:rsidRPr="001748D1">
        <w:t>ligare förstärka arbetet med att motverka och bekämpa angrepp mot inform</w:t>
      </w:r>
      <w:r w:rsidRPr="001748D1">
        <w:t>a</w:t>
      </w:r>
      <w:r w:rsidRPr="001748D1">
        <w:t>tionssystem. Det finns dock skäl att i vissa delar noggrant analysera försl</w:t>
      </w:r>
      <w:r w:rsidRPr="001748D1">
        <w:t>a</w:t>
      </w:r>
      <w:r w:rsidRPr="001748D1">
        <w:t xml:space="preserve">gets bestämmelser, bl.a. i fråga om de nya handlingar som ska utgöra brott, </w:t>
      </w:r>
      <w:r w:rsidR="00BD7407" w:rsidRPr="001748D1">
        <w:t xml:space="preserve">straffnivåer och </w:t>
      </w:r>
      <w:r w:rsidRPr="001748D1">
        <w:t>försv</w:t>
      </w:r>
      <w:r w:rsidRPr="001748D1">
        <w:t>å</w:t>
      </w:r>
      <w:r w:rsidRPr="001748D1">
        <w:t xml:space="preserve">rande omständigheter. </w:t>
      </w:r>
    </w:p>
    <w:p w:rsidR="001640FF" w:rsidRPr="001748D1" w:rsidRDefault="001640FF" w:rsidP="001640FF">
      <w:pPr>
        <w:pStyle w:val="Rubrik1"/>
      </w:pPr>
      <w:r w:rsidRPr="001748D1">
        <w:lastRenderedPageBreak/>
        <w:t>Förslaget</w:t>
      </w:r>
    </w:p>
    <w:p w:rsidR="001640FF" w:rsidRPr="001748D1" w:rsidRDefault="001640FF" w:rsidP="001640FF">
      <w:pPr>
        <w:pStyle w:val="Rubrik2"/>
      </w:pPr>
      <w:r w:rsidRPr="001748D1">
        <w:t>Ärendets bakgrund</w:t>
      </w:r>
    </w:p>
    <w:p w:rsidR="001640FF" w:rsidRPr="001748D1" w:rsidRDefault="001640FF" w:rsidP="001640FF">
      <w:r w:rsidRPr="001748D1">
        <w:t>Inom EU antogs i februari 2005 ett rambeslut om angrepp mot information</w:t>
      </w:r>
      <w:r w:rsidRPr="001748D1">
        <w:t>s</w:t>
      </w:r>
      <w:r w:rsidRPr="001748D1">
        <w:t>system (2005/222/RIF). Syftet med rambeslutet var att närma medlemsst</w:t>
      </w:r>
      <w:r w:rsidRPr="001748D1">
        <w:t>a</w:t>
      </w:r>
      <w:r w:rsidRPr="001748D1">
        <w:t>ternas straffrättsliga lagstiftning till varandra när det gäller angrepp mot information</w:t>
      </w:r>
      <w:r w:rsidRPr="001748D1">
        <w:t>s</w:t>
      </w:r>
      <w:r w:rsidRPr="001748D1">
        <w:t>system och därigenom förbättra samarbetet mellan rättsliga och andra myndigheter. Rambeslutet omfattar åtaganden att kriminalisera ola</w:t>
      </w:r>
      <w:r w:rsidRPr="001748D1">
        <w:t>g</w:t>
      </w:r>
      <w:r w:rsidRPr="001748D1">
        <w:t>ligt intrång i informationssystem, olaglig systemstörning och olaglig dat</w:t>
      </w:r>
      <w:r w:rsidRPr="001748D1">
        <w:t>a</w:t>
      </w:r>
      <w:r w:rsidRPr="001748D1">
        <w:t>störning, liksom anstiftan, medhjälp och fö</w:t>
      </w:r>
      <w:r w:rsidRPr="001748D1">
        <w:t>r</w:t>
      </w:r>
      <w:r w:rsidR="009E2689" w:rsidRPr="001748D1">
        <w:t>sök</w:t>
      </w:r>
      <w:r w:rsidRPr="001748D1">
        <w:t>. Det reglerar även vilka straffrättsliga påföljder som gärningarna ska kunna leda till. Vidare finns bestämmelser om försvårande omständigheter, ansvar och sanktioner för juridiska personer, behörighet samt utbyte av uppgifter. Svenska lagändrin</w:t>
      </w:r>
      <w:r w:rsidRPr="001748D1">
        <w:t>g</w:t>
      </w:r>
      <w:r w:rsidRPr="001748D1">
        <w:t>ar med anledning av rambesl</w:t>
      </w:r>
      <w:r w:rsidRPr="001748D1">
        <w:t>u</w:t>
      </w:r>
      <w:r w:rsidRPr="001748D1">
        <w:t xml:space="preserve">tet trädde i kraft den 1 juni 2007 (prop. 2006/07:66, bet. 2006/07:JuU13, rskr. 2006/07:147, SFS 2007:213). </w:t>
      </w:r>
    </w:p>
    <w:p w:rsidR="001640FF" w:rsidRPr="001748D1" w:rsidRDefault="001640FF" w:rsidP="001640FF">
      <w:r w:rsidRPr="001748D1">
        <w:t>Den 30 september 2010 presenterade kommissionen ett förslag till direktiv om angrepp mot informationssystem, vilket föreslås ersätta det befintliga ra</w:t>
      </w:r>
      <w:r w:rsidRPr="001748D1">
        <w:t>m</w:t>
      </w:r>
      <w:r w:rsidRPr="001748D1">
        <w:t>beslutet.</w:t>
      </w:r>
    </w:p>
    <w:p w:rsidR="001640FF" w:rsidRPr="001748D1" w:rsidRDefault="001640FF" w:rsidP="001640FF">
      <w:pPr>
        <w:pStyle w:val="Rubrik2"/>
      </w:pPr>
      <w:r w:rsidRPr="001748D1">
        <w:t>Förslagets innehåll</w:t>
      </w:r>
    </w:p>
    <w:p w:rsidR="001640FF" w:rsidRPr="001748D1" w:rsidRDefault="001640FF" w:rsidP="001640FF">
      <w:r w:rsidRPr="001748D1">
        <w:t xml:space="preserve">I </w:t>
      </w:r>
      <w:r w:rsidRPr="001748D1">
        <w:rPr>
          <w:i/>
        </w:rPr>
        <w:t>artikel 1</w:t>
      </w:r>
      <w:r w:rsidRPr="001748D1">
        <w:t xml:space="preserve"> beskrivs det övergripande syftet med direktivet, nämligen att fas</w:t>
      </w:r>
      <w:r w:rsidRPr="001748D1">
        <w:t>t</w:t>
      </w:r>
      <w:r w:rsidRPr="001748D1">
        <w:t>ställa vilka gärningar som ska definieras som brott när det gäller angrepp mot info</w:t>
      </w:r>
      <w:r w:rsidRPr="001748D1">
        <w:t>r</w:t>
      </w:r>
      <w:r w:rsidRPr="001748D1">
        <w:t>mationssystem och att införa miniminormer med avseende på påföljder för sådana brott. Direktivet syftar också till att införa gemensamma bestä</w:t>
      </w:r>
      <w:r w:rsidRPr="001748D1">
        <w:t>m</w:t>
      </w:r>
      <w:r w:rsidRPr="001748D1">
        <w:t>melser för att förebygga sådana angrepp och förbättra det straffrättsliga sa</w:t>
      </w:r>
      <w:r w:rsidRPr="001748D1">
        <w:t>m</w:t>
      </w:r>
      <w:r w:rsidRPr="001748D1">
        <w:t>arb</w:t>
      </w:r>
      <w:r w:rsidRPr="001748D1">
        <w:t>e</w:t>
      </w:r>
      <w:r w:rsidRPr="001748D1">
        <w:t>tet i EU inom detta område.</w:t>
      </w:r>
    </w:p>
    <w:p w:rsidR="001640FF" w:rsidRPr="001748D1" w:rsidRDefault="001640FF" w:rsidP="001640FF">
      <w:r w:rsidRPr="001748D1">
        <w:t xml:space="preserve">I </w:t>
      </w:r>
      <w:r w:rsidRPr="001748D1">
        <w:rPr>
          <w:i/>
        </w:rPr>
        <w:t>artikel 2</w:t>
      </w:r>
      <w:r w:rsidRPr="001748D1">
        <w:t xml:space="preserve"> anges vad som i direktivet avses med begreppen informationss</w:t>
      </w:r>
      <w:r w:rsidRPr="001748D1">
        <w:t>y</w:t>
      </w:r>
      <w:r w:rsidRPr="001748D1">
        <w:t>stem, datorbehan</w:t>
      </w:r>
      <w:r w:rsidRPr="001748D1">
        <w:t>d</w:t>
      </w:r>
      <w:r w:rsidRPr="001748D1">
        <w:t xml:space="preserve">lingsbara uppgifter, juridisk person och orättmätigt. </w:t>
      </w:r>
    </w:p>
    <w:p w:rsidR="001640FF" w:rsidRPr="001748D1" w:rsidRDefault="001640FF" w:rsidP="001640FF">
      <w:pPr>
        <w:rPr>
          <w:iCs/>
        </w:rPr>
      </w:pPr>
      <w:r w:rsidRPr="001748D1">
        <w:rPr>
          <w:iCs/>
        </w:rPr>
        <w:t>Enligt</w:t>
      </w:r>
      <w:r w:rsidRPr="001748D1">
        <w:rPr>
          <w:i/>
          <w:iCs/>
        </w:rPr>
        <w:t xml:space="preserve"> artiklarna 3−7</w:t>
      </w:r>
      <w:r w:rsidRPr="001748D1">
        <w:rPr>
          <w:iCs/>
        </w:rPr>
        <w:t xml:space="preserve"> ska följande handlingar utgöra brott, om de utförs upp</w:t>
      </w:r>
      <w:r w:rsidRPr="001748D1">
        <w:rPr>
          <w:iCs/>
        </w:rPr>
        <w:softHyphen/>
        <w:t>så</w:t>
      </w:r>
      <w:r w:rsidRPr="001748D1">
        <w:rPr>
          <w:iCs/>
        </w:rPr>
        <w:t>t</w:t>
      </w:r>
      <w:r w:rsidRPr="001748D1">
        <w:rPr>
          <w:iCs/>
        </w:rPr>
        <w:t>ligt och orättmätigt:</w:t>
      </w:r>
    </w:p>
    <w:p w:rsidR="001640FF" w:rsidRPr="001748D1" w:rsidRDefault="001640FF" w:rsidP="001640FF">
      <w:r w:rsidRPr="001748D1">
        <w:rPr>
          <w:iCs/>
        </w:rPr>
        <w:t>Artikel</w:t>
      </w:r>
      <w:r w:rsidRPr="001748D1">
        <w:t xml:space="preserve"> 3: </w:t>
      </w:r>
      <w:r w:rsidRPr="001748D1">
        <w:rPr>
          <w:iCs/>
        </w:rPr>
        <w:t>intrång i ett informationss</w:t>
      </w:r>
      <w:r w:rsidRPr="001748D1">
        <w:rPr>
          <w:iCs/>
        </w:rPr>
        <w:t>y</w:t>
      </w:r>
      <w:r w:rsidRPr="001748D1">
        <w:rPr>
          <w:iCs/>
        </w:rPr>
        <w:t>stem som helhet eller en del av ett så</w:t>
      </w:r>
      <w:r w:rsidRPr="001748D1">
        <w:rPr>
          <w:iCs/>
        </w:rPr>
        <w:softHyphen/>
        <w:t>dant system, åtminstone i fall som inte är ringa (olagligt intrång i inform</w:t>
      </w:r>
      <w:r w:rsidRPr="001748D1">
        <w:rPr>
          <w:iCs/>
        </w:rPr>
        <w:t>a</w:t>
      </w:r>
      <w:r w:rsidRPr="001748D1">
        <w:rPr>
          <w:iCs/>
        </w:rPr>
        <w:t>tionss</w:t>
      </w:r>
      <w:r w:rsidRPr="001748D1">
        <w:rPr>
          <w:iCs/>
        </w:rPr>
        <w:t>y</w:t>
      </w:r>
      <w:r w:rsidRPr="001748D1">
        <w:rPr>
          <w:iCs/>
        </w:rPr>
        <w:t>stem</w:t>
      </w:r>
      <w:r w:rsidRPr="001748D1">
        <w:t>).</w:t>
      </w:r>
    </w:p>
    <w:p w:rsidR="001640FF" w:rsidRPr="001748D1" w:rsidRDefault="001640FF" w:rsidP="001640FF">
      <w:r w:rsidRPr="001748D1">
        <w:t>Artikel 4: att allvarligt hindra eller avbryta driften av ett informationss</w:t>
      </w:r>
      <w:r w:rsidRPr="001748D1">
        <w:t>y</w:t>
      </w:r>
      <w:r w:rsidRPr="001748D1">
        <w:t>stem genom att mata in, överföra, skada, radera, försämra, ändra, hindra flödet av eller göra det omöjligt att komma åt datorbehandlingsbara uppgifter, åtmi</w:t>
      </w:r>
      <w:r w:rsidRPr="001748D1">
        <w:t>n</w:t>
      </w:r>
      <w:r w:rsidRPr="001748D1">
        <w:t>stone i fall som inte är ringa (olaglig s</w:t>
      </w:r>
      <w:r w:rsidRPr="001748D1">
        <w:t>y</w:t>
      </w:r>
      <w:r w:rsidRPr="001748D1">
        <w:t>stemstörning).</w:t>
      </w:r>
    </w:p>
    <w:p w:rsidR="001640FF" w:rsidRPr="001748D1" w:rsidRDefault="001640FF" w:rsidP="001640FF">
      <w:r w:rsidRPr="001748D1">
        <w:t>Artikel 5: att radera, skada, fö</w:t>
      </w:r>
      <w:r w:rsidRPr="001748D1">
        <w:t>r</w:t>
      </w:r>
      <w:r w:rsidRPr="001748D1">
        <w:t>sämra, ändra, hindra flödet av eller göra det omöjligt att komma åt datorbehandlingsbara uppgifter i ett informationss</w:t>
      </w:r>
      <w:r w:rsidRPr="001748D1">
        <w:t>y</w:t>
      </w:r>
      <w:r w:rsidRPr="001748D1">
        <w:t>stem, åtmi</w:t>
      </w:r>
      <w:r w:rsidRPr="001748D1">
        <w:t>n</w:t>
      </w:r>
      <w:r w:rsidRPr="001748D1">
        <w:t>stone i fall som inte är ringa (olaglig datastörning).</w:t>
      </w:r>
    </w:p>
    <w:p w:rsidR="001640FF" w:rsidRPr="001748D1" w:rsidRDefault="001640FF" w:rsidP="001640FF">
      <w:r w:rsidRPr="001748D1">
        <w:t>Artikel 6: avlyssning med tekniska hjälpmedel av icke-offentliga överförin</w:t>
      </w:r>
      <w:r w:rsidRPr="001748D1">
        <w:t>g</w:t>
      </w:r>
      <w:r w:rsidRPr="001748D1">
        <w:t>ar av datorbehandlingsbara uppgifter till, från eller inom ett informationss</w:t>
      </w:r>
      <w:r w:rsidRPr="001748D1">
        <w:t>y</w:t>
      </w:r>
      <w:r w:rsidRPr="001748D1">
        <w:t>stem, inklusive elektromagnetisk strålning från informationssystem som innehåller sådana uppgifter (olaglig avlys</w:t>
      </w:r>
      <w:r w:rsidRPr="001748D1">
        <w:t>s</w:t>
      </w:r>
      <w:r w:rsidRPr="001748D1">
        <w:t xml:space="preserve">ning). </w:t>
      </w:r>
    </w:p>
    <w:p w:rsidR="001640FF" w:rsidRPr="001748D1" w:rsidRDefault="001640FF" w:rsidP="001640FF">
      <w:r w:rsidRPr="001748D1">
        <w:t>Artikel 7: att tillverka, sälja, anskaffa i syfte att använda, importera, inn</w:t>
      </w:r>
      <w:r w:rsidRPr="001748D1">
        <w:t>e</w:t>
      </w:r>
      <w:r w:rsidRPr="001748D1">
        <w:t>ha, distribuera eller på annat sätt tillgängliggöra vissa verktyg, om gärningen u</w:t>
      </w:r>
      <w:r w:rsidRPr="001748D1">
        <w:t>t</w:t>
      </w:r>
      <w:r w:rsidRPr="001748D1">
        <w:t>förs i syfte att begå något av de brott som anges i artiklarna 3–6. Verktygen som avses är dels anordning, inklusive datorprogram, som utfo</w:t>
      </w:r>
      <w:r w:rsidRPr="001748D1">
        <w:t>r</w:t>
      </w:r>
      <w:r w:rsidRPr="001748D1">
        <w:t>mats eller anpassats i första hand för att begå brotten i fråga, dels lösenord, åtkoms</w:t>
      </w:r>
      <w:r w:rsidRPr="001748D1">
        <w:t>t</w:t>
      </w:r>
      <w:r w:rsidRPr="001748D1">
        <w:t>kod eller liknande uppgifter som gör det möjligt att få tillgång till ett inform</w:t>
      </w:r>
      <w:r w:rsidRPr="001748D1">
        <w:t>a</w:t>
      </w:r>
      <w:r w:rsidRPr="001748D1">
        <w:t>tionss</w:t>
      </w:r>
      <w:r w:rsidRPr="001748D1">
        <w:t>y</w:t>
      </w:r>
      <w:r w:rsidRPr="001748D1">
        <w:t>stem eller delar av ett sådant system.</w:t>
      </w:r>
    </w:p>
    <w:p w:rsidR="001640FF" w:rsidRPr="001748D1" w:rsidRDefault="001640FF" w:rsidP="001640FF">
      <w:r w:rsidRPr="001748D1">
        <w:t xml:space="preserve">Enligt </w:t>
      </w:r>
      <w:r w:rsidRPr="001748D1">
        <w:rPr>
          <w:i/>
        </w:rPr>
        <w:t>artikel 8</w:t>
      </w:r>
      <w:r w:rsidRPr="001748D1">
        <w:t xml:space="preserve"> ska anstiftan av och medhjälp till brott som avses i artiklarna 3–7 vara straffbelagda. Detsamma gäller försök till brott som avses i arti</w:t>
      </w:r>
      <w:r w:rsidRPr="001748D1">
        <w:t>k</w:t>
      </w:r>
      <w:r w:rsidRPr="001748D1">
        <w:t>larna 3–6.</w:t>
      </w:r>
    </w:p>
    <w:p w:rsidR="001640FF" w:rsidRPr="001748D1" w:rsidRDefault="001640FF" w:rsidP="001640FF">
      <w:pPr>
        <w:rPr>
          <w:i/>
        </w:rPr>
      </w:pPr>
      <w:r w:rsidRPr="001748D1">
        <w:rPr>
          <w:i/>
        </w:rPr>
        <w:t xml:space="preserve">Artikel 9 </w:t>
      </w:r>
      <w:r w:rsidRPr="001748D1">
        <w:t>anger att medlemsst</w:t>
      </w:r>
      <w:r w:rsidRPr="001748D1">
        <w:t>a</w:t>
      </w:r>
      <w:r w:rsidRPr="001748D1">
        <w:t>terna ska vidta de åtgärder som är nödvändiga för att se till att de brott som avses i artiklarna 3–8 är belagda med effektiva, proportionella och avskräckande straf</w:t>
      </w:r>
      <w:r w:rsidRPr="001748D1">
        <w:t>f</w:t>
      </w:r>
      <w:r w:rsidRPr="001748D1">
        <w:t>rättsliga påföljder. För brott som avses i artiklarna 3–7 (i den svenska översättningen anges felaktigt artikla</w:t>
      </w:r>
      <w:r w:rsidRPr="001748D1">
        <w:t>r</w:t>
      </w:r>
      <w:r w:rsidRPr="001748D1">
        <w:t>na 3–6) ska maximistraffet vara minst två års fän</w:t>
      </w:r>
      <w:r w:rsidRPr="001748D1">
        <w:t>g</w:t>
      </w:r>
      <w:r w:rsidRPr="001748D1">
        <w:t>else.</w:t>
      </w:r>
    </w:p>
    <w:p w:rsidR="001640FF" w:rsidRPr="001748D1" w:rsidRDefault="001640FF" w:rsidP="001640FF">
      <w:r w:rsidRPr="001748D1">
        <w:rPr>
          <w:i/>
        </w:rPr>
        <w:t xml:space="preserve">Artikel 10 </w:t>
      </w:r>
      <w:r w:rsidRPr="001748D1">
        <w:t>innehåller bestämmelser om försvårande omständigh</w:t>
      </w:r>
      <w:r w:rsidRPr="001748D1">
        <w:t>e</w:t>
      </w:r>
      <w:r w:rsidRPr="001748D1">
        <w:t>ter och inne</w:t>
      </w:r>
      <w:r w:rsidRPr="001748D1">
        <w:softHyphen/>
        <w:t xml:space="preserve">bär </w:t>
      </w:r>
      <w:r w:rsidR="00BD7407" w:rsidRPr="001748D1">
        <w:t xml:space="preserve">att </w:t>
      </w:r>
      <w:r w:rsidRPr="001748D1">
        <w:t xml:space="preserve">brott </w:t>
      </w:r>
      <w:r w:rsidR="00BD7407" w:rsidRPr="001748D1">
        <w:t xml:space="preserve">enligt direktivet </w:t>
      </w:r>
      <w:r w:rsidRPr="001748D1">
        <w:t>ska vara belagda med ett maximistraff på minst fem års fän</w:t>
      </w:r>
      <w:r w:rsidRPr="001748D1">
        <w:t>g</w:t>
      </w:r>
      <w:r w:rsidRPr="001748D1">
        <w:t xml:space="preserve">else när de begås </w:t>
      </w:r>
    </w:p>
    <w:p w:rsidR="001640FF" w:rsidRPr="001748D1" w:rsidRDefault="001640FF" w:rsidP="0032324F">
      <w:r w:rsidRPr="001748D1">
        <w:t>1. inom ramen för en sådan kriminell organisation som avses i rambeslut 2008/841/RIF om kampen mot organiserad brottslighet (gäller brott enligt arti</w:t>
      </w:r>
      <w:r w:rsidRPr="001748D1">
        <w:t>k</w:t>
      </w:r>
      <w:r w:rsidRPr="001748D1">
        <w:t xml:space="preserve">larna 3–7), </w:t>
      </w:r>
    </w:p>
    <w:p w:rsidR="001640FF" w:rsidRPr="001748D1" w:rsidRDefault="001640FF" w:rsidP="0032324F">
      <w:r w:rsidRPr="001748D1">
        <w:t xml:space="preserve">2. med hjälp av ett verktyg som är avsett antingen att </w:t>
      </w:r>
      <w:r w:rsidR="00BD7407" w:rsidRPr="001748D1">
        <w:t xml:space="preserve">iscensätta angrepp som </w:t>
      </w:r>
      <w:r w:rsidRPr="001748D1">
        <w:t>s</w:t>
      </w:r>
      <w:r w:rsidRPr="001748D1">
        <w:t>kada</w:t>
      </w:r>
      <w:r w:rsidR="00BD7407" w:rsidRPr="001748D1">
        <w:t>r</w:t>
      </w:r>
      <w:r w:rsidRPr="001748D1">
        <w:t xml:space="preserve"> ett betydande antal informationssystem eller orsaka</w:t>
      </w:r>
      <w:r w:rsidR="00BD7407" w:rsidRPr="001748D1">
        <w:t>r</w:t>
      </w:r>
      <w:r w:rsidRPr="001748D1">
        <w:t xml:space="preserve"> avsevärd skada, till e</w:t>
      </w:r>
      <w:r w:rsidRPr="001748D1">
        <w:t>x</w:t>
      </w:r>
      <w:r w:rsidRPr="001748D1">
        <w:t>empel i form av störda systemtjänster, ekonomiska kostnader eller förlust av personuppgi</w:t>
      </w:r>
      <w:r w:rsidRPr="001748D1">
        <w:t>f</w:t>
      </w:r>
      <w:r w:rsidRPr="001748D1">
        <w:t xml:space="preserve">ter (gäller brott enligt artiklarna 3–6), eller </w:t>
      </w:r>
    </w:p>
    <w:p w:rsidR="001640FF" w:rsidRPr="001748D1" w:rsidRDefault="001640FF" w:rsidP="0032324F">
      <w:r w:rsidRPr="001748D1">
        <w:t>3. genom att gärningsmannens verkliga identitet döljs, och detta är till sk</w:t>
      </w:r>
      <w:r w:rsidRPr="001748D1">
        <w:t>a</w:t>
      </w:r>
      <w:r w:rsidRPr="001748D1">
        <w:t>da för den som den använda identiteten faktiskt tillhör (gäller brott enligt arti</w:t>
      </w:r>
      <w:r w:rsidRPr="001748D1">
        <w:t>k</w:t>
      </w:r>
      <w:r w:rsidRPr="001748D1">
        <w:t xml:space="preserve">larna 3–6). </w:t>
      </w:r>
    </w:p>
    <w:p w:rsidR="001640FF" w:rsidRPr="001748D1" w:rsidRDefault="001640FF" w:rsidP="001640FF">
      <w:r w:rsidRPr="001748D1">
        <w:t xml:space="preserve">I </w:t>
      </w:r>
      <w:r w:rsidRPr="001748D1">
        <w:rPr>
          <w:i/>
        </w:rPr>
        <w:t xml:space="preserve">artiklarna 11 </w:t>
      </w:r>
      <w:r w:rsidRPr="001748D1">
        <w:t>och</w:t>
      </w:r>
      <w:r w:rsidRPr="001748D1">
        <w:rPr>
          <w:i/>
        </w:rPr>
        <w:t xml:space="preserve"> 12</w:t>
      </w:r>
      <w:r w:rsidRPr="001748D1">
        <w:t xml:space="preserve"> finns bestämmelser om ansvar och sanktioner för juridi</w:t>
      </w:r>
      <w:r w:rsidRPr="001748D1">
        <w:t>s</w:t>
      </w:r>
      <w:r w:rsidRPr="001748D1">
        <w:t>ka personer. Medlemsstaterna ska se till att juridiska personer kan hållas ansvariga för brott enligt direktivet och att sanktionerna ska vara e</w:t>
      </w:r>
      <w:r w:rsidRPr="001748D1">
        <w:t>f</w:t>
      </w:r>
      <w:r w:rsidRPr="001748D1">
        <w:t>fektiva, propo</w:t>
      </w:r>
      <w:r w:rsidRPr="001748D1">
        <w:t>r</w:t>
      </w:r>
      <w:r w:rsidRPr="001748D1">
        <w:t>tionella och avskräckande.</w:t>
      </w:r>
    </w:p>
    <w:p w:rsidR="001640FF" w:rsidRPr="001748D1" w:rsidRDefault="001640FF" w:rsidP="001640FF">
      <w:r w:rsidRPr="001748D1">
        <w:t xml:space="preserve">Enligt </w:t>
      </w:r>
      <w:r w:rsidRPr="001748D1">
        <w:rPr>
          <w:i/>
        </w:rPr>
        <w:t>artikel 13</w:t>
      </w:r>
      <w:r w:rsidRPr="001748D1">
        <w:t xml:space="preserve"> ska medlemsstaterna se till att de har domsrätt när brott enligt direktivet har begåtts</w:t>
      </w:r>
    </w:p>
    <w:p w:rsidR="001640FF" w:rsidRPr="001748D1" w:rsidRDefault="001640FF" w:rsidP="0032324F">
      <w:r w:rsidRPr="001748D1">
        <w:t>a) helt eller delvis på me</w:t>
      </w:r>
      <w:r w:rsidRPr="001748D1">
        <w:t>d</w:t>
      </w:r>
      <w:r w:rsidRPr="001748D1">
        <w:t>lemsstatens territorium, eller</w:t>
      </w:r>
    </w:p>
    <w:p w:rsidR="001640FF" w:rsidRPr="001748D1" w:rsidRDefault="001640FF" w:rsidP="0032324F">
      <w:r w:rsidRPr="001748D1">
        <w:t>b) av en medborgare i medlemsstaten eller av en person som har hemvist på dess territorium, eller</w:t>
      </w:r>
    </w:p>
    <w:p w:rsidR="001640FF" w:rsidRPr="001748D1" w:rsidRDefault="001640FF" w:rsidP="0032324F">
      <w:r w:rsidRPr="001748D1">
        <w:t>c) till förmån för en juridisk person som har sitt huvudkontor på medlemsst</w:t>
      </w:r>
      <w:r w:rsidRPr="001748D1">
        <w:t>a</w:t>
      </w:r>
      <w:r w:rsidRPr="001748D1">
        <w:t>tens territorium.</w:t>
      </w:r>
    </w:p>
    <w:p w:rsidR="001640FF" w:rsidRPr="001748D1" w:rsidRDefault="001640FF" w:rsidP="001640FF">
      <w:r w:rsidRPr="001748D1">
        <w:rPr>
          <w:i/>
        </w:rPr>
        <w:t>Artikel 14</w:t>
      </w:r>
      <w:r w:rsidRPr="001748D1">
        <w:t xml:space="preserve"> reglerar att medlemsstaterna för utbyte av uppgifter om brott enligt direktivet, med iak</w:t>
      </w:r>
      <w:r w:rsidRPr="001748D1">
        <w:t>t</w:t>
      </w:r>
      <w:r w:rsidRPr="001748D1">
        <w:t>tagande av bestämmelser om dataskydd, ska använda det befintliga nät med operativa kontaktpun</w:t>
      </w:r>
      <w:r w:rsidRPr="001748D1">
        <w:t>k</w:t>
      </w:r>
      <w:r w:rsidRPr="001748D1">
        <w:t>ter som kan nås dygnet runt alla dagar i veckan. Medlemsstaterna ska också se till att ha förf</w:t>
      </w:r>
      <w:r w:rsidRPr="001748D1">
        <w:t>a</w:t>
      </w:r>
      <w:r w:rsidRPr="001748D1">
        <w:t>randen som gör att de kan svara på brådskande framställningar inom högst åtta ti</w:t>
      </w:r>
      <w:r w:rsidRPr="001748D1">
        <w:t>m</w:t>
      </w:r>
      <w:r w:rsidRPr="001748D1">
        <w:t>mar. Av dessa svar ska det åtminstone framgå huruvida framställan om bistånd ko</w:t>
      </w:r>
      <w:r w:rsidRPr="001748D1">
        <w:t>m</w:t>
      </w:r>
      <w:r w:rsidRPr="001748D1">
        <w:t xml:space="preserve">mer att </w:t>
      </w:r>
      <w:r w:rsidR="00BD7407" w:rsidRPr="001748D1">
        <w:t>besvaras</w:t>
      </w:r>
      <w:r w:rsidRPr="001748D1">
        <w:t xml:space="preserve"> (</w:t>
      </w:r>
      <w:r w:rsidR="00BD7407" w:rsidRPr="001748D1">
        <w:t>i den svenska översättningen används dock uttrycket bevi</w:t>
      </w:r>
      <w:r w:rsidR="00BD7407" w:rsidRPr="001748D1">
        <w:t>l</w:t>
      </w:r>
      <w:r w:rsidR="00BD7407" w:rsidRPr="001748D1">
        <w:t>jas</w:t>
      </w:r>
      <w:r w:rsidRPr="001748D1">
        <w:t>) och, om så är fallet, hur och när detta ko</w:t>
      </w:r>
      <w:r w:rsidRPr="001748D1">
        <w:t>m</w:t>
      </w:r>
      <w:r w:rsidRPr="001748D1">
        <w:t>mer att ske.</w:t>
      </w:r>
    </w:p>
    <w:p w:rsidR="001640FF" w:rsidRPr="001748D1" w:rsidRDefault="001640FF" w:rsidP="001640FF">
      <w:r w:rsidRPr="001748D1">
        <w:t xml:space="preserve">Enligt </w:t>
      </w:r>
      <w:r w:rsidRPr="001748D1">
        <w:rPr>
          <w:i/>
        </w:rPr>
        <w:t>artikel 15</w:t>
      </w:r>
      <w:r w:rsidRPr="001748D1">
        <w:t xml:space="preserve"> ska medlemsstaterna se till att det finns ett system för reg</w:t>
      </w:r>
      <w:r w:rsidRPr="001748D1">
        <w:t>i</w:t>
      </w:r>
      <w:r w:rsidRPr="001748D1">
        <w:t>strering, insa</w:t>
      </w:r>
      <w:r w:rsidRPr="001748D1">
        <w:t>m</w:t>
      </w:r>
      <w:r w:rsidRPr="001748D1">
        <w:t xml:space="preserve">ling och tillhandahållande av statistiska uppgifter om brott enligt direktivet. </w:t>
      </w:r>
      <w:r w:rsidRPr="001748D1">
        <w:tab/>
        <w:t>Statistiken ska åtminstone omfatta antalet sådana brott som avses i direktivet som rapporterats till medlemsstaterna och up</w:t>
      </w:r>
      <w:r w:rsidRPr="001748D1">
        <w:t>p</w:t>
      </w:r>
      <w:r w:rsidRPr="001748D1">
        <w:t>följningen av dessa rapporter samt på årsbasis ange antalet fall som u</w:t>
      </w:r>
      <w:r w:rsidR="00DE065E" w:rsidRPr="001748D1">
        <w:t>ndersökts</w:t>
      </w:r>
      <w:r w:rsidRPr="001748D1">
        <w:t>, antalet pers</w:t>
      </w:r>
      <w:r w:rsidRPr="001748D1">
        <w:t>o</w:t>
      </w:r>
      <w:r w:rsidRPr="001748D1">
        <w:t>ner som åtalats och antalet personer som dömts. Medlemsstaterna ska översända de uppgifter som samlas in enligt denna artikel till kommi</w:t>
      </w:r>
      <w:r w:rsidRPr="001748D1">
        <w:t>s</w:t>
      </w:r>
      <w:r w:rsidRPr="001748D1">
        <w:t>sionen. De ska också se till att en samlad översikt över dessa statistiska rapporter offentli</w:t>
      </w:r>
      <w:r w:rsidRPr="001748D1">
        <w:t>g</w:t>
      </w:r>
      <w:r w:rsidRPr="001748D1">
        <w:t>görs.</w:t>
      </w:r>
    </w:p>
    <w:p w:rsidR="001640FF" w:rsidRPr="001748D1" w:rsidRDefault="001640FF" w:rsidP="001640FF">
      <w:r w:rsidRPr="001748D1">
        <w:t xml:space="preserve">I </w:t>
      </w:r>
      <w:r w:rsidRPr="001748D1">
        <w:rPr>
          <w:i/>
        </w:rPr>
        <w:t>artiklarna 16</w:t>
      </w:r>
      <w:r w:rsidRPr="001748D1">
        <w:rPr>
          <w:i/>
          <w:iCs/>
        </w:rPr>
        <w:t>–</w:t>
      </w:r>
      <w:r w:rsidRPr="001748D1">
        <w:rPr>
          <w:i/>
        </w:rPr>
        <w:t>20</w:t>
      </w:r>
      <w:r w:rsidRPr="001748D1">
        <w:t xml:space="preserve"> finns slutb</w:t>
      </w:r>
      <w:r w:rsidRPr="001748D1">
        <w:t>e</w:t>
      </w:r>
      <w:r w:rsidRPr="001748D1">
        <w:t>stämmelser.</w:t>
      </w:r>
    </w:p>
    <w:p w:rsidR="001640FF" w:rsidRPr="001748D1" w:rsidRDefault="001640FF" w:rsidP="001640FF">
      <w:pPr>
        <w:pStyle w:val="Rubrik2"/>
      </w:pPr>
      <w:r w:rsidRPr="001748D1">
        <w:t>Gällande svenska regler och förslagets effekt på dessa</w:t>
      </w:r>
    </w:p>
    <w:p w:rsidR="001640FF" w:rsidRPr="001748D1" w:rsidRDefault="001640FF" w:rsidP="001640FF">
      <w:r w:rsidRPr="001748D1">
        <w:t>Bestämmelserna om olagligt intrång i informationssystem, olaglig syste</w:t>
      </w:r>
      <w:r w:rsidRPr="001748D1">
        <w:t>m</w:t>
      </w:r>
      <w:r w:rsidRPr="001748D1">
        <w:t>störning och olaglig datastörning (artiklarna 3</w:t>
      </w:r>
      <w:r w:rsidRPr="001748D1">
        <w:rPr>
          <w:iCs/>
        </w:rPr>
        <w:t>–</w:t>
      </w:r>
      <w:r w:rsidRPr="001748D1">
        <w:t>5) överensstämmer med arti</w:t>
      </w:r>
      <w:r w:rsidRPr="001748D1">
        <w:t>k</w:t>
      </w:r>
      <w:r w:rsidRPr="001748D1">
        <w:t>larna 2</w:t>
      </w:r>
      <w:r w:rsidRPr="001748D1">
        <w:rPr>
          <w:iCs/>
        </w:rPr>
        <w:t>–</w:t>
      </w:r>
      <w:r w:rsidRPr="001748D1">
        <w:t>4 i rambeslutet. Handlingarna är i svensk rätt straffbelagda genom främst bestämmelsen om dataintrång i 4 kap. 9 c § brottsbalken</w:t>
      </w:r>
      <w:r w:rsidR="00B13FDA" w:rsidRPr="001748D1">
        <w:t xml:space="preserve"> och</w:t>
      </w:r>
      <w:r w:rsidRPr="001748D1">
        <w:t xml:space="preserve"> krimin</w:t>
      </w:r>
      <w:r w:rsidRPr="001748D1">
        <w:t>a</w:t>
      </w:r>
      <w:r w:rsidRPr="001748D1">
        <w:t>liseringen av skadegörelse och sabotage i 12 och 1</w:t>
      </w:r>
      <w:r w:rsidR="007C0D45" w:rsidRPr="001748D1">
        <w:t>3 kap.</w:t>
      </w:r>
      <w:r w:rsidRPr="001748D1">
        <w:t xml:space="preserve"> samma balk. Till skillnad från rambeslutet finns enligt förslaget ingen möjlighet att b</w:t>
      </w:r>
      <w:r w:rsidRPr="001748D1">
        <w:t>e</w:t>
      </w:r>
      <w:r w:rsidRPr="001748D1">
        <w:t xml:space="preserve">gränsa kriminaliseringen av olagligt intrång i informationssystem endast till när brottet begås genom intrång i </w:t>
      </w:r>
      <w:r w:rsidR="00BD7407" w:rsidRPr="001748D1">
        <w:t xml:space="preserve">en </w:t>
      </w:r>
      <w:r w:rsidRPr="001748D1">
        <w:t>säkerhetsåtgärd (artikel 2.2. i rambeslutet). Efte</w:t>
      </w:r>
      <w:r w:rsidRPr="001748D1">
        <w:t>r</w:t>
      </w:r>
      <w:r w:rsidRPr="001748D1">
        <w:t xml:space="preserve">som något sådant intrång inte krävs för straffansvar enligt svensk rätt saknar denna förändring </w:t>
      </w:r>
      <w:r w:rsidR="00BD7407" w:rsidRPr="001748D1">
        <w:t xml:space="preserve">dock </w:t>
      </w:r>
      <w:r w:rsidRPr="001748D1">
        <w:t>betyde</w:t>
      </w:r>
      <w:r w:rsidRPr="001748D1">
        <w:t>l</w:t>
      </w:r>
      <w:r w:rsidRPr="001748D1">
        <w:t xml:space="preserve">se. </w:t>
      </w:r>
    </w:p>
    <w:p w:rsidR="001640FF" w:rsidRPr="001748D1" w:rsidRDefault="001640FF" w:rsidP="001640FF">
      <w:r w:rsidRPr="001748D1">
        <w:t>Bestämmelsen om olaglig avlyssning i artikel 6 är ny. Det finns i svensk rätt inte någon straffbestämmelse som direkt tar sikte på sådan avlyssning som avses. Brottsbalkens reglering av</w:t>
      </w:r>
      <w:r w:rsidR="00AC5555" w:rsidRPr="001748D1">
        <w:t xml:space="preserve"> främst</w:t>
      </w:r>
      <w:r w:rsidR="007B73FA" w:rsidRPr="001748D1">
        <w:t xml:space="preserve"> brytande av </w:t>
      </w:r>
      <w:r w:rsidRPr="001748D1">
        <w:t>tel</w:t>
      </w:r>
      <w:r w:rsidRPr="001748D1">
        <w:t>e</w:t>
      </w:r>
      <w:r w:rsidRPr="001748D1">
        <w:t>hemlighet (4 kap. 8</w:t>
      </w:r>
      <w:r w:rsidR="00282D85" w:rsidRPr="001748D1">
        <w:t> </w:t>
      </w:r>
      <w:r w:rsidRPr="001748D1">
        <w:t>§ brottsbalken) och dataintrång torde delvis täcka denna handling, men det är tveksamt om de</w:t>
      </w:r>
      <w:r w:rsidR="004322D0" w:rsidRPr="001748D1">
        <w:t>ss</w:t>
      </w:r>
      <w:r w:rsidRPr="001748D1">
        <w:t>a eller andra straffbud fullt ut täcker förslagets krav. Ytterligare analys av bestämmelsens överensstämme</w:t>
      </w:r>
      <w:r w:rsidRPr="001748D1">
        <w:t>l</w:t>
      </w:r>
      <w:r w:rsidRPr="001748D1">
        <w:t>se med svensk rätt krävs</w:t>
      </w:r>
      <w:r w:rsidR="00D06606" w:rsidRPr="001748D1">
        <w:t xml:space="preserve"> och det kan inte uteslutas att förslaget kan komma att kräva lagän</w:t>
      </w:r>
      <w:r w:rsidR="00D06606" w:rsidRPr="001748D1">
        <w:t>d</w:t>
      </w:r>
      <w:r w:rsidR="00D06606" w:rsidRPr="001748D1">
        <w:t>ringar</w:t>
      </w:r>
      <w:r w:rsidRPr="001748D1">
        <w:t>.</w:t>
      </w:r>
    </w:p>
    <w:p w:rsidR="001640FF" w:rsidRPr="001748D1" w:rsidRDefault="001640FF" w:rsidP="001640FF">
      <w:r w:rsidRPr="001748D1">
        <w:t>Även artikel 7 är ny. Enligt denna bestämmelse ska befattning med vissa angivna verktyg i syfte att begå brott vara straffbart. Den svenska bestä</w:t>
      </w:r>
      <w:r w:rsidRPr="001748D1">
        <w:t>m</w:t>
      </w:r>
      <w:r w:rsidRPr="001748D1">
        <w:t>melsen om förberedelse och medverkan till brott i 23 kap. 2 och 4 §§ brott</w:t>
      </w:r>
      <w:r w:rsidRPr="001748D1">
        <w:t>s</w:t>
      </w:r>
      <w:r w:rsidRPr="001748D1">
        <w:t xml:space="preserve">balken skulle i </w:t>
      </w:r>
      <w:r w:rsidR="00AC5555" w:rsidRPr="001748D1">
        <w:t xml:space="preserve">vart fall delvis </w:t>
      </w:r>
      <w:r w:rsidRPr="001748D1">
        <w:t>kunna motsvara förslagets krav. Bestämmelsen väc</w:t>
      </w:r>
      <w:r w:rsidRPr="001748D1">
        <w:t>k</w:t>
      </w:r>
      <w:r w:rsidRPr="001748D1">
        <w:t>er dock flera frågor, inte minst om den praktiska tillämpningen och avgränsningen av det straffbara området. Förslagets innebörd behöver kla</w:t>
      </w:r>
      <w:r w:rsidRPr="001748D1">
        <w:t>r</w:t>
      </w:r>
      <w:r w:rsidRPr="001748D1">
        <w:t>göras under de kommande förhandlingarna och analyse</w:t>
      </w:r>
      <w:r w:rsidR="00D06606" w:rsidRPr="001748D1">
        <w:t>ras vidare.</w:t>
      </w:r>
      <w:r w:rsidRPr="001748D1">
        <w:t xml:space="preserve"> </w:t>
      </w:r>
      <w:r w:rsidR="00D06606" w:rsidRPr="001748D1">
        <w:t>Lagän</w:t>
      </w:r>
      <w:r w:rsidR="00D06606" w:rsidRPr="001748D1">
        <w:t>d</w:t>
      </w:r>
      <w:r w:rsidR="00D06606" w:rsidRPr="001748D1">
        <w:t>ringar till följd av förslaget i denna del kan inte uteslutas.</w:t>
      </w:r>
    </w:p>
    <w:p w:rsidR="001640FF" w:rsidRPr="001748D1" w:rsidRDefault="001640FF" w:rsidP="001640FF">
      <w:r w:rsidRPr="001748D1">
        <w:t>Bestämmelsen om anstiftan, medhjälp och försök i artikel 8 motsvarar r</w:t>
      </w:r>
      <w:r w:rsidRPr="001748D1">
        <w:t>e</w:t>
      </w:r>
      <w:r w:rsidRPr="001748D1">
        <w:t>gleringen i rambeslutet, med den skillnaden att möjligheten att inte krimin</w:t>
      </w:r>
      <w:r w:rsidRPr="001748D1">
        <w:t>a</w:t>
      </w:r>
      <w:r w:rsidRPr="001748D1">
        <w:t>lisera försök till olagligt intrång i information</w:t>
      </w:r>
      <w:r w:rsidRPr="001748D1">
        <w:t>s</w:t>
      </w:r>
      <w:r w:rsidRPr="001748D1">
        <w:t xml:space="preserve">system har tagits bort. Denna möjlighet saknar dock betydelse för svenskt vidkommande. I konsekvens med vad som anges ovan om </w:t>
      </w:r>
      <w:r w:rsidR="00AC5555" w:rsidRPr="001748D1">
        <w:t xml:space="preserve">de nya </w:t>
      </w:r>
      <w:r w:rsidRPr="001748D1">
        <w:t>artiklarna 6 och 7 behöver artikel 8 analyseras ytte</w:t>
      </w:r>
      <w:r w:rsidRPr="001748D1">
        <w:t>r</w:t>
      </w:r>
      <w:r w:rsidRPr="001748D1">
        <w:t>ligare.</w:t>
      </w:r>
    </w:p>
    <w:p w:rsidR="001640FF" w:rsidRPr="001748D1" w:rsidRDefault="001640FF" w:rsidP="001640FF">
      <w:r w:rsidRPr="001748D1">
        <w:t>De för</w:t>
      </w:r>
      <w:r w:rsidR="003C3E4C" w:rsidRPr="001748D1">
        <w:t>e</w:t>
      </w:r>
      <w:r w:rsidRPr="001748D1">
        <w:t xml:space="preserve">slagna straffnivåerna i artikel 9 är högre än i rambeslutet, men ligger inom straffskalan för t.ex. dataintrång, </w:t>
      </w:r>
      <w:r w:rsidR="003C3E4C" w:rsidRPr="001748D1">
        <w:t>grov skadegöre</w:t>
      </w:r>
      <w:r w:rsidR="003C3E4C" w:rsidRPr="001748D1">
        <w:t>l</w:t>
      </w:r>
      <w:r w:rsidR="003C3E4C" w:rsidRPr="001748D1">
        <w:t xml:space="preserve">se och </w:t>
      </w:r>
      <w:r w:rsidRPr="001748D1">
        <w:t>sabotage. Vad gäller straffen för brott enligt artiklarna 6 och 7 får förhå</w:t>
      </w:r>
      <w:r w:rsidRPr="001748D1">
        <w:t>l</w:t>
      </w:r>
      <w:r w:rsidRPr="001748D1">
        <w:t>landet till svensk rätt analyseras vidare. Detsamma gäller regleringen om försvårande omstä</w:t>
      </w:r>
      <w:r w:rsidRPr="001748D1">
        <w:t>n</w:t>
      </w:r>
      <w:r w:rsidRPr="001748D1">
        <w:t>digheter i artikel 10, som torde innebära att relevanta straffbestämmelser i vissa fall inte är til</w:t>
      </w:r>
      <w:r w:rsidRPr="001748D1">
        <w:t>l</w:t>
      </w:r>
      <w:r w:rsidRPr="001748D1">
        <w:t xml:space="preserve">räckliga. </w:t>
      </w:r>
      <w:r w:rsidR="000910C6" w:rsidRPr="001748D1">
        <w:t>Den senare artikeln väcker för övrigt ytterligare frågor som behöver klargöras och analyseras vidare, inte minst när det gäller bestämmelsen i artikel 10.3.</w:t>
      </w:r>
    </w:p>
    <w:p w:rsidR="001640FF" w:rsidRPr="001748D1" w:rsidRDefault="001640FF" w:rsidP="001640FF">
      <w:r w:rsidRPr="001748D1">
        <w:t xml:space="preserve">Ansvar och sanktioner för juridiska personer (artiklarna 11 och 12) regleras på motsvarande sätt i flera redan antagna instrument inom ramen för </w:t>
      </w:r>
      <w:r w:rsidR="00D06606" w:rsidRPr="001748D1">
        <w:t>EU-</w:t>
      </w:r>
      <w:r w:rsidRPr="001748D1">
        <w:t>samar</w:t>
      </w:r>
      <w:r w:rsidR="00D06606" w:rsidRPr="001748D1">
        <w:t>betet</w:t>
      </w:r>
      <w:r w:rsidRPr="001748D1">
        <w:t>. Bestämme</w:t>
      </w:r>
      <w:r w:rsidRPr="001748D1">
        <w:t>l</w:t>
      </w:r>
      <w:r w:rsidRPr="001748D1">
        <w:t>serna om företagsbot i 36 kap. 7</w:t>
      </w:r>
      <w:r w:rsidRPr="001748D1">
        <w:rPr>
          <w:iCs/>
        </w:rPr>
        <w:t>–</w:t>
      </w:r>
      <w:r w:rsidRPr="001748D1">
        <w:t xml:space="preserve">10 </w:t>
      </w:r>
      <w:r w:rsidR="00495A75" w:rsidRPr="001748D1">
        <w:t xml:space="preserve">a </w:t>
      </w:r>
      <w:r w:rsidRPr="001748D1">
        <w:t>§§ brottsbalken bedöms motsvara de krav som ställs i direkt</w:t>
      </w:r>
      <w:r w:rsidRPr="001748D1">
        <w:t>i</w:t>
      </w:r>
      <w:r w:rsidRPr="001748D1">
        <w:t>vet.</w:t>
      </w:r>
    </w:p>
    <w:p w:rsidR="001640FF" w:rsidRPr="001748D1" w:rsidRDefault="001640FF" w:rsidP="001640FF">
      <w:r w:rsidRPr="001748D1">
        <w:t>Bestämmelser om tillämpligheten av svensk lag finns huvudsakligen i 2 kap. brottsbalken. Vid genomförandet av rambeslutet gjordes bedömnin</w:t>
      </w:r>
      <w:r w:rsidRPr="001748D1">
        <w:t>g</w:t>
      </w:r>
      <w:r w:rsidRPr="001748D1">
        <w:t>en att svensk domsrätt förelåg i de fall då sådan ovillkorligen skulle kunna utövas. En skillnad i förhållande till rambeslutet är emellertid att det inte längre finns n</w:t>
      </w:r>
      <w:r w:rsidRPr="001748D1">
        <w:t>å</w:t>
      </w:r>
      <w:r w:rsidRPr="001748D1">
        <w:t>gon möjlighet att inte tillämpa bestämmelsen om behörighet för brott som begåtts till förmån för en juridisk person som har sitt huvudkontor på me</w:t>
      </w:r>
      <w:r w:rsidRPr="001748D1">
        <w:t>d</w:t>
      </w:r>
      <w:r w:rsidRPr="001748D1">
        <w:t>lemsstatens territorium (artikel 13.1 c). Bestämmelsen i denna punkt motsv</w:t>
      </w:r>
      <w:r w:rsidRPr="001748D1">
        <w:t>a</w:t>
      </w:r>
      <w:r w:rsidRPr="001748D1">
        <w:t xml:space="preserve">ras inte av en likalydande behörighetsregel i svensk rätt. </w:t>
      </w:r>
    </w:p>
    <w:p w:rsidR="001640FF" w:rsidRPr="001748D1" w:rsidRDefault="001640FF" w:rsidP="001640FF">
      <w:r w:rsidRPr="001748D1">
        <w:t>Bestämmelsen om utbyte av information i artikel 14 motsvarar artikel 11 i rambeslutet, men har kompletterats med en skyldighet att hörsamma en begäran om bistånd inom en viss tidsfrist. Rik</w:t>
      </w:r>
      <w:r w:rsidRPr="001748D1">
        <w:t>s</w:t>
      </w:r>
      <w:r w:rsidRPr="001748D1">
        <w:t>kriminalpolisens IT-brottsrotel har en beredskap dygnet runt som innebär att en IT-specialist alltid kan nås. Förslaget får analyseras ytterligare</w:t>
      </w:r>
      <w:r w:rsidR="00495A75" w:rsidRPr="001748D1">
        <w:t>,</w:t>
      </w:r>
      <w:r w:rsidRPr="001748D1">
        <w:t xml:space="preserve"> men torde inte innebära något pr</w:t>
      </w:r>
      <w:r w:rsidRPr="001748D1">
        <w:t>o</w:t>
      </w:r>
      <w:r w:rsidRPr="001748D1">
        <w:t>blem för svensk del.</w:t>
      </w:r>
    </w:p>
    <w:p w:rsidR="001640FF" w:rsidRPr="001748D1" w:rsidRDefault="001640FF" w:rsidP="001640FF">
      <w:r w:rsidRPr="001748D1">
        <w:t>Artikel 15 om övervakning och statistik är ny. I Sveriges officiella krimina</w:t>
      </w:r>
      <w:r w:rsidRPr="001748D1">
        <w:t>l</w:t>
      </w:r>
      <w:r w:rsidRPr="001748D1">
        <w:t>statistik finns uppgift om bl.a. antalet brott, uppklarade brott, misstänkta personer och lagförda personer. Förslaget kräver en fördjupad analys liksom klargöra</w:t>
      </w:r>
      <w:r w:rsidRPr="001748D1">
        <w:t>n</w:t>
      </w:r>
      <w:r w:rsidRPr="001748D1">
        <w:t xml:space="preserve">den bl.a. i fråga om vilka uppgifter som ska samlas in och hur rutinerna för detta ska se ut </w:t>
      </w:r>
      <w:r w:rsidR="004322D0" w:rsidRPr="001748D1">
        <w:t xml:space="preserve">samt </w:t>
      </w:r>
      <w:r w:rsidRPr="001748D1">
        <w:t>inte minst hur denna bestämmelse fö</w:t>
      </w:r>
      <w:r w:rsidRPr="001748D1">
        <w:t>r</w:t>
      </w:r>
      <w:r w:rsidRPr="001748D1">
        <w:t>håller sig till det övergripande</w:t>
      </w:r>
      <w:r w:rsidR="00D06606" w:rsidRPr="001748D1">
        <w:t xml:space="preserve"> </w:t>
      </w:r>
      <w:r w:rsidRPr="001748D1">
        <w:t>statistikarbete som bedrivs inom EU på det straf</w:t>
      </w:r>
      <w:r w:rsidRPr="001748D1">
        <w:t>f</w:t>
      </w:r>
      <w:r w:rsidRPr="001748D1">
        <w:t xml:space="preserve">rättsliga området. </w:t>
      </w:r>
    </w:p>
    <w:p w:rsidR="001640FF" w:rsidRPr="001748D1" w:rsidRDefault="001640FF" w:rsidP="0032324F">
      <w:r w:rsidRPr="001748D1">
        <w:t>Övriga artiklar i direktivet innehåller inte några bestämmelser som föranleder någon närmare red</w:t>
      </w:r>
      <w:r w:rsidRPr="001748D1">
        <w:t>o</w:t>
      </w:r>
      <w:r w:rsidRPr="001748D1">
        <w:t>görelse för innehållet i svensk rätt.</w:t>
      </w:r>
    </w:p>
    <w:p w:rsidR="001640FF" w:rsidRPr="001748D1" w:rsidRDefault="001640FF" w:rsidP="001640FF">
      <w:pPr>
        <w:pStyle w:val="Rubrik2"/>
      </w:pPr>
      <w:r w:rsidRPr="001748D1">
        <w:t>Budgetära konsekvenser / Konsekvensanalys</w:t>
      </w:r>
    </w:p>
    <w:p w:rsidR="001640FF" w:rsidRPr="001748D1" w:rsidRDefault="001640FF" w:rsidP="001640FF">
      <w:r w:rsidRPr="001748D1">
        <w:t>Kommissionen har angett att förslaget har liten inverkan på unionens bu</w:t>
      </w:r>
      <w:r w:rsidRPr="001748D1">
        <w:t>d</w:t>
      </w:r>
      <w:r w:rsidRPr="001748D1">
        <w:t>get. Mer än 90 procent av den beräknade kostnaden på 5 913 000 Euro skulle bäras av medlemsstaterna och det finns möjli</w:t>
      </w:r>
      <w:r w:rsidRPr="001748D1">
        <w:t>g</w:t>
      </w:r>
      <w:r w:rsidRPr="001748D1">
        <w:t>het att ansöka om EU-finansie</w:t>
      </w:r>
      <w:r w:rsidR="000B3E9D" w:rsidRPr="001748D1">
        <w:softHyphen/>
      </w:r>
      <w:r w:rsidRPr="001748D1">
        <w:t>ring för att minska bördan.</w:t>
      </w:r>
    </w:p>
    <w:p w:rsidR="001640FF" w:rsidRPr="001748D1" w:rsidRDefault="001640FF" w:rsidP="001640FF">
      <w:r w:rsidRPr="001748D1">
        <w:t>Det är inte möjligt att i nuläget närmare bedöma eventuella budgetära kons</w:t>
      </w:r>
      <w:r w:rsidRPr="001748D1">
        <w:t>e</w:t>
      </w:r>
      <w:r w:rsidRPr="001748D1">
        <w:t>kvenser. Utgångspun</w:t>
      </w:r>
      <w:r w:rsidRPr="001748D1">
        <w:t>k</w:t>
      </w:r>
      <w:r w:rsidRPr="001748D1">
        <w:t xml:space="preserve">ten är dock att eventuella sådana konsekvenser, såväl nationella som inom EU, ska finansieras inom befintlig budgetram. </w:t>
      </w:r>
    </w:p>
    <w:p w:rsidR="0032324F" w:rsidRPr="001748D1" w:rsidRDefault="0032324F" w:rsidP="00077265"/>
    <w:p w:rsidR="001640FF" w:rsidRPr="001748D1" w:rsidRDefault="001640FF" w:rsidP="001640FF">
      <w:pPr>
        <w:pStyle w:val="Rubrik1"/>
      </w:pPr>
      <w:r w:rsidRPr="001748D1">
        <w:t>Ståndpunkter</w:t>
      </w:r>
    </w:p>
    <w:p w:rsidR="001640FF" w:rsidRPr="001748D1" w:rsidRDefault="001640FF" w:rsidP="001640FF">
      <w:pPr>
        <w:pStyle w:val="Rubrik2"/>
      </w:pPr>
      <w:r w:rsidRPr="001748D1">
        <w:t>Preliminär svensk ståndpunkt</w:t>
      </w:r>
    </w:p>
    <w:p w:rsidR="001640FF" w:rsidRPr="001748D1" w:rsidRDefault="001640FF" w:rsidP="001640FF">
      <w:r w:rsidRPr="001748D1">
        <w:t>Regeringen välkomnar att kommissionen presenterat ett förslag till direktiv om angrepp mot info</w:t>
      </w:r>
      <w:r w:rsidRPr="001748D1">
        <w:t>r</w:t>
      </w:r>
      <w:r w:rsidRPr="001748D1">
        <w:t>mationssystem. Förslaget överensstämmer i stora delar med det tidigare rambeslutet, men innehåller därtill bestämmelser som ytte</w:t>
      </w:r>
      <w:r w:rsidRPr="001748D1">
        <w:t>r</w:t>
      </w:r>
      <w:r w:rsidRPr="001748D1">
        <w:t>ligare förstärker arbetet inom EU med att motverka och bekämpa dessa för</w:t>
      </w:r>
      <w:r w:rsidRPr="001748D1">
        <w:t>e</w:t>
      </w:r>
      <w:r w:rsidRPr="001748D1">
        <w:t>teelser. Internationell samverkan är en förutsättning för framgång och det europeiska samarbetet av central betydelse. Det finns dock skäl att noggrant analysera förslagets olika bestä</w:t>
      </w:r>
      <w:r w:rsidRPr="001748D1">
        <w:t>m</w:t>
      </w:r>
      <w:r w:rsidRPr="001748D1">
        <w:t xml:space="preserve">melser, bl.a. i fråga om de nya handlingar som ska utgöra brott, </w:t>
      </w:r>
      <w:r w:rsidR="00A274B2" w:rsidRPr="001748D1">
        <w:t xml:space="preserve">straffnivåer och </w:t>
      </w:r>
      <w:r w:rsidRPr="001748D1">
        <w:t>försvårande omständigheter.</w:t>
      </w:r>
    </w:p>
    <w:p w:rsidR="001640FF" w:rsidRPr="001748D1" w:rsidRDefault="001640FF" w:rsidP="001640FF">
      <w:pPr>
        <w:pStyle w:val="Rubrik2"/>
      </w:pPr>
      <w:r w:rsidRPr="001748D1">
        <w:t>Medlemsstaternas ståndpunkter</w:t>
      </w:r>
    </w:p>
    <w:p w:rsidR="001640FF" w:rsidRPr="001748D1" w:rsidRDefault="001640FF" w:rsidP="001640FF">
      <w:r w:rsidRPr="001748D1">
        <w:t>Medlemsstaternas ståndpunkter är ännu inte kända.</w:t>
      </w:r>
    </w:p>
    <w:p w:rsidR="001640FF" w:rsidRPr="001748D1" w:rsidRDefault="001640FF" w:rsidP="001640FF">
      <w:pPr>
        <w:pStyle w:val="Rubrik2"/>
      </w:pPr>
      <w:r w:rsidRPr="001748D1">
        <w:t>Institutionernas ståndpunkter</w:t>
      </w:r>
    </w:p>
    <w:p w:rsidR="001640FF" w:rsidRPr="001748D1" w:rsidRDefault="001640FF" w:rsidP="001640FF">
      <w:r w:rsidRPr="001748D1">
        <w:t>Europaparlamentets ståndpunkt är ännu inte känd.</w:t>
      </w:r>
    </w:p>
    <w:p w:rsidR="001640FF" w:rsidRPr="001748D1" w:rsidRDefault="001640FF" w:rsidP="001640FF">
      <w:pPr>
        <w:pStyle w:val="Rubrik2"/>
      </w:pPr>
      <w:r w:rsidRPr="001748D1">
        <w:t>Remissinstansernas ståndpunkter</w:t>
      </w:r>
    </w:p>
    <w:p w:rsidR="001640FF" w:rsidRPr="001748D1" w:rsidRDefault="001640FF" w:rsidP="001640FF">
      <w:r w:rsidRPr="001748D1">
        <w:t>Förslaget har inte remitterats.</w:t>
      </w:r>
    </w:p>
    <w:p w:rsidR="0032324F" w:rsidRPr="001748D1" w:rsidRDefault="0032324F" w:rsidP="00077265"/>
    <w:p w:rsidR="001640FF" w:rsidRPr="001748D1" w:rsidRDefault="001640FF" w:rsidP="001640FF">
      <w:pPr>
        <w:pStyle w:val="Rubrik1"/>
      </w:pPr>
      <w:r w:rsidRPr="001748D1">
        <w:t>Förslagets förutsättningar</w:t>
      </w:r>
    </w:p>
    <w:p w:rsidR="001640FF" w:rsidRPr="001748D1" w:rsidRDefault="001640FF" w:rsidP="001640FF">
      <w:pPr>
        <w:pStyle w:val="Rubrik2"/>
      </w:pPr>
      <w:r w:rsidRPr="001748D1">
        <w:t>Rättslig grund och beslutsförfarande</w:t>
      </w:r>
    </w:p>
    <w:p w:rsidR="001640FF" w:rsidRPr="001748D1" w:rsidRDefault="001640FF" w:rsidP="001640FF">
      <w:r w:rsidRPr="001748D1">
        <w:t>Artikel 83(1) i fördraget om Europeiska unionens funktionssätt (EUF-för</w:t>
      </w:r>
      <w:r w:rsidR="000B3E9D" w:rsidRPr="001748D1">
        <w:softHyphen/>
      </w:r>
      <w:r w:rsidRPr="001748D1">
        <w:t>dra</w:t>
      </w:r>
      <w:r w:rsidR="000B3E9D" w:rsidRPr="001748D1">
        <w:softHyphen/>
      </w:r>
      <w:r w:rsidRPr="001748D1">
        <w:t>get). Direktivet antas i enlighet med det ordinarie lagstiftningsförf</w:t>
      </w:r>
      <w:r w:rsidRPr="001748D1">
        <w:t>a</w:t>
      </w:r>
      <w:r w:rsidRPr="001748D1">
        <w:t>randet (artikel 294 EUF-fördraget). Rådet beslutar med kvalificerad majoritet och Europaparlamentet är medbeslutande.</w:t>
      </w:r>
    </w:p>
    <w:p w:rsidR="001640FF" w:rsidRPr="001748D1" w:rsidRDefault="001640FF" w:rsidP="001640FF">
      <w:pPr>
        <w:pStyle w:val="Rubrik2"/>
      </w:pPr>
      <w:r w:rsidRPr="001748D1">
        <w:t>Subsidiaritets- och proportionalitetsprincipen</w:t>
      </w:r>
    </w:p>
    <w:p w:rsidR="001640FF" w:rsidRPr="001748D1" w:rsidRDefault="001640FF" w:rsidP="001640FF">
      <w:r w:rsidRPr="001748D1">
        <w:t>I motiveringen till förslaget till direktiv gör kommissionen bedömningen att förslaget är förenligt med subsidiaritets- respektive proportionalitetsprinc</w:t>
      </w:r>
      <w:r w:rsidRPr="001748D1">
        <w:t>i</w:t>
      </w:r>
      <w:r w:rsidRPr="001748D1">
        <w:t xml:space="preserve">pen. </w:t>
      </w:r>
    </w:p>
    <w:p w:rsidR="001640FF" w:rsidRPr="001748D1" w:rsidRDefault="001640FF" w:rsidP="001640FF">
      <w:r w:rsidRPr="001748D1">
        <w:t>Som skäl för att medlemsstaterna inte i tillräcklig utsträckning själva kan uppnå målen med försl</w:t>
      </w:r>
      <w:r w:rsidRPr="001748D1">
        <w:t>a</w:t>
      </w:r>
      <w:r w:rsidRPr="001748D1">
        <w:t>get anges följande. IT-brottslighet och, mer specifikt, angrepp mot informationssystem har en betydande gränsöverskridande d</w:t>
      </w:r>
      <w:r w:rsidRPr="001748D1">
        <w:t>i</w:t>
      </w:r>
      <w:r w:rsidRPr="001748D1">
        <w:t>mension, som framgår tydligast när det gäller storskaliga angrepp, eftersom de olika element som tillsammans bildar ett angrepp ofta finns på olika pla</w:t>
      </w:r>
      <w:r w:rsidRPr="001748D1">
        <w:t>t</w:t>
      </w:r>
      <w:r w:rsidRPr="001748D1">
        <w:t>ser och i olika länder. Detta kräver åtgärder på EU-nivå, särskilt för att hålla jämna steg med utvec</w:t>
      </w:r>
      <w:r w:rsidRPr="001748D1">
        <w:t>k</w:t>
      </w:r>
      <w:r w:rsidRPr="001748D1">
        <w:t>lingen mot allt mer storskaliga angrepp i Europa och i världen som helhet. Insatser på EU-nivå och en uppdatering av rambeslut 2005/222/RIF efterlystes också i rådets slutsatser från november 2008 (En samordnad arbetsstrategi och konkreta åtgärder mot IT-brottslighet), efte</w:t>
      </w:r>
      <w:r w:rsidRPr="001748D1">
        <w:t>r</w:t>
      </w:r>
      <w:r w:rsidRPr="001748D1">
        <w:t>som målet att på ett effektivt sätt skydda människor från IT-brott inte i til</w:t>
      </w:r>
      <w:r w:rsidRPr="001748D1">
        <w:t>l</w:t>
      </w:r>
      <w:r w:rsidRPr="001748D1">
        <w:t>räcklig utsträckning kan uppnås av medlemsst</w:t>
      </w:r>
      <w:r w:rsidRPr="001748D1">
        <w:t>a</w:t>
      </w:r>
      <w:r w:rsidRPr="001748D1">
        <w:t>terna på egen hand.</w:t>
      </w:r>
    </w:p>
    <w:p w:rsidR="001640FF" w:rsidRPr="001748D1" w:rsidRDefault="001640FF" w:rsidP="001640FF">
      <w:r w:rsidRPr="001748D1">
        <w:t xml:space="preserve">Genom att EU vidtar åtgärder kommer det enligt kommissionen att bli lättare att uppnå målen, </w:t>
      </w:r>
      <w:r w:rsidR="00495A75" w:rsidRPr="001748D1">
        <w:t xml:space="preserve">och detta </w:t>
      </w:r>
      <w:r w:rsidRPr="001748D1">
        <w:t>av följande skäl. Förslaget innebär att medlem</w:t>
      </w:r>
      <w:r w:rsidRPr="001748D1">
        <w:t>s</w:t>
      </w:r>
      <w:r w:rsidRPr="001748D1">
        <w:t>staternas materiella straffrätt och regler om straffrättsliga förfaranden til</w:t>
      </w:r>
      <w:r w:rsidRPr="001748D1">
        <w:t>l</w:t>
      </w:r>
      <w:r w:rsidRPr="001748D1">
        <w:t>närmas ytte</w:t>
      </w:r>
      <w:r w:rsidRPr="001748D1">
        <w:t>r</w:t>
      </w:r>
      <w:r w:rsidRPr="001748D1">
        <w:t>ligare, vilket får positiva verkningar för kampen mot denna typ av brottsli</w:t>
      </w:r>
      <w:r w:rsidRPr="001748D1">
        <w:t>g</w:t>
      </w:r>
      <w:r w:rsidRPr="001748D1">
        <w:t>het. För det första är det ett sätt att förhindra att gärningsmän flyttar till medlemsst</w:t>
      </w:r>
      <w:r w:rsidRPr="001748D1">
        <w:t>a</w:t>
      </w:r>
      <w:r w:rsidRPr="001748D1">
        <w:t>ter där lagstiftningen mot IT-angrepp är mindre sträng. För det andra innebär gemensamma defin</w:t>
      </w:r>
      <w:r w:rsidRPr="001748D1">
        <w:t>i</w:t>
      </w:r>
      <w:r w:rsidRPr="001748D1">
        <w:t>tioner att det blir möjligt att utbyta information</w:t>
      </w:r>
      <w:r w:rsidR="00495A75" w:rsidRPr="001748D1">
        <w:t xml:space="preserve"> samt samla in och</w:t>
      </w:r>
      <w:r w:rsidRPr="001748D1">
        <w:t xml:space="preserve"> jämföra relevanta data. För det tredje kan de för</w:t>
      </w:r>
      <w:r w:rsidRPr="001748D1">
        <w:t>e</w:t>
      </w:r>
      <w:r w:rsidRPr="001748D1">
        <w:t>byggande åtgärderna i EU göras mer effektiva och det internationella samarbetet fö</w:t>
      </w:r>
      <w:r w:rsidRPr="001748D1">
        <w:t>r</w:t>
      </w:r>
      <w:r w:rsidRPr="001748D1">
        <w:t>bättras.</w:t>
      </w:r>
    </w:p>
    <w:p w:rsidR="001640FF" w:rsidRPr="001748D1" w:rsidRDefault="001640FF" w:rsidP="001640FF">
      <w:r w:rsidRPr="001748D1">
        <w:t>Direktivet begränsas enligt kommissionen till det minimum som krävs för att uppnå målen på eur</w:t>
      </w:r>
      <w:r w:rsidRPr="001748D1">
        <w:t>o</w:t>
      </w:r>
      <w:r w:rsidRPr="001748D1">
        <w:t>peisk nivå och går inte utöver vad som är nödvändigt för att uppnå detta syfte med beaktande av den straffrättsliga lagstiftningens krav på exakthet.</w:t>
      </w:r>
    </w:p>
    <w:p w:rsidR="001640FF" w:rsidRPr="001748D1" w:rsidRDefault="001640FF" w:rsidP="001640FF">
      <w:r w:rsidRPr="001748D1">
        <w:t>Regeringen delar kommi</w:t>
      </w:r>
      <w:r w:rsidRPr="001748D1">
        <w:t>s</w:t>
      </w:r>
      <w:r w:rsidRPr="001748D1">
        <w:t>sionens bedömning.</w:t>
      </w:r>
    </w:p>
    <w:p w:rsidR="001640FF" w:rsidRPr="001748D1" w:rsidRDefault="001640FF" w:rsidP="001640FF">
      <w:pPr>
        <w:pStyle w:val="Rubrik1"/>
      </w:pPr>
      <w:r w:rsidRPr="001748D1">
        <w:t>Övrigt</w:t>
      </w:r>
    </w:p>
    <w:p w:rsidR="001640FF" w:rsidRPr="001748D1" w:rsidRDefault="001640FF" w:rsidP="001640FF">
      <w:pPr>
        <w:pStyle w:val="Rubrik2"/>
      </w:pPr>
      <w:r w:rsidRPr="001748D1">
        <w:t>Fortsatt behandling av ärendet</w:t>
      </w:r>
    </w:p>
    <w:p w:rsidR="001640FF" w:rsidRPr="001748D1" w:rsidRDefault="001640FF" w:rsidP="001640FF">
      <w:r w:rsidRPr="001748D1">
        <w:t>Förslaget till direktiv kommer enligt uppgift att behandlas i rådsarbetsgru</w:t>
      </w:r>
      <w:r w:rsidRPr="001748D1">
        <w:t>p</w:t>
      </w:r>
      <w:r w:rsidRPr="001748D1">
        <w:t>pen materiell straffrätt. Förhandlingarna kommer att inledas tidigast i d</w:t>
      </w:r>
      <w:r w:rsidRPr="001748D1">
        <w:t>e</w:t>
      </w:r>
      <w:r w:rsidRPr="001748D1">
        <w:t>cember 2010.</w:t>
      </w:r>
    </w:p>
    <w:p w:rsidR="001640FF" w:rsidRPr="001748D1" w:rsidRDefault="001640FF" w:rsidP="001640FF">
      <w:pPr>
        <w:pStyle w:val="Rubrik2"/>
      </w:pPr>
      <w:r w:rsidRPr="001748D1">
        <w:t>Fackuttryck/termer</w:t>
      </w:r>
    </w:p>
    <w:p w:rsidR="006D4AA5" w:rsidRPr="001748D1" w:rsidRDefault="001640FF" w:rsidP="001640FF">
      <w:r w:rsidRPr="001748D1">
        <w:t>-</w:t>
      </w:r>
    </w:p>
    <w:sectPr w:rsidR="006D4AA5" w:rsidRPr="001748D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B58" w:rsidRPr="001748D1" w:rsidRDefault="00250B58">
      <w:r w:rsidRPr="001748D1">
        <w:separator/>
      </w:r>
    </w:p>
  </w:endnote>
  <w:endnote w:type="continuationSeparator" w:id="0">
    <w:p w:rsidR="00250B58" w:rsidRPr="001748D1" w:rsidRDefault="00250B58">
      <w:r w:rsidRPr="00174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1748D1" w:rsidRDefault="009E26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1748D1" w:rsidRDefault="009E2689">
    <w:pPr>
      <w:pStyle w:val="SidfotH"/>
      <w:framePr w:wrap="around"/>
    </w:pPr>
    <w:r w:rsidRPr="001748D1">
      <w:fldChar w:fldCharType="begin" w:fldLock="1"/>
    </w:r>
    <w:r w:rsidRPr="001748D1">
      <w:instrText xml:space="preserve"> PAGE </w:instrText>
    </w:r>
    <w:r w:rsidRPr="001748D1">
      <w:fldChar w:fldCharType="separate"/>
    </w:r>
    <w:r w:rsidR="00077265" w:rsidRPr="001748D1">
      <w:t>6</w:t>
    </w:r>
    <w:r w:rsidRPr="001748D1">
      <w:fldChar w:fldCharType="end"/>
    </w:r>
  </w:p>
  <w:p w:rsidR="009E2689" w:rsidRPr="001748D1" w:rsidRDefault="009E26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1748D1" w:rsidRDefault="009E2689">
    <w:pPr>
      <w:pStyle w:val="SidfotH"/>
      <w:framePr w:wrap="around"/>
    </w:pPr>
    <w:r w:rsidRPr="001748D1">
      <w:fldChar w:fldCharType="begin" w:fldLock="1"/>
    </w:r>
    <w:r w:rsidRPr="001748D1">
      <w:instrText xml:space="preserve"> PAGE </w:instrText>
    </w:r>
    <w:r w:rsidRPr="001748D1">
      <w:fldChar w:fldCharType="separate"/>
    </w:r>
    <w:r w:rsidR="00077265" w:rsidRPr="001748D1">
      <w:t>1</w:t>
    </w:r>
    <w:r w:rsidRPr="001748D1">
      <w:fldChar w:fldCharType="end"/>
    </w:r>
  </w:p>
  <w:p w:rsidR="009E2689" w:rsidRPr="001748D1" w:rsidRDefault="009E26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B58" w:rsidRPr="001748D1" w:rsidRDefault="00250B58">
      <w:r w:rsidRPr="001748D1">
        <w:separator/>
      </w:r>
    </w:p>
  </w:footnote>
  <w:footnote w:type="continuationSeparator" w:id="0">
    <w:p w:rsidR="00250B58" w:rsidRPr="001748D1" w:rsidRDefault="00250B58">
      <w:r w:rsidRPr="00174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1748D1" w:rsidRDefault="009E26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1748D1" w:rsidRDefault="009E2689">
    <w:pPr>
      <w:pStyle w:val="Kantrubrik"/>
      <w:framePr w:h="1157" w:hRule="exact" w:wrap="around" w:y="738"/>
    </w:pPr>
    <w:r w:rsidRPr="001748D1">
      <w:fldChar w:fldCharType="begin" w:fldLock="1"/>
    </w:r>
    <w:r w:rsidRPr="001748D1">
      <w:instrText xml:space="preserve"> DOCPROPERTY Ar</w:instrText>
    </w:r>
    <w:r w:rsidRPr="001748D1">
      <w:fldChar w:fldCharType="separate"/>
    </w:r>
    <w:r w:rsidR="0032324F" w:rsidRPr="001748D1">
      <w:t>2010/11</w:t>
    </w:r>
    <w:r w:rsidRPr="001748D1">
      <w:fldChar w:fldCharType="end"/>
    </w:r>
    <w:r w:rsidRPr="001748D1">
      <w:t>:</w:t>
    </w:r>
    <w:r w:rsidRPr="001748D1">
      <w:fldChar w:fldCharType="begin" w:fldLock="1"/>
    </w:r>
    <w:r w:rsidRPr="001748D1">
      <w:instrText xml:space="preserve"> DOCPROPERTY Typ</w:instrText>
    </w:r>
    <w:r w:rsidRPr="001748D1">
      <w:fldChar w:fldCharType="separate"/>
    </w:r>
    <w:r w:rsidR="0032324F" w:rsidRPr="001748D1">
      <w:t>FPM</w:t>
    </w:r>
    <w:r w:rsidRPr="001748D1">
      <w:fldChar w:fldCharType="end"/>
    </w:r>
    <w:r w:rsidRPr="001748D1">
      <w:fldChar w:fldCharType="begin" w:fldLock="1"/>
    </w:r>
    <w:r w:rsidRPr="001748D1">
      <w:instrText xml:space="preserve"> DOCPROPERTY Nr</w:instrText>
    </w:r>
    <w:r w:rsidRPr="001748D1">
      <w:fldChar w:fldCharType="separate"/>
    </w:r>
    <w:r w:rsidR="0032324F" w:rsidRPr="001748D1">
      <w:t>15</w:t>
    </w:r>
    <w:r w:rsidRPr="001748D1">
      <w:fldChar w:fldCharType="end"/>
    </w:r>
  </w:p>
  <w:p w:rsidR="009E2689" w:rsidRPr="001748D1" w:rsidRDefault="009E26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1748D1" w:rsidRDefault="001748D1">
    <w:pPr>
      <w:pStyle w:val="Sidhuvud"/>
    </w:pPr>
    <w:r w:rsidRPr="001748D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64436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689" w:rsidRDefault="009E268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7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2689" w:rsidRDefault="009E2689">
                    <w:pPr>
                      <w:pStyle w:val="Logo"/>
                    </w:pPr>
                    <w:r>
                      <w:object w:dxaOrig="840" w:dyaOrig="1545">
                        <v:shape id="_x0000_i1025" type="#_x0000_t75" style="width:42pt;height:77.15pt" filled="t">
                          <v:imagedata r:id="rId1" o:title=""/>
                        </v:shape>
                        <o:OLEObject Type="Embed" ProgID="Word.Picture.8" ShapeID="_x0000_i1025" DrawAspect="Content" ObjectID="_18275217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85480683">
    <w:abstractNumId w:val="4"/>
  </w:num>
  <w:num w:numId="2" w16cid:durableId="987248991">
    <w:abstractNumId w:val="1"/>
  </w:num>
  <w:num w:numId="3" w16cid:durableId="962151107">
    <w:abstractNumId w:val="2"/>
  </w:num>
  <w:num w:numId="4" w16cid:durableId="1821385976">
    <w:abstractNumId w:val="3"/>
  </w:num>
  <w:num w:numId="5" w16cid:durableId="156309823">
    <w:abstractNumId w:val="5"/>
  </w:num>
  <w:num w:numId="6" w16cid:durableId="129856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04"/>
    <w:docVar w:name="Ar" w:val="2010/11"/>
    <w:docVar w:name="Dep" w:val="Justitiedepartementet"/>
    <w:docVar w:name="DepWeb" w:val="Justitiedepartementet"/>
    <w:docVar w:name="GDB1" w:val="KOM (2010) 5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angrepp mot informationssystem och om upphävande av rambeslut 2005/222/RIF"/>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517"/>
    <w:docVar w:name="Nr" w:val="15"/>
    <w:docVar w:name="RD_APPVERSION" w:val="3.00"/>
    <w:docVar w:name="Rub" w:val="Direktiv om angrepp mot informationssystem"/>
    <w:docVar w:name="UppDat" w:val="2010-11-04"/>
    <w:docVar w:name="Utsk" w:val="Justitieutskottet"/>
  </w:docVars>
  <w:rsids>
    <w:rsidRoot w:val="00346971"/>
    <w:rsid w:val="00010271"/>
    <w:rsid w:val="000135FE"/>
    <w:rsid w:val="00013F22"/>
    <w:rsid w:val="000246EE"/>
    <w:rsid w:val="00026927"/>
    <w:rsid w:val="00041945"/>
    <w:rsid w:val="00060894"/>
    <w:rsid w:val="000616A9"/>
    <w:rsid w:val="00077265"/>
    <w:rsid w:val="000910C6"/>
    <w:rsid w:val="000A3D9E"/>
    <w:rsid w:val="000A5DA5"/>
    <w:rsid w:val="000B3E9D"/>
    <w:rsid w:val="000E5491"/>
    <w:rsid w:val="000E58FD"/>
    <w:rsid w:val="001511D9"/>
    <w:rsid w:val="001640FF"/>
    <w:rsid w:val="00173F2E"/>
    <w:rsid w:val="001748D1"/>
    <w:rsid w:val="001A427F"/>
    <w:rsid w:val="001B1BD6"/>
    <w:rsid w:val="001B4339"/>
    <w:rsid w:val="001D5B42"/>
    <w:rsid w:val="00230356"/>
    <w:rsid w:val="00246718"/>
    <w:rsid w:val="00250B58"/>
    <w:rsid w:val="00256BED"/>
    <w:rsid w:val="0027223E"/>
    <w:rsid w:val="00274FD4"/>
    <w:rsid w:val="00282D85"/>
    <w:rsid w:val="0029656F"/>
    <w:rsid w:val="002A4D7E"/>
    <w:rsid w:val="002B0A1B"/>
    <w:rsid w:val="0032324F"/>
    <w:rsid w:val="00346971"/>
    <w:rsid w:val="003536D8"/>
    <w:rsid w:val="003A6F5D"/>
    <w:rsid w:val="003C3E4C"/>
    <w:rsid w:val="003E0165"/>
    <w:rsid w:val="003E357E"/>
    <w:rsid w:val="004052DC"/>
    <w:rsid w:val="00410050"/>
    <w:rsid w:val="00424AFA"/>
    <w:rsid w:val="004322D0"/>
    <w:rsid w:val="00454A57"/>
    <w:rsid w:val="004764AD"/>
    <w:rsid w:val="00481D79"/>
    <w:rsid w:val="00490665"/>
    <w:rsid w:val="00494077"/>
    <w:rsid w:val="00495A75"/>
    <w:rsid w:val="004A685A"/>
    <w:rsid w:val="004B2C4F"/>
    <w:rsid w:val="004D3F97"/>
    <w:rsid w:val="00513862"/>
    <w:rsid w:val="00516155"/>
    <w:rsid w:val="00523555"/>
    <w:rsid w:val="005443BE"/>
    <w:rsid w:val="00550093"/>
    <w:rsid w:val="005F0465"/>
    <w:rsid w:val="0060126E"/>
    <w:rsid w:val="00611D12"/>
    <w:rsid w:val="00614900"/>
    <w:rsid w:val="00656DDA"/>
    <w:rsid w:val="00662E67"/>
    <w:rsid w:val="00697535"/>
    <w:rsid w:val="006A648C"/>
    <w:rsid w:val="006D4AA5"/>
    <w:rsid w:val="006E57B5"/>
    <w:rsid w:val="00710EB6"/>
    <w:rsid w:val="00730F31"/>
    <w:rsid w:val="00731D23"/>
    <w:rsid w:val="007427CA"/>
    <w:rsid w:val="00743689"/>
    <w:rsid w:val="00760B34"/>
    <w:rsid w:val="007811DD"/>
    <w:rsid w:val="00782CFD"/>
    <w:rsid w:val="00785CE2"/>
    <w:rsid w:val="007A7CF6"/>
    <w:rsid w:val="007B73FA"/>
    <w:rsid w:val="007B7877"/>
    <w:rsid w:val="007C0D45"/>
    <w:rsid w:val="007C1E37"/>
    <w:rsid w:val="007D3CB8"/>
    <w:rsid w:val="007D56B2"/>
    <w:rsid w:val="007F03EA"/>
    <w:rsid w:val="00834EBC"/>
    <w:rsid w:val="008E488F"/>
    <w:rsid w:val="008F01C4"/>
    <w:rsid w:val="00936642"/>
    <w:rsid w:val="0094318A"/>
    <w:rsid w:val="00950A8C"/>
    <w:rsid w:val="009D6BD7"/>
    <w:rsid w:val="009E2689"/>
    <w:rsid w:val="009E34F1"/>
    <w:rsid w:val="009E5183"/>
    <w:rsid w:val="009F5E07"/>
    <w:rsid w:val="00A069F7"/>
    <w:rsid w:val="00A232F6"/>
    <w:rsid w:val="00A274B2"/>
    <w:rsid w:val="00A826AE"/>
    <w:rsid w:val="00AA6826"/>
    <w:rsid w:val="00AB2394"/>
    <w:rsid w:val="00AC5555"/>
    <w:rsid w:val="00AD4B2D"/>
    <w:rsid w:val="00AE32BE"/>
    <w:rsid w:val="00AF5187"/>
    <w:rsid w:val="00B05CE9"/>
    <w:rsid w:val="00B13FDA"/>
    <w:rsid w:val="00B37863"/>
    <w:rsid w:val="00B42C54"/>
    <w:rsid w:val="00B469FC"/>
    <w:rsid w:val="00B77E4E"/>
    <w:rsid w:val="00B84CA0"/>
    <w:rsid w:val="00B97643"/>
    <w:rsid w:val="00BB3359"/>
    <w:rsid w:val="00BD7407"/>
    <w:rsid w:val="00BE191F"/>
    <w:rsid w:val="00C13940"/>
    <w:rsid w:val="00C3146F"/>
    <w:rsid w:val="00C373E7"/>
    <w:rsid w:val="00C52234"/>
    <w:rsid w:val="00C62862"/>
    <w:rsid w:val="00CD0244"/>
    <w:rsid w:val="00D06606"/>
    <w:rsid w:val="00D40111"/>
    <w:rsid w:val="00D5621E"/>
    <w:rsid w:val="00D70362"/>
    <w:rsid w:val="00DA4648"/>
    <w:rsid w:val="00DB1AF5"/>
    <w:rsid w:val="00DB1DC5"/>
    <w:rsid w:val="00DC2851"/>
    <w:rsid w:val="00DC45C7"/>
    <w:rsid w:val="00DC790F"/>
    <w:rsid w:val="00DD22B9"/>
    <w:rsid w:val="00DE065E"/>
    <w:rsid w:val="00DE609A"/>
    <w:rsid w:val="00DF3230"/>
    <w:rsid w:val="00DF726D"/>
    <w:rsid w:val="00E034EF"/>
    <w:rsid w:val="00E23172"/>
    <w:rsid w:val="00E54383"/>
    <w:rsid w:val="00E81405"/>
    <w:rsid w:val="00E84091"/>
    <w:rsid w:val="00E940F0"/>
    <w:rsid w:val="00EA349F"/>
    <w:rsid w:val="00EC127D"/>
    <w:rsid w:val="00EC66B3"/>
    <w:rsid w:val="00F13BFD"/>
    <w:rsid w:val="00F42B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750B01-26A4-4DFD-9A85-52796854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character" w:customStyle="1" w:styleId="KommentarerChar">
    <w:name w:val="Kommentarer Char"/>
    <w:basedOn w:val="Standardstycketeckensnitt"/>
    <w:link w:val="Kommentarer"/>
    <w:semiHidden/>
    <w:rsid w:val="001640FF"/>
    <w:rPr>
      <w:lang w:val="sv-SE" w:eastAsia="sv-SE" w:bidi="ar-SA"/>
    </w:rPr>
  </w:style>
  <w:style w:type="paragraph" w:styleId="Kommentarsmne">
    <w:name w:val="annotation subject"/>
    <w:basedOn w:val="Kommentarer"/>
    <w:next w:val="Kommentarer"/>
    <w:semiHidden/>
    <w:rsid w:val="00D06606"/>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435650">
      <w:bodyDiv w:val="1"/>
      <w:marLeft w:val="0"/>
      <w:marRight w:val="0"/>
      <w:marTop w:val="0"/>
      <w:marBottom w:val="0"/>
      <w:divBdr>
        <w:top w:val="none" w:sz="0" w:space="0" w:color="auto"/>
        <w:left w:val="none" w:sz="0" w:space="0" w:color="auto"/>
        <w:bottom w:val="none" w:sz="0" w:space="0" w:color="auto"/>
        <w:right w:val="none" w:sz="0" w:space="0" w:color="auto"/>
      </w:divBdr>
      <w:divsChild>
        <w:div w:id="1186870237">
          <w:marLeft w:val="0"/>
          <w:marRight w:val="0"/>
          <w:marTop w:val="0"/>
          <w:marBottom w:val="0"/>
          <w:divBdr>
            <w:top w:val="none" w:sz="0" w:space="0" w:color="auto"/>
            <w:left w:val="none" w:sz="0" w:space="0" w:color="auto"/>
            <w:bottom w:val="none" w:sz="0" w:space="0" w:color="auto"/>
            <w:right w:val="none" w:sz="0" w:space="0" w:color="auto"/>
          </w:divBdr>
          <w:divsChild>
            <w:div w:id="571429455">
              <w:marLeft w:val="0"/>
              <w:marRight w:val="0"/>
              <w:marTop w:val="0"/>
              <w:marBottom w:val="0"/>
              <w:divBdr>
                <w:top w:val="none" w:sz="0" w:space="0" w:color="auto"/>
                <w:left w:val="none" w:sz="0" w:space="0" w:color="auto"/>
                <w:bottom w:val="none" w:sz="0" w:space="0" w:color="auto"/>
                <w:right w:val="none" w:sz="0" w:space="0" w:color="auto"/>
              </w:divBdr>
              <w:divsChild>
                <w:div w:id="685837337">
                  <w:marLeft w:val="0"/>
                  <w:marRight w:val="0"/>
                  <w:marTop w:val="0"/>
                  <w:marBottom w:val="0"/>
                  <w:divBdr>
                    <w:top w:val="none" w:sz="0" w:space="0" w:color="auto"/>
                    <w:left w:val="none" w:sz="0" w:space="0" w:color="auto"/>
                    <w:bottom w:val="none" w:sz="0" w:space="0" w:color="auto"/>
                    <w:right w:val="none" w:sz="0" w:space="0" w:color="auto"/>
                  </w:divBdr>
                  <w:divsChild>
                    <w:div w:id="1214655592">
                      <w:marLeft w:val="0"/>
                      <w:marRight w:val="0"/>
                      <w:marTop w:val="0"/>
                      <w:marBottom w:val="0"/>
                      <w:divBdr>
                        <w:top w:val="none" w:sz="0" w:space="0" w:color="auto"/>
                        <w:left w:val="none" w:sz="0" w:space="0" w:color="auto"/>
                        <w:bottom w:val="none" w:sz="0" w:space="0" w:color="auto"/>
                        <w:right w:val="none" w:sz="0" w:space="0" w:color="auto"/>
                      </w:divBdr>
                      <w:divsChild>
                        <w:div w:id="1302156065">
                          <w:marLeft w:val="0"/>
                          <w:marRight w:val="0"/>
                          <w:marTop w:val="0"/>
                          <w:marBottom w:val="0"/>
                          <w:divBdr>
                            <w:top w:val="none" w:sz="0" w:space="0" w:color="auto"/>
                            <w:left w:val="none" w:sz="0" w:space="0" w:color="auto"/>
                            <w:bottom w:val="none" w:sz="0" w:space="0" w:color="auto"/>
                            <w:right w:val="none" w:sz="0" w:space="0" w:color="auto"/>
                          </w:divBdr>
                          <w:divsChild>
                            <w:div w:id="643505902">
                              <w:marLeft w:val="0"/>
                              <w:marRight w:val="0"/>
                              <w:marTop w:val="75"/>
                              <w:marBottom w:val="0"/>
                              <w:divBdr>
                                <w:top w:val="none" w:sz="0" w:space="0" w:color="auto"/>
                                <w:left w:val="none" w:sz="0" w:space="0" w:color="auto"/>
                                <w:bottom w:val="none" w:sz="0" w:space="0" w:color="auto"/>
                                <w:right w:val="none" w:sz="0" w:space="0" w:color="auto"/>
                              </w:divBdr>
                              <w:divsChild>
                                <w:div w:id="137652029">
                                  <w:marLeft w:val="0"/>
                                  <w:marRight w:val="240"/>
                                  <w:marTop w:val="0"/>
                                  <w:marBottom w:val="0"/>
                                  <w:divBdr>
                                    <w:top w:val="none" w:sz="0" w:space="0" w:color="auto"/>
                                    <w:left w:val="none" w:sz="0" w:space="0" w:color="auto"/>
                                    <w:bottom w:val="none" w:sz="0" w:space="0" w:color="auto"/>
                                    <w:right w:val="none" w:sz="0" w:space="0" w:color="auto"/>
                                  </w:divBdr>
                                </w:div>
                                <w:div w:id="1490370037">
                                  <w:marLeft w:val="0"/>
                                  <w:marRight w:val="240"/>
                                  <w:marTop w:val="0"/>
                                  <w:marBottom w:val="0"/>
                                  <w:divBdr>
                                    <w:top w:val="none" w:sz="0" w:space="0" w:color="auto"/>
                                    <w:left w:val="none" w:sz="0" w:space="0" w:color="auto"/>
                                    <w:bottom w:val="none" w:sz="0" w:space="0" w:color="auto"/>
                                    <w:right w:val="none" w:sz="0" w:space="0" w:color="auto"/>
                                  </w:divBdr>
                                </w:div>
                              </w:divsChild>
                            </w:div>
                            <w:div w:id="857767417">
                              <w:marLeft w:val="0"/>
                              <w:marRight w:val="0"/>
                              <w:marTop w:val="0"/>
                              <w:marBottom w:val="0"/>
                              <w:divBdr>
                                <w:top w:val="none" w:sz="0" w:space="0" w:color="auto"/>
                                <w:left w:val="none" w:sz="0" w:space="0" w:color="auto"/>
                                <w:bottom w:val="none" w:sz="0" w:space="0" w:color="auto"/>
                                <w:right w:val="none" w:sz="0" w:space="0" w:color="auto"/>
                              </w:divBdr>
                            </w:div>
                            <w:div w:id="1765109216">
                              <w:marLeft w:val="0"/>
                              <w:marRight w:val="0"/>
                              <w:marTop w:val="480"/>
                              <w:marBottom w:val="0"/>
                              <w:divBdr>
                                <w:top w:val="none" w:sz="0" w:space="0" w:color="auto"/>
                                <w:left w:val="none" w:sz="0" w:space="0" w:color="auto"/>
                                <w:bottom w:val="none" w:sz="0" w:space="0" w:color="auto"/>
                                <w:right w:val="none" w:sz="0" w:space="0" w:color="auto"/>
                              </w:divBdr>
                            </w:div>
                            <w:div w:id="2031252077">
                              <w:marLeft w:val="0"/>
                              <w:marRight w:val="0"/>
                              <w:marTop w:val="0"/>
                              <w:marBottom w:val="0"/>
                              <w:divBdr>
                                <w:top w:val="none" w:sz="0" w:space="0" w:color="auto"/>
                                <w:left w:val="none" w:sz="0" w:space="0" w:color="auto"/>
                                <w:bottom w:val="none" w:sz="0" w:space="0" w:color="auto"/>
                                <w:right w:val="none" w:sz="0" w:space="0" w:color="auto"/>
                              </w:divBdr>
                              <w:divsChild>
                                <w:div w:id="861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2372</Words>
  <Characters>14638</Characters>
  <Application>Microsoft Office Word</Application>
  <DocSecurity>4</DocSecurity>
  <Lines>276</Lines>
  <Paragraphs>90</Paragraphs>
  <ScaleCrop>false</ScaleCrop>
  <HeadingPairs>
    <vt:vector size="2" baseType="variant">
      <vt:variant>
        <vt:lpstr>Rubrik</vt:lpstr>
      </vt:variant>
      <vt:variant>
        <vt:i4>1</vt:i4>
      </vt:variant>
    </vt:vector>
  </HeadingPairs>
  <TitlesOfParts>
    <vt:vector size="1" baseType="lpstr">
      <vt:lpstr>Regeringskansliet</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FPM_201011__15</dc:title>
  <dc:subject>FPM_201011__15</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2010-11-04T15:03:00Z</cp:lastPrinted>
  <dcterms:created xsi:type="dcterms:W3CDTF">2025-12-17T18:20:00Z</dcterms:created>
  <dcterms:modified xsi:type="dcterms:W3CDTF">2025-12-17T18:20:00Z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 (2010) 517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angrepp mot informationssystem</vt:lpwstr>
  </property>
  <property fmtid="{D5CDD505-2E9C-101B-9397-08002B2CF9AE}" pid="8" name="UppDat">
    <vt:lpwstr>2010-11-04</vt:lpwstr>
  </property>
  <property fmtid="{D5CDD505-2E9C-101B-9397-08002B2CF9AE}" pid="9" name="AnkDat">
    <vt:lpwstr>2010-11-04</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2;0;0;212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