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6BD89C6A4964945B61B421F92C5CA2C"/>
        </w:placeholder>
        <w:text/>
      </w:sdtPr>
      <w:sdtEndPr/>
      <w:sdtContent>
        <w:p w:rsidRPr="009B062B" w:rsidR="00AF30DD" w:rsidP="00CF2ED9" w:rsidRDefault="00AF30DD" w14:paraId="5AAD49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25f38c-98d2-49dd-bac3-91a637ca5bcb"/>
        <w:id w:val="-407690530"/>
        <w:lock w:val="sdtLocked"/>
      </w:sdtPr>
      <w:sdtEndPr/>
      <w:sdtContent>
        <w:p w:rsidR="00644945" w:rsidRDefault="00076854" w14:paraId="44F4FFC9" w14:textId="77777777">
          <w:pPr>
            <w:pStyle w:val="Frslagstext"/>
          </w:pPr>
          <w:r>
            <w:t>Riksdagen ställer sig bakom det som anförs i motionen om att göra en översyn för att utveckla en tydligare ägarpolicy och tillkännager detta för regeringen.</w:t>
          </w:r>
        </w:p>
      </w:sdtContent>
    </w:sdt>
    <w:sdt>
      <w:sdtPr>
        <w:alias w:val="Yrkande 2"/>
        <w:tag w:val="1c7b11a4-1c5a-4715-8cea-82f68253b736"/>
        <w:id w:val="192822181"/>
        <w:lock w:val="sdtLocked"/>
      </w:sdtPr>
      <w:sdtEndPr/>
      <w:sdtContent>
        <w:p w:rsidR="00644945" w:rsidRDefault="00076854" w14:paraId="06059259" w14:textId="51316DD6">
          <w:pPr>
            <w:pStyle w:val="Frslagstext"/>
          </w:pPr>
          <w:r>
            <w:t>Riksdagen ställer sig bakom det som anförs i motionen om att säkerställa bättre konkurrens- och upphandlingstillsyn i fråga om statliga 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F918511B8E47679FAAC65712B77056"/>
        </w:placeholder>
        <w:text/>
      </w:sdtPr>
      <w:sdtEndPr/>
      <w:sdtContent>
        <w:p w:rsidRPr="009B062B" w:rsidR="006D79C9" w:rsidP="00333E95" w:rsidRDefault="006D79C9" w14:paraId="1ECC0905" w14:textId="77777777">
          <w:pPr>
            <w:pStyle w:val="Rubrik1"/>
          </w:pPr>
          <w:r>
            <w:t>Motivering</w:t>
          </w:r>
        </w:p>
      </w:sdtContent>
    </w:sdt>
    <w:p w:rsidRPr="00A82C49" w:rsidR="005232CB" w:rsidP="00A82C49" w:rsidRDefault="005232CB" w14:paraId="1482D07F" w14:textId="5EE0938D">
      <w:pPr>
        <w:pStyle w:val="Normalutanindragellerluft"/>
        <w:rPr>
          <w:spacing w:val="-1"/>
        </w:rPr>
      </w:pPr>
      <w:r>
        <w:t>State</w:t>
      </w:r>
      <w:r w:rsidR="00D827BC">
        <w:t xml:space="preserve">ns bolagsportfölj består av 46 bolag, varav 22 har särskilt beslutade </w:t>
      </w:r>
      <w:r w:rsidRPr="00A82C49" w:rsidR="00D827BC">
        <w:rPr>
          <w:spacing w:val="-1"/>
        </w:rPr>
        <w:t>samhällsupp</w:t>
      </w:r>
      <w:r w:rsidR="00A82C49">
        <w:rPr>
          <w:spacing w:val="-1"/>
        </w:rPr>
        <w:softHyphen/>
      </w:r>
      <w:r w:rsidRPr="00A82C49" w:rsidR="00D827BC">
        <w:rPr>
          <w:spacing w:val="-1"/>
        </w:rPr>
        <w:t xml:space="preserve">drag. Bolagen har en </w:t>
      </w:r>
      <w:r w:rsidRPr="00A82C49">
        <w:rPr>
          <w:spacing w:val="-1"/>
        </w:rPr>
        <w:t>omsättning på 405 miljarder kronor inklusive intressebolag och med ett portföljvärde 2019 som uppskatta</w:t>
      </w:r>
      <w:r w:rsidRPr="00A82C49" w:rsidR="001F4523">
        <w:rPr>
          <w:spacing w:val="-1"/>
        </w:rPr>
        <w:t>de</w:t>
      </w:r>
      <w:r w:rsidRPr="00A82C49">
        <w:rPr>
          <w:spacing w:val="-1"/>
        </w:rPr>
        <w:t>s till 640 miljarder kronor. Det finns 129 000 anställda</w:t>
      </w:r>
      <w:r w:rsidRPr="00A82C49" w:rsidR="0058052B">
        <w:rPr>
          <w:spacing w:val="-1"/>
        </w:rPr>
        <w:t>,</w:t>
      </w:r>
      <w:r w:rsidRPr="00A82C49">
        <w:rPr>
          <w:spacing w:val="-1"/>
        </w:rPr>
        <w:t xml:space="preserve"> varav 52 procent män</w:t>
      </w:r>
      <w:r w:rsidRPr="00A82C49" w:rsidR="00217B44">
        <w:rPr>
          <w:spacing w:val="-1"/>
        </w:rPr>
        <w:t>. Ägaren staten styr genom riksdagens uppdrag och regeringens ägarpolicy som innehåller ekonomiska</w:t>
      </w:r>
      <w:r w:rsidRPr="00A82C49" w:rsidR="0058052B">
        <w:rPr>
          <w:spacing w:val="-1"/>
        </w:rPr>
        <w:t xml:space="preserve"> mål</w:t>
      </w:r>
      <w:r w:rsidRPr="00A82C49" w:rsidR="00217B44">
        <w:rPr>
          <w:spacing w:val="-1"/>
        </w:rPr>
        <w:t>, uppdrags</w:t>
      </w:r>
      <w:r w:rsidRPr="00A82C49" w:rsidR="0058052B">
        <w:rPr>
          <w:spacing w:val="-1"/>
        </w:rPr>
        <w:t>mål</w:t>
      </w:r>
      <w:r w:rsidRPr="00A82C49" w:rsidR="00217B44">
        <w:rPr>
          <w:spacing w:val="-1"/>
        </w:rPr>
        <w:t xml:space="preserve"> och strategiska mål. I grunden anser Centerpartiet att statens bolag förvaltas väl. Men utvecklingen kräver ständiga förbättringar och </w:t>
      </w:r>
      <w:r w:rsidRPr="00A82C49" w:rsidR="001F4523">
        <w:rPr>
          <w:spacing w:val="-1"/>
        </w:rPr>
        <w:t>då</w:t>
      </w:r>
      <w:r w:rsidRPr="00A82C49" w:rsidR="00217B44">
        <w:rPr>
          <w:spacing w:val="-1"/>
        </w:rPr>
        <w:t xml:space="preserve"> är det aktiva ägandet helt centralt. </w:t>
      </w:r>
    </w:p>
    <w:p w:rsidRPr="00A82C49" w:rsidR="002552E3" w:rsidP="00A82C49" w:rsidRDefault="002552E3" w14:paraId="0B02AD1E" w14:textId="77777777">
      <w:pPr>
        <w:pStyle w:val="Rubrik2"/>
      </w:pPr>
      <w:r w:rsidRPr="00A82C49">
        <w:t>Utveckla en tydligare ägarpolicy gällande social hållbarhet</w:t>
      </w:r>
    </w:p>
    <w:p w:rsidRPr="00A82C49" w:rsidR="005232CB" w:rsidP="00A82C49" w:rsidRDefault="005232CB" w14:paraId="00B8115F" w14:textId="08567F76">
      <w:pPr>
        <w:pStyle w:val="Normalutanindragellerluft"/>
        <w:rPr>
          <w:spacing w:val="-1"/>
        </w:rPr>
      </w:pPr>
      <w:r w:rsidRPr="00A82C49">
        <w:rPr>
          <w:spacing w:val="-1"/>
        </w:rPr>
        <w:t xml:space="preserve">Centerpartiet anser att det inte är en kärnuppgift att staten äger och driver företag, men att det i vissa fall kan vara motiverat. Det finns en inbyggd problematik med statligt ägande i grunden och det är att staten får två roller, </w:t>
      </w:r>
      <w:r w:rsidRPr="00A82C49" w:rsidR="0058052B">
        <w:rPr>
          <w:spacing w:val="-1"/>
        </w:rPr>
        <w:t>dvs.</w:t>
      </w:r>
      <w:r w:rsidRPr="00A82C49">
        <w:rPr>
          <w:spacing w:val="-1"/>
        </w:rPr>
        <w:t xml:space="preserve"> att man sitter på två stolar samtidigt – både som lagstiftare och som bolagsägare. Vi anser därför att staten, när förutsättningarna finns, ska pröva sitt ägande av de statliga bolag som inte har ett särskilt samhällsuppdrag eller som</w:t>
      </w:r>
      <w:r w:rsidRPr="00A82C49" w:rsidR="0058052B">
        <w:rPr>
          <w:spacing w:val="-1"/>
        </w:rPr>
        <w:t xml:space="preserve"> inte</w:t>
      </w:r>
      <w:r w:rsidRPr="00A82C49">
        <w:rPr>
          <w:spacing w:val="-1"/>
        </w:rPr>
        <w:t xml:space="preserve"> är strategiskt eller säkerhetspolitiskt viktiga. Men efter</w:t>
      </w:r>
      <w:r w:rsidR="00A82C49">
        <w:rPr>
          <w:spacing w:val="-1"/>
        </w:rPr>
        <w:softHyphen/>
      </w:r>
      <w:r w:rsidRPr="00A82C49">
        <w:rPr>
          <w:spacing w:val="-1"/>
        </w:rPr>
        <w:t xml:space="preserve">som staten är en stor bolagsägare och kommer </w:t>
      </w:r>
      <w:r w:rsidRPr="00A82C49" w:rsidR="0058052B">
        <w:rPr>
          <w:spacing w:val="-1"/>
        </w:rPr>
        <w:t xml:space="preserve">att </w:t>
      </w:r>
      <w:r w:rsidRPr="00A82C49">
        <w:rPr>
          <w:spacing w:val="-1"/>
        </w:rPr>
        <w:t>fortsätta att vara det under överskådlig tid är det viktigt att ägaren driver sina företag på ett långsiktigt professionellt, värde</w:t>
      </w:r>
      <w:r w:rsidR="00A82C49">
        <w:rPr>
          <w:spacing w:val="-1"/>
        </w:rPr>
        <w:softHyphen/>
      </w:r>
      <w:r w:rsidRPr="00A82C49">
        <w:rPr>
          <w:spacing w:val="-1"/>
        </w:rPr>
        <w:lastRenderedPageBreak/>
        <w:t>skapande och hållbart sätt. Återigen är det viktigt att påpeka att flera av bolagen dess</w:t>
      </w:r>
      <w:r w:rsidR="00A82C49">
        <w:rPr>
          <w:spacing w:val="-1"/>
        </w:rPr>
        <w:softHyphen/>
      </w:r>
      <w:r w:rsidRPr="00A82C49">
        <w:rPr>
          <w:spacing w:val="-1"/>
        </w:rPr>
        <w:t>utom har viktiga samhällsuppdrag där fokus inte bara är ekonomi utan även handlar om andra vinster för samhället. Här är det viktigt att de samhälleliga vinsterna tydligt redo</w:t>
      </w:r>
      <w:r w:rsidR="00A82C49">
        <w:rPr>
          <w:spacing w:val="-1"/>
        </w:rPr>
        <w:softHyphen/>
      </w:r>
      <w:r w:rsidRPr="00A82C49">
        <w:rPr>
          <w:spacing w:val="-1"/>
        </w:rPr>
        <w:t xml:space="preserve">visas och är styrande för bolagens verksamhet. </w:t>
      </w:r>
    </w:p>
    <w:p w:rsidR="00872A85" w:rsidP="00A82C49" w:rsidRDefault="00CC6B73" w14:paraId="195C7281" w14:textId="5A24E80C">
      <w:r>
        <w:t xml:space="preserve">Bolagsportföljens storlek gör att statens bolag på olika sätt </w:t>
      </w:r>
      <w:r w:rsidR="002339ED">
        <w:t xml:space="preserve">finns direkt i </w:t>
      </w:r>
      <w:r>
        <w:t>människors vardag</w:t>
      </w:r>
      <w:r w:rsidR="001F4523">
        <w:t xml:space="preserve"> i hela landet</w:t>
      </w:r>
      <w:r w:rsidR="002339ED">
        <w:t>.</w:t>
      </w:r>
      <w:r w:rsidR="00217B44">
        <w:t xml:space="preserve"> Exempelvis g</w:t>
      </w:r>
      <w:r w:rsidR="002339ED">
        <w:t xml:space="preserve">ruvdrift, </w:t>
      </w:r>
      <w:r w:rsidR="00217B44">
        <w:t>s</w:t>
      </w:r>
      <w:r w:rsidR="002339ED">
        <w:t xml:space="preserve">kogsbruk, fastighetsinnehav </w:t>
      </w:r>
      <w:r w:rsidR="001F4523">
        <w:t xml:space="preserve">och riskkapital </w:t>
      </w:r>
      <w:r w:rsidR="002339ED">
        <w:t>är en del av många människor</w:t>
      </w:r>
      <w:r w:rsidR="0058052B">
        <w:t>s</w:t>
      </w:r>
      <w:r w:rsidR="002339ED">
        <w:t xml:space="preserve"> liv och vardag. </w:t>
      </w:r>
      <w:r w:rsidR="00872A85">
        <w:t xml:space="preserve">För att motivera statens ägande måste de som ytterst äger bolagen, </w:t>
      </w:r>
      <w:r w:rsidR="0058052B">
        <w:t>dvs.</w:t>
      </w:r>
      <w:r w:rsidR="00872A85">
        <w:t xml:space="preserve"> medborgarna, känna att dialog</w:t>
      </w:r>
      <w:r w:rsidR="0058052B">
        <w:t>er</w:t>
      </w:r>
      <w:r w:rsidR="00872A85">
        <w:t xml:space="preserve"> kring investeringsbeslut, arrenden, avtal </w:t>
      </w:r>
      <w:r w:rsidR="0058052B">
        <w:t>m.m.</w:t>
      </w:r>
      <w:r w:rsidR="00872A85">
        <w:t xml:space="preserve"> är </w:t>
      </w:r>
      <w:r w:rsidR="0058052B">
        <w:t>sjysta</w:t>
      </w:r>
      <w:r w:rsidR="00872A85">
        <w:t xml:space="preserve"> och transparenta</w:t>
      </w:r>
      <w:r w:rsidR="0058052B">
        <w:t>,</w:t>
      </w:r>
      <w:r w:rsidR="00872A85">
        <w:t xml:space="preserve"> annars riskerar statens ägande och för</w:t>
      </w:r>
      <w:r w:rsidR="00A82C49">
        <w:softHyphen/>
      </w:r>
      <w:r w:rsidR="00872A85">
        <w:t>valtning av bolagen</w:t>
      </w:r>
      <w:r w:rsidR="0058052B">
        <w:t xml:space="preserve"> att</w:t>
      </w:r>
      <w:r w:rsidR="00872A85">
        <w:t xml:space="preserve"> ifrågasättas. </w:t>
      </w:r>
      <w:r w:rsidR="002339ED">
        <w:t>Samtidigt är bolagens verksamheter komplexa. Det gör att staten har ett stort ansvar i dialogen med medborgarna</w:t>
      </w:r>
      <w:r w:rsidR="00217B44">
        <w:t>.</w:t>
      </w:r>
      <w:r w:rsidR="002339ED">
        <w:t xml:space="preserve"> </w:t>
      </w:r>
      <w:r w:rsidR="00872A85">
        <w:t>I synnerhet i svåra ekono</w:t>
      </w:r>
      <w:r w:rsidR="00A82C49">
        <w:softHyphen/>
      </w:r>
      <w:r w:rsidR="00872A85">
        <w:t>miska och pandemiska tider prövas även de statliga bolagens kraft och förmåga att upp</w:t>
      </w:r>
      <w:r w:rsidR="00A82C49">
        <w:softHyphen/>
      </w:r>
      <w:r w:rsidR="00872A85">
        <w:t xml:space="preserve">fylla </w:t>
      </w:r>
      <w:bookmarkStart w:name="_Hlk51000185" w:id="1"/>
      <w:r w:rsidR="00872A85">
        <w:t>ägarens ekonomiska</w:t>
      </w:r>
      <w:r w:rsidR="0058052B">
        <w:t xml:space="preserve"> mål</w:t>
      </w:r>
      <w:r w:rsidR="00872A85">
        <w:t>, uppdrags</w:t>
      </w:r>
      <w:r w:rsidR="0058052B">
        <w:t>mål</w:t>
      </w:r>
      <w:r w:rsidR="00872A85">
        <w:t xml:space="preserve"> och strategiska mål.</w:t>
      </w:r>
      <w:bookmarkEnd w:id="1"/>
      <w:r w:rsidR="00872A85">
        <w:t xml:space="preserve"> </w:t>
      </w:r>
    </w:p>
    <w:p w:rsidR="00BB6339" w:rsidP="00A82C49" w:rsidRDefault="00217B44" w14:paraId="0AA19034" w14:textId="77777777">
      <w:r>
        <w:t xml:space="preserve">Mot bakgrund av detta anser Centerpartiet </w:t>
      </w:r>
      <w:r w:rsidR="002552E3">
        <w:t>att</w:t>
      </w:r>
      <w:r>
        <w:t xml:space="preserve"> en översyn </w:t>
      </w:r>
      <w:bookmarkStart w:name="_Hlk51000494" w:id="2"/>
      <w:r w:rsidR="00872A85">
        <w:t>av</w:t>
      </w:r>
      <w:r>
        <w:t xml:space="preserve"> </w:t>
      </w:r>
      <w:r w:rsidR="00872A85">
        <w:t>statens</w:t>
      </w:r>
      <w:r>
        <w:t xml:space="preserve"> </w:t>
      </w:r>
      <w:r w:rsidR="00E805E7">
        <w:t>ägar</w:t>
      </w:r>
      <w:r>
        <w:t xml:space="preserve">policy </w:t>
      </w:r>
      <w:bookmarkEnd w:id="2"/>
      <w:r w:rsidRPr="00872A85" w:rsidR="00872A85">
        <w:t xml:space="preserve">bör göras </w:t>
      </w:r>
      <w:r w:rsidR="002552E3">
        <w:t xml:space="preserve">kring den sociala hållbarheten </w:t>
      </w:r>
      <w:r>
        <w:t xml:space="preserve">för </w:t>
      </w:r>
      <w:r w:rsidR="00920441">
        <w:t xml:space="preserve">att höja </w:t>
      </w:r>
      <w:r w:rsidR="00872A85">
        <w:t xml:space="preserve">transparensen, </w:t>
      </w:r>
      <w:r w:rsidR="00920441">
        <w:t>förståelse</w:t>
      </w:r>
      <w:r w:rsidR="00872A85">
        <w:t>n</w:t>
      </w:r>
      <w:r w:rsidR="00920441">
        <w:t>, tilltro</w:t>
      </w:r>
      <w:r w:rsidR="00872A85">
        <w:t>n</w:t>
      </w:r>
      <w:r w:rsidR="00920441">
        <w:t xml:space="preserve"> och respekt</w:t>
      </w:r>
      <w:r w:rsidR="00872A85">
        <w:t>en</w:t>
      </w:r>
      <w:r w:rsidR="00920441">
        <w:t xml:space="preserve"> för de kvalificerade och komplexa beslut som statens bolag tar. </w:t>
      </w:r>
    </w:p>
    <w:p w:rsidRPr="00A82C49" w:rsidR="002552E3" w:rsidP="00A82C49" w:rsidRDefault="002552E3" w14:paraId="0A86639E" w14:textId="77777777">
      <w:pPr>
        <w:pStyle w:val="Rubrik2"/>
      </w:pPr>
      <w:r w:rsidRPr="00A82C49">
        <w:t>Konkurrens på lika villkor</w:t>
      </w:r>
    </w:p>
    <w:p w:rsidR="002552E3" w:rsidP="00A82C49" w:rsidRDefault="002552E3" w14:paraId="60A84823" w14:textId="5DC9B72C">
      <w:pPr>
        <w:pStyle w:val="Normalutanindragellerluft"/>
      </w:pPr>
      <w:r>
        <w:t xml:space="preserve">Konkurrensverket uppskattade 2017 att den offentliga upphandlingsmarknaden var värd 706 miljarder kronor. Storleken på statens ägande medför ett stort ansvar </w:t>
      </w:r>
      <w:r w:rsidR="0058052B">
        <w:t xml:space="preserve">för </w:t>
      </w:r>
      <w:r>
        <w:t xml:space="preserve">att olika marknader fungerar. Riksrevisionen har i sin rapport </w:t>
      </w:r>
      <w:proofErr w:type="spellStart"/>
      <w:r>
        <w:t>RiR</w:t>
      </w:r>
      <w:proofErr w:type="spellEnd"/>
      <w:r>
        <w:t xml:space="preserve"> 2019:26 granskat Konkurrens</w:t>
      </w:r>
      <w:r w:rsidR="00A82C49">
        <w:softHyphen/>
      </w:r>
      <w:r>
        <w:t>verkets tillsynsverksamhet. Granskningen har analyserat Konkurrensverkets förmåga till effektivt resursutnyttjande i myndighetens tillsynsverksamhet, med fokus på prioriter</w:t>
      </w:r>
      <w:r w:rsidR="00A82C49">
        <w:softHyphen/>
      </w:r>
      <w:r>
        <w:t xml:space="preserve">ingspolicy och tillsynsprocesser. </w:t>
      </w:r>
    </w:p>
    <w:p w:rsidRPr="00C84463" w:rsidR="002552E3" w:rsidP="00A82C49" w:rsidRDefault="002552E3" w14:paraId="7D3F0EB5" w14:textId="55A7A142">
      <w:r>
        <w:t xml:space="preserve">Företagarna redovisade i </w:t>
      </w:r>
      <w:r w:rsidR="0058052B">
        <w:t>sin</w:t>
      </w:r>
      <w:r>
        <w:t xml:space="preserve"> rapport</w:t>
      </w:r>
      <w:r w:rsidR="0058052B">
        <w:t xml:space="preserve"> </w:t>
      </w:r>
      <w:r w:rsidR="008B1FC5">
        <w:t>Offentlig upphandling</w:t>
      </w:r>
      <w:r w:rsidR="0058052B">
        <w:t xml:space="preserve"> </w:t>
      </w:r>
      <w:r w:rsidR="008B1FC5">
        <w:t xml:space="preserve">och oschysst konkurrens </w:t>
      </w:r>
      <w:r>
        <w:t xml:space="preserve">från början av detta år en kartläggning av konkurrenssituationen vad gäller upphandling av </w:t>
      </w:r>
      <w:r w:rsidRPr="00114016">
        <w:t>drift och underhåll av väg</w:t>
      </w:r>
      <w:r>
        <w:t xml:space="preserve">. Centerpartiet kommer </w:t>
      </w:r>
      <w:r w:rsidR="0058052B">
        <w:t xml:space="preserve">att </w:t>
      </w:r>
      <w:r>
        <w:t xml:space="preserve">arbeta i riksdagen för bättre fungerande marknader genom sunda konkurrensvillkor och tydligare styrning av de statliga bolagen. </w:t>
      </w:r>
    </w:p>
    <w:p w:rsidR="002552E3" w:rsidP="00A82C49" w:rsidRDefault="008B1FC5" w14:paraId="77242864" w14:textId="15C50752">
      <w:r>
        <w:t>S</w:t>
      </w:r>
      <w:r w:rsidR="002552E3">
        <w:t>lutsats</w:t>
      </w:r>
      <w:r>
        <w:t>en</w:t>
      </w:r>
      <w:r w:rsidR="002552E3">
        <w:t xml:space="preserve"> av Riksrevisionens och Företagarnas rapport</w:t>
      </w:r>
      <w:r>
        <w:t>er</w:t>
      </w:r>
      <w:r w:rsidR="002552E3">
        <w:t xml:space="preserve"> är att regeringen måste </w:t>
      </w:r>
      <w:bookmarkStart w:name="_Hlk51069086" w:id="3"/>
      <w:r w:rsidR="002552E3">
        <w:t xml:space="preserve">säkerställa bättre konkurrens- och upphandlingstillsyn </w:t>
      </w:r>
      <w:bookmarkEnd w:id="3"/>
      <w:r w:rsidR="002552E3">
        <w:t>även vad gäller statliga bolag. Att styra, följa upp och utvärdera konkurrens</w:t>
      </w:r>
      <w:r>
        <w:t>villkoren måste</w:t>
      </w:r>
      <w:r w:rsidR="002552E3">
        <w:t xml:space="preserve"> därför vara en prioriterad åt</w:t>
      </w:r>
      <w:r w:rsidR="00A82C49">
        <w:softHyphen/>
      </w:r>
      <w:r w:rsidR="002552E3">
        <w:t>gärd för regeringen. Vi ser att regeringen behöver göra mer på detta område och åter</w:t>
      </w:r>
      <w:r w:rsidR="00A82C49">
        <w:softHyphen/>
      </w:r>
      <w:bookmarkStart w:name="_GoBack" w:id="4"/>
      <w:bookmarkEnd w:id="4"/>
      <w:r w:rsidR="002552E3">
        <w:t>komma till riksdagen med slutsatser och vidtagna åtgärder.</w:t>
      </w:r>
    </w:p>
    <w:sdt>
      <w:sdtPr>
        <w:alias w:val="CC_Underskrifter"/>
        <w:tag w:val="CC_Underskrifter"/>
        <w:id w:val="583496634"/>
        <w:lock w:val="sdtContentLocked"/>
        <w:placeholder>
          <w:docPart w:val="BF324057D7ED441D8A4EF458EB3129B4"/>
        </w:placeholder>
      </w:sdtPr>
      <w:sdtEndPr/>
      <w:sdtContent>
        <w:p w:rsidR="00CF2ED9" w:rsidP="00BE018E" w:rsidRDefault="00CF2ED9" w14:paraId="7093B055" w14:textId="77777777"/>
        <w:p w:rsidRPr="008E0FE2" w:rsidR="004801AC" w:rsidP="00BE018E" w:rsidRDefault="00A82C49" w14:paraId="6CE0B3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Helander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Niels Paarup-Petersen (C)</w:t>
            </w:r>
          </w:p>
        </w:tc>
      </w:tr>
    </w:tbl>
    <w:p w:rsidR="00560ADE" w:rsidRDefault="00560ADE" w14:paraId="63614589" w14:textId="77777777"/>
    <w:sectPr w:rsidR="00560A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5A4C" w14:textId="77777777" w:rsidR="005468A1" w:rsidRDefault="005468A1" w:rsidP="000C1CAD">
      <w:pPr>
        <w:spacing w:line="240" w:lineRule="auto"/>
      </w:pPr>
      <w:r>
        <w:separator/>
      </w:r>
    </w:p>
  </w:endnote>
  <w:endnote w:type="continuationSeparator" w:id="0">
    <w:p w14:paraId="5B4DF006" w14:textId="77777777" w:rsidR="005468A1" w:rsidRDefault="005468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F8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DF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7160" w14:textId="77777777" w:rsidR="00262EA3" w:rsidRPr="00BE018E" w:rsidRDefault="00262EA3" w:rsidP="00BE01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B5D3" w14:textId="77777777" w:rsidR="005468A1" w:rsidRDefault="005468A1" w:rsidP="000C1CAD">
      <w:pPr>
        <w:spacing w:line="240" w:lineRule="auto"/>
      </w:pPr>
      <w:r>
        <w:separator/>
      </w:r>
    </w:p>
  </w:footnote>
  <w:footnote w:type="continuationSeparator" w:id="0">
    <w:p w14:paraId="6A837C4A" w14:textId="77777777" w:rsidR="005468A1" w:rsidRDefault="005468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EA8A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7F0FEB" wp14:anchorId="428FD8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2C49" w14:paraId="76E127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84C96CF82D41E1B3F506FF445D02AD"/>
                              </w:placeholder>
                              <w:text/>
                            </w:sdtPr>
                            <w:sdtEndPr/>
                            <w:sdtContent>
                              <w:r w:rsidR="00325EF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A64D78BA6A4FD98A74E9D71F6D0BF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8FD8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2C49" w14:paraId="76E127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84C96CF82D41E1B3F506FF445D02AD"/>
                        </w:placeholder>
                        <w:text/>
                      </w:sdtPr>
                      <w:sdtEndPr/>
                      <w:sdtContent>
                        <w:r w:rsidR="00325EF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A64D78BA6A4FD98A74E9D71F6D0BF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D3E87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8C2E18" w14:textId="77777777">
    <w:pPr>
      <w:jc w:val="right"/>
    </w:pPr>
  </w:p>
  <w:p w:rsidR="00262EA3" w:rsidP="00776B74" w:rsidRDefault="00262EA3" w14:paraId="46D118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82C49" w14:paraId="47ACEC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601A62" wp14:anchorId="5C9273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2C49" w14:paraId="4FEA70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5EF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82C49" w14:paraId="6FFBC3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2C49" w14:paraId="287629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:143</w:t>
        </w:r>
      </w:sdtContent>
    </w:sdt>
  </w:p>
  <w:p w:rsidR="00262EA3" w:rsidP="00E03A3D" w:rsidRDefault="00A82C49" w14:paraId="581A70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76854" w14:paraId="094C1B40" w14:textId="77777777">
        <w:pPr>
          <w:pStyle w:val="FSHRub2"/>
        </w:pPr>
        <w:r>
          <w:t>med anledning av skr. 2019/20:140 2020 års redogörelse för företag med statligt ägande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BE0C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2820"/>
    <w:multiLevelType w:val="hybridMultilevel"/>
    <w:tmpl w:val="D93EBC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25E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54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01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52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B44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9ED"/>
    <w:rsid w:val="002344F4"/>
    <w:rsid w:val="00234A25"/>
    <w:rsid w:val="002350F5"/>
    <w:rsid w:val="00235535"/>
    <w:rsid w:val="002361FB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2E3"/>
    <w:rsid w:val="00256E82"/>
    <w:rsid w:val="00257E6C"/>
    <w:rsid w:val="00257E7B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280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5EF0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59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95E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2CB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8A1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AD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52B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94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C77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8E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CAA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2A85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FC5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441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C49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E41"/>
    <w:rsid w:val="00BE018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63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73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ED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7BC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5E7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4EA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A558A8"/>
  <w15:chartTrackingRefBased/>
  <w15:docId w15:val="{A3179D23-FAE6-490F-8853-F969B519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BD89C6A4964945B61B421F92C5C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9A3DC-9C79-4006-8A35-F3D606709FFD}"/>
      </w:docPartPr>
      <w:docPartBody>
        <w:p w:rsidR="006070F9" w:rsidRDefault="006070F9">
          <w:pPr>
            <w:pStyle w:val="96BD89C6A4964945B61B421F92C5CA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F918511B8E47679FAAC65712B77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D0083-EDBE-4F84-B7EF-C4F73F7CD0EE}"/>
      </w:docPartPr>
      <w:docPartBody>
        <w:p w:rsidR="006070F9" w:rsidRDefault="006070F9">
          <w:pPr>
            <w:pStyle w:val="8AF918511B8E47679FAAC65712B770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84C96CF82D41E1B3F506FF445D0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48E9C-BB7B-4BD4-883E-97584A9AE4D3}"/>
      </w:docPartPr>
      <w:docPartBody>
        <w:p w:rsidR="006070F9" w:rsidRDefault="006070F9">
          <w:pPr>
            <w:pStyle w:val="5484C96CF82D41E1B3F506FF445D0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A64D78BA6A4FD98A74E9D71F6D0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A45B2-7237-4835-AADE-4161853A5B04}"/>
      </w:docPartPr>
      <w:docPartBody>
        <w:p w:rsidR="006070F9" w:rsidRDefault="006070F9">
          <w:pPr>
            <w:pStyle w:val="2EA64D78BA6A4FD98A74E9D71F6D0BF8"/>
          </w:pPr>
          <w:r>
            <w:t xml:space="preserve"> </w:t>
          </w:r>
        </w:p>
      </w:docPartBody>
    </w:docPart>
    <w:docPart>
      <w:docPartPr>
        <w:name w:val="BF324057D7ED441D8A4EF458EB312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44DEE-3848-499B-92E8-203B66939E32}"/>
      </w:docPartPr>
      <w:docPartBody>
        <w:p w:rsidR="00DA2D85" w:rsidRDefault="00DA2D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F9"/>
    <w:rsid w:val="006070F9"/>
    <w:rsid w:val="00DA2D85"/>
    <w:rsid w:val="00E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BD89C6A4964945B61B421F92C5CA2C">
    <w:name w:val="96BD89C6A4964945B61B421F92C5CA2C"/>
  </w:style>
  <w:style w:type="paragraph" w:customStyle="1" w:styleId="7E7B0CC5F71B4748A1AACF752353D9B0">
    <w:name w:val="7E7B0CC5F71B4748A1AACF752353D9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FCEE2292D54F348DACF33D8F884252">
    <w:name w:val="7FFCEE2292D54F348DACF33D8F884252"/>
  </w:style>
  <w:style w:type="paragraph" w:customStyle="1" w:styleId="8AF918511B8E47679FAAC65712B77056">
    <w:name w:val="8AF918511B8E47679FAAC65712B77056"/>
  </w:style>
  <w:style w:type="paragraph" w:customStyle="1" w:styleId="14728AEF1206403FAACA10404D1D445F">
    <w:name w:val="14728AEF1206403FAACA10404D1D445F"/>
  </w:style>
  <w:style w:type="paragraph" w:customStyle="1" w:styleId="FCEE365440AE47F29BF1963BEFDFADA3">
    <w:name w:val="FCEE365440AE47F29BF1963BEFDFADA3"/>
  </w:style>
  <w:style w:type="paragraph" w:customStyle="1" w:styleId="5484C96CF82D41E1B3F506FF445D02AD">
    <w:name w:val="5484C96CF82D41E1B3F506FF445D02AD"/>
  </w:style>
  <w:style w:type="paragraph" w:customStyle="1" w:styleId="2EA64D78BA6A4FD98A74E9D71F6D0BF8">
    <w:name w:val="2EA64D78BA6A4FD98A74E9D71F6D0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80DBE-A8F3-4621-9612-19E06262A0A8}"/>
</file>

<file path=customXml/itemProps2.xml><?xml version="1.0" encoding="utf-8"?>
<ds:datastoreItem xmlns:ds="http://schemas.openxmlformats.org/officeDocument/2006/customXml" ds:itemID="{0BCFCB03-CD8D-439F-97B1-425A6B9E4717}"/>
</file>

<file path=customXml/itemProps3.xml><?xml version="1.0" encoding="utf-8"?>
<ds:datastoreItem xmlns:ds="http://schemas.openxmlformats.org/officeDocument/2006/customXml" ds:itemID="{CD42E483-0ED9-404F-895B-818B76E6A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3809</Characters>
  <Application>Microsoft Office Word</Application>
  <DocSecurity>0</DocSecurity>
  <Lines>71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2019 20 140 2020 års redogörelse för företag med statligt ägande</vt:lpstr>
      <vt:lpstr>
      </vt:lpstr>
    </vt:vector>
  </TitlesOfParts>
  <Company>Sveriges riksdag</Company>
  <LinksUpToDate>false</LinksUpToDate>
  <CharactersWithSpaces>4417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