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52B0" w:rsidRPr="0084454B" w:rsidRDefault="00B652B0">
      <w:pPr>
        <w:pStyle w:val="Frslagsrubrik"/>
        <w:shd w:val="clear" w:color="000000" w:fill="auto"/>
      </w:pPr>
      <w:r w:rsidRPr="0084454B">
        <w:t>Förslag till riksdagsbeslut</w:t>
      </w:r>
    </w:p>
    <w:p w:rsidR="00B652B0" w:rsidRPr="0084454B" w:rsidRDefault="00B652B0">
      <w:pPr>
        <w:pStyle w:val="Hemstlatt"/>
        <w:shd w:val="clear" w:color="000000" w:fill="auto"/>
        <w:ind w:left="0"/>
      </w:pPr>
      <w:r w:rsidRPr="0084454B">
        <w:t>Riksdagen tillkännager för regeringen som sin mening vad som anförs i motionen om långsiktiga planeringsförutsättningar för Rett Center.</w:t>
      </w:r>
    </w:p>
    <w:p w:rsidR="00B652B0" w:rsidRPr="0084454B" w:rsidRDefault="00B652B0">
      <w:pPr>
        <w:pStyle w:val="Rubrik1"/>
        <w:shd w:val="clear" w:color="000000" w:fill="auto"/>
      </w:pPr>
      <w:r w:rsidRPr="0084454B">
        <w:t>Motivering</w:t>
      </w:r>
    </w:p>
    <w:p w:rsidR="00B652B0" w:rsidRPr="0084454B" w:rsidRDefault="00B652B0">
      <w:pPr>
        <w:shd w:val="clear" w:color="000000" w:fill="auto"/>
      </w:pPr>
      <w:r w:rsidRPr="0084454B">
        <w:t>Rett Center är ett nationellt svenskt center för Rett syndrom, en sällsynt, men svår neurologisk störning som drabbar företrädesvis flickor i spädbarnsåldern. Centret samlar en flerprofessionell kompetens för att möta komplicerade, specifika flerhandikappbehov vid Rett syndrom. Centret fungerar som speci</w:t>
      </w:r>
      <w:r w:rsidRPr="0084454B">
        <w:t>a</w:t>
      </w:r>
      <w:r w:rsidRPr="0084454B">
        <w:t>listklinik, forsknings- och utvecklingsenhet och kompetenscenter. Rett Center drivs av Jämtlands läns landsting som en fristående klinik för högspecialis</w:t>
      </w:r>
      <w:r w:rsidRPr="0084454B">
        <w:t>e</w:t>
      </w:r>
      <w:r w:rsidRPr="0084454B">
        <w:t>rad vård. Sedan slutet av 2002 har staten det finansiella ansvaret för Rett Center.</w:t>
      </w:r>
    </w:p>
    <w:p w:rsidR="00B652B0" w:rsidRPr="0084454B" w:rsidRDefault="00B652B0">
      <w:pPr>
        <w:pStyle w:val="Normaltindrag"/>
        <w:shd w:val="clear" w:color="000000" w:fill="auto"/>
      </w:pPr>
      <w:r w:rsidRPr="0084454B">
        <w:t>Under den förra socialdemokratiska regeringen, 2002–2006, när Sociald</w:t>
      </w:r>
      <w:r w:rsidRPr="0084454B">
        <w:t>e</w:t>
      </w:r>
      <w:r w:rsidRPr="0084454B">
        <w:t>mokraterna, Vänsterpartiet och Miljöpartiet de gröna samarbetade lyftes Rett Centers anslag in i statsbudgeten, vilket gjorde att verksamheten gavs en långsiktig planeringshorisont. Detta manifesterades särskilt tydligt av att bidraget gavs i form av ett rullande treårsstöd. Sedan den nya borgerliga r</w:t>
      </w:r>
      <w:r w:rsidRPr="0084454B">
        <w:t>e</w:t>
      </w:r>
      <w:r w:rsidRPr="0084454B">
        <w:t>geringen tillträdde efter valet 2006 har statens stöd till Rett Center i statsbu</w:t>
      </w:r>
      <w:r w:rsidRPr="0084454B">
        <w:t>d</w:t>
      </w:r>
      <w:r w:rsidRPr="0084454B">
        <w:t>geten hanterats på följande sätt:</w:t>
      </w:r>
    </w:p>
    <w:p w:rsidR="00B652B0" w:rsidRPr="0084454B" w:rsidRDefault="00B652B0">
      <w:pPr>
        <w:pStyle w:val="PunktlistaBomb"/>
        <w:shd w:val="clear" w:color="000000" w:fill="auto"/>
      </w:pPr>
      <w:r w:rsidRPr="0084454B">
        <w:t>Under 2007 och 2008 infördes ettåriga anslag på 7 mnkr till RC utan vid</w:t>
      </w:r>
      <w:r w:rsidRPr="0084454B">
        <w:t>a</w:t>
      </w:r>
      <w:r w:rsidRPr="0084454B">
        <w:t>re kommentar.</w:t>
      </w:r>
    </w:p>
    <w:p w:rsidR="00B652B0" w:rsidRPr="0084454B" w:rsidRDefault="00B652B0">
      <w:pPr>
        <w:pStyle w:val="PunktlistaBomb"/>
        <w:shd w:val="clear" w:color="000000" w:fill="auto"/>
        <w:spacing w:before="0"/>
      </w:pPr>
      <w:r w:rsidRPr="0084454B">
        <w:t>Under 2009, 2010 och 2011 angavs ingen summa alls och bidraget hant</w:t>
      </w:r>
      <w:r w:rsidRPr="0084454B">
        <w:t>e</w:t>
      </w:r>
      <w:r w:rsidRPr="0084454B">
        <w:t>rades inom ramen för övriga bidrag för utveckling inom hälso- och sju</w:t>
      </w:r>
      <w:r w:rsidRPr="0084454B">
        <w:t>k</w:t>
      </w:r>
      <w:r w:rsidRPr="0084454B">
        <w:t>vårdsområdet, dock nämndes Rett Center som exempel på mottagare. V</w:t>
      </w:r>
      <w:r w:rsidRPr="0084454B">
        <w:t>i</w:t>
      </w:r>
      <w:r w:rsidRPr="0084454B">
        <w:t xml:space="preserve">dare angavs att dylika bidrag ska omprövas årligen för att säkerställa att </w:t>
      </w:r>
      <w:r w:rsidRPr="0084454B">
        <w:lastRenderedPageBreak/>
        <w:t xml:space="preserve">statliga medel som utbetalas används väl och i enlighet med regeringens intentioner. Närmare villkor bestäms i kommande regleringsbrev. </w:t>
      </w:r>
    </w:p>
    <w:p w:rsidR="00B652B0" w:rsidRPr="0084454B" w:rsidRDefault="00B652B0">
      <w:pPr>
        <w:pStyle w:val="PunktlistaBomb"/>
        <w:shd w:val="clear" w:color="000000" w:fill="auto"/>
      </w:pPr>
      <w:r w:rsidRPr="0084454B">
        <w:t xml:space="preserve">2012 nämns ingenting i budgeten. </w:t>
      </w:r>
    </w:p>
    <w:p w:rsidR="00B652B0" w:rsidRPr="0084454B" w:rsidRDefault="00B652B0">
      <w:pPr>
        <w:shd w:val="clear" w:color="000000" w:fill="auto"/>
      </w:pPr>
      <w:r w:rsidRPr="0084454B">
        <w:t>Att gå från ett läge med treårsbidrag i statsbudgeten till att bidraget inte ens omnämns innebär att långsiktigheten i statens ansvar urholkas radikalt.</w:t>
      </w:r>
    </w:p>
    <w:p w:rsidR="00B652B0" w:rsidRPr="0084454B" w:rsidRDefault="00B652B0">
      <w:pPr>
        <w:pStyle w:val="Normaltindrag"/>
        <w:shd w:val="clear" w:color="000000" w:fill="auto"/>
      </w:pPr>
      <w:r w:rsidRPr="0084454B">
        <w:t>Av EU:s rådsrekommendation om en satsning avseende sällsynta sjukd</w:t>
      </w:r>
      <w:r w:rsidRPr="0084454B">
        <w:t>o</w:t>
      </w:r>
      <w:r w:rsidRPr="0084454B">
        <w:t>mar (2009-06-05) framgår att de rekommendationer som där ges stämmer mycket väl överens med Rett Centers verksamhet idag. Exempelvis står det i rekommendationen:</w:t>
      </w:r>
    </w:p>
    <w:p w:rsidR="00B652B0" w:rsidRPr="0084454B" w:rsidRDefault="00B652B0">
      <w:pPr>
        <w:pStyle w:val="Citat"/>
        <w:shd w:val="clear" w:color="000000" w:fill="auto"/>
      </w:pPr>
      <w:r w:rsidRPr="0084454B">
        <w:t>Utvecklingen av forskning om och vårdinfrastruktur för sällsynta sju</w:t>
      </w:r>
      <w:r w:rsidRPr="0084454B">
        <w:t>k</w:t>
      </w:r>
      <w:r w:rsidRPr="0084454B">
        <w:t>domar kräver långsiktiga projekt och därmed tillräckliga ekonomiska i</w:t>
      </w:r>
      <w:r w:rsidRPr="0084454B">
        <w:t>n</w:t>
      </w:r>
      <w:r w:rsidRPr="0084454B">
        <w:t xml:space="preserve">satser för att deras hållbarhet ska säkras på lång sikt (s. 8). </w:t>
      </w:r>
    </w:p>
    <w:p w:rsidR="00B652B0" w:rsidRPr="0084454B" w:rsidRDefault="00B652B0">
      <w:pPr>
        <w:pStyle w:val="Citat"/>
        <w:shd w:val="clear" w:color="000000" w:fill="auto"/>
      </w:pPr>
      <w:r w:rsidRPr="0084454B">
        <w:t>Kunskapscentrumen skulle kunna följa ett tvärvetenskapligt förfarande för vård för hantering av de komplexa och olikartade tillstånd som följer av sällsynta sjukdomar (s. 6).</w:t>
      </w:r>
    </w:p>
    <w:p w:rsidR="00B652B0" w:rsidRPr="0084454B" w:rsidRDefault="00B652B0">
      <w:pPr>
        <w:shd w:val="clear" w:color="000000" w:fill="auto"/>
      </w:pPr>
      <w:r w:rsidRPr="0084454B">
        <w:t>De alltmer osäkra förutsättningarna gör att Rett Center får allt svårare att driva ett nationellt åtagande fullt ut så länge bidraget hanteras på detta sätt. Det är självklart att rätten till bästa vård ska gälla även för patienter med en sällsynt diagnos. För att Rett Center ska kunna ta ett nationellt ansvar med den långsiktighet som till exempel EU:s rådsrekommendationer anger beh</w:t>
      </w:r>
      <w:r w:rsidRPr="0084454B">
        <w:t>ö</w:t>
      </w:r>
      <w:r w:rsidRPr="0084454B">
        <w:t>ver bidragsgivningen hanteras på ett annat sätt både när det gäller tydliga besked om långsiktigheten och anpassning av bidragsstorleken till uppdraget i enlighet med riksdagens beslut 2002 och 2004.</w:t>
      </w:r>
    </w:p>
    <w:p w:rsidR="00B652B0" w:rsidRPr="0084454B" w:rsidRDefault="00B652B0">
      <w:pPr>
        <w:pStyle w:val="Normaltindrag"/>
        <w:shd w:val="clear" w:color="000000" w:fill="auto"/>
      </w:pPr>
      <w:r w:rsidRPr="0084454B">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454B">
        <w:trPr>
          <w:cantSplit/>
        </w:trPr>
        <w:tc>
          <w:tcPr>
            <w:tcW w:w="3046" w:type="dxa"/>
          </w:tcPr>
          <w:p w:rsidR="00B652B0" w:rsidRPr="0084454B" w:rsidRDefault="00B652B0">
            <w:pPr>
              <w:pStyle w:val="UnderskriftDatum"/>
              <w:shd w:val="clear" w:color="000000" w:fill="auto"/>
              <w:spacing w:before="240"/>
            </w:pPr>
            <w:r w:rsidRPr="0084454B">
              <w:t>Stockholm den 28 september 2011</w:t>
            </w:r>
          </w:p>
        </w:tc>
        <w:tc>
          <w:tcPr>
            <w:tcW w:w="3047" w:type="dxa"/>
          </w:tcPr>
          <w:p w:rsidR="00B652B0" w:rsidRPr="0084454B" w:rsidRDefault="00B652B0">
            <w:pPr>
              <w:pStyle w:val="Underskrifter"/>
              <w:shd w:val="clear" w:color="000000" w:fill="auto"/>
              <w:spacing w:before="240"/>
            </w:pPr>
          </w:p>
        </w:tc>
      </w:tr>
      <w:tr w:rsidR="00000000" w:rsidRPr="0084454B">
        <w:trPr>
          <w:cantSplit/>
        </w:trPr>
        <w:tc>
          <w:tcPr>
            <w:tcW w:w="3046" w:type="dxa"/>
          </w:tcPr>
          <w:p w:rsidR="00B652B0" w:rsidRPr="0084454B" w:rsidRDefault="00B652B0">
            <w:pPr>
              <w:pStyle w:val="Underskrifter"/>
              <w:shd w:val="clear" w:color="000000" w:fill="auto"/>
            </w:pPr>
            <w:r w:rsidRPr="0084454B">
              <w:t>Agneta Luttropp (MP)</w:t>
            </w:r>
          </w:p>
        </w:tc>
        <w:tc>
          <w:tcPr>
            <w:tcW w:w="3046" w:type="dxa"/>
          </w:tcPr>
          <w:p w:rsidR="00B652B0" w:rsidRPr="0084454B" w:rsidRDefault="00B652B0">
            <w:pPr>
              <w:pStyle w:val="Underskrifter"/>
              <w:shd w:val="clear" w:color="000000" w:fill="auto"/>
            </w:pPr>
            <w:r w:rsidRPr="0084454B">
              <w:t>Jan Lindholm (MP)</w:t>
            </w:r>
          </w:p>
        </w:tc>
      </w:tr>
    </w:tbl>
    <w:p w:rsidR="00B652B0" w:rsidRPr="0084454B" w:rsidRDefault="00B652B0">
      <w:pPr>
        <w:pStyle w:val="Normaltindrag"/>
        <w:shd w:val="clear" w:color="000000" w:fill="auto"/>
      </w:pPr>
    </w:p>
    <w:sectPr w:rsidR="00B652B0" w:rsidRPr="008445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52B0" w:rsidRPr="0084454B" w:rsidRDefault="00B652B0">
      <w:r w:rsidRPr="0084454B">
        <w:separator/>
      </w:r>
    </w:p>
  </w:endnote>
  <w:endnote w:type="continuationSeparator" w:id="0">
    <w:p w:rsidR="00B652B0" w:rsidRPr="0084454B" w:rsidRDefault="00B652B0">
      <w:r w:rsidRPr="008445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2B0" w:rsidRPr="0084454B" w:rsidRDefault="0084454B">
    <w:pPr>
      <w:pStyle w:val="Sidfot"/>
    </w:pPr>
    <w:r w:rsidRPr="008445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55121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2B0" w:rsidRDefault="00B652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52B0" w:rsidRDefault="00B652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2B0" w:rsidRPr="0084454B" w:rsidRDefault="0084454B">
    <w:pPr>
      <w:pStyle w:val="Sidfot"/>
    </w:pPr>
    <w:r w:rsidRPr="008445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37086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2B0" w:rsidRDefault="00B652B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52B0" w:rsidRDefault="00B652B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2B0" w:rsidRPr="0084454B" w:rsidRDefault="0084454B">
    <w:pPr>
      <w:pStyle w:val="Sidfot"/>
    </w:pPr>
    <w:r w:rsidRPr="008445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2217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2B0" w:rsidRDefault="00B652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52B0" w:rsidRDefault="00B652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52B0" w:rsidRPr="0084454B" w:rsidRDefault="00B652B0">
      <w:r w:rsidRPr="0084454B">
        <w:separator/>
      </w:r>
    </w:p>
  </w:footnote>
  <w:footnote w:type="continuationSeparator" w:id="0">
    <w:p w:rsidR="00B652B0" w:rsidRPr="0084454B" w:rsidRDefault="00B652B0">
      <w:r w:rsidRPr="008445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2B0" w:rsidRPr="0084454B" w:rsidRDefault="0084454B">
    <w:pPr>
      <w:pStyle w:val="Sidhuvud"/>
    </w:pPr>
    <w:r w:rsidRPr="008445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25502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2B0" w:rsidRDefault="00B652B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52B0" w:rsidRDefault="00B652B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2B0" w:rsidRPr="0084454B" w:rsidRDefault="0084454B">
    <w:pPr>
      <w:pStyle w:val="Sidhuvud"/>
    </w:pPr>
    <w:r w:rsidRPr="008445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00487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2B0" w:rsidRDefault="00B652B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52B0" w:rsidRDefault="00B652B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52B0" w:rsidRPr="0084454B" w:rsidRDefault="00B652B0">
    <w:pPr>
      <w:pStyle w:val="FSHNormal"/>
      <w:tabs>
        <w:tab w:val="right" w:pos="5840"/>
      </w:tabs>
    </w:pPr>
    <w:r w:rsidRPr="0084454B">
      <w:br/>
    </w:r>
    <w:r w:rsidRPr="0084454B">
      <w:fldChar w:fldCharType="begin" w:fldLock="1"/>
    </w:r>
    <w:r w:rsidRPr="0084454B">
      <w:instrText xml:space="preserve"> DOCPROPERTY</w:instrText>
    </w:r>
    <w:r w:rsidRPr="0084454B">
      <w:rPr>
        <w:sz w:val="18"/>
      </w:rPr>
      <w:instrText xml:space="preserve"> "YearUser" *\charformat </w:instrText>
    </w:r>
    <w:r w:rsidRPr="0084454B">
      <w:fldChar w:fldCharType="separate"/>
    </w:r>
    <w:r w:rsidRPr="0084454B">
      <w:t>2011/12</w:t>
    </w:r>
    <w:r w:rsidRPr="0084454B">
      <w:fldChar w:fldCharType="end"/>
    </w:r>
    <w:r w:rsidRPr="0084454B">
      <w:t xml:space="preserve"> </w:t>
    </w:r>
    <w:r w:rsidRPr="0084454B">
      <w:tab/>
      <w:t xml:space="preserve">mnr: </w:t>
    </w:r>
    <w:r w:rsidRPr="0084454B">
      <w:fldChar w:fldCharType="begin" w:fldLock="1"/>
    </w:r>
    <w:r w:rsidRPr="0084454B">
      <w:instrText xml:space="preserve"> DOCPROPERTY</w:instrText>
    </w:r>
    <w:r w:rsidRPr="0084454B">
      <w:rPr>
        <w:sz w:val="18"/>
      </w:rPr>
      <w:instrText xml:space="preserve"> "Motionsnummer" *\charformat </w:instrText>
    </w:r>
    <w:r w:rsidRPr="0084454B">
      <w:fldChar w:fldCharType="separate"/>
    </w:r>
    <w:r w:rsidRPr="0084454B">
      <w:t>So296</w:t>
    </w:r>
    <w:r w:rsidRPr="0084454B">
      <w:fldChar w:fldCharType="end"/>
    </w:r>
    <w:r w:rsidRPr="0084454B">
      <w:br/>
    </w:r>
    <w:r w:rsidRPr="0084454B">
      <w:fldChar w:fldCharType="begin" w:fldLock="1"/>
    </w:r>
    <w:r w:rsidRPr="0084454B">
      <w:instrText xml:space="preserve"> DOCPROPERTY</w:instrText>
    </w:r>
    <w:r w:rsidRPr="0084454B">
      <w:rPr>
        <w:sz w:val="18"/>
      </w:rPr>
      <w:instrText xml:space="preserve"> "Samling" *\charformat </w:instrText>
    </w:r>
    <w:r w:rsidRPr="0084454B">
      <w:fldChar w:fldCharType="end"/>
    </w:r>
    <w:r w:rsidRPr="0084454B">
      <w:tab/>
      <w:t xml:space="preserve">pnr: </w:t>
    </w:r>
    <w:r w:rsidRPr="0084454B">
      <w:fldChar w:fldCharType="begin" w:fldLock="1"/>
    </w:r>
    <w:r w:rsidRPr="0084454B">
      <w:instrText xml:space="preserve"> DOCPROPERTY</w:instrText>
    </w:r>
    <w:r w:rsidRPr="0084454B">
      <w:rPr>
        <w:sz w:val="18"/>
      </w:rPr>
      <w:instrText xml:space="preserve"> "Partinummer" *\charformat </w:instrText>
    </w:r>
    <w:r w:rsidRPr="0084454B">
      <w:fldChar w:fldCharType="separate"/>
    </w:r>
    <w:r w:rsidRPr="0084454B">
      <w:t>MP2701</w:t>
    </w:r>
    <w:r w:rsidRPr="0084454B">
      <w:fldChar w:fldCharType="end"/>
    </w:r>
  </w:p>
  <w:p w:rsidR="00B652B0" w:rsidRPr="0084454B" w:rsidRDefault="00B652B0">
    <w:pPr>
      <w:pStyle w:val="FSHRub1"/>
    </w:pPr>
    <w:r w:rsidRPr="0084454B">
      <w:t>Motion till riksdagen</w:t>
    </w:r>
    <w:r w:rsidRPr="0084454B">
      <w:br/>
    </w:r>
    <w:r w:rsidRPr="0084454B">
      <w:fldChar w:fldCharType="begin" w:fldLock="1"/>
    </w:r>
    <w:r w:rsidRPr="0084454B">
      <w:instrText xml:space="preserve"> DOCPROPERTY "YearUser" *\charformat </w:instrText>
    </w:r>
    <w:r w:rsidRPr="0084454B">
      <w:fldChar w:fldCharType="separate"/>
    </w:r>
    <w:r w:rsidRPr="0084454B">
      <w:t>2011/12</w:t>
    </w:r>
    <w:r w:rsidRPr="0084454B">
      <w:fldChar w:fldCharType="end"/>
    </w:r>
    <w:r w:rsidRPr="0084454B">
      <w:t>:</w:t>
    </w:r>
    <w:r w:rsidRPr="0084454B">
      <w:fldChar w:fldCharType="begin" w:fldLock="1"/>
    </w:r>
    <w:r w:rsidRPr="0084454B">
      <w:instrText xml:space="preserve"> DOCPROPERTY "Motionsnummer" *\charformat </w:instrText>
    </w:r>
    <w:r w:rsidRPr="0084454B">
      <w:fldChar w:fldCharType="separate"/>
    </w:r>
    <w:r w:rsidRPr="0084454B">
      <w:t>So296</w:t>
    </w:r>
    <w:r w:rsidRPr="0084454B">
      <w:fldChar w:fldCharType="end"/>
    </w:r>
  </w:p>
  <w:p w:rsidR="00B652B0" w:rsidRPr="0084454B" w:rsidRDefault="00B652B0">
    <w:pPr>
      <w:pStyle w:val="FSHNormalS5"/>
    </w:pPr>
    <w:r w:rsidRPr="0084454B">
      <w:fldChar w:fldCharType="begin" w:fldLock="1"/>
    </w:r>
    <w:r w:rsidRPr="0084454B">
      <w:instrText xml:space="preserve"> DOCPROPERTY "MotionarText" *\charformat </w:instrText>
    </w:r>
    <w:r w:rsidRPr="0084454B">
      <w:fldChar w:fldCharType="separate"/>
    </w:r>
    <w:r w:rsidRPr="0084454B">
      <w:t>av Agneta Luttropp och Jan Lindholm (MP)</w:t>
    </w:r>
    <w:r w:rsidRPr="0084454B">
      <w:fldChar w:fldCharType="end"/>
    </w:r>
    <w:r w:rsidRPr="0084454B">
      <w:br/>
    </w:r>
    <w:r w:rsidRPr="0084454B">
      <w:fldChar w:fldCharType="begin" w:fldLock="1"/>
    </w:r>
    <w:r w:rsidRPr="0084454B">
      <w:instrText xml:space="preserve"> DOCPROPERTY "SvarFrasKort" *\charformat </w:instrText>
    </w:r>
    <w:r w:rsidRPr="0084454B">
      <w:fldChar w:fldCharType="end"/>
    </w:r>
  </w:p>
  <w:p w:rsidR="00B652B0" w:rsidRPr="0084454B" w:rsidRDefault="00B652B0">
    <w:pPr>
      <w:pStyle w:val="FSHTitel"/>
    </w:pPr>
    <w:r w:rsidRPr="0084454B">
      <w:fldChar w:fldCharType="begin" w:fldLock="1"/>
    </w:r>
    <w:r w:rsidRPr="0084454B">
      <w:instrText xml:space="preserve"> DOCPROPERTY</w:instrText>
    </w:r>
    <w:r w:rsidRPr="0084454B">
      <w:rPr>
        <w:sz w:val="18"/>
      </w:rPr>
      <w:instrText xml:space="preserve"> "RubrikSvar" *\charformat </w:instrText>
    </w:r>
    <w:r w:rsidRPr="0084454B">
      <w:fldChar w:fldCharType="separate"/>
    </w:r>
    <w:r w:rsidRPr="0084454B">
      <w:t>Planeringsförutsättningar för Rett Center</w:t>
    </w:r>
    <w:r w:rsidRPr="0084454B">
      <w:fldChar w:fldCharType="end"/>
    </w:r>
  </w:p>
  <w:p w:rsidR="00B652B0" w:rsidRPr="0084454B" w:rsidRDefault="00B652B0">
    <w:pPr>
      <w:pStyle w:val="Normal00"/>
    </w:pPr>
  </w:p>
  <w:p w:rsidR="00B652B0" w:rsidRPr="0084454B" w:rsidRDefault="00B652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02B677F"/>
    <w:multiLevelType w:val="hybridMultilevel"/>
    <w:tmpl w:val="79D67E1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14812819">
    <w:abstractNumId w:val="3"/>
  </w:num>
  <w:num w:numId="2" w16cid:durableId="560679163">
    <w:abstractNumId w:val="2"/>
  </w:num>
  <w:num w:numId="3" w16cid:durableId="21830567">
    <w:abstractNumId w:val="1"/>
  </w:num>
  <w:num w:numId="4" w16cid:durableId="167986930">
    <w:abstractNumId w:val="0"/>
  </w:num>
  <w:num w:numId="5" w16cid:durableId="2135559069">
    <w:abstractNumId w:val="7"/>
  </w:num>
  <w:num w:numId="6" w16cid:durableId="856113102">
    <w:abstractNumId w:val="6"/>
  </w:num>
  <w:num w:numId="7" w16cid:durableId="274555389">
    <w:abstractNumId w:val="5"/>
  </w:num>
  <w:num w:numId="8" w16cid:durableId="1669554415">
    <w:abstractNumId w:val="4"/>
  </w:num>
  <w:num w:numId="9" w16cid:durableId="91628490">
    <w:abstractNumId w:val="8"/>
  </w:num>
  <w:num w:numId="10" w16cid:durableId="934173488">
    <w:abstractNumId w:val="9"/>
  </w:num>
  <w:num w:numId="11" w16cid:durableId="208080977">
    <w:abstractNumId w:val="10"/>
  </w:num>
  <w:num w:numId="12" w16cid:durableId="607616311">
    <w:abstractNumId w:val="13"/>
  </w:num>
  <w:num w:numId="13" w16cid:durableId="1893350539">
    <w:abstractNumId w:val="16"/>
  </w:num>
  <w:num w:numId="14" w16cid:durableId="1591422942">
    <w:abstractNumId w:val="17"/>
  </w:num>
  <w:num w:numId="15" w16cid:durableId="597251581">
    <w:abstractNumId w:val="11"/>
  </w:num>
  <w:num w:numId="16" w16cid:durableId="591279092">
    <w:abstractNumId w:val="19"/>
  </w:num>
  <w:num w:numId="17" w16cid:durableId="1427310868">
    <w:abstractNumId w:val="18"/>
  </w:num>
  <w:num w:numId="18" w16cid:durableId="1957516777">
    <w:abstractNumId w:val="15"/>
  </w:num>
  <w:num w:numId="19" w16cid:durableId="367217522">
    <w:abstractNumId w:val="12"/>
  </w:num>
  <w:num w:numId="20" w16cid:durableId="6053076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CEA5844C-7A93-43AF-8DEB-8652C002D0B8},{7B1300F0-A439-4480-ABF5-039C4646D434}"/>
  </w:docVars>
  <w:rsids>
    <w:rsidRoot w:val="00561C86"/>
    <w:rsid w:val="00561C86"/>
    <w:rsid w:val="0084454B"/>
    <w:rsid w:val="00B652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98C3AC-39C1-43B1-AAC0-10D2B06AE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FSHS5NrFotH">
    <w:name w:val="FSH_S5_NrFotHö"/>
    <w:rPr>
      <w:noProof/>
      <w:sz w:val="3276"/>
      <w:lang w:val="sv-SE" w:eastAsia="sv-SE"/>
    </w:rPr>
  </w:style>
  <w:style w:type="paragraph" w:customStyle="1" w:styleId="citatindrag0">
    <w:name w:val="citat_indrag"/>
    <w:aliases w:val="packad"/>
    <w:basedOn w:val="Normal"/>
    <w:pPr>
      <w:spacing w:before="90" w:after="100" w:afterAutospacing="1" w:line="240" w:lineRule="auto"/>
    </w:pPr>
    <w:rPr>
      <w:rFonts w:ascii="Verdana" w:hAnsi="Verdana"/>
      <w:szCs w:val="24"/>
    </w:rPr>
  </w:style>
  <w:style w:type="paragraph" w:customStyle="1" w:styleId="underskriftdatum0">
    <w:name w:val="underskriftdatum"/>
    <w:basedOn w:val="Normal"/>
    <w:pPr>
      <w:spacing w:before="90" w:after="100" w:afterAutospacing="1" w:line="240" w:lineRule="auto"/>
    </w:pPr>
    <w:rPr>
      <w:rFonts w:ascii="Verdana" w:hAnsi="Verdana"/>
      <w:szCs w:val="24"/>
    </w:rPr>
  </w:style>
  <w:style w:type="paragraph" w:customStyle="1" w:styleId="underskrifter0">
    <w:name w:val="underskrifter"/>
    <w:basedOn w:val="Normal"/>
    <w:pPr>
      <w:spacing w:before="90" w:after="100" w:afterAutospacing="1" w:line="240" w:lineRule="auto"/>
    </w:pPr>
    <w:rPr>
      <w:rFonts w:ascii="Verdana" w:hAnsi="Verdana"/>
      <w:szCs w:val="24"/>
    </w:rPr>
  </w:style>
  <w:style w:type="paragraph" w:styleId="Brdtext">
    <w:name w:val="Body Text"/>
    <w:basedOn w:val="Normal"/>
    <w:pPr>
      <w:shd w:val="clear" w:color="auto" w:fill="FFFFFF"/>
      <w:spacing w:after="240" w:line="300" w:lineRule="auto"/>
    </w:pPr>
    <w:rPr>
      <w:color w:val="000000"/>
      <w:szCs w:val="19"/>
    </w:rPr>
  </w:style>
  <w:style w:type="paragraph" w:customStyle="1" w:styleId="ListParagraph">
    <w:name w:val="List Paragraph"/>
    <w:basedOn w:val="Normal"/>
    <w:pPr>
      <w:spacing w:line="300" w:lineRule="atLeast"/>
      <w:ind w:left="720"/>
      <w:contextualSpacing/>
    </w:pPr>
    <w:rPr>
      <w:rFonts w:ascii="Garamond" w:hAnsi="Garamond"/>
      <w:szCs w:val="22"/>
      <w:lang w:eastAsia="en-U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459</Words>
  <Characters>2770</Characters>
  <Application>Microsoft Office Word</Application>
  <DocSecurity>4</DocSecurity>
  <Lines>53</Lines>
  <Paragraphs>19</Paragraphs>
  <ScaleCrop>false</ScaleCrop>
  <HeadingPairs>
    <vt:vector size="2" baseType="variant">
      <vt:variant>
        <vt:lpstr>Rubrik</vt:lpstr>
      </vt:variant>
      <vt:variant>
        <vt:i4>1</vt:i4>
      </vt:variant>
    </vt:vector>
  </HeadingPairs>
  <TitlesOfParts>
    <vt:vector size="1" baseType="lpstr">
      <vt:lpstr>MP2701</vt:lpstr>
    </vt:vector>
  </TitlesOfParts>
  <Company>Riksdagen</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MP2701</dc:title>
  <dc:subject>MP2701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2011-11-16T09:40:00Z</cp:lastPrinted>
  <dcterms:created xsi:type="dcterms:W3CDTF">2025-12-17T20:00:00Z</dcterms:created>
  <dcterms:modified xsi:type="dcterms:W3CDTF">2025-12-17T20:00:00Z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Planeringsförutsättningar för Rett Center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Planeringsförutsättningar för Rett Center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MP2701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Luttropp och Jan Lindholm (MP)</vt:lpwstr>
  </property>
  <property fmtid="{D5CDD505-2E9C-101B-9397-08002B2CF9AE}" pid="26" name="MotionarLista">
    <vt:lpwstr>Luttropp, Agneta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Luttropp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20112012000000770080000027010069</vt:lpwstr>
  </property>
  <property fmtid="{D5CDD505-2E9C-101B-9397-08002B2CF9AE}" pid="47" name="datum">
    <vt:lpwstr>110928</vt:lpwstr>
  </property>
  <property fmtid="{D5CDD505-2E9C-101B-9397-08002B2CF9AE}" pid="48" name="avsändar-e-post">
    <vt:lpwstr>magnus.lindgren@riksdagen.se</vt:lpwstr>
  </property>
  <property fmtid="{D5CDD505-2E9C-101B-9397-08002B2CF9AE}" pid="49" name="id">
    <vt:lpwstr>20112012000000770080000027010069</vt:lpwstr>
  </property>
  <property fmtid="{D5CDD505-2E9C-101B-9397-08002B2CF9AE}" pid="50" name="nummer">
    <vt:lpwstr>296</vt:lpwstr>
  </property>
  <property fmtid="{D5CDD505-2E9C-101B-9397-08002B2CF9AE}" pid="51" name="utskottsbeteckning">
    <vt:lpwstr>So</vt:lpwstr>
  </property>
  <property fmtid="{D5CDD505-2E9C-101B-9397-08002B2CF9AE}" pid="52" name="GlobalUID">
    <vt:lpwstr>{441F88FD-07C8-4F69-B62F-2E973A235300}</vt:lpwstr>
  </property>
  <property fmtid="{D5CDD505-2E9C-101B-9397-08002B2CF9AE}" pid="53" name="Överföringar">
    <vt:i4>0</vt:i4>
  </property>
  <property fmtid="{D5CDD505-2E9C-101B-9397-08002B2CF9AE}" pid="54" name="Checksum">
    <vt:lpwstr>*0010538453643*</vt:lpwstr>
  </property>
  <property fmtid="{D5CDD505-2E9C-101B-9397-08002B2CF9AE}" pid="55" name="skuggnummer">
    <vt:lpwstr>676</vt:lpwstr>
  </property>
  <property fmtid="{D5CDD505-2E9C-101B-9397-08002B2CF9AE}" pid="56" name="urixVersion">
    <vt:lpwstr>4.5.0.25</vt:lpwstr>
  </property>
  <property fmtid="{D5CDD505-2E9C-101B-9397-08002B2CF9AE}" pid="57" name="urixOrigin">
    <vt:lpwstr>111117 12:36:39.355</vt:lpwstr>
  </property>
  <property fmtid="{D5CDD505-2E9C-101B-9397-08002B2CF9AE}" pid="58" name="urixGuid">
    <vt:lpwstr>{F5A83462-B201-43C1-985C-8055B8610EBF}</vt:lpwstr>
  </property>
</Properties>
</file>