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E7022C">
        <w:tblPrEx>
          <w:tblCellMar>
            <w:top w:w="0" w:type="dxa"/>
            <w:bottom w:w="0" w:type="dxa"/>
          </w:tblCellMar>
        </w:tblPrEx>
        <w:tc>
          <w:tcPr>
            <w:tcW w:w="2268" w:type="dxa"/>
          </w:tcPr>
          <w:p w:rsidR="006E4E11" w:rsidRPr="00E7022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7022C" w:rsidRDefault="006E4E11" w:rsidP="007242A3">
            <w:pPr>
              <w:framePr w:w="5035" w:h="1644" w:wrap="notBeside" w:vAnchor="page" w:hAnchor="page" w:x="6573" w:y="721"/>
              <w:rPr>
                <w:rFonts w:ascii="TradeGothic" w:hAnsi="TradeGothic"/>
                <w:i/>
                <w:sz w:val="18"/>
              </w:rPr>
            </w:pPr>
          </w:p>
        </w:tc>
      </w:tr>
      <w:tr w:rsidR="006E4E11" w:rsidRPr="00E7022C">
        <w:tblPrEx>
          <w:tblCellMar>
            <w:top w:w="0" w:type="dxa"/>
            <w:bottom w:w="0" w:type="dxa"/>
          </w:tblCellMar>
        </w:tblPrEx>
        <w:tc>
          <w:tcPr>
            <w:tcW w:w="2268" w:type="dxa"/>
          </w:tcPr>
          <w:p w:rsidR="006E4E11" w:rsidRPr="00E7022C" w:rsidRDefault="00E5165E" w:rsidP="007242A3">
            <w:pPr>
              <w:framePr w:w="5035" w:h="1644" w:wrap="notBeside" w:vAnchor="page" w:hAnchor="page" w:x="6573" w:y="721"/>
              <w:rPr>
                <w:rFonts w:ascii="TradeGothic" w:hAnsi="TradeGothic"/>
                <w:b/>
                <w:sz w:val="22"/>
              </w:rPr>
            </w:pPr>
            <w:r w:rsidRPr="00E7022C">
              <w:rPr>
                <w:rFonts w:ascii="TradeGothic" w:hAnsi="TradeGothic"/>
                <w:b/>
                <w:sz w:val="22"/>
              </w:rPr>
              <w:t>P</w:t>
            </w:r>
            <w:r w:rsidR="00624985" w:rsidRPr="00E7022C">
              <w:rPr>
                <w:rFonts w:ascii="TradeGothic" w:hAnsi="TradeGothic"/>
                <w:b/>
                <w:sz w:val="22"/>
              </w:rPr>
              <w:t>M Till riksdagen</w:t>
            </w:r>
            <w:r w:rsidRPr="00E7022C">
              <w:rPr>
                <w:rFonts w:ascii="TradeGothic" w:hAnsi="TradeGothic"/>
                <w:b/>
                <w:sz w:val="22"/>
              </w:rPr>
              <w:t xml:space="preserve"> </w:t>
            </w:r>
          </w:p>
        </w:tc>
        <w:tc>
          <w:tcPr>
            <w:tcW w:w="2999" w:type="dxa"/>
            <w:gridSpan w:val="2"/>
          </w:tcPr>
          <w:p w:rsidR="006E4E11" w:rsidRPr="00E7022C" w:rsidRDefault="006E4E11" w:rsidP="007242A3">
            <w:pPr>
              <w:framePr w:w="5035" w:h="1644" w:wrap="notBeside" w:vAnchor="page" w:hAnchor="page" w:x="6573" w:y="721"/>
              <w:rPr>
                <w:rFonts w:ascii="TradeGothic" w:hAnsi="TradeGothic"/>
                <w:b/>
                <w:sz w:val="22"/>
              </w:rPr>
            </w:pPr>
          </w:p>
        </w:tc>
      </w:tr>
      <w:tr w:rsidR="006E4E11" w:rsidRPr="00E7022C">
        <w:tblPrEx>
          <w:tblCellMar>
            <w:top w:w="0" w:type="dxa"/>
            <w:bottom w:w="0" w:type="dxa"/>
          </w:tblCellMar>
        </w:tblPrEx>
        <w:tc>
          <w:tcPr>
            <w:tcW w:w="3402" w:type="dxa"/>
            <w:gridSpan w:val="2"/>
          </w:tcPr>
          <w:p w:rsidR="006E4E11" w:rsidRPr="00E7022C" w:rsidRDefault="006E4E11" w:rsidP="007242A3">
            <w:pPr>
              <w:framePr w:w="5035" w:h="1644" w:wrap="notBeside" w:vAnchor="page" w:hAnchor="page" w:x="6573" w:y="721"/>
            </w:pPr>
          </w:p>
        </w:tc>
        <w:tc>
          <w:tcPr>
            <w:tcW w:w="1865" w:type="dxa"/>
          </w:tcPr>
          <w:p w:rsidR="006E4E11" w:rsidRPr="00E7022C" w:rsidRDefault="006E4E11" w:rsidP="007242A3">
            <w:pPr>
              <w:framePr w:w="5035" w:h="1644" w:wrap="notBeside" w:vAnchor="page" w:hAnchor="page" w:x="6573" w:y="721"/>
            </w:pPr>
          </w:p>
        </w:tc>
      </w:tr>
      <w:tr w:rsidR="006E4E11" w:rsidRPr="00E7022C">
        <w:tblPrEx>
          <w:tblCellMar>
            <w:top w:w="0" w:type="dxa"/>
            <w:bottom w:w="0" w:type="dxa"/>
          </w:tblCellMar>
        </w:tblPrEx>
        <w:tc>
          <w:tcPr>
            <w:tcW w:w="2268" w:type="dxa"/>
          </w:tcPr>
          <w:p w:rsidR="006E4E11" w:rsidRPr="00E7022C" w:rsidRDefault="00E5165E" w:rsidP="007242A3">
            <w:pPr>
              <w:framePr w:w="5035" w:h="1644" w:wrap="notBeside" w:vAnchor="page" w:hAnchor="page" w:x="6573" w:y="721"/>
            </w:pPr>
            <w:r w:rsidRPr="00E7022C">
              <w:t>2008-</w:t>
            </w:r>
            <w:r w:rsidR="00832209" w:rsidRPr="00E7022C">
              <w:t>11</w:t>
            </w:r>
            <w:r w:rsidRPr="00E7022C">
              <w:t>-</w:t>
            </w:r>
            <w:r w:rsidR="00832209" w:rsidRPr="00E7022C">
              <w:t>1</w:t>
            </w:r>
            <w:r w:rsidR="0083003A" w:rsidRPr="00E7022C">
              <w:t>9</w:t>
            </w:r>
          </w:p>
        </w:tc>
        <w:tc>
          <w:tcPr>
            <w:tcW w:w="2999" w:type="dxa"/>
            <w:gridSpan w:val="2"/>
          </w:tcPr>
          <w:p w:rsidR="006E4E11" w:rsidRPr="00E7022C" w:rsidRDefault="006E4E11" w:rsidP="007242A3">
            <w:pPr>
              <w:framePr w:w="5035" w:h="1644" w:wrap="notBeside" w:vAnchor="page" w:hAnchor="page" w:x="6573" w:y="721"/>
            </w:pPr>
          </w:p>
        </w:tc>
      </w:tr>
      <w:tr w:rsidR="006E4E11" w:rsidRPr="00E7022C">
        <w:tblPrEx>
          <w:tblCellMar>
            <w:top w:w="0" w:type="dxa"/>
            <w:bottom w:w="0" w:type="dxa"/>
          </w:tblCellMar>
        </w:tblPrEx>
        <w:tc>
          <w:tcPr>
            <w:tcW w:w="2268" w:type="dxa"/>
          </w:tcPr>
          <w:p w:rsidR="006E4E11" w:rsidRPr="00E7022C" w:rsidRDefault="006E4E11" w:rsidP="007242A3">
            <w:pPr>
              <w:framePr w:w="5035" w:h="1644" w:wrap="notBeside" w:vAnchor="page" w:hAnchor="page" w:x="6573" w:y="721"/>
            </w:pPr>
          </w:p>
        </w:tc>
        <w:tc>
          <w:tcPr>
            <w:tcW w:w="2999" w:type="dxa"/>
            <w:gridSpan w:val="2"/>
          </w:tcPr>
          <w:p w:rsidR="006E4E11" w:rsidRPr="00E7022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7022C">
        <w:tblPrEx>
          <w:tblCellMar>
            <w:top w:w="0" w:type="dxa"/>
            <w:bottom w:w="0" w:type="dxa"/>
          </w:tblCellMar>
        </w:tblPrEx>
        <w:trPr>
          <w:trHeight w:val="284"/>
        </w:trPr>
        <w:tc>
          <w:tcPr>
            <w:tcW w:w="4911" w:type="dxa"/>
          </w:tcPr>
          <w:p w:rsidR="006E4E11" w:rsidRPr="00E7022C" w:rsidRDefault="00E5165E">
            <w:pPr>
              <w:pStyle w:val="Avsndare"/>
              <w:framePr w:h="2483" w:wrap="notBeside" w:x="1504"/>
              <w:rPr>
                <w:b/>
                <w:i w:val="0"/>
                <w:sz w:val="22"/>
              </w:rPr>
            </w:pPr>
            <w:r w:rsidRPr="00E7022C">
              <w:rPr>
                <w:b/>
                <w:i w:val="0"/>
                <w:sz w:val="22"/>
              </w:rPr>
              <w:t>Näringsdepartementet</w:t>
            </w:r>
          </w:p>
        </w:tc>
      </w:tr>
      <w:tr w:rsidR="006E4E11" w:rsidRPr="00E7022C">
        <w:tblPrEx>
          <w:tblCellMar>
            <w:top w:w="0" w:type="dxa"/>
            <w:bottom w:w="0" w:type="dxa"/>
          </w:tblCellMar>
        </w:tblPrEx>
        <w:trPr>
          <w:trHeight w:val="284"/>
        </w:trPr>
        <w:tc>
          <w:tcPr>
            <w:tcW w:w="4911" w:type="dxa"/>
          </w:tcPr>
          <w:p w:rsidR="006E4E11" w:rsidRPr="00E7022C" w:rsidRDefault="006E4E11">
            <w:pPr>
              <w:pStyle w:val="Avsndare"/>
              <w:framePr w:h="2483" w:wrap="notBeside" w:x="1504"/>
              <w:rPr>
                <w:bCs/>
                <w:iCs/>
              </w:rPr>
            </w:pPr>
          </w:p>
        </w:tc>
      </w:tr>
      <w:tr w:rsidR="006E4E11" w:rsidRPr="00E7022C">
        <w:tblPrEx>
          <w:tblCellMar>
            <w:top w:w="0" w:type="dxa"/>
            <w:bottom w:w="0" w:type="dxa"/>
          </w:tblCellMar>
        </w:tblPrEx>
        <w:trPr>
          <w:trHeight w:val="284"/>
        </w:trPr>
        <w:tc>
          <w:tcPr>
            <w:tcW w:w="4911" w:type="dxa"/>
          </w:tcPr>
          <w:p w:rsidR="006E4E11" w:rsidRPr="00E7022C" w:rsidRDefault="00E5165E">
            <w:pPr>
              <w:pStyle w:val="Avsndare"/>
              <w:framePr w:h="2483" w:wrap="notBeside" w:x="1504"/>
              <w:rPr>
                <w:bCs/>
                <w:iCs/>
              </w:rPr>
            </w:pPr>
            <w:r w:rsidRPr="00E7022C">
              <w:rPr>
                <w:bCs/>
                <w:iCs/>
              </w:rPr>
              <w:t>Forskning, innovation och näringsutveckling</w:t>
            </w:r>
          </w:p>
        </w:tc>
      </w:tr>
      <w:tr w:rsidR="006E4E11" w:rsidRPr="00E7022C">
        <w:tblPrEx>
          <w:tblCellMar>
            <w:top w:w="0" w:type="dxa"/>
            <w:bottom w:w="0" w:type="dxa"/>
          </w:tblCellMar>
        </w:tblPrEx>
        <w:trPr>
          <w:trHeight w:val="284"/>
        </w:trPr>
        <w:tc>
          <w:tcPr>
            <w:tcW w:w="4911" w:type="dxa"/>
          </w:tcPr>
          <w:p w:rsidR="006E4E11" w:rsidRPr="00E7022C" w:rsidRDefault="00E5165E">
            <w:pPr>
              <w:pStyle w:val="Avsndare"/>
              <w:framePr w:h="2483" w:wrap="notBeside" w:x="1504"/>
              <w:rPr>
                <w:bCs/>
                <w:iCs/>
              </w:rPr>
            </w:pPr>
            <w:r w:rsidRPr="00E7022C">
              <w:rPr>
                <w:bCs/>
                <w:iCs/>
              </w:rPr>
              <w:t>Stefan Renlund</w:t>
            </w:r>
          </w:p>
        </w:tc>
      </w:tr>
      <w:tr w:rsidR="006E4E11" w:rsidRPr="00E7022C">
        <w:tblPrEx>
          <w:tblCellMar>
            <w:top w:w="0" w:type="dxa"/>
            <w:bottom w:w="0" w:type="dxa"/>
          </w:tblCellMar>
        </w:tblPrEx>
        <w:trPr>
          <w:trHeight w:val="284"/>
        </w:trPr>
        <w:tc>
          <w:tcPr>
            <w:tcW w:w="4911" w:type="dxa"/>
          </w:tcPr>
          <w:p w:rsidR="006E4E11" w:rsidRPr="00E7022C" w:rsidRDefault="00E5165E">
            <w:pPr>
              <w:pStyle w:val="Avsndare"/>
              <w:framePr w:h="2483" w:wrap="notBeside" w:x="1504"/>
              <w:rPr>
                <w:bCs/>
                <w:iCs/>
              </w:rPr>
            </w:pPr>
            <w:r w:rsidRPr="00E7022C">
              <w:rPr>
                <w:bCs/>
                <w:iCs/>
              </w:rPr>
              <w:t>Telefon 08-405 53 77</w:t>
            </w:r>
          </w:p>
        </w:tc>
      </w:tr>
      <w:tr w:rsidR="006E4E11" w:rsidRPr="00E7022C">
        <w:tblPrEx>
          <w:tblCellMar>
            <w:top w:w="0" w:type="dxa"/>
            <w:bottom w:w="0" w:type="dxa"/>
          </w:tblCellMar>
        </w:tblPrEx>
        <w:trPr>
          <w:trHeight w:val="284"/>
        </w:trPr>
        <w:tc>
          <w:tcPr>
            <w:tcW w:w="4911" w:type="dxa"/>
          </w:tcPr>
          <w:p w:rsidR="006E4E11" w:rsidRPr="00E7022C" w:rsidRDefault="00E5165E">
            <w:pPr>
              <w:pStyle w:val="Avsndare"/>
              <w:framePr w:h="2483" w:wrap="notBeside" w:x="1504"/>
              <w:rPr>
                <w:bCs/>
                <w:iCs/>
              </w:rPr>
            </w:pPr>
            <w:r w:rsidRPr="00E7022C">
              <w:rPr>
                <w:bCs/>
                <w:iCs/>
              </w:rPr>
              <w:t>Mobil 070-691 46 63</w:t>
            </w:r>
          </w:p>
        </w:tc>
      </w:tr>
    </w:tbl>
    <w:p w:rsidR="006E4E11" w:rsidRPr="00E7022C" w:rsidRDefault="006E4E11">
      <w:pPr>
        <w:framePr w:w="4400" w:h="2523" w:wrap="notBeside" w:vAnchor="page" w:hAnchor="page" w:x="6453" w:y="2445"/>
        <w:ind w:left="142"/>
      </w:pPr>
    </w:p>
    <w:p w:rsidR="006E4E11" w:rsidRPr="00E7022C" w:rsidRDefault="0018648A" w:rsidP="00E5165E">
      <w:pPr>
        <w:pStyle w:val="RKrubrik"/>
        <w:pBdr>
          <w:bottom w:val="single" w:sz="4" w:space="1" w:color="000000"/>
        </w:pBdr>
        <w:spacing w:before="0" w:after="0"/>
      </w:pPr>
      <w:r w:rsidRPr="00E7022C">
        <w:t>Förslag</w:t>
      </w:r>
      <w:r w:rsidR="00BF6695" w:rsidRPr="00E7022C">
        <w:t>et</w:t>
      </w:r>
      <w:r w:rsidRPr="00E7022C">
        <w:t xml:space="preserve"> till rådsslutsatser om</w:t>
      </w:r>
      <w:r w:rsidR="00DE045E" w:rsidRPr="00E7022C">
        <w:t xml:space="preserve"> GMES </w:t>
      </w:r>
    </w:p>
    <w:p w:rsidR="006E4E11" w:rsidRPr="00E7022C" w:rsidRDefault="008261B4" w:rsidP="00456BE5">
      <w:pPr>
        <w:pStyle w:val="RKrubrik"/>
      </w:pPr>
      <w:r w:rsidRPr="00E7022C">
        <w:t xml:space="preserve">Om </w:t>
      </w:r>
      <w:r w:rsidR="00122917" w:rsidRPr="00E7022C">
        <w:t>Global Monitoring for Space and Security (</w:t>
      </w:r>
      <w:r w:rsidR="00DE045E" w:rsidRPr="00E7022C">
        <w:t>GMES</w:t>
      </w:r>
      <w:r w:rsidR="00122917" w:rsidRPr="00E7022C">
        <w:t>)</w:t>
      </w:r>
    </w:p>
    <w:p w:rsidR="001D0518" w:rsidRPr="00E7022C" w:rsidRDefault="00122917" w:rsidP="00E5165E">
      <w:pPr>
        <w:pStyle w:val="RKnormal"/>
      </w:pPr>
      <w:r w:rsidRPr="00E7022C">
        <w:t xml:space="preserve">GMES är ett initiativ för insamling, förmedling och utnyttjande av information för miljö och säkerhet. </w:t>
      </w:r>
      <w:r w:rsidR="00C55ECA" w:rsidRPr="00E7022C">
        <w:t>GMES ska stödja Europas miljöarbete och tillhandahålla aktuell och användaranpassad information av hög kvalitet.</w:t>
      </w:r>
      <w:r w:rsidR="001D0518" w:rsidRPr="00E7022C">
        <w:t xml:space="preserve"> S</w:t>
      </w:r>
      <w:r w:rsidR="00FB3B8B" w:rsidRPr="00E7022C">
        <w:t xml:space="preserve">äkerhet </w:t>
      </w:r>
      <w:r w:rsidR="001D0518" w:rsidRPr="00E7022C">
        <w:t>handlar i det här sammanhanget i första hand om att övervaka risken för naturkatastrofer, följa skadeverkningarna och planera humanitära insatser.</w:t>
      </w:r>
    </w:p>
    <w:p w:rsidR="00122917" w:rsidRPr="00E7022C" w:rsidRDefault="00122917" w:rsidP="00E5165E">
      <w:pPr>
        <w:pStyle w:val="RKnormal"/>
      </w:pPr>
    </w:p>
    <w:p w:rsidR="00E62543" w:rsidRPr="00E7022C" w:rsidRDefault="00E62543" w:rsidP="00E5165E">
      <w:pPr>
        <w:pStyle w:val="RKnormal"/>
      </w:pPr>
      <w:r w:rsidRPr="00E7022C">
        <w:t>GMES ska bygga på redan existerande system och lösningar. En rad aktörer på regional, nationell och europeisk nivå är inblandade och bidrar med egna observationssystem och data. Samordning, harmonisering och strävan mot en fungerande helhet är central. Fjärranalys från satellit är en bärande del i GMES</w:t>
      </w:r>
    </w:p>
    <w:p w:rsidR="00E62543" w:rsidRPr="00E7022C" w:rsidRDefault="00E62543" w:rsidP="00E5165E">
      <w:pPr>
        <w:pStyle w:val="RKnormal"/>
      </w:pPr>
    </w:p>
    <w:p w:rsidR="00C55ECA" w:rsidRPr="00E7022C" w:rsidRDefault="00C55ECA" w:rsidP="00E5165E">
      <w:pPr>
        <w:pStyle w:val="RKnormal"/>
      </w:pPr>
      <w:r w:rsidRPr="00E7022C">
        <w:t>EU-kommissionen har det övergripande ansvaret för GMES, medan det europeiska rymdorganet ESA samordnar och genomför rymddelen i GMES.</w:t>
      </w:r>
    </w:p>
    <w:p w:rsidR="00E62543" w:rsidRPr="00E7022C" w:rsidRDefault="00E62543" w:rsidP="00E5165E">
      <w:pPr>
        <w:pStyle w:val="RKnormal"/>
      </w:pPr>
    </w:p>
    <w:p w:rsidR="006A3209" w:rsidRPr="00E7022C" w:rsidRDefault="006A3209" w:rsidP="006A3209">
      <w:pPr>
        <w:pStyle w:val="RKrubrik"/>
      </w:pPr>
      <w:r w:rsidRPr="00E7022C">
        <w:t>Dokumentbeteckning</w:t>
      </w:r>
    </w:p>
    <w:p w:rsidR="00E62543" w:rsidRPr="00E7022C" w:rsidRDefault="00A0248A" w:rsidP="00E62543">
      <w:pPr>
        <w:pStyle w:val="RKnormal"/>
      </w:pPr>
      <w:r w:rsidRPr="00E7022C">
        <w:t>1</w:t>
      </w:r>
      <w:r w:rsidR="00E62543" w:rsidRPr="00E7022C">
        <w:t>4907/08 RECH 3211</w:t>
      </w:r>
      <w:r w:rsidRPr="00E7022C">
        <w:t xml:space="preserve">, </w:t>
      </w:r>
      <w:r w:rsidR="00E62543" w:rsidRPr="00E7022C">
        <w:t>COM (2008) 748 final</w:t>
      </w:r>
      <w:r w:rsidRPr="00E7022C">
        <w:t>, 14906/08 ADD1 RECH 320, 14906/08ADD2 RECH 320</w:t>
      </w:r>
    </w:p>
    <w:p w:rsidR="000A5599" w:rsidRPr="00E7022C" w:rsidRDefault="000A5599" w:rsidP="000A5599">
      <w:pPr>
        <w:pStyle w:val="RKnormal"/>
      </w:pPr>
    </w:p>
    <w:p w:rsidR="00496B17" w:rsidRPr="00E7022C" w:rsidRDefault="00496B17" w:rsidP="00496B17">
      <w:pPr>
        <w:pStyle w:val="RKrubrik"/>
      </w:pPr>
      <w:r w:rsidRPr="00E7022C">
        <w:t>Sammanfattning</w:t>
      </w:r>
    </w:p>
    <w:p w:rsidR="000A5599" w:rsidRPr="00E7022C" w:rsidRDefault="000A5599" w:rsidP="000A5599">
      <w:pPr>
        <w:pStyle w:val="RKnormal"/>
      </w:pPr>
    </w:p>
    <w:p w:rsidR="000A5599" w:rsidRPr="00E7022C" w:rsidRDefault="000A5599" w:rsidP="000A5599">
      <w:pPr>
        <w:rPr>
          <w:bCs/>
          <w:iCs/>
        </w:rPr>
      </w:pPr>
      <w:r w:rsidRPr="00E7022C">
        <w:rPr>
          <w:bCs/>
          <w:iCs/>
        </w:rPr>
        <w:t>I den resolution om en europeisk rymdpolitik som antogs av Rådet i maj 2007 betonas behovet av att KOM föreslår en ordning för finansiering, en operationell infrastruktur och en effektiv styrning av GMES.</w:t>
      </w:r>
    </w:p>
    <w:p w:rsidR="000A5599" w:rsidRPr="00E7022C" w:rsidRDefault="000A5599" w:rsidP="000A5599">
      <w:pPr>
        <w:rPr>
          <w:bCs/>
          <w:iCs/>
        </w:rPr>
      </w:pPr>
    </w:p>
    <w:p w:rsidR="000A5599" w:rsidRPr="00E7022C" w:rsidRDefault="000A5599" w:rsidP="000A5599">
      <w:pPr>
        <w:rPr>
          <w:bCs/>
          <w:iCs/>
        </w:rPr>
      </w:pPr>
      <w:r w:rsidRPr="00E7022C">
        <w:rPr>
          <w:bCs/>
          <w:iCs/>
        </w:rPr>
        <w:t xml:space="preserve">I resolutionen ”Att gå vidare med den europeiska rymdpolitiken”, som antogs av Rådet den 24 september 2008, bekräftar Rådet den fortsatta </w:t>
      </w:r>
      <w:r w:rsidRPr="00E7022C">
        <w:rPr>
          <w:bCs/>
          <w:iCs/>
        </w:rPr>
        <w:lastRenderedPageBreak/>
        <w:t>prioriteringen att snabbt genomföra GMES och fastställer behovet av att utarbeta en handlingsplan som leder till upprättande av ett EU-program för GMES. Handlingsplanen ska bl.a. omfatta den övergripande ledningen och en hållbar finansiering av GMES.</w:t>
      </w:r>
    </w:p>
    <w:p w:rsidR="000A5599" w:rsidRPr="00E7022C" w:rsidRDefault="000A5599" w:rsidP="000A5599">
      <w:pPr>
        <w:rPr>
          <w:bCs/>
          <w:iCs/>
        </w:rPr>
      </w:pPr>
    </w:p>
    <w:p w:rsidR="004B7AAE" w:rsidRPr="00E7022C" w:rsidRDefault="004B7AAE" w:rsidP="004B7AAE">
      <w:pPr>
        <w:rPr>
          <w:bCs/>
          <w:iCs/>
        </w:rPr>
      </w:pPr>
      <w:r w:rsidRPr="00E7022C">
        <w:rPr>
          <w:bCs/>
          <w:iCs/>
        </w:rPr>
        <w:t xml:space="preserve">KOM föreslår i sitt meddelande att GMES ska genomföras inom ramen för ett nytt EU-program. KOM kommer under 2009 att lägga fram ett sådant förslag och i samband med detta, med de begränsningar som den nuvarande EU-budgeten innebär, undersöka finansieringsbehovet 2011-2013. Finansieringsbehovet efter 2013 bestäms av nästa finansiella perspektiv. KOM lägger i övrigt fram huvudlinjerna för organisationen för programmet för GMES. </w:t>
      </w:r>
    </w:p>
    <w:p w:rsidR="00E509C2" w:rsidRPr="00E7022C" w:rsidRDefault="00E509C2" w:rsidP="004B7AAE">
      <w:pPr>
        <w:rPr>
          <w:bCs/>
          <w:iCs/>
        </w:rPr>
      </w:pPr>
    </w:p>
    <w:p w:rsidR="00E509C2" w:rsidRPr="00E7022C" w:rsidRDefault="00E509C2" w:rsidP="004B7AAE">
      <w:pPr>
        <w:rPr>
          <w:bCs/>
          <w:iCs/>
        </w:rPr>
      </w:pPr>
      <w:r w:rsidRPr="00E7022C">
        <w:rPr>
          <w:bCs/>
          <w:iCs/>
        </w:rPr>
        <w:t>Förslaget till rådsslutsatser välkomnar KOM:s meddelande.</w:t>
      </w:r>
    </w:p>
    <w:p w:rsidR="00921392" w:rsidRPr="00E7022C" w:rsidRDefault="00921392" w:rsidP="004B7AAE">
      <w:pPr>
        <w:rPr>
          <w:bCs/>
          <w:iCs/>
        </w:rPr>
      </w:pPr>
    </w:p>
    <w:p w:rsidR="00921392" w:rsidRPr="00E7022C" w:rsidRDefault="008B5DD8" w:rsidP="00921392">
      <w:pPr>
        <w:pStyle w:val="RKrubrik"/>
        <w:rPr>
          <w:u w:val="single"/>
        </w:rPr>
      </w:pPr>
      <w:r w:rsidRPr="00E7022C">
        <w:rPr>
          <w:u w:val="single"/>
        </w:rPr>
        <w:t xml:space="preserve">I </w:t>
      </w:r>
      <w:r w:rsidR="00921392" w:rsidRPr="00E7022C">
        <w:rPr>
          <w:u w:val="single"/>
        </w:rPr>
        <w:t>Förslaget</w:t>
      </w:r>
    </w:p>
    <w:p w:rsidR="00122917" w:rsidRPr="00E7022C" w:rsidRDefault="00122917" w:rsidP="00122917">
      <w:pPr>
        <w:pStyle w:val="RKnormal"/>
      </w:pPr>
    </w:p>
    <w:p w:rsidR="00122917" w:rsidRPr="00E7022C" w:rsidRDefault="00122917" w:rsidP="00122917">
      <w:pPr>
        <w:pStyle w:val="RKrubrik"/>
      </w:pPr>
      <w:r w:rsidRPr="00E7022C">
        <w:t>1. Innehåll</w:t>
      </w:r>
    </w:p>
    <w:p w:rsidR="007029C1" w:rsidRPr="00E7022C" w:rsidRDefault="007029C1" w:rsidP="007029C1">
      <w:pPr>
        <w:pStyle w:val="RKnormal"/>
        <w:rPr>
          <w:u w:val="single"/>
        </w:rPr>
      </w:pPr>
      <w:r w:rsidRPr="00E7022C">
        <w:rPr>
          <w:u w:val="single"/>
        </w:rPr>
        <w:t>KOM:s meddelande</w:t>
      </w:r>
    </w:p>
    <w:p w:rsidR="004A64F2" w:rsidRPr="00E7022C" w:rsidRDefault="004A64F2" w:rsidP="007029C1">
      <w:pPr>
        <w:pStyle w:val="RKnormal"/>
      </w:pPr>
      <w:r w:rsidRPr="00E7022C">
        <w:t>Meddelandet omfattar styrning, ledning och finansiering av GMES.</w:t>
      </w:r>
    </w:p>
    <w:p w:rsidR="004A64F2" w:rsidRPr="00E7022C" w:rsidRDefault="004A64F2" w:rsidP="007029C1">
      <w:pPr>
        <w:pStyle w:val="RKnormal"/>
      </w:pPr>
    </w:p>
    <w:p w:rsidR="001E00FB" w:rsidRPr="00E7022C" w:rsidRDefault="004A64F2" w:rsidP="00F000ED">
      <w:r w:rsidRPr="00E7022C">
        <w:t>KOM</w:t>
      </w:r>
      <w:r w:rsidR="001E00FB" w:rsidRPr="00E7022C">
        <w:t xml:space="preserve"> avser att under 2009 lägga fram ett lagstiftningsförslag om ett EU-program för GMES. I samband med detta avser KOM att, med hänsyn till de begränsningar som nuvarande EU-budget innebär, undersöka finansieringsbehov 2011-2013. Beslut om finansiering och organisation efter 2013 bestäms som en del av nästa finansiella perspektiv.</w:t>
      </w:r>
    </w:p>
    <w:p w:rsidR="001E00FB" w:rsidRPr="00E7022C" w:rsidRDefault="001E00FB" w:rsidP="00F000ED"/>
    <w:p w:rsidR="00F000ED" w:rsidRPr="00E7022C" w:rsidRDefault="00F000ED" w:rsidP="00F000ED">
      <w:pPr>
        <w:rPr>
          <w:bCs/>
          <w:iCs/>
        </w:rPr>
      </w:pPr>
      <w:r w:rsidRPr="00E7022C">
        <w:rPr>
          <w:bCs/>
          <w:iCs/>
        </w:rPr>
        <w:t>Det sammanlagda finansieringsbehovet blir föremål för framtida analyserar under ledning av EU.</w:t>
      </w:r>
    </w:p>
    <w:p w:rsidR="00F000ED" w:rsidRPr="00E7022C" w:rsidRDefault="00F000ED" w:rsidP="00F000ED">
      <w:pPr>
        <w:rPr>
          <w:bCs/>
          <w:iCs/>
        </w:rPr>
      </w:pPr>
    </w:p>
    <w:p w:rsidR="00F000ED" w:rsidRPr="00E7022C" w:rsidRDefault="00F000ED" w:rsidP="00F000ED">
      <w:pPr>
        <w:rPr>
          <w:bCs/>
          <w:iCs/>
        </w:rPr>
      </w:pPr>
      <w:r w:rsidRPr="00E7022C">
        <w:rPr>
          <w:bCs/>
          <w:iCs/>
        </w:rPr>
        <w:t>KOM får ett huvudansv</w:t>
      </w:r>
      <w:r w:rsidR="001E00FB" w:rsidRPr="00E7022C">
        <w:rPr>
          <w:bCs/>
          <w:iCs/>
        </w:rPr>
        <w:t>ar för ledning av GMES och stöds av organisatoriska enhet för genomförandet av GMES.</w:t>
      </w:r>
    </w:p>
    <w:p w:rsidR="00F000ED" w:rsidRPr="00E7022C" w:rsidRDefault="00F000ED" w:rsidP="00F000ED">
      <w:pPr>
        <w:rPr>
          <w:bCs/>
          <w:iCs/>
        </w:rPr>
      </w:pPr>
    </w:p>
    <w:p w:rsidR="00F000ED" w:rsidRPr="00E7022C" w:rsidRDefault="00F000ED" w:rsidP="00F000ED">
      <w:pPr>
        <w:rPr>
          <w:bCs/>
          <w:iCs/>
        </w:rPr>
      </w:pPr>
      <w:r w:rsidRPr="00E7022C">
        <w:rPr>
          <w:bCs/>
          <w:iCs/>
        </w:rPr>
        <w:t xml:space="preserve">KOM </w:t>
      </w:r>
      <w:r w:rsidR="001E00FB" w:rsidRPr="00E7022C">
        <w:rPr>
          <w:bCs/>
          <w:iCs/>
        </w:rPr>
        <w:t>avser f</w:t>
      </w:r>
      <w:r w:rsidRPr="00E7022C">
        <w:rPr>
          <w:bCs/>
          <w:iCs/>
        </w:rPr>
        <w:t xml:space="preserve">öreslå en öppen data och informationspolicy. </w:t>
      </w:r>
    </w:p>
    <w:p w:rsidR="002B41B5" w:rsidRPr="00E7022C" w:rsidRDefault="002B41B5" w:rsidP="00F000ED">
      <w:pPr>
        <w:rPr>
          <w:bCs/>
          <w:iCs/>
        </w:rPr>
      </w:pPr>
    </w:p>
    <w:p w:rsidR="002B41B5" w:rsidRPr="00E7022C" w:rsidRDefault="002B41B5" w:rsidP="00F000ED">
      <w:pPr>
        <w:rPr>
          <w:bCs/>
          <w:iCs/>
        </w:rPr>
      </w:pPr>
      <w:r w:rsidRPr="00E7022C">
        <w:rPr>
          <w:bCs/>
          <w:iCs/>
        </w:rPr>
        <w:t>EU:s verktyg för konkurrenskraft och innovation ska utnyttjas för tillväxt av förädlingsindustrin inom GMES.</w:t>
      </w:r>
    </w:p>
    <w:p w:rsidR="002B41B5" w:rsidRPr="00E7022C" w:rsidRDefault="002B41B5" w:rsidP="00F000ED">
      <w:pPr>
        <w:rPr>
          <w:bCs/>
          <w:iCs/>
        </w:rPr>
      </w:pPr>
    </w:p>
    <w:p w:rsidR="002B41B5" w:rsidRPr="00E7022C" w:rsidRDefault="002B41B5" w:rsidP="00F000ED">
      <w:pPr>
        <w:rPr>
          <w:bCs/>
          <w:iCs/>
        </w:rPr>
      </w:pPr>
      <w:r w:rsidRPr="00E7022C">
        <w:rPr>
          <w:bCs/>
          <w:iCs/>
        </w:rPr>
        <w:t>KOM avser föreslå en internationell samarbetsstrategi för GMES.</w:t>
      </w:r>
    </w:p>
    <w:p w:rsidR="00F000ED" w:rsidRPr="00E7022C" w:rsidRDefault="00F000ED" w:rsidP="00F000ED">
      <w:pPr>
        <w:rPr>
          <w:bCs/>
          <w:iCs/>
        </w:rPr>
      </w:pPr>
    </w:p>
    <w:p w:rsidR="004A64F2" w:rsidRPr="00E7022C" w:rsidRDefault="004A64F2" w:rsidP="007029C1">
      <w:pPr>
        <w:pStyle w:val="RKnormal"/>
      </w:pPr>
    </w:p>
    <w:p w:rsidR="00E62543" w:rsidRPr="00E7022C" w:rsidRDefault="00E62543" w:rsidP="007029C1">
      <w:pPr>
        <w:pStyle w:val="RKnormal"/>
      </w:pPr>
    </w:p>
    <w:p w:rsidR="004A64F2" w:rsidRPr="00E7022C" w:rsidRDefault="005C6279" w:rsidP="007029C1">
      <w:pPr>
        <w:pStyle w:val="RKnormal"/>
        <w:rPr>
          <w:u w:val="single"/>
        </w:rPr>
      </w:pPr>
      <w:r w:rsidRPr="00E7022C">
        <w:rPr>
          <w:u w:val="single"/>
        </w:rPr>
        <w:t>Rådsslutsatserna</w:t>
      </w:r>
    </w:p>
    <w:p w:rsidR="007029C1" w:rsidRPr="00E7022C" w:rsidRDefault="007029C1" w:rsidP="007029C1">
      <w:pPr>
        <w:pStyle w:val="RKnormal"/>
      </w:pPr>
    </w:p>
    <w:p w:rsidR="00455131" w:rsidRPr="00E7022C" w:rsidRDefault="00455131" w:rsidP="00455131">
      <w:pPr>
        <w:rPr>
          <w:bCs/>
          <w:iCs/>
        </w:rPr>
      </w:pPr>
      <w:r w:rsidRPr="00E7022C">
        <w:rPr>
          <w:bCs/>
          <w:iCs/>
        </w:rPr>
        <w:t xml:space="preserve">Ordförandeskapets förslag till Rådsslutsatser välkomnar KOM:s meddelande.  </w:t>
      </w:r>
    </w:p>
    <w:p w:rsidR="00046ACD" w:rsidRPr="00E7022C" w:rsidRDefault="00046ACD" w:rsidP="00455131">
      <w:pPr>
        <w:rPr>
          <w:bCs/>
          <w:iCs/>
        </w:rPr>
      </w:pPr>
    </w:p>
    <w:p w:rsidR="00455131" w:rsidRPr="00E7022C" w:rsidRDefault="00455131" w:rsidP="00455131">
      <w:pPr>
        <w:rPr>
          <w:bCs/>
          <w:iCs/>
        </w:rPr>
      </w:pPr>
      <w:r w:rsidRPr="00E7022C">
        <w:rPr>
          <w:bCs/>
          <w:iCs/>
        </w:rPr>
        <w:t>I slutsatserna uppmanas KOM:</w:t>
      </w:r>
    </w:p>
    <w:p w:rsidR="00455131" w:rsidRPr="00E7022C" w:rsidRDefault="00455131" w:rsidP="00455131">
      <w:pPr>
        <w:rPr>
          <w:bCs/>
          <w:iCs/>
        </w:rPr>
      </w:pPr>
    </w:p>
    <w:p w:rsidR="00455131" w:rsidRPr="00E7022C" w:rsidRDefault="00455131" w:rsidP="00455131">
      <w:pPr>
        <w:ind w:left="284" w:hanging="284"/>
        <w:rPr>
          <w:bCs/>
          <w:iCs/>
        </w:rPr>
      </w:pPr>
      <w:r w:rsidRPr="00E7022C">
        <w:rPr>
          <w:bCs/>
          <w:iCs/>
        </w:rPr>
        <w:t xml:space="preserve">-  </w:t>
      </w:r>
      <w:r w:rsidRPr="00E7022C">
        <w:rPr>
          <w:bCs/>
          <w:iCs/>
        </w:rPr>
        <w:tab/>
        <w:t xml:space="preserve">föreslå ett interimistiskt program för ledning och styrning av GMES innan EU-programmet för GMES implementeras, </w:t>
      </w:r>
    </w:p>
    <w:p w:rsidR="00455131" w:rsidRPr="00E7022C" w:rsidRDefault="00455131" w:rsidP="00455131">
      <w:pPr>
        <w:ind w:left="284" w:hanging="284"/>
        <w:rPr>
          <w:bCs/>
          <w:iCs/>
        </w:rPr>
      </w:pPr>
      <w:r w:rsidRPr="00E7022C">
        <w:rPr>
          <w:bCs/>
          <w:iCs/>
        </w:rPr>
        <w:t xml:space="preserve">- </w:t>
      </w:r>
      <w:r w:rsidRPr="00E7022C">
        <w:rPr>
          <w:bCs/>
          <w:iCs/>
        </w:rPr>
        <w:tab/>
        <w:t xml:space="preserve">ange en öppen mekanism för att bredare involvera användarna för att stödja deras behov. </w:t>
      </w:r>
    </w:p>
    <w:p w:rsidR="00455131" w:rsidRPr="00E7022C" w:rsidRDefault="00455131" w:rsidP="00455131">
      <w:pPr>
        <w:ind w:left="284" w:hanging="284"/>
        <w:rPr>
          <w:bCs/>
          <w:iCs/>
        </w:rPr>
      </w:pPr>
      <w:r w:rsidRPr="00E7022C">
        <w:rPr>
          <w:bCs/>
          <w:iCs/>
        </w:rPr>
        <w:t xml:space="preserve">-  </w:t>
      </w:r>
      <w:r w:rsidRPr="00E7022C">
        <w:rPr>
          <w:bCs/>
          <w:iCs/>
        </w:rPr>
        <w:tab/>
        <w:t>definiera en policy för tillgång till och spridning av information från GMES,</w:t>
      </w:r>
    </w:p>
    <w:p w:rsidR="00455131" w:rsidRPr="00E7022C" w:rsidRDefault="00455131" w:rsidP="00455131">
      <w:pPr>
        <w:ind w:left="284" w:hanging="284"/>
        <w:rPr>
          <w:bCs/>
          <w:iCs/>
        </w:rPr>
      </w:pPr>
      <w:r w:rsidRPr="00E7022C">
        <w:rPr>
          <w:bCs/>
          <w:iCs/>
        </w:rPr>
        <w:t xml:space="preserve">- </w:t>
      </w:r>
      <w:r w:rsidRPr="00E7022C">
        <w:rPr>
          <w:bCs/>
          <w:iCs/>
        </w:rPr>
        <w:tab/>
        <w:t xml:space="preserve">analysera förutsättningarna för att inkludera </w:t>
      </w:r>
      <w:r w:rsidR="009C0190" w:rsidRPr="00E7022C">
        <w:rPr>
          <w:bCs/>
          <w:iCs/>
        </w:rPr>
        <w:t>kartering av markanvändning</w:t>
      </w:r>
      <w:r w:rsidRPr="00E7022C">
        <w:rPr>
          <w:bCs/>
          <w:iCs/>
        </w:rPr>
        <w:t xml:space="preserve"> i GMES tjänster och användbarheten av GMES tjänster i avlägsna regioner och områden utanför Europa,</w:t>
      </w:r>
    </w:p>
    <w:p w:rsidR="00455131" w:rsidRPr="00E7022C" w:rsidRDefault="00455131" w:rsidP="00455131">
      <w:pPr>
        <w:ind w:left="284" w:hanging="284"/>
        <w:rPr>
          <w:bCs/>
          <w:iCs/>
        </w:rPr>
      </w:pPr>
      <w:r w:rsidRPr="00E7022C">
        <w:rPr>
          <w:bCs/>
          <w:iCs/>
        </w:rPr>
        <w:t xml:space="preserve">-  </w:t>
      </w:r>
      <w:r w:rsidRPr="00E7022C">
        <w:rPr>
          <w:bCs/>
          <w:iCs/>
        </w:rPr>
        <w:tab/>
        <w:t>att under 2009 föreslå åtgärder för främja förädlingssektorn som har nytta av GMES tjänster, samt för att främja GMES bland medborgare, beslutsfattare och användare.</w:t>
      </w:r>
    </w:p>
    <w:p w:rsidR="00455131" w:rsidRPr="00E7022C" w:rsidRDefault="00455131" w:rsidP="00455131">
      <w:pPr>
        <w:rPr>
          <w:bCs/>
          <w:iCs/>
        </w:rPr>
      </w:pPr>
    </w:p>
    <w:p w:rsidR="00455131" w:rsidRPr="00E7022C" w:rsidRDefault="00455131" w:rsidP="00455131">
      <w:pPr>
        <w:rPr>
          <w:bCs/>
          <w:iCs/>
        </w:rPr>
      </w:pPr>
      <w:r w:rsidRPr="00E7022C">
        <w:rPr>
          <w:bCs/>
          <w:iCs/>
        </w:rPr>
        <w:t>I slutsatserna uppmanas KOM och medlemsstaterna att definiera sina roller och ansvar i styrningen av GMES, att under 2009 bedöma kostnaderna för GMES och ange EU-finansiering till och efter 2013, samt att definiera GMES internationella samarbetsstrategi.</w:t>
      </w:r>
    </w:p>
    <w:p w:rsidR="00455131" w:rsidRPr="00E7022C" w:rsidRDefault="00455131" w:rsidP="00455131">
      <w:pPr>
        <w:rPr>
          <w:bCs/>
          <w:iCs/>
        </w:rPr>
      </w:pPr>
    </w:p>
    <w:p w:rsidR="00455131" w:rsidRPr="00E7022C" w:rsidRDefault="00455131" w:rsidP="00455131">
      <w:pPr>
        <w:rPr>
          <w:bCs/>
          <w:iCs/>
        </w:rPr>
      </w:pPr>
      <w:r w:rsidRPr="00E7022C">
        <w:rPr>
          <w:bCs/>
          <w:iCs/>
        </w:rPr>
        <w:t>I slutsatserna uppmanas KOM, ESA och Europeiska miljöbyrån att före utgången av 2009 lägga fram förslag som formaliserar deras koordineringsroller i GMES.</w:t>
      </w:r>
    </w:p>
    <w:p w:rsidR="00455131" w:rsidRPr="00E7022C" w:rsidRDefault="00455131" w:rsidP="00455131">
      <w:pPr>
        <w:rPr>
          <w:bCs/>
          <w:iCs/>
        </w:rPr>
      </w:pPr>
    </w:p>
    <w:p w:rsidR="00455131" w:rsidRPr="00E7022C" w:rsidRDefault="00455131" w:rsidP="00455131">
      <w:pPr>
        <w:rPr>
          <w:bCs/>
          <w:iCs/>
        </w:rPr>
      </w:pPr>
      <w:r w:rsidRPr="00E7022C">
        <w:rPr>
          <w:bCs/>
          <w:iCs/>
        </w:rPr>
        <w:t>KOM ombeds att under första halvåret 2009, rapportera om förberedelserna av ett lagstiftande förslag om ett GMES program.</w:t>
      </w:r>
    </w:p>
    <w:p w:rsidR="000A5599" w:rsidRPr="00E7022C" w:rsidRDefault="000A5599" w:rsidP="000A5599">
      <w:pPr>
        <w:rPr>
          <w:bCs/>
          <w:iCs/>
        </w:rPr>
      </w:pPr>
    </w:p>
    <w:p w:rsidR="001326F0" w:rsidRPr="00E7022C" w:rsidRDefault="001326F0" w:rsidP="000A5599">
      <w:pPr>
        <w:rPr>
          <w:bCs/>
          <w:iCs/>
          <w:u w:val="single"/>
        </w:rPr>
      </w:pPr>
    </w:p>
    <w:p w:rsidR="007539D0" w:rsidRPr="00E7022C" w:rsidRDefault="007539D0" w:rsidP="007539D0">
      <w:pPr>
        <w:pStyle w:val="RKrubrik"/>
      </w:pPr>
      <w:r w:rsidRPr="00E7022C">
        <w:t>2. Gällande svenska regler och förslagets effekt på dessa</w:t>
      </w:r>
    </w:p>
    <w:p w:rsidR="00107B9C" w:rsidRPr="00E7022C" w:rsidRDefault="001326F0" w:rsidP="006F3CE3">
      <w:pPr>
        <w:pStyle w:val="RKnormal"/>
      </w:pPr>
      <w:r w:rsidRPr="00E7022C">
        <w:t>Inga</w:t>
      </w:r>
      <w:r w:rsidR="00A0177B" w:rsidRPr="00E7022C">
        <w:t>.</w:t>
      </w:r>
    </w:p>
    <w:p w:rsidR="00A0177B" w:rsidRPr="00E7022C" w:rsidRDefault="00A0177B" w:rsidP="006F3CE3">
      <w:pPr>
        <w:pStyle w:val="RKnormal"/>
      </w:pPr>
    </w:p>
    <w:p w:rsidR="000B7C1C" w:rsidRPr="00E7022C" w:rsidRDefault="000B7C1C" w:rsidP="000B7C1C">
      <w:pPr>
        <w:pStyle w:val="RKrubrik"/>
      </w:pPr>
      <w:r w:rsidRPr="00E7022C">
        <w:t>3. Budgetära konsekvenser</w:t>
      </w:r>
    </w:p>
    <w:p w:rsidR="000B7C1C" w:rsidRPr="00E7022C" w:rsidRDefault="001326F0" w:rsidP="000B7C1C">
      <w:pPr>
        <w:pStyle w:val="RKnormal"/>
      </w:pPr>
      <w:r w:rsidRPr="00E7022C">
        <w:t>Förslaget få</w:t>
      </w:r>
      <w:r w:rsidR="00ED48FF" w:rsidRPr="00E7022C">
        <w:t>r</w:t>
      </w:r>
      <w:r w:rsidRPr="00E7022C">
        <w:t xml:space="preserve">  budgetära konsekvenser </w:t>
      </w:r>
      <w:r w:rsidR="00ED48FF" w:rsidRPr="00E7022C">
        <w:t>s</w:t>
      </w:r>
      <w:r w:rsidRPr="00E7022C">
        <w:t xml:space="preserve">om inte </w:t>
      </w:r>
      <w:r w:rsidR="00ED48FF" w:rsidRPr="00E7022C">
        <w:t xml:space="preserve">går att kvantifiera innan kommissionen presenterat sitt förslag. </w:t>
      </w:r>
    </w:p>
    <w:p w:rsidR="00ED48FF" w:rsidRPr="00E7022C" w:rsidRDefault="00ED48FF" w:rsidP="000B7C1C">
      <w:pPr>
        <w:pStyle w:val="RKnormal"/>
      </w:pPr>
    </w:p>
    <w:p w:rsidR="000B7C1C" w:rsidRPr="00E7022C" w:rsidRDefault="000B7C1C" w:rsidP="000B7C1C">
      <w:pPr>
        <w:pStyle w:val="RKrubrik"/>
      </w:pPr>
      <w:r w:rsidRPr="00E7022C">
        <w:t>II Ståndpunkter</w:t>
      </w:r>
    </w:p>
    <w:p w:rsidR="000B7C1C" w:rsidRPr="00E7022C" w:rsidRDefault="000B7C1C" w:rsidP="000B7C1C">
      <w:pPr>
        <w:pStyle w:val="RKnormal"/>
      </w:pPr>
    </w:p>
    <w:p w:rsidR="00107B9C" w:rsidRPr="00E7022C" w:rsidRDefault="00107B9C" w:rsidP="006F3CE3">
      <w:pPr>
        <w:pStyle w:val="RKnormal"/>
      </w:pPr>
    </w:p>
    <w:p w:rsidR="00107B9C" w:rsidRPr="00E7022C" w:rsidRDefault="000B7C1C" w:rsidP="006F3CE3">
      <w:pPr>
        <w:pStyle w:val="RKnormal"/>
        <w:rPr>
          <w:b/>
        </w:rPr>
      </w:pPr>
      <w:r w:rsidRPr="00E7022C">
        <w:rPr>
          <w:b/>
        </w:rPr>
        <w:t>1. S</w:t>
      </w:r>
      <w:r w:rsidR="00107B9C" w:rsidRPr="00E7022C">
        <w:rPr>
          <w:b/>
        </w:rPr>
        <w:t>vensk ståndpunkt</w:t>
      </w:r>
    </w:p>
    <w:p w:rsidR="001326F0" w:rsidRPr="00E7022C" w:rsidRDefault="001326F0" w:rsidP="006F3CE3">
      <w:pPr>
        <w:pStyle w:val="RKnormal"/>
        <w:rPr>
          <w:b/>
        </w:rPr>
      </w:pPr>
    </w:p>
    <w:p w:rsidR="001326F0" w:rsidRPr="00E7022C" w:rsidRDefault="001326F0" w:rsidP="001326F0">
      <w:pPr>
        <w:rPr>
          <w:bCs/>
          <w:iCs/>
        </w:rPr>
      </w:pPr>
      <w:r w:rsidRPr="00E7022C">
        <w:rPr>
          <w:bCs/>
          <w:iCs/>
        </w:rPr>
        <w:t>Sverige välkomnar meddelandet och ställer sig positiva till ordförandeskapets förslag till rådslutsatser i stora delar. Förslaget ger en tidtabell för genomförandet av GMES och goda förutsättningar för ett långsiktigt uthålligt genomförande. Sverige välkomnar ambitionen att säkerställa kontinuitet av data och tjänster</w:t>
      </w:r>
      <w:r w:rsidR="008973B4" w:rsidRPr="00E7022C">
        <w:rPr>
          <w:bCs/>
          <w:iCs/>
        </w:rPr>
        <w:t>,</w:t>
      </w:r>
      <w:r w:rsidRPr="00E7022C">
        <w:rPr>
          <w:bCs/>
          <w:iCs/>
        </w:rPr>
        <w:t xml:space="preserve"> en öppen datapoli</w:t>
      </w:r>
      <w:r w:rsidR="008973B4" w:rsidRPr="00E7022C">
        <w:rPr>
          <w:bCs/>
          <w:iCs/>
        </w:rPr>
        <w:t>cy</w:t>
      </w:r>
      <w:r w:rsidRPr="00E7022C">
        <w:rPr>
          <w:bCs/>
          <w:iCs/>
        </w:rPr>
        <w:t xml:space="preserve">, samt ett användarvänligt GMES. </w:t>
      </w:r>
    </w:p>
    <w:p w:rsidR="001326F0" w:rsidRPr="00E7022C" w:rsidRDefault="001326F0" w:rsidP="001326F0">
      <w:pPr>
        <w:ind w:left="284" w:hanging="284"/>
        <w:rPr>
          <w:bCs/>
          <w:iCs/>
        </w:rPr>
      </w:pPr>
    </w:p>
    <w:p w:rsidR="001326F0" w:rsidRPr="00E7022C" w:rsidRDefault="00ED48FF" w:rsidP="001326F0">
      <w:r w:rsidRPr="00E7022C">
        <w:t xml:space="preserve">En förutsättning är dock att ambitionerna och förslagen i slutsatserna respekterar nuvarande fleråriga budgetram och inte föregriper nästa fleråriga budgetram. </w:t>
      </w:r>
      <w:r w:rsidR="007E33BD" w:rsidRPr="00E7022C">
        <w:t>Sverige anser att rådslutsatserna ska återspegla detta.</w:t>
      </w:r>
    </w:p>
    <w:p w:rsidR="001326F0" w:rsidRPr="00E7022C" w:rsidRDefault="001326F0" w:rsidP="006F3CE3">
      <w:pPr>
        <w:pStyle w:val="RKnormal"/>
        <w:rPr>
          <w:b/>
        </w:rPr>
      </w:pPr>
    </w:p>
    <w:p w:rsidR="00497B97" w:rsidRPr="00E7022C" w:rsidRDefault="00497B97" w:rsidP="00497B97">
      <w:pPr>
        <w:pStyle w:val="RKrubrik"/>
      </w:pPr>
      <w:r w:rsidRPr="00E7022C">
        <w:t>2. Remissinstansernas ståndpunkter</w:t>
      </w:r>
    </w:p>
    <w:p w:rsidR="00497B97" w:rsidRPr="00E7022C" w:rsidRDefault="00497B97" w:rsidP="00497B97">
      <w:pPr>
        <w:pStyle w:val="RKnormal"/>
      </w:pPr>
      <w:r w:rsidRPr="00E7022C">
        <w:t>Förslaget har inte remitterats.</w:t>
      </w:r>
    </w:p>
    <w:p w:rsidR="00497B97" w:rsidRPr="00E7022C" w:rsidRDefault="00497B97" w:rsidP="00497B97">
      <w:pPr>
        <w:pStyle w:val="RKnormal"/>
      </w:pPr>
    </w:p>
    <w:p w:rsidR="00497B97" w:rsidRPr="00E7022C" w:rsidRDefault="00497B97" w:rsidP="00497B97">
      <w:pPr>
        <w:pStyle w:val="RKrubrik"/>
      </w:pPr>
      <w:r w:rsidRPr="00E7022C">
        <w:t>III Övrigt</w:t>
      </w:r>
    </w:p>
    <w:p w:rsidR="00497B97" w:rsidRPr="00E7022C" w:rsidRDefault="00497B97" w:rsidP="00497B97">
      <w:pPr>
        <w:pStyle w:val="RKnormal"/>
        <w:rPr>
          <w:b/>
        </w:rPr>
      </w:pPr>
      <w:r w:rsidRPr="00E7022C">
        <w:rPr>
          <w:b/>
        </w:rPr>
        <w:t>1. Fortsatt behandling av ärendet</w:t>
      </w:r>
    </w:p>
    <w:p w:rsidR="00497B97" w:rsidRPr="00E7022C" w:rsidRDefault="00790BCF" w:rsidP="00497B97">
      <w:pPr>
        <w:pStyle w:val="RKnormal"/>
        <w:rPr>
          <w:b/>
          <w:sz w:val="36"/>
          <w:szCs w:val="36"/>
        </w:rPr>
      </w:pPr>
      <w:r w:rsidRPr="00E7022C">
        <w:rPr>
          <w:szCs w:val="24"/>
        </w:rPr>
        <w:t>Förslaget till rådsslutser behandlas i rådsarbetsgruppen för forskning och i Coreper</w:t>
      </w:r>
      <w:r w:rsidR="00B85838" w:rsidRPr="00E7022C">
        <w:rPr>
          <w:szCs w:val="24"/>
        </w:rPr>
        <w:t xml:space="preserve"> den 26 november samt i Konkurrenskraftsrådet den 1-2 december 2008.</w:t>
      </w:r>
    </w:p>
    <w:p w:rsidR="00497B97" w:rsidRPr="00E7022C" w:rsidRDefault="00497B97" w:rsidP="00497B97">
      <w:pPr>
        <w:pStyle w:val="RKnormal"/>
        <w:rPr>
          <w:szCs w:val="24"/>
        </w:rPr>
      </w:pPr>
    </w:p>
    <w:p w:rsidR="00497B97" w:rsidRPr="00E7022C" w:rsidRDefault="00497B97" w:rsidP="00497B97">
      <w:pPr>
        <w:pStyle w:val="RKrubrik"/>
      </w:pPr>
      <w:r w:rsidRPr="00E7022C">
        <w:t>2. Rättslig</w:t>
      </w:r>
      <w:r w:rsidR="00B85838" w:rsidRPr="00E7022C">
        <w:t xml:space="preserve"> </w:t>
      </w:r>
      <w:r w:rsidRPr="00E7022C">
        <w:t>grund och beslutsförfarande</w:t>
      </w:r>
    </w:p>
    <w:p w:rsidR="00497B97" w:rsidRPr="00E7022C" w:rsidRDefault="00497B97" w:rsidP="00497B97">
      <w:pPr>
        <w:pStyle w:val="RKnormal"/>
      </w:pPr>
      <w:r w:rsidRPr="00E7022C">
        <w:t>Artikel 8 i ramavtalet mellan ESA och EU, som är baserat på artiklarna 170, 300.2 och 300.3 i EG-fördraget.</w:t>
      </w:r>
    </w:p>
    <w:p w:rsidR="001E0F71" w:rsidRPr="00E7022C" w:rsidRDefault="001E0F71" w:rsidP="00497B97">
      <w:pPr>
        <w:pStyle w:val="RKnormal"/>
      </w:pPr>
    </w:p>
    <w:p w:rsidR="001E0F71" w:rsidRPr="00E7022C" w:rsidRDefault="001E0F71" w:rsidP="001E0F71">
      <w:pPr>
        <w:pStyle w:val="RKrubrik"/>
      </w:pPr>
      <w:r w:rsidRPr="00E7022C">
        <w:t>3. Fackuttryck/termer</w:t>
      </w:r>
    </w:p>
    <w:p w:rsidR="00497B97" w:rsidRPr="00E7022C" w:rsidRDefault="00497B97" w:rsidP="00497B97">
      <w:pPr>
        <w:pStyle w:val="RKnormal"/>
      </w:pPr>
    </w:p>
    <w:p w:rsidR="006F3CE3" w:rsidRPr="00E7022C" w:rsidRDefault="006F3CE3" w:rsidP="006F3CE3">
      <w:pPr>
        <w:pStyle w:val="RKnormal"/>
      </w:pPr>
    </w:p>
    <w:p w:rsidR="001F3EFB" w:rsidRPr="00E7022C" w:rsidRDefault="001F3EFB" w:rsidP="00961DB9">
      <w:pPr>
        <w:tabs>
          <w:tab w:val="left" w:pos="2835"/>
        </w:tabs>
        <w:spacing w:line="240" w:lineRule="atLeast"/>
      </w:pPr>
    </w:p>
    <w:sectPr w:rsidR="001F3EFB" w:rsidRPr="00E7022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A21" w:rsidRPr="00E7022C" w:rsidRDefault="002D5A21">
      <w:r w:rsidRPr="00E7022C">
        <w:separator/>
      </w:r>
    </w:p>
  </w:endnote>
  <w:endnote w:type="continuationSeparator" w:id="0">
    <w:p w:rsidR="002D5A21" w:rsidRPr="00E7022C" w:rsidRDefault="002D5A21">
      <w:r w:rsidRPr="00E70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A21" w:rsidRPr="00E7022C" w:rsidRDefault="002D5A21">
      <w:r w:rsidRPr="00E7022C">
        <w:separator/>
      </w:r>
    </w:p>
  </w:footnote>
  <w:footnote w:type="continuationSeparator" w:id="0">
    <w:p w:rsidR="002D5A21" w:rsidRPr="00E7022C" w:rsidRDefault="002D5A21">
      <w:r w:rsidRPr="00E702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8FF" w:rsidRPr="00E7022C" w:rsidRDefault="00ED48FF">
    <w:pPr>
      <w:pStyle w:val="Sidhuvud"/>
      <w:framePr w:wrap="around" w:vAnchor="text" w:hAnchor="margin" w:xAlign="right" w:y="1"/>
      <w:rPr>
        <w:rStyle w:val="Sidnummer"/>
      </w:rPr>
    </w:pPr>
    <w:r w:rsidRPr="00E7022C">
      <w:rPr>
        <w:rStyle w:val="Sidnummer"/>
      </w:rPr>
      <w:fldChar w:fldCharType="begin" w:fldLock="1"/>
    </w:r>
    <w:r w:rsidRPr="00E7022C">
      <w:rPr>
        <w:rStyle w:val="Sidnummer"/>
      </w:rPr>
      <w:instrText xml:space="preserve">PAGE  </w:instrText>
    </w:r>
    <w:r w:rsidRPr="00E7022C">
      <w:rPr>
        <w:rStyle w:val="Sidnummer"/>
      </w:rPr>
      <w:fldChar w:fldCharType="separate"/>
    </w:r>
    <w:r w:rsidR="009C0190" w:rsidRPr="00E7022C">
      <w:rPr>
        <w:rStyle w:val="Sidnummer"/>
      </w:rPr>
      <w:t>2</w:t>
    </w:r>
    <w:r w:rsidRPr="00E7022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D48FF" w:rsidRPr="00E7022C">
      <w:tblPrEx>
        <w:tblCellMar>
          <w:top w:w="0" w:type="dxa"/>
          <w:bottom w:w="0" w:type="dxa"/>
        </w:tblCellMar>
      </w:tblPrEx>
      <w:trPr>
        <w:cantSplit/>
      </w:trPr>
      <w:tc>
        <w:tcPr>
          <w:tcW w:w="3119" w:type="dxa"/>
        </w:tcPr>
        <w:p w:rsidR="00ED48FF" w:rsidRPr="00E7022C" w:rsidRDefault="00ED48FF">
          <w:pPr>
            <w:pStyle w:val="Sidhuvud"/>
            <w:spacing w:line="200" w:lineRule="atLeast"/>
            <w:ind w:right="357"/>
            <w:rPr>
              <w:rFonts w:ascii="TradeGothic" w:hAnsi="TradeGothic"/>
              <w:b/>
              <w:bCs/>
              <w:sz w:val="16"/>
            </w:rPr>
          </w:pPr>
        </w:p>
      </w:tc>
      <w:tc>
        <w:tcPr>
          <w:tcW w:w="4111" w:type="dxa"/>
          <w:tcMar>
            <w:left w:w="567" w:type="dxa"/>
          </w:tcMar>
        </w:tcPr>
        <w:p w:rsidR="00ED48FF" w:rsidRPr="00E7022C" w:rsidRDefault="00ED48FF">
          <w:pPr>
            <w:pStyle w:val="Sidhuvud"/>
            <w:ind w:right="360"/>
          </w:pPr>
        </w:p>
      </w:tc>
      <w:tc>
        <w:tcPr>
          <w:tcW w:w="1525" w:type="dxa"/>
        </w:tcPr>
        <w:p w:rsidR="00ED48FF" w:rsidRPr="00E7022C" w:rsidRDefault="00ED48FF">
          <w:pPr>
            <w:pStyle w:val="Sidhuvud"/>
            <w:ind w:right="360"/>
          </w:pPr>
        </w:p>
      </w:tc>
    </w:tr>
  </w:tbl>
  <w:p w:rsidR="00ED48FF" w:rsidRPr="00E7022C" w:rsidRDefault="00ED48F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8FF" w:rsidRPr="00E7022C" w:rsidRDefault="00ED48FF">
    <w:pPr>
      <w:pStyle w:val="Sidhuvud"/>
      <w:framePr w:wrap="around" w:vAnchor="text" w:hAnchor="margin" w:xAlign="right" w:y="1"/>
      <w:rPr>
        <w:rStyle w:val="Sidnummer"/>
      </w:rPr>
    </w:pPr>
    <w:r w:rsidRPr="00E7022C">
      <w:rPr>
        <w:rStyle w:val="Sidnummer"/>
      </w:rPr>
      <w:fldChar w:fldCharType="begin" w:fldLock="1"/>
    </w:r>
    <w:r w:rsidRPr="00E7022C">
      <w:rPr>
        <w:rStyle w:val="Sidnummer"/>
      </w:rPr>
      <w:instrText xml:space="preserve">PAGE  </w:instrText>
    </w:r>
    <w:r w:rsidRPr="00E7022C">
      <w:rPr>
        <w:rStyle w:val="Sidnummer"/>
      </w:rPr>
      <w:fldChar w:fldCharType="separate"/>
    </w:r>
    <w:r w:rsidR="009C0190" w:rsidRPr="00E7022C">
      <w:rPr>
        <w:rStyle w:val="Sidnummer"/>
      </w:rPr>
      <w:t>3</w:t>
    </w:r>
    <w:r w:rsidRPr="00E7022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D48FF" w:rsidRPr="00E7022C">
      <w:tblPrEx>
        <w:tblCellMar>
          <w:top w:w="0" w:type="dxa"/>
          <w:bottom w:w="0" w:type="dxa"/>
        </w:tblCellMar>
      </w:tblPrEx>
      <w:trPr>
        <w:cantSplit/>
      </w:trPr>
      <w:tc>
        <w:tcPr>
          <w:tcW w:w="3119" w:type="dxa"/>
        </w:tcPr>
        <w:p w:rsidR="00ED48FF" w:rsidRPr="00E7022C" w:rsidRDefault="00ED48FF">
          <w:pPr>
            <w:pStyle w:val="Sidhuvud"/>
            <w:spacing w:line="200" w:lineRule="atLeast"/>
            <w:ind w:right="357"/>
            <w:rPr>
              <w:rFonts w:ascii="TradeGothic" w:hAnsi="TradeGothic"/>
              <w:b/>
              <w:bCs/>
              <w:sz w:val="16"/>
            </w:rPr>
          </w:pPr>
        </w:p>
      </w:tc>
      <w:tc>
        <w:tcPr>
          <w:tcW w:w="4111" w:type="dxa"/>
          <w:tcMar>
            <w:left w:w="567" w:type="dxa"/>
          </w:tcMar>
        </w:tcPr>
        <w:p w:rsidR="00ED48FF" w:rsidRPr="00E7022C" w:rsidRDefault="00ED48FF">
          <w:pPr>
            <w:pStyle w:val="Sidhuvud"/>
            <w:ind w:right="360"/>
          </w:pPr>
        </w:p>
      </w:tc>
      <w:tc>
        <w:tcPr>
          <w:tcW w:w="1525" w:type="dxa"/>
        </w:tcPr>
        <w:p w:rsidR="00ED48FF" w:rsidRPr="00E7022C" w:rsidRDefault="00ED48FF">
          <w:pPr>
            <w:pStyle w:val="Sidhuvud"/>
            <w:ind w:right="360"/>
          </w:pPr>
        </w:p>
      </w:tc>
    </w:tr>
  </w:tbl>
  <w:p w:rsidR="00ED48FF" w:rsidRPr="00E7022C" w:rsidRDefault="00ED48F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8FF" w:rsidRPr="00E7022C" w:rsidRDefault="00E7022C">
    <w:pPr>
      <w:framePr w:w="2948" w:h="1321" w:hRule="exact" w:wrap="notBeside" w:vAnchor="page" w:hAnchor="page" w:x="1362" w:y="653"/>
    </w:pPr>
    <w:r w:rsidRPr="00E7022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D48FF" w:rsidRPr="00E7022C" w:rsidRDefault="00ED48FF">
    <w:pPr>
      <w:pStyle w:val="RKrubrik"/>
      <w:keepNext w:val="0"/>
      <w:tabs>
        <w:tab w:val="clear" w:pos="1134"/>
        <w:tab w:val="clear" w:pos="2835"/>
      </w:tabs>
      <w:spacing w:before="0" w:after="0" w:line="320" w:lineRule="atLeast"/>
      <w:rPr>
        <w:bCs/>
      </w:rPr>
    </w:pPr>
  </w:p>
  <w:p w:rsidR="00ED48FF" w:rsidRPr="00E7022C" w:rsidRDefault="00ED48FF">
    <w:pPr>
      <w:rPr>
        <w:rFonts w:ascii="TradeGothic" w:hAnsi="TradeGothic"/>
        <w:b/>
        <w:bCs/>
        <w:spacing w:val="12"/>
        <w:sz w:val="22"/>
      </w:rPr>
    </w:pPr>
  </w:p>
  <w:p w:rsidR="00ED48FF" w:rsidRPr="00E7022C" w:rsidRDefault="00ED48FF">
    <w:pPr>
      <w:pStyle w:val="RKrubrik"/>
      <w:keepNext w:val="0"/>
      <w:tabs>
        <w:tab w:val="clear" w:pos="1134"/>
        <w:tab w:val="clear" w:pos="2835"/>
      </w:tabs>
      <w:spacing w:before="0" w:after="0" w:line="320" w:lineRule="atLeast"/>
      <w:rPr>
        <w:bCs/>
      </w:rPr>
    </w:pPr>
  </w:p>
  <w:p w:rsidR="00ED48FF" w:rsidRPr="00E7022C" w:rsidRDefault="00ED48F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3"/>
    <w:docVar w:name="docDep" w:val="10"/>
    <w:docVar w:name="docSprak" w:val="0"/>
  </w:docVars>
  <w:rsids>
    <w:rsidRoot w:val="00E5165E"/>
    <w:rsid w:val="00025021"/>
    <w:rsid w:val="00031224"/>
    <w:rsid w:val="000418C3"/>
    <w:rsid w:val="00046ACD"/>
    <w:rsid w:val="0006607F"/>
    <w:rsid w:val="00095508"/>
    <w:rsid w:val="00096BEA"/>
    <w:rsid w:val="000A5599"/>
    <w:rsid w:val="000B7C1C"/>
    <w:rsid w:val="000C09A6"/>
    <w:rsid w:val="00107B9C"/>
    <w:rsid w:val="00110C58"/>
    <w:rsid w:val="00122917"/>
    <w:rsid w:val="001326F0"/>
    <w:rsid w:val="00150384"/>
    <w:rsid w:val="001805B7"/>
    <w:rsid w:val="0018648A"/>
    <w:rsid w:val="001873C3"/>
    <w:rsid w:val="00196509"/>
    <w:rsid w:val="001A3DD5"/>
    <w:rsid w:val="001D0518"/>
    <w:rsid w:val="001E00FB"/>
    <w:rsid w:val="001E0F71"/>
    <w:rsid w:val="001E236F"/>
    <w:rsid w:val="001F3EFB"/>
    <w:rsid w:val="0020319D"/>
    <w:rsid w:val="0020626F"/>
    <w:rsid w:val="002114FF"/>
    <w:rsid w:val="00215144"/>
    <w:rsid w:val="0023209F"/>
    <w:rsid w:val="00232ACC"/>
    <w:rsid w:val="00237565"/>
    <w:rsid w:val="00264FBF"/>
    <w:rsid w:val="002A0E3D"/>
    <w:rsid w:val="002A3653"/>
    <w:rsid w:val="002A7629"/>
    <w:rsid w:val="002B3819"/>
    <w:rsid w:val="002B41B5"/>
    <w:rsid w:val="002C6C1C"/>
    <w:rsid w:val="002D452E"/>
    <w:rsid w:val="002D5A21"/>
    <w:rsid w:val="0030274E"/>
    <w:rsid w:val="0030700A"/>
    <w:rsid w:val="00316B05"/>
    <w:rsid w:val="00326263"/>
    <w:rsid w:val="00337E7A"/>
    <w:rsid w:val="00353132"/>
    <w:rsid w:val="00366799"/>
    <w:rsid w:val="00404E03"/>
    <w:rsid w:val="004065AC"/>
    <w:rsid w:val="00414A46"/>
    <w:rsid w:val="00414F0C"/>
    <w:rsid w:val="004172A5"/>
    <w:rsid w:val="004441D8"/>
    <w:rsid w:val="0045407C"/>
    <w:rsid w:val="00455131"/>
    <w:rsid w:val="00456BE5"/>
    <w:rsid w:val="00460157"/>
    <w:rsid w:val="00496B17"/>
    <w:rsid w:val="00497B97"/>
    <w:rsid w:val="004A328D"/>
    <w:rsid w:val="004A64F2"/>
    <w:rsid w:val="004B7AAE"/>
    <w:rsid w:val="004D3C4A"/>
    <w:rsid w:val="00502DDF"/>
    <w:rsid w:val="005534A3"/>
    <w:rsid w:val="00582A8D"/>
    <w:rsid w:val="005B3D32"/>
    <w:rsid w:val="005C16EA"/>
    <w:rsid w:val="005C6279"/>
    <w:rsid w:val="005F29A4"/>
    <w:rsid w:val="00613F7D"/>
    <w:rsid w:val="00617994"/>
    <w:rsid w:val="00617ED0"/>
    <w:rsid w:val="00624985"/>
    <w:rsid w:val="006561ED"/>
    <w:rsid w:val="0066778B"/>
    <w:rsid w:val="0068014E"/>
    <w:rsid w:val="006A13E0"/>
    <w:rsid w:val="006A3209"/>
    <w:rsid w:val="006A3FDD"/>
    <w:rsid w:val="006E4E11"/>
    <w:rsid w:val="006F3CE3"/>
    <w:rsid w:val="007029C1"/>
    <w:rsid w:val="00711900"/>
    <w:rsid w:val="00714B2C"/>
    <w:rsid w:val="007242A3"/>
    <w:rsid w:val="00724BF3"/>
    <w:rsid w:val="007304D2"/>
    <w:rsid w:val="00735A75"/>
    <w:rsid w:val="00741C94"/>
    <w:rsid w:val="007539D0"/>
    <w:rsid w:val="00783246"/>
    <w:rsid w:val="00790409"/>
    <w:rsid w:val="00790BCF"/>
    <w:rsid w:val="007A653B"/>
    <w:rsid w:val="007D5E78"/>
    <w:rsid w:val="007E33BD"/>
    <w:rsid w:val="007E5AB6"/>
    <w:rsid w:val="007F281A"/>
    <w:rsid w:val="00803FB0"/>
    <w:rsid w:val="00804667"/>
    <w:rsid w:val="00812F37"/>
    <w:rsid w:val="008164A4"/>
    <w:rsid w:val="008261B4"/>
    <w:rsid w:val="0083003A"/>
    <w:rsid w:val="00830CB5"/>
    <w:rsid w:val="00832209"/>
    <w:rsid w:val="008461E7"/>
    <w:rsid w:val="008826AF"/>
    <w:rsid w:val="008932C8"/>
    <w:rsid w:val="008973B4"/>
    <w:rsid w:val="008B5DD8"/>
    <w:rsid w:val="008E185E"/>
    <w:rsid w:val="008E3C14"/>
    <w:rsid w:val="00921392"/>
    <w:rsid w:val="00935DC2"/>
    <w:rsid w:val="00944DD6"/>
    <w:rsid w:val="00947AB0"/>
    <w:rsid w:val="00961DB9"/>
    <w:rsid w:val="00984F8B"/>
    <w:rsid w:val="009A15EF"/>
    <w:rsid w:val="009B01BB"/>
    <w:rsid w:val="009B5D33"/>
    <w:rsid w:val="009C0190"/>
    <w:rsid w:val="009F1118"/>
    <w:rsid w:val="00A0177B"/>
    <w:rsid w:val="00A0248A"/>
    <w:rsid w:val="00A0324D"/>
    <w:rsid w:val="00A146B0"/>
    <w:rsid w:val="00A15D18"/>
    <w:rsid w:val="00A224EE"/>
    <w:rsid w:val="00A27449"/>
    <w:rsid w:val="00A33844"/>
    <w:rsid w:val="00A37251"/>
    <w:rsid w:val="00A41948"/>
    <w:rsid w:val="00A53D11"/>
    <w:rsid w:val="00A6799C"/>
    <w:rsid w:val="00AA22A2"/>
    <w:rsid w:val="00AD14F0"/>
    <w:rsid w:val="00B126B8"/>
    <w:rsid w:val="00B17407"/>
    <w:rsid w:val="00B213BA"/>
    <w:rsid w:val="00B7019F"/>
    <w:rsid w:val="00B72E91"/>
    <w:rsid w:val="00B85838"/>
    <w:rsid w:val="00B900D1"/>
    <w:rsid w:val="00B927CB"/>
    <w:rsid w:val="00BC40DD"/>
    <w:rsid w:val="00BE1FDD"/>
    <w:rsid w:val="00BF0059"/>
    <w:rsid w:val="00BF25D8"/>
    <w:rsid w:val="00BF6695"/>
    <w:rsid w:val="00C07263"/>
    <w:rsid w:val="00C55ECA"/>
    <w:rsid w:val="00C80A7D"/>
    <w:rsid w:val="00CA1F1A"/>
    <w:rsid w:val="00CA223F"/>
    <w:rsid w:val="00CA6068"/>
    <w:rsid w:val="00CB4068"/>
    <w:rsid w:val="00CC6DDF"/>
    <w:rsid w:val="00CF0165"/>
    <w:rsid w:val="00CF3812"/>
    <w:rsid w:val="00D14E0D"/>
    <w:rsid w:val="00D30583"/>
    <w:rsid w:val="00D8468D"/>
    <w:rsid w:val="00D856E8"/>
    <w:rsid w:val="00D91627"/>
    <w:rsid w:val="00DC7466"/>
    <w:rsid w:val="00DE045E"/>
    <w:rsid w:val="00DE3FE0"/>
    <w:rsid w:val="00DF6B25"/>
    <w:rsid w:val="00E047ED"/>
    <w:rsid w:val="00E05F97"/>
    <w:rsid w:val="00E45BBB"/>
    <w:rsid w:val="00E509C2"/>
    <w:rsid w:val="00E5165E"/>
    <w:rsid w:val="00E62543"/>
    <w:rsid w:val="00E7022C"/>
    <w:rsid w:val="00E97F9B"/>
    <w:rsid w:val="00EC25F9"/>
    <w:rsid w:val="00ED48FF"/>
    <w:rsid w:val="00ED6DB9"/>
    <w:rsid w:val="00EE17CB"/>
    <w:rsid w:val="00F000ED"/>
    <w:rsid w:val="00F61A5A"/>
    <w:rsid w:val="00F75F3D"/>
    <w:rsid w:val="00F760A8"/>
    <w:rsid w:val="00F90ED1"/>
    <w:rsid w:val="00F936D3"/>
    <w:rsid w:val="00FB3B8B"/>
    <w:rsid w:val="00FC39AC"/>
    <w:rsid w:val="00FD2CB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FF76740-5CE0-4F64-A104-498F5EEA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9A15EF"/>
    <w:rPr>
      <w:sz w:val="20"/>
    </w:rPr>
  </w:style>
  <w:style w:type="character" w:styleId="Fotnotsreferens">
    <w:name w:val="footnote reference"/>
    <w:basedOn w:val="Standardstycketeckensnitt"/>
    <w:semiHidden/>
    <w:rsid w:val="009A15EF"/>
    <w:rPr>
      <w:vertAlign w:val="superscript"/>
    </w:rPr>
  </w:style>
  <w:style w:type="character" w:customStyle="1" w:styleId="storrubrik1">
    <w:name w:val="storrubrik1"/>
    <w:basedOn w:val="Standardstycketeckensnitt"/>
    <w:rsid w:val="009A15EF"/>
    <w:rPr>
      <w:rFonts w:ascii="Verdana" w:hAnsi="Verdana" w:hint="default"/>
      <w:b/>
      <w:bCs/>
      <w:i w:val="0"/>
      <w:iCs w:val="0"/>
      <w:color w:val="336699"/>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4944</Characters>
  <Application>Microsoft Office Word</Application>
  <DocSecurity>4</DocSecurity>
  <Lines>170</Lines>
  <Paragraphs>65</Paragraphs>
  <ScaleCrop>false</ScaleCrop>
  <HeadingPairs>
    <vt:vector size="2" baseType="variant">
      <vt:variant>
        <vt:lpstr>Rubrik</vt:lpstr>
      </vt:variant>
      <vt:variant>
        <vt:i4>1</vt:i4>
      </vt:variant>
    </vt:vector>
  </HeadingPairs>
  <TitlesOfParts>
    <vt:vector size="1" baseType="lpstr">
      <vt:lpstr>Utkast till resolution </vt:lpstr>
    </vt:vector>
  </TitlesOfParts>
  <Company>Regeringskansliet</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till resolution </dc:title>
  <dc:subject>Utkast till resolution </dc:subject>
  <dc:creator>Riksdagen</dc:creator>
  <cp:keywords>Riksdagen</cp:keywords>
  <dc:description/>
  <cp:lastModifiedBy>Lars Brink</cp:lastModifiedBy>
  <cp:revision>2</cp:revision>
  <cp:lastPrinted>2008-11-17T09:33:00Z</cp:lastPrinted>
  <dcterms:created xsi:type="dcterms:W3CDTF">2025-12-17T19:35:00Z</dcterms:created>
  <dcterms:modified xsi:type="dcterms:W3CDTF">2025-12-17T19:35:00Z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10;0;0;460</vt:lpwstr>
  </property>
  <property fmtid="{D5CDD505-2E9C-101B-9397-08002B2CF9AE}" pid="3" name="Sprak">
    <vt:lpwstr>Svenska</vt:lpwstr>
  </property>
  <property fmtid="{D5CDD505-2E9C-101B-9397-08002B2CF9AE}" pid="4" name="DokID">
    <vt:i4>7</vt:i4>
  </property>
</Properties>
</file>