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766"/>
        <w:gridCol w:w="85"/>
        <w:gridCol w:w="3969"/>
        <w:gridCol w:w="1616"/>
        <w:gridCol w:w="85"/>
        <w:gridCol w:w="3884"/>
        <w:gridCol w:w="85"/>
        <w:gridCol w:w="851"/>
      </w:tblGrid>
      <w:tr w:rsidR="007A6E13" w:rsidRPr="007B6028">
        <w:tblPrEx>
          <w:tblCellMar>
            <w:top w:w="0" w:type="dxa"/>
            <w:left w:w="0" w:type="dxa"/>
            <w:bottom w:w="0" w:type="dxa"/>
            <w:right w:w="0" w:type="dxa"/>
          </w:tblCellMar>
        </w:tblPrEx>
        <w:trPr>
          <w:gridBefore w:val="2"/>
          <w:gridAfter w:val="1"/>
          <w:wBefore w:w="851" w:type="dxa"/>
          <w:wAfter w:w="851" w:type="dxa"/>
          <w:trHeight w:val="240"/>
        </w:trPr>
        <w:tc>
          <w:tcPr>
            <w:tcW w:w="3969" w:type="dxa"/>
          </w:tcPr>
          <w:p w:rsidR="007A6E13" w:rsidRPr="007B6028" w:rsidRDefault="007B6028">
            <w:pPr>
              <w:pStyle w:val="EntLogo"/>
            </w:pPr>
            <w:r w:rsidRPr="007B6028">
              <w:rPr>
                <w:noProof/>
                <w:lang w:eastAsia="sv-SE"/>
              </w:rPr>
              <mc:AlternateContent>
                <mc:Choice Requires="wps">
                  <w:drawing>
                    <wp:anchor distT="0" distB="0" distL="114300" distR="114300" simplePos="0" relativeHeight="251658240" behindDoc="0" locked="0" layoutInCell="0" allowOverlap="1">
                      <wp:simplePos x="0" y="0"/>
                      <wp:positionH relativeFrom="column">
                        <wp:posOffset>5105400</wp:posOffset>
                      </wp:positionH>
                      <wp:positionV relativeFrom="paragraph">
                        <wp:posOffset>-457200</wp:posOffset>
                      </wp:positionV>
                      <wp:extent cx="1066800" cy="342900"/>
                      <wp:effectExtent l="0" t="0" r="0" b="0"/>
                      <wp:wrapNone/>
                      <wp:docPr id="4427460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42900"/>
                              </a:xfrm>
                              <a:prstGeom prst="rect">
                                <a:avLst/>
                              </a:prstGeom>
                              <a:solidFill>
                                <a:srgbClr val="FFFFFF"/>
                              </a:solidFill>
                              <a:ln w="9525">
                                <a:solidFill>
                                  <a:srgbClr val="000000"/>
                                </a:solidFill>
                                <a:miter lim="800000"/>
                                <a:headEnd/>
                                <a:tailEnd/>
                              </a:ln>
                            </wps:spPr>
                            <wps:txbx>
                              <w:txbxContent>
                                <w:p w:rsidR="00A8679C" w:rsidRPr="007B6028" w:rsidRDefault="00A8679C" w:rsidP="00A8679C">
                                  <w:r w:rsidRPr="007B6028">
                                    <w:t>TTE, dp 9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02pt;margin-top:-36pt;width:8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" o:allowincell="f">
                      <v:textbox>
                        <w:txbxContent>
                          <w:p w:rsidR="00A8679C" w:rsidRPr="007B6028" w:rsidRDefault="00A8679C" w:rsidP="00A8679C">
                            <w:r w:rsidRPr="007B6028">
                              <w:t>TTE, dp 9 a</w:t>
                            </w:r>
                          </w:p>
                        </w:txbxContent>
                      </v:textbox>
                    </v:shape>
                  </w:pict>
                </mc:Fallback>
              </mc:AlternateContent>
            </w:r>
            <w:r w:rsidRPr="007B6028">
              <w:rPr>
                <w:noProof/>
              </w:rPr>
              <w:drawing>
                <wp:anchor distT="0" distB="0" distL="114300" distR="114300" simplePos="0" relativeHeight="251657216"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1" w:type="dxa"/>
            <w:gridSpan w:val="2"/>
          </w:tcPr>
          <w:p w:rsidR="007A6E13" w:rsidRPr="007B6028" w:rsidRDefault="007A6E13">
            <w:pPr>
              <w:pStyle w:val="EntLogo"/>
            </w:pPr>
          </w:p>
        </w:tc>
        <w:tc>
          <w:tcPr>
            <w:tcW w:w="3969" w:type="dxa"/>
            <w:gridSpan w:val="2"/>
          </w:tcPr>
          <w:p w:rsidR="007A6E13" w:rsidRPr="007B6028" w:rsidRDefault="007A6E13">
            <w:pPr>
              <w:pStyle w:val="EntLogo"/>
            </w:pPr>
          </w:p>
        </w:tc>
      </w:tr>
      <w:tr w:rsidR="007A6E13" w:rsidRPr="007B6028">
        <w:tblPrEx>
          <w:tblCellMar>
            <w:top w:w="0" w:type="dxa"/>
            <w:left w:w="0" w:type="dxa"/>
            <w:bottom w:w="0" w:type="dxa"/>
            <w:right w:w="0" w:type="dxa"/>
          </w:tblCellMar>
        </w:tblPrEx>
        <w:trPr>
          <w:trHeight w:val="1120"/>
        </w:trPr>
        <w:tc>
          <w:tcPr>
            <w:tcW w:w="4820" w:type="dxa"/>
            <w:gridSpan w:val="3"/>
          </w:tcPr>
          <w:p w:rsidR="007A6E13" w:rsidRPr="007B6028" w:rsidRDefault="007A6E13">
            <w:pPr>
              <w:pStyle w:val="EntInstit"/>
            </w:pPr>
            <w:bookmarkStart w:id="0" w:name="Entete"/>
            <w:bookmarkEnd w:id="0"/>
            <w:r w:rsidRPr="007B6028">
              <w:t>EUROPEISKA</w:t>
            </w:r>
            <w:r w:rsidRPr="007B6028">
              <w:br/>
              <w:t>UNIONENS RÅD</w:t>
            </w:r>
          </w:p>
        </w:tc>
        <w:tc>
          <w:tcPr>
            <w:tcW w:w="1701" w:type="dxa"/>
            <w:gridSpan w:val="2"/>
          </w:tcPr>
          <w:p w:rsidR="007A6E13" w:rsidRPr="007B6028" w:rsidRDefault="007A6E13">
            <w:pPr>
              <w:spacing w:before="0"/>
            </w:pPr>
          </w:p>
        </w:tc>
        <w:tc>
          <w:tcPr>
            <w:tcW w:w="4820" w:type="dxa"/>
            <w:gridSpan w:val="3"/>
          </w:tcPr>
          <w:p w:rsidR="007A6E13" w:rsidRPr="007B6028" w:rsidRDefault="007A6E13">
            <w:pPr>
              <w:pStyle w:val="EntRefer"/>
            </w:pPr>
            <w:bookmarkStart w:id="1" w:name="Lieu"/>
            <w:bookmarkStart w:id="2" w:name="LWCons_Lieu"/>
            <w:bookmarkEnd w:id="1"/>
            <w:r w:rsidRPr="007B6028">
              <w:t>Bryssel den</w:t>
            </w:r>
            <w:bookmarkEnd w:id="2"/>
            <w:r w:rsidRPr="007B6028">
              <w:t xml:space="preserve"> </w:t>
            </w:r>
            <w:bookmarkStart w:id="3" w:name="Date"/>
            <w:bookmarkStart w:id="4" w:name="LWCons_Date"/>
            <w:bookmarkEnd w:id="3"/>
            <w:r w:rsidRPr="007B6028">
              <w:t>7 oktober 2008</w:t>
            </w:r>
            <w:bookmarkEnd w:id="4"/>
            <w:r w:rsidRPr="007B6028">
              <w:t xml:space="preserve"> </w:t>
            </w:r>
            <w:bookmarkStart w:id="5" w:name="DateEntree"/>
            <w:bookmarkStart w:id="6" w:name="LWCons_DateEntree"/>
            <w:bookmarkEnd w:id="5"/>
            <w:r w:rsidRPr="007B6028">
              <w:t>(08.10)</w:t>
            </w:r>
            <w:bookmarkEnd w:id="6"/>
          </w:p>
          <w:p w:rsidR="007A6E13" w:rsidRPr="007B6028" w:rsidRDefault="007A6E13">
            <w:pPr>
              <w:pStyle w:val="EntRefer"/>
            </w:pPr>
            <w:bookmarkStart w:id="7" w:name="LWCons_LangueOrig"/>
            <w:bookmarkStart w:id="8" w:name="LangueOrig"/>
            <w:bookmarkEnd w:id="7"/>
            <w:bookmarkEnd w:id="8"/>
            <w:r w:rsidRPr="007B6028">
              <w:t>(OR. en)</w:t>
            </w:r>
          </w:p>
        </w:tc>
      </w:tr>
      <w:tr w:rsidR="007A6E13" w:rsidRPr="007B6028">
        <w:tblPrEx>
          <w:tblCellMar>
            <w:top w:w="0" w:type="dxa"/>
            <w:left w:w="85" w:type="dxa"/>
            <w:bottom w:w="0" w:type="dxa"/>
            <w:right w:w="85" w:type="dxa"/>
          </w:tblCellMar>
        </w:tblPrEx>
        <w:trPr>
          <w:gridBefore w:val="1"/>
          <w:gridAfter w:val="2"/>
          <w:wBefore w:w="766" w:type="dxa"/>
          <w:wAfter w:w="936" w:type="dxa"/>
          <w:trHeight w:val="1480"/>
        </w:trPr>
        <w:tc>
          <w:tcPr>
            <w:tcW w:w="4054" w:type="dxa"/>
            <w:gridSpan w:val="2"/>
            <w:vAlign w:val="center"/>
          </w:tcPr>
          <w:p w:rsidR="007A6E13" w:rsidRPr="007B6028" w:rsidRDefault="007A6E13" w:rsidP="007A6E13">
            <w:pPr>
              <w:pStyle w:val="EntRefer"/>
              <w:jc w:val="center"/>
            </w:pPr>
            <w:bookmarkStart w:id="9" w:name="DossierInterInst"/>
            <w:bookmarkEnd w:id="9"/>
          </w:p>
          <w:p w:rsidR="007A6E13" w:rsidRPr="007B6028" w:rsidRDefault="007A6E13" w:rsidP="007A6E13">
            <w:pPr>
              <w:pStyle w:val="EntRefer"/>
              <w:jc w:val="center"/>
            </w:pPr>
          </w:p>
        </w:tc>
        <w:tc>
          <w:tcPr>
            <w:tcW w:w="1616" w:type="dxa"/>
            <w:vAlign w:val="center"/>
          </w:tcPr>
          <w:p w:rsidR="007A6E13" w:rsidRPr="007B6028" w:rsidRDefault="007A6E13">
            <w:pPr>
              <w:spacing w:before="0" w:after="0"/>
            </w:pPr>
          </w:p>
        </w:tc>
        <w:tc>
          <w:tcPr>
            <w:tcW w:w="3969" w:type="dxa"/>
            <w:gridSpan w:val="2"/>
          </w:tcPr>
          <w:p w:rsidR="007A6E13" w:rsidRPr="007B6028" w:rsidRDefault="007A6E13">
            <w:pPr>
              <w:pStyle w:val="EntRefer"/>
            </w:pPr>
            <w:bookmarkStart w:id="10" w:name="Cote"/>
            <w:bookmarkEnd w:id="10"/>
            <w:r w:rsidRPr="007B6028">
              <w:t>13937/08</w:t>
            </w:r>
          </w:p>
          <w:p w:rsidR="007A6E13" w:rsidRPr="007B6028" w:rsidRDefault="007A6E13">
            <w:pPr>
              <w:pStyle w:val="EntRefer"/>
            </w:pPr>
            <w:bookmarkStart w:id="11" w:name="CoteRev"/>
            <w:bookmarkEnd w:id="11"/>
          </w:p>
          <w:p w:rsidR="007A6E13" w:rsidRPr="007B6028" w:rsidRDefault="007A6E13">
            <w:pPr>
              <w:pStyle w:val="EntRefer"/>
            </w:pPr>
          </w:p>
          <w:bookmarkStart w:id="12" w:name="CoteSec"/>
          <w:bookmarkEnd w:id="12"/>
          <w:p w:rsidR="007A6E13" w:rsidRPr="007B6028" w:rsidRDefault="007A6E13">
            <w:pPr>
              <w:pStyle w:val="EntRefer"/>
              <w:tabs>
                <w:tab w:val="left" w:pos="1417"/>
              </w:tabs>
            </w:pPr>
            <w:r w:rsidRPr="007B6028">
              <w:fldChar w:fldCharType="begin" w:fldLock="1"/>
            </w:r>
            <w:r w:rsidRPr="007B6028">
              <w:instrText xml:space="preserve"> DOCVARIABLE "LWCons_CoteSec" </w:instrText>
            </w:r>
            <w:r w:rsidRPr="007B6028">
              <w:fldChar w:fldCharType="separate"/>
            </w:r>
            <w:r w:rsidRPr="007B6028">
              <w:t xml:space="preserve"> </w:t>
            </w:r>
            <w:r w:rsidRPr="007B6028">
              <w:fldChar w:fldCharType="end"/>
            </w:r>
          </w:p>
          <w:p w:rsidR="007A6E13" w:rsidRPr="007B6028" w:rsidRDefault="007A6E13">
            <w:pPr>
              <w:pStyle w:val="EntRefer"/>
            </w:pPr>
          </w:p>
        </w:tc>
      </w:tr>
      <w:tr w:rsidR="007A6E13" w:rsidRPr="007B6028">
        <w:tblPrEx>
          <w:tblCellMar>
            <w:top w:w="0" w:type="dxa"/>
            <w:left w:w="0" w:type="dxa"/>
            <w:bottom w:w="0" w:type="dxa"/>
            <w:right w:w="0" w:type="dxa"/>
          </w:tblCellMar>
        </w:tblPrEx>
        <w:trPr>
          <w:gridBefore w:val="2"/>
          <w:gridAfter w:val="1"/>
          <w:wBefore w:w="851" w:type="dxa"/>
          <w:wAfter w:w="851" w:type="dxa"/>
          <w:trHeight w:val="1000"/>
        </w:trPr>
        <w:tc>
          <w:tcPr>
            <w:tcW w:w="3969" w:type="dxa"/>
            <w:vAlign w:val="center"/>
          </w:tcPr>
          <w:p w:rsidR="007A6E13" w:rsidRPr="007B6028" w:rsidRDefault="007A6E13" w:rsidP="007A6E13">
            <w:pPr>
              <w:pStyle w:val="EntRefer"/>
              <w:jc w:val="center"/>
              <w:rPr>
                <w:sz w:val="36"/>
                <w:u w:val="double"/>
              </w:rPr>
            </w:pPr>
            <w:bookmarkStart w:id="13" w:name="SousEmbargo"/>
            <w:bookmarkEnd w:id="13"/>
          </w:p>
        </w:tc>
        <w:tc>
          <w:tcPr>
            <w:tcW w:w="1701" w:type="dxa"/>
            <w:gridSpan w:val="2"/>
            <w:vAlign w:val="center"/>
          </w:tcPr>
          <w:p w:rsidR="007A6E13" w:rsidRPr="007B6028" w:rsidRDefault="007A6E13">
            <w:pPr>
              <w:spacing w:before="0" w:after="0"/>
            </w:pPr>
          </w:p>
        </w:tc>
        <w:tc>
          <w:tcPr>
            <w:tcW w:w="3969" w:type="dxa"/>
            <w:gridSpan w:val="2"/>
          </w:tcPr>
          <w:p w:rsidR="007A6E13" w:rsidRPr="007B6028" w:rsidRDefault="006D34AD">
            <w:pPr>
              <w:pStyle w:val="EntRefer"/>
            </w:pPr>
            <w:r w:rsidRPr="007B6028">
              <w:t>AVIATION 219</w:t>
            </w:r>
          </w:p>
          <w:p w:rsidR="006D34AD" w:rsidRPr="007B6028" w:rsidRDefault="006D34AD">
            <w:pPr>
              <w:pStyle w:val="EntRefer"/>
            </w:pPr>
            <w:r w:rsidRPr="007B6028">
              <w:t>TU 1</w:t>
            </w:r>
          </w:p>
        </w:tc>
      </w:tr>
    </w:tbl>
    <w:p w:rsidR="007A6E13" w:rsidRPr="007B6028" w:rsidRDefault="007A6E13">
      <w:pPr>
        <w:pStyle w:val="Genredudocument"/>
      </w:pPr>
      <w:bookmarkStart w:id="14" w:name="AC"/>
      <w:bookmarkStart w:id="15" w:name="Title"/>
      <w:bookmarkStart w:id="16" w:name="LWCons_Title"/>
      <w:bookmarkEnd w:id="15"/>
      <w:r w:rsidRPr="007B6028">
        <w:t>FÖLJENOT</w:t>
      </w:r>
      <w:bookmarkEnd w:id="16"/>
    </w:p>
    <w:tbl>
      <w:tblPr>
        <w:tblW w:w="0" w:type="auto"/>
        <w:tblLayout w:type="fixed"/>
        <w:tblCellMar>
          <w:left w:w="0" w:type="dxa"/>
          <w:right w:w="0" w:type="dxa"/>
        </w:tblCellMar>
        <w:tblLook w:val="0000" w:firstRow="0" w:lastRow="0" w:firstColumn="0" w:lastColumn="0" w:noHBand="0" w:noVBand="0"/>
      </w:tblPr>
      <w:tblGrid>
        <w:gridCol w:w="2552"/>
        <w:gridCol w:w="7088"/>
      </w:tblGrid>
      <w:tr w:rsidR="007A6E13" w:rsidRPr="007B6028">
        <w:tblPrEx>
          <w:tblCellMar>
            <w:top w:w="0" w:type="dxa"/>
            <w:left w:w="0" w:type="dxa"/>
            <w:bottom w:w="0" w:type="dxa"/>
            <w:right w:w="0" w:type="dxa"/>
          </w:tblCellMar>
        </w:tblPrEx>
        <w:tc>
          <w:tcPr>
            <w:tcW w:w="2552" w:type="dxa"/>
            <w:tcBorders>
              <w:top w:val="single" w:sz="4" w:space="0" w:color="auto"/>
            </w:tcBorders>
          </w:tcPr>
          <w:p w:rsidR="007A6E13" w:rsidRPr="007B6028" w:rsidRDefault="007A6E13">
            <w:pPr>
              <w:pStyle w:val="EntEmet"/>
            </w:pPr>
            <w:bookmarkStart w:id="17" w:name="Ref"/>
            <w:bookmarkStart w:id="18" w:name="RefDu"/>
            <w:bookmarkEnd w:id="18"/>
            <w:r w:rsidRPr="007B6028">
              <w:t>från:</w:t>
            </w:r>
          </w:p>
        </w:tc>
        <w:tc>
          <w:tcPr>
            <w:tcW w:w="7088" w:type="dxa"/>
            <w:tcBorders>
              <w:top w:val="single" w:sz="4" w:space="0" w:color="auto"/>
            </w:tcBorders>
          </w:tcPr>
          <w:p w:rsidR="007A6E13" w:rsidRPr="007B6028" w:rsidRDefault="007A6E13">
            <w:pPr>
              <w:pStyle w:val="EntEmet"/>
            </w:pPr>
            <w:r w:rsidRPr="007B6028">
              <w:t>Jordi AYET PUIGARNAU, direktör, för Europeiska kommissionens generalsekreterare</w:t>
            </w:r>
          </w:p>
        </w:tc>
      </w:tr>
      <w:tr w:rsidR="007A6E13" w:rsidRPr="007B6028">
        <w:tblPrEx>
          <w:tblCellMar>
            <w:top w:w="0" w:type="dxa"/>
            <w:left w:w="0" w:type="dxa"/>
            <w:bottom w:w="0" w:type="dxa"/>
            <w:right w:w="0" w:type="dxa"/>
          </w:tblCellMar>
        </w:tblPrEx>
        <w:tc>
          <w:tcPr>
            <w:tcW w:w="2552" w:type="dxa"/>
          </w:tcPr>
          <w:p w:rsidR="007A6E13" w:rsidRPr="007B6028" w:rsidRDefault="007A6E13">
            <w:pPr>
              <w:pStyle w:val="EntEmet"/>
            </w:pPr>
            <w:bookmarkStart w:id="19" w:name="RefEnDateDu"/>
            <w:bookmarkEnd w:id="19"/>
            <w:r w:rsidRPr="007B6028">
              <w:t>mottagen den:</w:t>
            </w:r>
          </w:p>
        </w:tc>
        <w:tc>
          <w:tcPr>
            <w:tcW w:w="7088" w:type="dxa"/>
          </w:tcPr>
          <w:p w:rsidR="007A6E13" w:rsidRPr="007B6028" w:rsidRDefault="006D34AD">
            <w:pPr>
              <w:pStyle w:val="EntEmet"/>
            </w:pPr>
            <w:r w:rsidRPr="007B6028">
              <w:t>6 oktober 2008</w:t>
            </w:r>
          </w:p>
        </w:tc>
      </w:tr>
      <w:tr w:rsidR="007A6E13" w:rsidRPr="007B6028">
        <w:tblPrEx>
          <w:tblCellMar>
            <w:top w:w="0" w:type="dxa"/>
            <w:left w:w="0" w:type="dxa"/>
            <w:bottom w:w="0" w:type="dxa"/>
            <w:right w:w="0" w:type="dxa"/>
          </w:tblCellMar>
        </w:tblPrEx>
        <w:tc>
          <w:tcPr>
            <w:tcW w:w="2552" w:type="dxa"/>
            <w:tcBorders>
              <w:bottom w:val="single" w:sz="4" w:space="0" w:color="auto"/>
            </w:tcBorders>
          </w:tcPr>
          <w:p w:rsidR="007A6E13" w:rsidRPr="007B6028" w:rsidRDefault="007A6E13">
            <w:pPr>
              <w:pStyle w:val="EntEmet"/>
            </w:pPr>
            <w:bookmarkStart w:id="20" w:name="RefRow_A"/>
            <w:bookmarkStart w:id="21" w:name="RefA"/>
            <w:bookmarkEnd w:id="21"/>
            <w:r w:rsidRPr="007B6028">
              <w:t>till:</w:t>
            </w:r>
          </w:p>
        </w:tc>
        <w:tc>
          <w:tcPr>
            <w:tcW w:w="7088" w:type="dxa"/>
            <w:tcBorders>
              <w:bottom w:val="single" w:sz="4" w:space="0" w:color="auto"/>
            </w:tcBorders>
          </w:tcPr>
          <w:p w:rsidR="007A6E13" w:rsidRPr="007B6028" w:rsidRDefault="007A6E13">
            <w:pPr>
              <w:pStyle w:val="EntEmet"/>
            </w:pPr>
            <w:r w:rsidRPr="007B6028">
              <w:t>Javier SOLANA, generalsekreterare/hög representant</w:t>
            </w:r>
          </w:p>
        </w:tc>
      </w:tr>
      <w:tr w:rsidR="007A6E13" w:rsidRPr="007B6028">
        <w:tblPrEx>
          <w:tblCellMar>
            <w:top w:w="0" w:type="dxa"/>
            <w:left w:w="0" w:type="dxa"/>
            <w:bottom w:w="0" w:type="dxa"/>
            <w:right w:w="0" w:type="dxa"/>
          </w:tblCellMar>
        </w:tblPrEx>
        <w:tc>
          <w:tcPr>
            <w:tcW w:w="2552" w:type="dxa"/>
            <w:tcBorders>
              <w:top w:val="single" w:sz="4" w:space="0" w:color="auto"/>
              <w:bottom w:val="single" w:sz="4" w:space="0" w:color="auto"/>
            </w:tcBorders>
          </w:tcPr>
          <w:p w:rsidR="007A6E13" w:rsidRPr="007B6028" w:rsidRDefault="007A6E13">
            <w:pPr>
              <w:pStyle w:val="EntEmet"/>
            </w:pPr>
            <w:bookmarkStart w:id="22" w:name="LWCons_Subject"/>
            <w:bookmarkEnd w:id="17"/>
            <w:bookmarkEnd w:id="20"/>
            <w:bookmarkEnd w:id="22"/>
            <w:r w:rsidRPr="007B6028">
              <w:t>Ärende:</w:t>
            </w:r>
          </w:p>
        </w:tc>
        <w:tc>
          <w:tcPr>
            <w:tcW w:w="7088" w:type="dxa"/>
            <w:tcBorders>
              <w:top w:val="single" w:sz="4" w:space="0" w:color="auto"/>
              <w:bottom w:val="single" w:sz="4" w:space="0" w:color="auto"/>
            </w:tcBorders>
          </w:tcPr>
          <w:p w:rsidR="007A6E13" w:rsidRPr="007B6028" w:rsidRDefault="006D34AD" w:rsidP="006D34AD">
            <w:pPr>
              <w:pStyle w:val="EntEmet"/>
            </w:pPr>
            <w:bookmarkStart w:id="23" w:name="Subject"/>
            <w:bookmarkEnd w:id="23"/>
            <w:r w:rsidRPr="007B6028">
              <w:t>Meddelande från kommissionen – Upprättande av ett gemensamt luftrum med Tunisien</w:t>
            </w:r>
          </w:p>
        </w:tc>
      </w:tr>
    </w:tbl>
    <w:p w:rsidR="007A6E13" w:rsidRPr="007B6028" w:rsidRDefault="007A6E13">
      <w:pPr>
        <w:pStyle w:val="EntText"/>
        <w:spacing w:before="1200"/>
      </w:pPr>
      <w:r w:rsidRPr="007B6028">
        <w:t xml:space="preserve">För delegationerna bifogas kommissionens dokument – </w:t>
      </w:r>
      <w:r w:rsidRPr="007B6028">
        <w:fldChar w:fldCharType="begin" w:fldLock="1"/>
      </w:r>
      <w:r w:rsidRPr="007B6028">
        <w:instrText xml:space="preserve"> DOCVARIABLE  "LWCons_RefInstCEC" \* MERGEFORMAT </w:instrText>
      </w:r>
      <w:r w:rsidRPr="007B6028">
        <w:fldChar w:fldCharType="separate"/>
      </w:r>
      <w:r w:rsidRPr="007B6028">
        <w:t>KOM(2008) 603 slutlig</w:t>
      </w:r>
      <w:r w:rsidRPr="007B6028">
        <w:fldChar w:fldCharType="end"/>
      </w:r>
      <w:r w:rsidRPr="007B6028">
        <w:t>.</w:t>
      </w:r>
    </w:p>
    <w:p w:rsidR="007A6E13" w:rsidRPr="007B6028" w:rsidRDefault="007A6E13">
      <w:pPr>
        <w:pStyle w:val="Lignefinal"/>
      </w:pPr>
      <w:bookmarkStart w:id="24" w:name="CCP_LigneFinal"/>
    </w:p>
    <w:bookmarkEnd w:id="24"/>
    <w:p w:rsidR="007A6E13" w:rsidRPr="007B6028" w:rsidRDefault="007A6E13">
      <w:pPr>
        <w:pStyle w:val="pj"/>
      </w:pPr>
      <w:r w:rsidRPr="007B6028">
        <w:t>Bilaga:</w:t>
      </w:r>
      <w:r w:rsidR="006D34AD" w:rsidRPr="007B6028">
        <w:t xml:space="preserve"> </w:t>
      </w:r>
      <w:r w:rsidRPr="007B6028">
        <w:fldChar w:fldCharType="begin" w:fldLock="1"/>
      </w:r>
      <w:r w:rsidRPr="007B6028">
        <w:instrText xml:space="preserve"> DOCVARIABLE  "LWCons_RefInstCEC" \* MERGEFORMAT </w:instrText>
      </w:r>
      <w:r w:rsidRPr="007B6028">
        <w:fldChar w:fldCharType="separate"/>
      </w:r>
      <w:r w:rsidRPr="007B6028">
        <w:t>KOM(2008) 603 slutlig</w:t>
      </w:r>
      <w:r w:rsidRPr="007B6028">
        <w:fldChar w:fldCharType="end"/>
      </w:r>
    </w:p>
    <w:bookmarkEnd w:id="14"/>
    <w:p w:rsidR="005A02A7" w:rsidRPr="007B6028" w:rsidRDefault="005A02A7" w:rsidP="005A02A7">
      <w:pPr>
        <w:sectPr w:rsidR="005A02A7" w:rsidRPr="007B6028" w:rsidSect="007A6E13">
          <w:footerReference w:type="default" r:id="rId8"/>
          <w:pgSz w:w="11907" w:h="16839"/>
          <w:pgMar w:top="1134" w:right="1134" w:bottom="1134" w:left="1134" w:header="567" w:footer="567" w:gutter="0"/>
          <w:pgNumType w:start="0"/>
          <w:cols w:space="708"/>
          <w:docGrid w:linePitch="360"/>
        </w:sectPr>
      </w:pPr>
    </w:p>
    <w:tbl>
      <w:tblPr>
        <w:tblW w:w="0" w:type="auto"/>
        <w:tblLayout w:type="fixed"/>
        <w:tblCellMar>
          <w:left w:w="0" w:type="dxa"/>
          <w:right w:w="0" w:type="dxa"/>
        </w:tblCellMar>
        <w:tblLook w:val="0000" w:firstRow="0" w:lastRow="0" w:firstColumn="0" w:lastColumn="0" w:noHBand="0" w:noVBand="0"/>
      </w:tblPr>
      <w:tblGrid>
        <w:gridCol w:w="1814"/>
        <w:gridCol w:w="7655"/>
      </w:tblGrid>
      <w:tr w:rsidR="005A02A7" w:rsidRPr="007B6028">
        <w:tblPrEx>
          <w:tblCellMar>
            <w:top w:w="0" w:type="dxa"/>
            <w:left w:w="0" w:type="dxa"/>
            <w:bottom w:w="0" w:type="dxa"/>
            <w:right w:w="0" w:type="dxa"/>
          </w:tblCellMar>
        </w:tblPrEx>
        <w:trPr>
          <w:trHeight w:hRule="exact" w:val="1440"/>
        </w:trPr>
        <w:tc>
          <w:tcPr>
            <w:tcW w:w="1814" w:type="dxa"/>
          </w:tcPr>
          <w:p w:rsidR="005A02A7" w:rsidRPr="007B6028" w:rsidRDefault="007B6028" w:rsidP="005A02A7">
            <w:pPr>
              <w:pStyle w:val="Nomdelinstitution"/>
            </w:pPr>
            <w:r w:rsidRPr="007B6028">
              <w:rPr>
                <w:noProof/>
              </w:rPr>
              <w:lastRenderedPageBreak/>
              <w:drawing>
                <wp:inline distT="0" distB="0" distL="0" distR="0">
                  <wp:extent cx="1009650" cy="6731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673100"/>
                          </a:xfrm>
                          <a:prstGeom prst="rect">
                            <a:avLst/>
                          </a:prstGeom>
                          <a:noFill/>
                          <a:ln>
                            <a:noFill/>
                          </a:ln>
                        </pic:spPr>
                      </pic:pic>
                    </a:graphicData>
                  </a:graphic>
                </wp:inline>
              </w:drawing>
            </w:r>
          </w:p>
        </w:tc>
        <w:tc>
          <w:tcPr>
            <w:tcW w:w="7655" w:type="dxa"/>
          </w:tcPr>
          <w:p w:rsidR="005A02A7" w:rsidRPr="007B6028" w:rsidRDefault="005A02A7" w:rsidP="005A02A7">
            <w:pPr>
              <w:pStyle w:val="Nomdelinstitution"/>
            </w:pPr>
            <w:r w:rsidRPr="007B6028">
              <w:t>EUROPEISKA GEMENSKAPERNAS KOMMISSION</w:t>
            </w:r>
          </w:p>
        </w:tc>
      </w:tr>
    </w:tbl>
    <w:p w:rsidR="005A02A7" w:rsidRPr="007B6028" w:rsidRDefault="005A02A7" w:rsidP="005A02A7">
      <w:pPr>
        <w:pStyle w:val="Emission"/>
      </w:pPr>
      <w:r w:rsidRPr="007B6028">
        <w:t>Bryssel den 3.10.2008</w:t>
      </w:r>
    </w:p>
    <w:p w:rsidR="005A02A7" w:rsidRPr="007B6028" w:rsidRDefault="005A02A7" w:rsidP="005A02A7">
      <w:pPr>
        <w:pStyle w:val="Rfrenceinstitutionelle"/>
      </w:pPr>
      <w:r w:rsidRPr="007B6028">
        <w:t>KOM(2008) 603 slutlig</w:t>
      </w:r>
    </w:p>
    <w:p w:rsidR="005A02A7" w:rsidRPr="007B6028" w:rsidRDefault="005A02A7" w:rsidP="005A02A7">
      <w:pPr>
        <w:pStyle w:val="Confidentialit"/>
      </w:pPr>
      <w:r w:rsidRPr="007B6028">
        <w:t xml:space="preserve"> </w:t>
      </w:r>
    </w:p>
    <w:p w:rsidR="005A02A7" w:rsidRPr="007B6028" w:rsidRDefault="005A02A7" w:rsidP="005A02A7">
      <w:pPr>
        <w:pStyle w:val="Prliminairetype"/>
      </w:pPr>
      <w:r w:rsidRPr="007B6028">
        <w:t>MEDDELANDE FRÅN KOMMISSIONEN</w:t>
      </w:r>
    </w:p>
    <w:p w:rsidR="005A02A7" w:rsidRPr="007B6028" w:rsidRDefault="005A02A7" w:rsidP="005A02A7">
      <w:pPr>
        <w:pStyle w:val="Prliminairetitre"/>
      </w:pPr>
      <w:r w:rsidRPr="007B6028">
        <w:t>Upprättande av ett gemensamt luftrum med Tunisien</w:t>
      </w:r>
    </w:p>
    <w:p w:rsidR="00D026F8" w:rsidRPr="007B6028" w:rsidRDefault="00D026F8" w:rsidP="00D026F8">
      <w:pPr>
        <w:sectPr w:rsidR="00D026F8" w:rsidRPr="007B6028" w:rsidSect="005A02A7">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pPr>
    </w:p>
    <w:p w:rsidR="00535518" w:rsidRPr="007B6028" w:rsidRDefault="000227B9" w:rsidP="00535518">
      <w:pPr>
        <w:pStyle w:val="Prliminairetype"/>
      </w:pPr>
      <w:r w:rsidRPr="007B6028">
        <w:t>MEDDELANDE FRÅN KOMMISSIONEN</w:t>
      </w:r>
    </w:p>
    <w:p w:rsidR="00535518" w:rsidRPr="007B6028" w:rsidRDefault="000227B9" w:rsidP="00712435">
      <w:pPr>
        <w:pStyle w:val="Prliminairetitre"/>
      </w:pPr>
      <w:r w:rsidRPr="007B6028">
        <w:t>Upprättande av ett gemensamt luftrum med Tunisien</w:t>
      </w:r>
    </w:p>
    <w:p w:rsidR="00535518" w:rsidRPr="007B6028" w:rsidRDefault="00D026F8" w:rsidP="00D026F8">
      <w:pPr>
        <w:pStyle w:val="ManualHeading1"/>
      </w:pPr>
      <w:r w:rsidRPr="007B6028">
        <w:t>1.</w:t>
      </w:r>
      <w:r w:rsidRPr="007B6028">
        <w:tab/>
      </w:r>
      <w:r w:rsidR="000227B9" w:rsidRPr="007B6028">
        <w:t>INLEDNING</w:t>
      </w:r>
    </w:p>
    <w:p w:rsidR="00535518" w:rsidRPr="007B6028" w:rsidRDefault="00D026F8" w:rsidP="00D026F8">
      <w:pPr>
        <w:pStyle w:val="ManualNumPar1"/>
      </w:pPr>
      <w:r w:rsidRPr="007B6028">
        <w:t>1.</w:t>
      </w:r>
      <w:r w:rsidRPr="007B6028">
        <w:tab/>
      </w:r>
      <w:r w:rsidR="000227B9" w:rsidRPr="007B6028">
        <w:t xml:space="preserve">I sitt meddelande </w:t>
      </w:r>
      <w:r w:rsidR="000227B9" w:rsidRPr="007B6028">
        <w:rPr>
          <w:i/>
        </w:rPr>
        <w:t>Fortsatt utveckling av EU:s luftfartspolitik gentemot länder utanför EU</w:t>
      </w:r>
      <w:r w:rsidR="00535518" w:rsidRPr="007B6028">
        <w:rPr>
          <w:rStyle w:val="Fotnotsreferens"/>
        </w:rPr>
        <w:footnoteReference w:id="1"/>
      </w:r>
      <w:r w:rsidR="00535518" w:rsidRPr="007B6028">
        <w:t xml:space="preserve"> </w:t>
      </w:r>
      <w:r w:rsidR="000227B9" w:rsidRPr="007B6028">
        <w:t xml:space="preserve">framhåller kommissionen betydelsen av att det skapas ett gemensamt luftrum med </w:t>
      </w:r>
      <w:r w:rsidR="00F24AA5" w:rsidRPr="007B6028">
        <w:t xml:space="preserve">de </w:t>
      </w:r>
      <w:r w:rsidR="000227B9" w:rsidRPr="007B6028">
        <w:t>länder öster och söder om EU som omfattas av gr</w:t>
      </w:r>
      <w:r w:rsidR="008A5751" w:rsidRPr="007B6028">
        <w:t>annskaps</w:t>
      </w:r>
      <w:r w:rsidR="000227B9" w:rsidRPr="007B6028">
        <w:t>politiken.</w:t>
      </w:r>
    </w:p>
    <w:p w:rsidR="00535518" w:rsidRPr="007B6028" w:rsidRDefault="00D026F8" w:rsidP="00D026F8">
      <w:pPr>
        <w:pStyle w:val="ManualNumPar1"/>
      </w:pPr>
      <w:r w:rsidRPr="007B6028">
        <w:t>2.</w:t>
      </w:r>
      <w:r w:rsidRPr="007B6028">
        <w:tab/>
      </w:r>
      <w:r w:rsidR="000227B9" w:rsidRPr="007B6028">
        <w:t xml:space="preserve">Det slutliga målet är att sammanföra EU-länderna och </w:t>
      </w:r>
      <w:r w:rsidR="00AC540C" w:rsidRPr="007B6028">
        <w:t xml:space="preserve">deras partnerländer vid EU:s </w:t>
      </w:r>
      <w:r w:rsidR="009B0F2E" w:rsidRPr="007B6028">
        <w:t xml:space="preserve">östra </w:t>
      </w:r>
      <w:r w:rsidR="009A783C" w:rsidRPr="007B6028">
        <w:t xml:space="preserve">och södra </w:t>
      </w:r>
      <w:r w:rsidR="00AC540C" w:rsidRPr="007B6028">
        <w:t xml:space="preserve">gränser </w:t>
      </w:r>
      <w:r w:rsidR="00B4741A" w:rsidRPr="007B6028">
        <w:t xml:space="preserve">i </w:t>
      </w:r>
      <w:r w:rsidR="00AC540C" w:rsidRPr="007B6028">
        <w:t>en gemensam</w:t>
      </w:r>
      <w:r w:rsidR="009B0F2E" w:rsidRPr="007B6028">
        <w:t xml:space="preserve"> marknad med harmoniserade </w:t>
      </w:r>
      <w:r w:rsidR="00AC540C" w:rsidRPr="007B6028">
        <w:t>bestämmelser</w:t>
      </w:r>
      <w:r w:rsidR="00BB2844" w:rsidRPr="007B6028">
        <w:t xml:space="preserve"> för trafiken</w:t>
      </w:r>
      <w:r w:rsidR="00AC540C" w:rsidRPr="007B6028">
        <w:t xml:space="preserve">. Rådet (transport) bekräftade det här målet vid sitt möte den 27 juni 2005 i sina slutsatser om </w:t>
      </w:r>
      <w:r w:rsidR="009B0F2E" w:rsidRPr="007B6028">
        <w:t xml:space="preserve">utvecklingen </w:t>
      </w:r>
      <w:r w:rsidR="009A783C" w:rsidRPr="007B6028">
        <w:t>av en gemensam politik för</w:t>
      </w:r>
      <w:r w:rsidR="00B4741A" w:rsidRPr="007B6028">
        <w:t xml:space="preserve"> yttre förbindelser på luftfartsområdet</w:t>
      </w:r>
      <w:r w:rsidR="00535518" w:rsidRPr="007B6028">
        <w:t xml:space="preserve"> </w:t>
      </w:r>
      <w:r w:rsidR="00AC540C" w:rsidRPr="007B6028">
        <w:t xml:space="preserve">och efterlyste </w:t>
      </w:r>
      <w:r w:rsidR="00B4741A" w:rsidRPr="007B6028">
        <w:t>ett</w:t>
      </w:r>
      <w:r w:rsidR="00AC540C" w:rsidRPr="007B6028">
        <w:t xml:space="preserve"> gemensamt europeiskt luftrum med EU:s grannländer senast 2010. </w:t>
      </w:r>
    </w:p>
    <w:p w:rsidR="00650617" w:rsidRPr="007B6028" w:rsidRDefault="00D026F8" w:rsidP="00650617">
      <w:pPr>
        <w:pStyle w:val="ManualNumPar1"/>
      </w:pPr>
      <w:r w:rsidRPr="007B6028">
        <w:t>3.</w:t>
      </w:r>
      <w:r w:rsidRPr="007B6028">
        <w:tab/>
      </w:r>
      <w:r w:rsidR="00F25171" w:rsidRPr="007B6028">
        <w:t xml:space="preserve">I </w:t>
      </w:r>
      <w:r w:rsidR="00255C23" w:rsidRPr="007B6028">
        <w:t>arbetet med att upprätta ett</w:t>
      </w:r>
      <w:r w:rsidR="00AC540C" w:rsidRPr="007B6028">
        <w:t xml:space="preserve"> gemensam</w:t>
      </w:r>
      <w:r w:rsidR="009B0F2E" w:rsidRPr="007B6028">
        <w:t>t</w:t>
      </w:r>
      <w:r w:rsidR="00AC540C" w:rsidRPr="007B6028">
        <w:t xml:space="preserve"> luftrum har EU redan integrerat de</w:t>
      </w:r>
      <w:r w:rsidR="0044407C" w:rsidRPr="007B6028">
        <w:t>n</w:t>
      </w:r>
      <w:r w:rsidR="00AC540C" w:rsidRPr="007B6028">
        <w:t xml:space="preserve"> schweiziska,</w:t>
      </w:r>
      <w:r w:rsidR="0044407C" w:rsidRPr="007B6028">
        <w:t xml:space="preserve"> norska och isländska </w:t>
      </w:r>
      <w:r w:rsidR="00D21DC4" w:rsidRPr="007B6028">
        <w:t>luftfarts</w:t>
      </w:r>
      <w:r w:rsidR="0044407C" w:rsidRPr="007B6028">
        <w:t>marknaden</w:t>
      </w:r>
      <w:r w:rsidR="00AC540C" w:rsidRPr="007B6028">
        <w:t xml:space="preserve">, </w:t>
      </w:r>
      <w:r w:rsidR="00D21DC4" w:rsidRPr="007B6028">
        <w:t>luftfarts</w:t>
      </w:r>
      <w:r w:rsidR="00AC540C" w:rsidRPr="007B6028">
        <w:t>marknader</w:t>
      </w:r>
      <w:r w:rsidR="00F25171" w:rsidRPr="007B6028">
        <w:t>na</w:t>
      </w:r>
      <w:r w:rsidR="00AC540C" w:rsidRPr="007B6028">
        <w:t xml:space="preserve"> i nio länder på västra Balkan (juni 2006) och slutligen Marockos </w:t>
      </w:r>
      <w:r w:rsidR="00D21DC4" w:rsidRPr="007B6028">
        <w:t>luftfarts</w:t>
      </w:r>
      <w:r w:rsidR="00AC540C" w:rsidRPr="007B6028">
        <w:t>marknad</w:t>
      </w:r>
      <w:r w:rsidR="009B0F2E" w:rsidRPr="007B6028">
        <w:t>,</w:t>
      </w:r>
      <w:r w:rsidR="00AC540C" w:rsidRPr="007B6028">
        <w:t xml:space="preserve"> efter det att</w:t>
      </w:r>
      <w:r w:rsidR="00650617" w:rsidRPr="007B6028">
        <w:t xml:space="preserve"> det</w:t>
      </w:r>
      <w:r w:rsidR="00AC540C" w:rsidRPr="007B6028">
        <w:t xml:space="preserve"> första Europa-Medelhavsavtalet undertecknades i december 2006. På rådets begäran kommer kommissionen också att inleda förhandlingar på det </w:t>
      </w:r>
      <w:r w:rsidR="00F24AA5" w:rsidRPr="007B6028">
        <w:t xml:space="preserve">här </w:t>
      </w:r>
      <w:r w:rsidR="00AC540C" w:rsidRPr="007B6028">
        <w:t>området med Jordanien och Israel</w:t>
      </w:r>
      <w:r w:rsidR="00BB2844" w:rsidRPr="007B6028">
        <w:t xml:space="preserve"> och fortsätta sina diskussioner</w:t>
      </w:r>
      <w:r w:rsidR="00AC540C" w:rsidRPr="007B6028">
        <w:t xml:space="preserve"> med Ukraina. Stärkta relationer mellan EU och dess grannländer på luftfartsområdet är</w:t>
      </w:r>
      <w:r w:rsidR="007B136A" w:rsidRPr="007B6028">
        <w:t xml:space="preserve"> </w:t>
      </w:r>
      <w:r w:rsidR="00AC540C" w:rsidRPr="007B6028">
        <w:t>av central betydelse för den</w:t>
      </w:r>
      <w:r w:rsidR="00B317B8" w:rsidRPr="007B6028">
        <w:t xml:space="preserve"> europeiska fly</w:t>
      </w:r>
      <w:r w:rsidR="007E59F0" w:rsidRPr="007B6028">
        <w:t>g</w:t>
      </w:r>
      <w:r w:rsidR="00B317B8" w:rsidRPr="007B6028">
        <w:t>industrins</w:t>
      </w:r>
      <w:r w:rsidR="00AC540C" w:rsidRPr="007B6028">
        <w:t xml:space="preserve"> </w:t>
      </w:r>
      <w:r w:rsidR="009B0F2E" w:rsidRPr="007B6028">
        <w:t>utveckling. F</w:t>
      </w:r>
      <w:r w:rsidR="00650617" w:rsidRPr="007B6028">
        <w:t>lygförbindelserna med EU:s grannländer</w:t>
      </w:r>
      <w:r w:rsidR="00F24AA5" w:rsidRPr="007B6028">
        <w:t xml:space="preserve"> inom</w:t>
      </w:r>
      <w:r w:rsidR="00460AF5" w:rsidRPr="007B6028">
        <w:t xml:space="preserve"> alla marknadssegment (</w:t>
      </w:r>
      <w:r w:rsidR="0064355D" w:rsidRPr="007B6028">
        <w:t>semester</w:t>
      </w:r>
      <w:r w:rsidR="007E59F0" w:rsidRPr="007B6028">
        <w:t>resor</w:t>
      </w:r>
      <w:r w:rsidR="00650617" w:rsidRPr="007B6028">
        <w:t xml:space="preserve">, </w:t>
      </w:r>
      <w:r w:rsidR="009A783C" w:rsidRPr="007B6028">
        <w:t>släkt</w:t>
      </w:r>
      <w:r w:rsidR="00460AF5" w:rsidRPr="007B6028">
        <w:t>-</w:t>
      </w:r>
      <w:r w:rsidR="009A783C" w:rsidRPr="007B6028">
        <w:t xml:space="preserve"> och vän</w:t>
      </w:r>
      <w:r w:rsidR="00460AF5" w:rsidRPr="007B6028">
        <w:t>turism</w:t>
      </w:r>
      <w:r w:rsidR="009A783C" w:rsidRPr="007B6028">
        <w:t>,</w:t>
      </w:r>
      <w:r w:rsidR="007E59F0" w:rsidRPr="007B6028">
        <w:t xml:space="preserve"> arbetsresor</w:t>
      </w:r>
      <w:r w:rsidR="00F24AA5" w:rsidRPr="007B6028">
        <w:t>)</w:t>
      </w:r>
      <w:r w:rsidR="00650617" w:rsidRPr="007B6028">
        <w:t xml:space="preserve"> </w:t>
      </w:r>
      <w:r w:rsidR="009B0F2E" w:rsidRPr="007B6028">
        <w:t xml:space="preserve">utgör nästan </w:t>
      </w:r>
      <w:r w:rsidR="00460AF5" w:rsidRPr="007B6028">
        <w:t>20 </w:t>
      </w:r>
      <w:r w:rsidR="009B0F2E" w:rsidRPr="007B6028">
        <w:t>% av de internationella flygningarna utanför EU, vilket är</w:t>
      </w:r>
      <w:r w:rsidR="00B317B8" w:rsidRPr="007B6028">
        <w:t xml:space="preserve"> </w:t>
      </w:r>
      <w:r w:rsidR="00650617" w:rsidRPr="007B6028">
        <w:t xml:space="preserve">en flygvolym som kan jämföras med trafiken till och från länder </w:t>
      </w:r>
      <w:r w:rsidR="00460AF5" w:rsidRPr="007B6028">
        <w:t xml:space="preserve">i </w:t>
      </w:r>
      <w:r w:rsidR="00650617" w:rsidRPr="007B6028">
        <w:t xml:space="preserve">Nordamerika. </w:t>
      </w:r>
      <w:r w:rsidR="00D21DC4" w:rsidRPr="007B6028">
        <w:t xml:space="preserve">Ett gemensamt luftrum med dessa grannländer erbjuder inte bara </w:t>
      </w:r>
      <w:r w:rsidR="00650617" w:rsidRPr="007B6028">
        <w:t>tillväxt</w:t>
      </w:r>
      <w:r w:rsidR="00D21DC4" w:rsidRPr="007B6028">
        <w:t xml:space="preserve">möjligheter för luftfartssektorn utan utgör även </w:t>
      </w:r>
      <w:r w:rsidR="00650617" w:rsidRPr="007B6028">
        <w:t>en utmärkt katalysator för regional integ</w:t>
      </w:r>
      <w:r w:rsidR="00460AF5" w:rsidRPr="007B6028">
        <w:t>ration och ekonomisk utveckling. Det</w:t>
      </w:r>
      <w:r w:rsidR="00531262" w:rsidRPr="007B6028">
        <w:t>ta</w:t>
      </w:r>
      <w:r w:rsidR="00460AF5" w:rsidRPr="007B6028">
        <w:t xml:space="preserve"> </w:t>
      </w:r>
      <w:r w:rsidR="00650617" w:rsidRPr="007B6028">
        <w:t xml:space="preserve">är </w:t>
      </w:r>
      <w:r w:rsidR="00460AF5" w:rsidRPr="007B6028">
        <w:t xml:space="preserve">också </w:t>
      </w:r>
      <w:r w:rsidR="00650617" w:rsidRPr="007B6028">
        <w:t>helt i linje med Barcelonaprocessens mål och handlingsplan</w:t>
      </w:r>
      <w:r w:rsidR="00BB2844" w:rsidRPr="007B6028">
        <w:t xml:space="preserve">en </w:t>
      </w:r>
      <w:r w:rsidR="00650617" w:rsidRPr="007B6028">
        <w:t xml:space="preserve">inom ramen för den europeiska grannskapspolitiken. </w:t>
      </w:r>
      <w:r w:rsidR="00B317B8" w:rsidRPr="007B6028">
        <w:t>Det aktuella p</w:t>
      </w:r>
      <w:r w:rsidR="00650617" w:rsidRPr="007B6028">
        <w:t>rojektet</w:t>
      </w:r>
      <w:r w:rsidR="00650617" w:rsidRPr="007B6028">
        <w:rPr>
          <w:color w:val="0000FF"/>
        </w:rPr>
        <w:t xml:space="preserve"> </w:t>
      </w:r>
      <w:r w:rsidR="00D21DC4" w:rsidRPr="007B6028">
        <w:rPr>
          <w:color w:val="0000FF"/>
        </w:rPr>
        <w:t>”</w:t>
      </w:r>
      <w:r w:rsidR="00B317B8" w:rsidRPr="007B6028">
        <w:t>Barcelonaprocessen: en union för Medelhavsområdet</w:t>
      </w:r>
      <w:r w:rsidR="00D21DC4" w:rsidRPr="007B6028">
        <w:t>”</w:t>
      </w:r>
      <w:r w:rsidR="00B317B8" w:rsidRPr="007B6028">
        <w:t xml:space="preserve"> </w:t>
      </w:r>
      <w:r w:rsidR="00916892" w:rsidRPr="007B6028">
        <w:t>har samma grund</w:t>
      </w:r>
      <w:r w:rsidR="00B317B8" w:rsidRPr="007B6028">
        <w:t>.</w:t>
      </w:r>
      <w:r w:rsidR="00B317B8" w:rsidRPr="007B6028">
        <w:rPr>
          <w:color w:val="0000FF"/>
        </w:rPr>
        <w:t xml:space="preserve"> </w:t>
      </w:r>
    </w:p>
    <w:p w:rsidR="00535518" w:rsidRPr="007B6028" w:rsidRDefault="00D026F8" w:rsidP="00D026F8">
      <w:pPr>
        <w:pStyle w:val="ManualNumPar1"/>
      </w:pPr>
      <w:r w:rsidRPr="007B6028">
        <w:t>4.</w:t>
      </w:r>
      <w:r w:rsidRPr="007B6028">
        <w:tab/>
      </w:r>
      <w:r w:rsidR="0082723A" w:rsidRPr="007B6028">
        <w:t>I strävanden</w:t>
      </w:r>
      <w:r w:rsidR="00B317B8" w:rsidRPr="007B6028">
        <w:t>a</w:t>
      </w:r>
      <w:r w:rsidR="0082723A" w:rsidRPr="007B6028">
        <w:t xml:space="preserve"> efter att upprätta </w:t>
      </w:r>
      <w:r w:rsidR="00E00563" w:rsidRPr="007B6028">
        <w:t>ett</w:t>
      </w:r>
      <w:r w:rsidR="0082723A" w:rsidRPr="007B6028">
        <w:t xml:space="preserve"> gemensam</w:t>
      </w:r>
      <w:r w:rsidR="00E00563" w:rsidRPr="007B6028">
        <w:t>t</w:t>
      </w:r>
      <w:r w:rsidR="0082723A" w:rsidRPr="007B6028">
        <w:t xml:space="preserve"> luftrum med länderna söder om Medelhavet är Tunisien en </w:t>
      </w:r>
      <w:r w:rsidR="00B317B8" w:rsidRPr="007B6028">
        <w:t>nödvändig</w:t>
      </w:r>
      <w:r w:rsidR="0082723A" w:rsidRPr="007B6028">
        <w:t xml:space="preserve"> partner för EU. </w:t>
      </w:r>
      <w:r w:rsidR="008E2F7F" w:rsidRPr="007B6028">
        <w:t>I d</w:t>
      </w:r>
      <w:r w:rsidR="0082723A" w:rsidRPr="007B6028">
        <w:t>et Europa-Medelhavspartnerskap som inrättats genom associeringsavtalet</w:t>
      </w:r>
      <w:r w:rsidR="00535518" w:rsidRPr="007B6028">
        <w:rPr>
          <w:rStyle w:val="Fotnotsreferens"/>
        </w:rPr>
        <w:footnoteReference w:id="2"/>
      </w:r>
      <w:r w:rsidR="00535518" w:rsidRPr="007B6028">
        <w:t xml:space="preserve"> </w:t>
      </w:r>
      <w:r w:rsidR="008E2F7F" w:rsidRPr="007B6028">
        <w:t>framhålls</w:t>
      </w:r>
      <w:r w:rsidR="0082723A" w:rsidRPr="007B6028">
        <w:t xml:space="preserve"> att </w:t>
      </w:r>
      <w:r w:rsidR="0044407C" w:rsidRPr="007B6028">
        <w:t xml:space="preserve">man måste </w:t>
      </w:r>
      <w:r w:rsidR="0082723A" w:rsidRPr="007B6028">
        <w:t xml:space="preserve">stärka samarbetet inom transportsektorn, utveckla samarbetet mellan parterna när det gäller lagstiftning </w:t>
      </w:r>
      <w:r w:rsidR="008E2F7F" w:rsidRPr="007B6028">
        <w:t>och</w:t>
      </w:r>
      <w:r w:rsidR="0082723A" w:rsidRPr="007B6028">
        <w:t xml:space="preserve"> modernisera infrastrukturen på flygplatser och ledningen av </w:t>
      </w:r>
      <w:r w:rsidR="0044407C" w:rsidRPr="007B6028">
        <w:t>flyg</w:t>
      </w:r>
      <w:r w:rsidR="0082723A" w:rsidRPr="007B6028">
        <w:t>trafiken</w:t>
      </w:r>
      <w:r w:rsidR="00535518" w:rsidRPr="007B6028">
        <w:t>.</w:t>
      </w:r>
    </w:p>
    <w:p w:rsidR="00535518" w:rsidRPr="007B6028" w:rsidRDefault="00D026F8" w:rsidP="00D026F8">
      <w:pPr>
        <w:pStyle w:val="ManualNumPar1"/>
      </w:pPr>
      <w:r w:rsidRPr="007B6028">
        <w:t>5.</w:t>
      </w:r>
      <w:r w:rsidRPr="007B6028">
        <w:tab/>
      </w:r>
      <w:r w:rsidR="00123473" w:rsidRPr="007B6028">
        <w:t xml:space="preserve">Detta projekt för ett gemensamt luftrum överensstämmer därför i grunden med </w:t>
      </w:r>
      <w:r w:rsidR="0082723A" w:rsidRPr="007B6028">
        <w:t xml:space="preserve">de olika åtgärder som EU vidtagit i förhållande till Medelhavsländerna. Dessutom </w:t>
      </w:r>
      <w:r w:rsidR="00E00563" w:rsidRPr="007B6028">
        <w:t xml:space="preserve">överensstämmer </w:t>
      </w:r>
      <w:r w:rsidR="0082723A" w:rsidRPr="007B6028">
        <w:t>det m</w:t>
      </w:r>
      <w:r w:rsidR="00E00563" w:rsidRPr="007B6028">
        <w:t>ed</w:t>
      </w:r>
      <w:r w:rsidR="0082723A" w:rsidRPr="007B6028">
        <w:t xml:space="preserve"> ett mål som är gemensamt för </w:t>
      </w:r>
      <w:r w:rsidR="00D21DC4" w:rsidRPr="007B6028">
        <w:t>båda parterna</w:t>
      </w:r>
      <w:r w:rsidR="0082723A" w:rsidRPr="007B6028">
        <w:t xml:space="preserve">. Utbytet inom projektet </w:t>
      </w:r>
      <w:r w:rsidR="008E2F7F" w:rsidRPr="007B6028">
        <w:t>Euromed Aviation</w:t>
      </w:r>
      <w:r w:rsidR="00535518" w:rsidRPr="007B6028">
        <w:t xml:space="preserve">, </w:t>
      </w:r>
      <w:r w:rsidR="0082723A" w:rsidRPr="007B6028">
        <w:t xml:space="preserve">som startats av EU för </w:t>
      </w:r>
      <w:r w:rsidR="00E00563" w:rsidRPr="007B6028">
        <w:t>att stärka samarbetet på luftfartsområdet</w:t>
      </w:r>
      <w:r w:rsidR="0044407C" w:rsidRPr="007B6028">
        <w:t xml:space="preserve"> med </w:t>
      </w:r>
      <w:r w:rsidR="00E00563" w:rsidRPr="007B6028">
        <w:t>länderna söder om Medelhavet</w:t>
      </w:r>
      <w:r w:rsidR="00F25171" w:rsidRPr="007B6028">
        <w:t>,</w:t>
      </w:r>
      <w:r w:rsidR="0082723A" w:rsidRPr="007B6028">
        <w:t xml:space="preserve"> har också </w:t>
      </w:r>
      <w:r w:rsidR="008E2F7F" w:rsidRPr="007B6028">
        <w:t xml:space="preserve">gett Tunisien tillfälle </w:t>
      </w:r>
      <w:r w:rsidR="0082723A" w:rsidRPr="007B6028">
        <w:t xml:space="preserve">att visa sitt intresse för att inleda förhandlingar </w:t>
      </w:r>
      <w:r w:rsidR="009D02C5" w:rsidRPr="007B6028">
        <w:t>med Europeiska gemenskapen inom ramen för ett övergripande luftfartsavtal.</w:t>
      </w:r>
      <w:r w:rsidR="00535518" w:rsidRPr="007B6028">
        <w:t xml:space="preserve"> </w:t>
      </w:r>
      <w:r w:rsidR="00503A1A" w:rsidRPr="007B6028">
        <w:t xml:space="preserve">Ett sådant gemenskapsavtal om luftfart skulle </w:t>
      </w:r>
      <w:r w:rsidR="00E00563" w:rsidRPr="007B6028">
        <w:t>kunna skapa</w:t>
      </w:r>
      <w:r w:rsidR="00503A1A" w:rsidRPr="007B6028">
        <w:t xml:space="preserve"> nya möjligheter </w:t>
      </w:r>
      <w:r w:rsidR="00531262" w:rsidRPr="007B6028">
        <w:t>för</w:t>
      </w:r>
      <w:r w:rsidR="00503A1A" w:rsidRPr="007B6028">
        <w:t xml:space="preserve"> hela luftfartssektorn (</w:t>
      </w:r>
      <w:r w:rsidR="00BB2844" w:rsidRPr="007B6028">
        <w:t>flygbolag</w:t>
      </w:r>
      <w:r w:rsidR="00503A1A" w:rsidRPr="007B6028">
        <w:t>, förvaltare</w:t>
      </w:r>
      <w:r w:rsidR="008E2F7F" w:rsidRPr="007B6028">
        <w:t xml:space="preserve"> </w:t>
      </w:r>
      <w:r w:rsidR="00503A1A" w:rsidRPr="007B6028">
        <w:t xml:space="preserve">av flygplatsinfrastruktur, tillhandahållare av </w:t>
      </w:r>
      <w:r w:rsidR="008E2F7F" w:rsidRPr="007B6028">
        <w:t>marktjänster</w:t>
      </w:r>
      <w:r w:rsidR="00535518" w:rsidRPr="007B6028">
        <w:t xml:space="preserve">) </w:t>
      </w:r>
      <w:r w:rsidR="00503A1A" w:rsidRPr="007B6028">
        <w:t>liksom för passagerare på b</w:t>
      </w:r>
      <w:r w:rsidR="0080096D" w:rsidRPr="007B6028">
        <w:t>åda</w:t>
      </w:r>
      <w:r w:rsidR="00503A1A" w:rsidRPr="007B6028">
        <w:t xml:space="preserve"> sidor av Medelhavet. </w:t>
      </w:r>
      <w:r w:rsidR="00B64D1C" w:rsidRPr="007B6028">
        <w:t>N</w:t>
      </w:r>
      <w:r w:rsidR="00503A1A" w:rsidRPr="007B6028">
        <w:t xml:space="preserve">uvarande restriktioner i de bilaterala avtal som ingåtts mellan EU:s medlemsstater och Tunisien skulle kunna </w:t>
      </w:r>
      <w:r w:rsidR="00C00E35" w:rsidRPr="007B6028">
        <w:t>avvecklas</w:t>
      </w:r>
      <w:r w:rsidR="00503A1A" w:rsidRPr="007B6028">
        <w:t>.</w:t>
      </w:r>
      <w:r w:rsidR="00255C23" w:rsidRPr="007B6028">
        <w:t xml:space="preserve"> </w:t>
      </w:r>
      <w:r w:rsidR="00503A1A" w:rsidRPr="007B6028">
        <w:t>Begränsningar när det gäller</w:t>
      </w:r>
      <w:r w:rsidR="0044407C" w:rsidRPr="007B6028">
        <w:t xml:space="preserve"> flygbolagens</w:t>
      </w:r>
      <w:r w:rsidR="00503A1A" w:rsidRPr="007B6028">
        <w:t xml:space="preserve"> </w:t>
      </w:r>
      <w:r w:rsidR="008E2F7F" w:rsidRPr="007B6028">
        <w:t>antal flygningar</w:t>
      </w:r>
      <w:r w:rsidR="00503A1A" w:rsidRPr="007B6028">
        <w:t xml:space="preserve"> varje vecka, antalet go</w:t>
      </w:r>
      <w:r w:rsidR="008E2F7F" w:rsidRPr="007B6028">
        <w:t>d</w:t>
      </w:r>
      <w:r w:rsidR="00503A1A" w:rsidRPr="007B6028">
        <w:t xml:space="preserve">kända </w:t>
      </w:r>
      <w:r w:rsidR="00E00563" w:rsidRPr="007B6028">
        <w:t>flygbolag</w:t>
      </w:r>
      <w:r w:rsidR="00503A1A" w:rsidRPr="007B6028">
        <w:t xml:space="preserve">, flygplatser som får användas och tillämpade </w:t>
      </w:r>
      <w:r w:rsidR="007E59F0" w:rsidRPr="007B6028">
        <w:t>priser</w:t>
      </w:r>
      <w:r w:rsidR="00503A1A" w:rsidRPr="007B6028">
        <w:t xml:space="preserve"> skulle kunna undanröjas </w:t>
      </w:r>
      <w:r w:rsidR="008E2F7F" w:rsidRPr="007B6028">
        <w:t xml:space="preserve">samtidigt som </w:t>
      </w:r>
      <w:r w:rsidR="00503A1A" w:rsidRPr="007B6028">
        <w:t xml:space="preserve">en process för </w:t>
      </w:r>
      <w:r w:rsidR="00D21DC4" w:rsidRPr="007B6028">
        <w:t>tillnärmning</w:t>
      </w:r>
      <w:r w:rsidR="00503A1A" w:rsidRPr="007B6028">
        <w:t xml:space="preserve"> av </w:t>
      </w:r>
      <w:r w:rsidR="008E2F7F" w:rsidRPr="007B6028">
        <w:t xml:space="preserve">lagstiftningen </w:t>
      </w:r>
      <w:r w:rsidR="0044407C" w:rsidRPr="007B6028">
        <w:t>inleds</w:t>
      </w:r>
      <w:r w:rsidR="00503A1A" w:rsidRPr="007B6028">
        <w:t>.</w:t>
      </w:r>
    </w:p>
    <w:p w:rsidR="00535518" w:rsidRPr="007B6028" w:rsidRDefault="00D026F8" w:rsidP="00D026F8">
      <w:pPr>
        <w:pStyle w:val="ManualHeading1"/>
      </w:pPr>
      <w:r w:rsidRPr="007B6028">
        <w:t>2.</w:t>
      </w:r>
      <w:r w:rsidRPr="007B6028">
        <w:tab/>
      </w:r>
      <w:r w:rsidR="008E2F7F" w:rsidRPr="007B6028">
        <w:t>UTVECKLING</w:t>
      </w:r>
      <w:r w:rsidR="00503A1A" w:rsidRPr="007B6028">
        <w:t xml:space="preserve"> AV </w:t>
      </w:r>
      <w:r w:rsidR="00460AF5" w:rsidRPr="007B6028">
        <w:t>FLYG</w:t>
      </w:r>
      <w:r w:rsidR="00503A1A" w:rsidRPr="007B6028">
        <w:t>FÖRBINDELSER</w:t>
      </w:r>
      <w:r w:rsidR="00B64D1C" w:rsidRPr="007B6028">
        <w:t>NA</w:t>
      </w:r>
      <w:r w:rsidR="00503A1A" w:rsidRPr="007B6028">
        <w:t xml:space="preserve"> MED EN </w:t>
      </w:r>
      <w:r w:rsidR="00B64D1C" w:rsidRPr="007B6028">
        <w:t>VIKTIG PARTNER</w:t>
      </w:r>
      <w:r w:rsidR="00503A1A" w:rsidRPr="007B6028">
        <w:t xml:space="preserve"> </w:t>
      </w:r>
    </w:p>
    <w:p w:rsidR="00535518" w:rsidRPr="007B6028" w:rsidRDefault="00D026F8" w:rsidP="00D026F8">
      <w:pPr>
        <w:pStyle w:val="ManualNumPar1"/>
      </w:pPr>
      <w:r w:rsidRPr="007B6028">
        <w:t>6.</w:t>
      </w:r>
      <w:r w:rsidRPr="007B6028">
        <w:tab/>
      </w:r>
      <w:r w:rsidR="00535518" w:rsidRPr="007B6028">
        <w:t>L</w:t>
      </w:r>
      <w:r w:rsidR="001937DE" w:rsidRPr="007B6028">
        <w:t xml:space="preserve">andets ekonomiska betydelse </w:t>
      </w:r>
      <w:r w:rsidR="008E2F7F" w:rsidRPr="007B6028">
        <w:t xml:space="preserve">och omfattningen av </w:t>
      </w:r>
      <w:r w:rsidR="00F25171" w:rsidRPr="007B6028">
        <w:t xml:space="preserve">dess </w:t>
      </w:r>
      <w:r w:rsidR="008E2F7F" w:rsidRPr="007B6028">
        <w:t>fl</w:t>
      </w:r>
      <w:r w:rsidR="001937DE" w:rsidRPr="007B6028">
        <w:t xml:space="preserve">ygförbindelser med </w:t>
      </w:r>
      <w:r w:rsidR="008E2F7F" w:rsidRPr="007B6028">
        <w:t xml:space="preserve">EU </w:t>
      </w:r>
      <w:r w:rsidR="0096752C" w:rsidRPr="007B6028">
        <w:t>gör</w:t>
      </w:r>
      <w:r w:rsidR="008E2F7F" w:rsidRPr="007B6028">
        <w:t xml:space="preserve"> Tunisien </w:t>
      </w:r>
      <w:r w:rsidR="0096752C" w:rsidRPr="007B6028">
        <w:t xml:space="preserve">till en mycket viktig </w:t>
      </w:r>
      <w:r w:rsidR="001937DE" w:rsidRPr="007B6028">
        <w:t xml:space="preserve">partner </w:t>
      </w:r>
      <w:r w:rsidR="0096752C" w:rsidRPr="007B6028">
        <w:t xml:space="preserve">när det gäller att snart </w:t>
      </w:r>
      <w:r w:rsidR="00531262" w:rsidRPr="007B6028">
        <w:t xml:space="preserve">uppnå det mål att </w:t>
      </w:r>
      <w:r w:rsidR="0096752C" w:rsidRPr="007B6028">
        <w:t>s</w:t>
      </w:r>
      <w:r w:rsidR="001937DE" w:rsidRPr="007B6028">
        <w:t xml:space="preserve">kapa </w:t>
      </w:r>
      <w:r w:rsidR="00535518" w:rsidRPr="007B6028">
        <w:t>e</w:t>
      </w:r>
      <w:r w:rsidR="001937DE" w:rsidRPr="007B6028">
        <w:t xml:space="preserve">tt gemensamt luftrum som rådet fastställde 2005. </w:t>
      </w:r>
    </w:p>
    <w:p w:rsidR="00535518" w:rsidRPr="007B6028" w:rsidRDefault="00D026F8" w:rsidP="00D026F8">
      <w:pPr>
        <w:pStyle w:val="ManualNumPar1"/>
      </w:pPr>
      <w:r w:rsidRPr="007B6028">
        <w:t>7.</w:t>
      </w:r>
      <w:r w:rsidRPr="007B6028">
        <w:tab/>
      </w:r>
      <w:r w:rsidR="00182B0C" w:rsidRPr="007B6028">
        <w:t xml:space="preserve">EU är Tunisiens viktigaste handelspartner. 73 % av den tunisiska importen kommer från Europa, som dessutom </w:t>
      </w:r>
      <w:r w:rsidR="0044407C" w:rsidRPr="007B6028">
        <w:t>är mottagare av</w:t>
      </w:r>
      <w:r w:rsidR="00182B0C" w:rsidRPr="007B6028">
        <w:t xml:space="preserve"> 31 % av den tunisiska exporten. Under 2006 uppgick värdet av </w:t>
      </w:r>
      <w:r w:rsidR="0096752C" w:rsidRPr="007B6028">
        <w:t>detta handelsutbyte</w:t>
      </w:r>
      <w:r w:rsidR="00182B0C" w:rsidRPr="007B6028">
        <w:t xml:space="preserve"> till nästan 16 miljarder euro, vilket innebär att Tunisien är en EU :s viktigaste handelspartner bland länderna söder om Medelhavet. </w:t>
      </w:r>
    </w:p>
    <w:p w:rsidR="00535518" w:rsidRPr="007B6028" w:rsidRDefault="00D026F8" w:rsidP="00D026F8">
      <w:pPr>
        <w:pStyle w:val="ManualNumPar1"/>
      </w:pPr>
      <w:r w:rsidRPr="007B6028">
        <w:t>8.</w:t>
      </w:r>
      <w:r w:rsidRPr="007B6028">
        <w:tab/>
      </w:r>
      <w:r w:rsidR="00535518" w:rsidRPr="007B6028">
        <w:t>Europ</w:t>
      </w:r>
      <w:r w:rsidR="00182B0C" w:rsidRPr="007B6028">
        <w:t xml:space="preserve">a svarar för 82 % av turismen till Tunisien, och denna turism är en viktig valutakälla för landet. Tunisiens turism är av uppenbara geografiska skäl </w:t>
      </w:r>
      <w:r w:rsidR="0096752C" w:rsidRPr="007B6028">
        <w:t>starkt</w:t>
      </w:r>
      <w:r w:rsidR="00182B0C" w:rsidRPr="007B6028">
        <w:t xml:space="preserve"> beroende av </w:t>
      </w:r>
      <w:r w:rsidR="0044407C" w:rsidRPr="007B6028">
        <w:t xml:space="preserve">de befintliga </w:t>
      </w:r>
      <w:r w:rsidR="00182B0C" w:rsidRPr="007B6028">
        <w:t>flygförbindelser</w:t>
      </w:r>
      <w:r w:rsidR="008E2F7F" w:rsidRPr="007B6028">
        <w:t>na</w:t>
      </w:r>
      <w:r w:rsidR="00182B0C" w:rsidRPr="007B6028">
        <w:t xml:space="preserve"> med Europa. De europeiska och tunisiska flygmarknaderna är </w:t>
      </w:r>
      <w:r w:rsidR="00E25747" w:rsidRPr="007B6028">
        <w:t xml:space="preserve">också nära knutna till varandra, vilket </w:t>
      </w:r>
      <w:r w:rsidR="0096752C" w:rsidRPr="007B6028">
        <w:t>framgår av de</w:t>
      </w:r>
      <w:r w:rsidR="00E25747" w:rsidRPr="007B6028">
        <w:t xml:space="preserve"> 21 luftfartsavtal </w:t>
      </w:r>
      <w:r w:rsidR="0096752C" w:rsidRPr="007B6028">
        <w:t xml:space="preserve">som ingåtts </w:t>
      </w:r>
      <w:r w:rsidR="00E25747" w:rsidRPr="007B6028">
        <w:t>mellan Tunisien och medlemsstater i EU. På grundval av de här avtalen transporterades nästan 8,5 miljoner passagerare mellan Tunisien och Europa 2007, vilket</w:t>
      </w:r>
      <w:r w:rsidR="00255C23" w:rsidRPr="007B6028">
        <w:t xml:space="preserve"> </w:t>
      </w:r>
      <w:r w:rsidR="00E25747" w:rsidRPr="007B6028">
        <w:t xml:space="preserve">är en ökning med mer än 40 % under 10 år. De viktigaste enskilda marknaderna 2007 var Frankrike (3,5 miljoner </w:t>
      </w:r>
      <w:r w:rsidR="00C00E35" w:rsidRPr="007B6028">
        <w:t xml:space="preserve">transporterade </w:t>
      </w:r>
      <w:r w:rsidR="00F24AA5" w:rsidRPr="007B6028">
        <w:t>passagerare</w:t>
      </w:r>
      <w:r w:rsidR="00C00E35" w:rsidRPr="007B6028">
        <w:t>)</w:t>
      </w:r>
      <w:r w:rsidR="00E25747" w:rsidRPr="007B6028">
        <w:t>, Tyskland (1,2 miljoner passagerare), Italien (1 miljon passagerare), Storbritannien (650 000 passagerare), Belgien (450 000 passagerar</w:t>
      </w:r>
      <w:r w:rsidR="00535518" w:rsidRPr="007B6028">
        <w:t>e</w:t>
      </w:r>
      <w:r w:rsidR="00E25747" w:rsidRPr="007B6028">
        <w:t xml:space="preserve">) och Tjeckien (300 000 passagerare). </w:t>
      </w:r>
    </w:p>
    <w:p w:rsidR="00535518" w:rsidRPr="007B6028" w:rsidRDefault="00D026F8" w:rsidP="00D026F8">
      <w:pPr>
        <w:pStyle w:val="ManualNumPar1"/>
      </w:pPr>
      <w:r w:rsidRPr="007B6028">
        <w:t>9.</w:t>
      </w:r>
      <w:r w:rsidRPr="007B6028">
        <w:tab/>
      </w:r>
      <w:r w:rsidR="00E25747" w:rsidRPr="007B6028">
        <w:t xml:space="preserve">2006 uppgick den </w:t>
      </w:r>
      <w:r w:rsidR="00C00E35" w:rsidRPr="007B6028">
        <w:t xml:space="preserve">sammanlagda </w:t>
      </w:r>
      <w:r w:rsidR="00E25747" w:rsidRPr="007B6028">
        <w:t xml:space="preserve">internationella trafiken till Tunisien till 10,5 miljoner passagerare, vilket understryker Europas betydelse relativt sett. Två tredjedelar av den </w:t>
      </w:r>
      <w:r w:rsidR="00C00E35" w:rsidRPr="007B6028">
        <w:t>sammanlagda</w:t>
      </w:r>
      <w:r w:rsidR="00E25747" w:rsidRPr="007B6028">
        <w:t xml:space="preserve"> internationella trafiken bedrevs av tunisiska </w:t>
      </w:r>
      <w:r w:rsidR="007E59F0" w:rsidRPr="007B6028">
        <w:t>flygbolag</w:t>
      </w:r>
      <w:r w:rsidR="00E25747" w:rsidRPr="007B6028">
        <w:t xml:space="preserve"> och denna andel är till och med större när det gäller </w:t>
      </w:r>
      <w:r w:rsidR="00B64D1C" w:rsidRPr="007B6028">
        <w:t>flyg</w:t>
      </w:r>
      <w:r w:rsidR="00E25747" w:rsidRPr="007B6028">
        <w:t>förbindelserna med Europa</w:t>
      </w:r>
      <w:r w:rsidR="00511E31" w:rsidRPr="007B6028">
        <w:t xml:space="preserve">. </w:t>
      </w:r>
      <w:r w:rsidR="00E00563" w:rsidRPr="007B6028">
        <w:t>På</w:t>
      </w:r>
      <w:r w:rsidR="00E25747" w:rsidRPr="007B6028">
        <w:t xml:space="preserve"> centrala marknader såsom den fransk-tunisiska marknaden </w:t>
      </w:r>
      <w:r w:rsidR="00612A58" w:rsidRPr="007B6028">
        <w:t>svarar de</w:t>
      </w:r>
      <w:r w:rsidR="00511E31" w:rsidRPr="007B6028">
        <w:t xml:space="preserve"> tunisiska </w:t>
      </w:r>
      <w:r w:rsidR="007E59F0" w:rsidRPr="007B6028">
        <w:t>flygbolagen</w:t>
      </w:r>
      <w:r w:rsidR="00511E31" w:rsidRPr="007B6028">
        <w:t xml:space="preserve"> för 70 % av trafiken. De </w:t>
      </w:r>
      <w:r w:rsidR="0044407C" w:rsidRPr="007B6028">
        <w:t xml:space="preserve">viktigaste </w:t>
      </w:r>
      <w:r w:rsidR="00C00E35" w:rsidRPr="007B6028">
        <w:t xml:space="preserve">reguljära </w:t>
      </w:r>
      <w:r w:rsidR="007E59F0" w:rsidRPr="007B6028">
        <w:t>flygbolag</w:t>
      </w:r>
      <w:r w:rsidR="00B64D1C" w:rsidRPr="007B6028">
        <w:t>en</w:t>
      </w:r>
      <w:r w:rsidR="00511E31" w:rsidRPr="007B6028">
        <w:t xml:space="preserve"> från geme</w:t>
      </w:r>
      <w:r w:rsidR="007E59F0" w:rsidRPr="007B6028">
        <w:t xml:space="preserve">nskapen </w:t>
      </w:r>
      <w:r w:rsidR="00511E31" w:rsidRPr="007B6028">
        <w:t xml:space="preserve">inriktar sina flygningar till Tunisien på att försöka dra till sig </w:t>
      </w:r>
      <w:r w:rsidR="00612A58" w:rsidRPr="007B6028">
        <w:t>det exklusivare klientelet</w:t>
      </w:r>
      <w:r w:rsidR="00511E31" w:rsidRPr="007B6028">
        <w:t>, samtidigt som de garanterar de</w:t>
      </w:r>
      <w:r w:rsidR="00612A58" w:rsidRPr="007B6028">
        <w:t xml:space="preserve"> </w:t>
      </w:r>
      <w:r w:rsidR="00511E31" w:rsidRPr="007B6028">
        <w:t>f</w:t>
      </w:r>
      <w:r w:rsidR="00612A58" w:rsidRPr="007B6028">
        <w:t xml:space="preserve">örbindelser </w:t>
      </w:r>
      <w:r w:rsidR="00511E31" w:rsidRPr="007B6028">
        <w:t xml:space="preserve">som krävs för att </w:t>
      </w:r>
      <w:r w:rsidR="00612A58" w:rsidRPr="007B6028">
        <w:t xml:space="preserve">göra sin </w:t>
      </w:r>
      <w:r w:rsidR="007E59F0" w:rsidRPr="007B6028">
        <w:t xml:space="preserve">huvudflygplats </w:t>
      </w:r>
      <w:r w:rsidR="00612A58" w:rsidRPr="007B6028">
        <w:t>attraktiv</w:t>
      </w:r>
      <w:r w:rsidR="00511E31" w:rsidRPr="007B6028">
        <w:t xml:space="preserve">. Andra </w:t>
      </w:r>
      <w:r w:rsidR="007E59F0" w:rsidRPr="007B6028">
        <w:t xml:space="preserve">flygbolag </w:t>
      </w:r>
      <w:r w:rsidR="00511E31" w:rsidRPr="007B6028">
        <w:t xml:space="preserve">från gemenskapen </w:t>
      </w:r>
      <w:r w:rsidR="00EB0E3B" w:rsidRPr="007B6028">
        <w:t>är lik</w:t>
      </w:r>
      <w:r w:rsidR="00531262" w:rsidRPr="007B6028">
        <w:t>a</w:t>
      </w:r>
      <w:r w:rsidR="00EB0E3B" w:rsidRPr="007B6028">
        <w:t>så aktiva</w:t>
      </w:r>
      <w:r w:rsidR="00511E31" w:rsidRPr="007B6028">
        <w:t xml:space="preserve"> på</w:t>
      </w:r>
      <w:r w:rsidR="0044407C" w:rsidRPr="007B6028">
        <w:t xml:space="preserve"> mark</w:t>
      </w:r>
      <w:r w:rsidR="00E00563" w:rsidRPr="007B6028">
        <w:t>n</w:t>
      </w:r>
      <w:r w:rsidR="0044407C" w:rsidRPr="007B6028">
        <w:t>a</w:t>
      </w:r>
      <w:r w:rsidR="00E00563" w:rsidRPr="007B6028">
        <w:t>derna för</w:t>
      </w:r>
      <w:r w:rsidR="00511E31" w:rsidRPr="007B6028">
        <w:t xml:space="preserve"> </w:t>
      </w:r>
      <w:r w:rsidR="00C00E35" w:rsidRPr="007B6028">
        <w:t>vanliga turistresor</w:t>
      </w:r>
      <w:r w:rsidR="00E00563" w:rsidRPr="007B6028">
        <w:t xml:space="preserve"> liksom släkt</w:t>
      </w:r>
      <w:r w:rsidR="00C00E35" w:rsidRPr="007B6028">
        <w:t>-</w:t>
      </w:r>
      <w:r w:rsidR="00E00563" w:rsidRPr="007B6028">
        <w:t xml:space="preserve"> och vän</w:t>
      </w:r>
      <w:r w:rsidR="00C00E35" w:rsidRPr="007B6028">
        <w:t>turism</w:t>
      </w:r>
      <w:r w:rsidR="00E00563" w:rsidRPr="007B6028">
        <w:t xml:space="preserve">, </w:t>
      </w:r>
      <w:r w:rsidR="00511E31" w:rsidRPr="007B6028">
        <w:t>men denna marknad domineras fortfarande av tunisiska företag.</w:t>
      </w:r>
    </w:p>
    <w:p w:rsidR="00535518" w:rsidRPr="007B6028" w:rsidRDefault="00D026F8" w:rsidP="00D026F8">
      <w:pPr>
        <w:pStyle w:val="ManualNumPar1"/>
      </w:pPr>
      <w:r w:rsidRPr="007B6028">
        <w:t>10.</w:t>
      </w:r>
      <w:r w:rsidRPr="007B6028">
        <w:tab/>
      </w:r>
      <w:r w:rsidR="00511E31" w:rsidRPr="007B6028">
        <w:t xml:space="preserve">Det viktigaste tunisiska </w:t>
      </w:r>
      <w:r w:rsidR="0044407C" w:rsidRPr="007B6028">
        <w:t>flygbolaget</w:t>
      </w:r>
      <w:r w:rsidR="00511E31" w:rsidRPr="007B6028">
        <w:t xml:space="preserve"> är Tuni</w:t>
      </w:r>
      <w:r w:rsidR="00535518" w:rsidRPr="007B6028">
        <w:t xml:space="preserve">sair, </w:t>
      </w:r>
      <w:r w:rsidR="00511E31" w:rsidRPr="007B6028">
        <w:t xml:space="preserve">som svarar för </w:t>
      </w:r>
      <w:r w:rsidR="00535518" w:rsidRPr="007B6028">
        <w:t>37</w:t>
      </w:r>
      <w:r w:rsidR="00511E31" w:rsidRPr="007B6028">
        <w:t> </w:t>
      </w:r>
      <w:r w:rsidR="00535518" w:rsidRPr="007B6028">
        <w:t xml:space="preserve">% </w:t>
      </w:r>
      <w:r w:rsidR="00511E31" w:rsidRPr="007B6028">
        <w:t>av den internationella luftfarten till och frå</w:t>
      </w:r>
      <w:r w:rsidR="00FE6E31" w:rsidRPr="007B6028">
        <w:t>n Tunisien. F</w:t>
      </w:r>
      <w:r w:rsidR="00511E31" w:rsidRPr="007B6028">
        <w:t>öretaget transporterade 3,8 miljoner passagerare 2006. Den tunisiska staten</w:t>
      </w:r>
      <w:r w:rsidR="00E00563" w:rsidRPr="007B6028">
        <w:t>,</w:t>
      </w:r>
      <w:r w:rsidR="00511E31" w:rsidRPr="007B6028">
        <w:t xml:space="preserve"> som </w:t>
      </w:r>
      <w:r w:rsidR="00EE4D3F" w:rsidRPr="007B6028">
        <w:t>grundat</w:t>
      </w:r>
      <w:r w:rsidR="00511E31" w:rsidRPr="007B6028">
        <w:t xml:space="preserve"> företaget</w:t>
      </w:r>
      <w:r w:rsidR="00E00563" w:rsidRPr="007B6028">
        <w:t>,</w:t>
      </w:r>
      <w:r w:rsidR="00511E31" w:rsidRPr="007B6028">
        <w:t xml:space="preserve"> äger i dag 74 % av </w:t>
      </w:r>
      <w:r w:rsidR="00EC6567" w:rsidRPr="007B6028">
        <w:t>aktie</w:t>
      </w:r>
      <w:r w:rsidR="00511E31" w:rsidRPr="007B6028">
        <w:t>kapitalet</w:t>
      </w:r>
      <w:r w:rsidR="00FE6E31" w:rsidRPr="007B6028">
        <w:t>,</w:t>
      </w:r>
      <w:r w:rsidR="00511E31" w:rsidRPr="007B6028">
        <w:t xml:space="preserve"> medan det resterande kapitalet </w:t>
      </w:r>
      <w:r w:rsidR="00EC6567" w:rsidRPr="007B6028">
        <w:t>handlas fritt</w:t>
      </w:r>
      <w:r w:rsidR="00535518" w:rsidRPr="007B6028">
        <w:t xml:space="preserve">. </w:t>
      </w:r>
      <w:r w:rsidR="00F24AA5" w:rsidRPr="007B6028">
        <w:t xml:space="preserve">Koncernen </w:t>
      </w:r>
      <w:r w:rsidR="00535518" w:rsidRPr="007B6028">
        <w:t>Tunisair</w:t>
      </w:r>
      <w:r w:rsidR="00C229F1" w:rsidRPr="007B6028">
        <w:t xml:space="preserve"> sysselsätter direkt eller indirekt </w:t>
      </w:r>
      <w:r w:rsidR="00C00E35" w:rsidRPr="007B6028">
        <w:t xml:space="preserve">nästan </w:t>
      </w:r>
      <w:r w:rsidR="00C229F1" w:rsidRPr="007B6028">
        <w:t xml:space="preserve">8 000 personer och dess verksamhet omfattar </w:t>
      </w:r>
      <w:r w:rsidR="0044407C" w:rsidRPr="007B6028">
        <w:t>alla segment</w:t>
      </w:r>
      <w:r w:rsidR="00C229F1" w:rsidRPr="007B6028">
        <w:t xml:space="preserve"> inom luftfarten, bland annat underhåll och </w:t>
      </w:r>
      <w:r w:rsidR="00EC6567" w:rsidRPr="007B6028">
        <w:t xml:space="preserve">service på </w:t>
      </w:r>
      <w:r w:rsidR="00C229F1" w:rsidRPr="007B6028">
        <w:t>flygplats</w:t>
      </w:r>
      <w:r w:rsidR="00EC6567" w:rsidRPr="007B6028">
        <w:t>er</w:t>
      </w:r>
      <w:r w:rsidR="00C229F1" w:rsidRPr="007B6028">
        <w:t xml:space="preserve">. </w:t>
      </w:r>
      <w:r w:rsidR="00EE4D3F" w:rsidRPr="007B6028">
        <w:t>I</w:t>
      </w:r>
      <w:r w:rsidR="00C229F1" w:rsidRPr="007B6028">
        <w:t xml:space="preserve"> en</w:t>
      </w:r>
      <w:r w:rsidR="00EE4D3F" w:rsidRPr="007B6028">
        <w:t xml:space="preserve"> alltmer konkurrensutsatt miljö</w:t>
      </w:r>
      <w:r w:rsidR="00C229F1" w:rsidRPr="007B6028">
        <w:t xml:space="preserve"> har </w:t>
      </w:r>
      <w:r w:rsidR="00F24AA5" w:rsidRPr="007B6028">
        <w:t>koncernen T</w:t>
      </w:r>
      <w:r w:rsidR="00C229F1" w:rsidRPr="007B6028">
        <w:t>unisair</w:t>
      </w:r>
      <w:r w:rsidR="00EE4D3F" w:rsidRPr="007B6028">
        <w:t xml:space="preserve"> i sin strävan efter modernisering</w:t>
      </w:r>
      <w:r w:rsidR="00C229F1" w:rsidRPr="007B6028">
        <w:t xml:space="preserve"> g</w:t>
      </w:r>
      <w:r w:rsidR="00EE4D3F" w:rsidRPr="007B6028">
        <w:t xml:space="preserve">enomfört </w:t>
      </w:r>
      <w:r w:rsidR="00C229F1" w:rsidRPr="007B6028">
        <w:t>strukturella reformer som inneburit att det skapat</w:t>
      </w:r>
      <w:r w:rsidR="00EC6567" w:rsidRPr="007B6028">
        <w:t>s</w:t>
      </w:r>
      <w:r w:rsidR="00C229F1" w:rsidRPr="007B6028">
        <w:t xml:space="preserve"> dotterbolag som sysselsätter nästan 4 000 personer. </w:t>
      </w:r>
      <w:r w:rsidR="00E00563" w:rsidRPr="007B6028">
        <w:t xml:space="preserve">Koncernen </w:t>
      </w:r>
      <w:r w:rsidR="00C229F1" w:rsidRPr="007B6028">
        <w:t xml:space="preserve">Tunisair äger en flotta med 30 flygplan (Boeing och Airbus). 20 av dessa flygplan har inte någon </w:t>
      </w:r>
      <w:r w:rsidR="00C00E35" w:rsidRPr="007B6028">
        <w:t>affärsklass</w:t>
      </w:r>
      <w:r w:rsidR="00C229F1" w:rsidRPr="007B6028">
        <w:t xml:space="preserve">, vilket understryker </w:t>
      </w:r>
      <w:r w:rsidR="00E00563" w:rsidRPr="007B6028">
        <w:t>turistresornas</w:t>
      </w:r>
      <w:r w:rsidR="00EC6567" w:rsidRPr="007B6028">
        <w:t xml:space="preserve"> </w:t>
      </w:r>
      <w:r w:rsidR="00C229F1" w:rsidRPr="007B6028">
        <w:t xml:space="preserve">betydelse </w:t>
      </w:r>
      <w:r w:rsidR="00EC6567" w:rsidRPr="007B6028">
        <w:t xml:space="preserve">för </w:t>
      </w:r>
      <w:r w:rsidR="00C229F1" w:rsidRPr="007B6028">
        <w:t>företaget.</w:t>
      </w:r>
    </w:p>
    <w:p w:rsidR="00535518" w:rsidRPr="007B6028" w:rsidRDefault="00D026F8" w:rsidP="00D026F8">
      <w:pPr>
        <w:pStyle w:val="ManualNumPar1"/>
      </w:pPr>
      <w:r w:rsidRPr="007B6028">
        <w:t>11.</w:t>
      </w:r>
      <w:r w:rsidRPr="007B6028">
        <w:tab/>
      </w:r>
      <w:r w:rsidR="00C00E35" w:rsidRPr="007B6028">
        <w:t>Turistresenärerna</w:t>
      </w:r>
      <w:r w:rsidR="00313954" w:rsidRPr="007B6028">
        <w:t xml:space="preserve"> är den viktigaste målgruppen för </w:t>
      </w:r>
      <w:r w:rsidR="00C00E35" w:rsidRPr="007B6028">
        <w:t xml:space="preserve">de </w:t>
      </w:r>
      <w:r w:rsidR="00313954" w:rsidRPr="007B6028">
        <w:t xml:space="preserve">två andra tunisiska </w:t>
      </w:r>
      <w:r w:rsidR="00255C23" w:rsidRPr="007B6028">
        <w:t>flygbola</w:t>
      </w:r>
      <w:r w:rsidR="00313954" w:rsidRPr="007B6028">
        <w:t>g som bedriver internationell trafik, närmare</w:t>
      </w:r>
      <w:r w:rsidR="00157333" w:rsidRPr="007B6028">
        <w:t xml:space="preserve"> bestämt Nouvelair och Karthago</w:t>
      </w:r>
      <w:r w:rsidR="00EE4D3F" w:rsidRPr="007B6028">
        <w:t xml:space="preserve"> Airlines</w:t>
      </w:r>
      <w:r w:rsidR="00157333" w:rsidRPr="007B6028">
        <w:t xml:space="preserve">. Bägge bolagen </w:t>
      </w:r>
      <w:r w:rsidR="00313954" w:rsidRPr="007B6028">
        <w:t>är charterbolag som etablerats på turismbranschens i</w:t>
      </w:r>
      <w:r w:rsidR="00EC6567" w:rsidRPr="007B6028">
        <w:t xml:space="preserve">nitiativ (hotell, resebyråer). </w:t>
      </w:r>
    </w:p>
    <w:p w:rsidR="00535518" w:rsidRPr="007B6028" w:rsidRDefault="00D026F8" w:rsidP="00D026F8">
      <w:pPr>
        <w:pStyle w:val="ManualNumPar1"/>
      </w:pPr>
      <w:r w:rsidRPr="007B6028">
        <w:t>12.</w:t>
      </w:r>
      <w:r w:rsidRPr="007B6028">
        <w:tab/>
      </w:r>
      <w:r w:rsidR="00313954" w:rsidRPr="007B6028">
        <w:t xml:space="preserve">Nouvelair, som etablerades 1989 av </w:t>
      </w:r>
      <w:r w:rsidR="00535518" w:rsidRPr="007B6028">
        <w:t>Tunisian Travel Services</w:t>
      </w:r>
      <w:r w:rsidR="00455173" w:rsidRPr="007B6028">
        <w:t>,</w:t>
      </w:r>
      <w:r w:rsidR="00255C23" w:rsidRPr="007B6028">
        <w:t xml:space="preserve"> </w:t>
      </w:r>
      <w:r w:rsidR="00313954" w:rsidRPr="007B6028">
        <w:t>är baserat i Monastir och bedriver trafik till och från 25 länder (120 flygplatser)</w:t>
      </w:r>
      <w:r w:rsidR="00535518" w:rsidRPr="007B6028">
        <w:t>,</w:t>
      </w:r>
      <w:r w:rsidR="00313954" w:rsidRPr="007B6028">
        <w:t xml:space="preserve"> främst i Europa</w:t>
      </w:r>
      <w:r w:rsidR="00535518" w:rsidRPr="007B6028">
        <w:t>.</w:t>
      </w:r>
      <w:r w:rsidR="00313954" w:rsidRPr="007B6028">
        <w:t xml:space="preserve"> </w:t>
      </w:r>
      <w:r w:rsidR="0044407C" w:rsidRPr="007B6028">
        <w:t xml:space="preserve">Med sin flotta bestående av </w:t>
      </w:r>
      <w:r w:rsidR="00EE4D3F" w:rsidRPr="007B6028">
        <w:t>1</w:t>
      </w:r>
      <w:r w:rsidR="0044407C" w:rsidRPr="007B6028">
        <w:t>3 A</w:t>
      </w:r>
      <w:r w:rsidR="00313954" w:rsidRPr="007B6028">
        <w:t xml:space="preserve">irbus-plan </w:t>
      </w:r>
      <w:r w:rsidR="00F24AA5" w:rsidRPr="007B6028">
        <w:t>transporterade Nouvel</w:t>
      </w:r>
      <w:r w:rsidR="00313954" w:rsidRPr="007B6028">
        <w:t>a</w:t>
      </w:r>
      <w:r w:rsidR="00F24AA5" w:rsidRPr="007B6028">
        <w:t>i</w:t>
      </w:r>
      <w:r w:rsidR="00313954" w:rsidRPr="007B6028">
        <w:t>r nästan 1,5 miljoner passagerare 2006, vilket motsvarar 16 % av marknaden för internationella lufttransporter i Tunisien.</w:t>
      </w:r>
      <w:r w:rsidR="00891749" w:rsidRPr="007B6028">
        <w:t xml:space="preserve"> Karthago Airlines, som etablerades 2002 för att bedriva </w:t>
      </w:r>
      <w:r w:rsidR="00EE4D3F" w:rsidRPr="007B6028">
        <w:t>charter</w:t>
      </w:r>
      <w:r w:rsidR="00891749" w:rsidRPr="007B6028">
        <w:t>trafik till och från Djerba</w:t>
      </w:r>
      <w:r w:rsidR="00E00563" w:rsidRPr="007B6028">
        <w:t>,</w:t>
      </w:r>
      <w:r w:rsidR="00891749" w:rsidRPr="007B6028">
        <w:t xml:space="preserve"> ägs av </w:t>
      </w:r>
      <w:r w:rsidR="0044407C" w:rsidRPr="007B6028">
        <w:t xml:space="preserve">koncernen </w:t>
      </w:r>
      <w:r w:rsidR="00891749" w:rsidRPr="007B6028">
        <w:t>Karthago och använder chartrad</w:t>
      </w:r>
      <w:r w:rsidR="00EC6567" w:rsidRPr="007B6028">
        <w:t xml:space="preserve">e flygplan för att tillgodose </w:t>
      </w:r>
      <w:r w:rsidR="00891749" w:rsidRPr="007B6028">
        <w:t>researrangörernas säsongs</w:t>
      </w:r>
      <w:r w:rsidR="00E00563" w:rsidRPr="007B6028">
        <w:t xml:space="preserve">betingade </w:t>
      </w:r>
      <w:r w:rsidR="00891749" w:rsidRPr="007B6028">
        <w:t>behov. Detta företag</w:t>
      </w:r>
      <w:r w:rsidR="00F24AA5" w:rsidRPr="007B6028">
        <w:t>,</w:t>
      </w:r>
      <w:r w:rsidR="00891749" w:rsidRPr="007B6028">
        <w:t xml:space="preserve"> som är ovanligt </w:t>
      </w:r>
      <w:r w:rsidR="00F24AA5" w:rsidRPr="007B6028">
        <w:t>på så sätt</w:t>
      </w:r>
      <w:r w:rsidR="00891749" w:rsidRPr="007B6028">
        <w:t xml:space="preserve"> att det är börsnoterat, svarar för 6 % av den internationella flygmarknaden i Tunisien. </w:t>
      </w:r>
      <w:r w:rsidR="00CA0888" w:rsidRPr="007B6028">
        <w:t>Likheten mellan deras kommersiella</w:t>
      </w:r>
      <w:r w:rsidR="00160A65" w:rsidRPr="007B6028">
        <w:t xml:space="preserve"> modeller och det faktum att de har olika flygplatser som bas </w:t>
      </w:r>
      <w:r w:rsidR="00CA0888" w:rsidRPr="007B6028">
        <w:t>(Monastir och</w:t>
      </w:r>
      <w:r w:rsidR="00255C23" w:rsidRPr="007B6028">
        <w:t xml:space="preserve"> </w:t>
      </w:r>
      <w:r w:rsidR="00CA0888" w:rsidRPr="007B6028">
        <w:t>Djerba) har lett till att Kart</w:t>
      </w:r>
      <w:r w:rsidR="00EE4D3F" w:rsidRPr="007B6028">
        <w:t xml:space="preserve">hago airlines och Nouvelair </w:t>
      </w:r>
      <w:r w:rsidR="00CA0888" w:rsidRPr="007B6028">
        <w:t>överväg</w:t>
      </w:r>
      <w:r w:rsidR="00EE4D3F" w:rsidRPr="007B6028">
        <w:t>er</w:t>
      </w:r>
      <w:r w:rsidR="00CA0888" w:rsidRPr="007B6028">
        <w:t xml:space="preserve"> </w:t>
      </w:r>
      <w:r w:rsidR="00E00563" w:rsidRPr="007B6028">
        <w:t xml:space="preserve">ett </w:t>
      </w:r>
      <w:r w:rsidR="00CA0888" w:rsidRPr="007B6028">
        <w:t xml:space="preserve">partnerskap eller till och med </w:t>
      </w:r>
      <w:r w:rsidR="00E00563" w:rsidRPr="007B6028">
        <w:t>en fusion</w:t>
      </w:r>
      <w:r w:rsidR="00CA0888" w:rsidRPr="007B6028">
        <w:t xml:space="preserve">. </w:t>
      </w:r>
      <w:r w:rsidR="008E6538" w:rsidRPr="007B6028">
        <w:t xml:space="preserve">En sådan konsolidering av den tunisiska </w:t>
      </w:r>
      <w:r w:rsidR="00455173" w:rsidRPr="007B6028">
        <w:t>flyg</w:t>
      </w:r>
      <w:r w:rsidR="008E6538" w:rsidRPr="007B6028">
        <w:t xml:space="preserve">marknaden skulle </w:t>
      </w:r>
      <w:r w:rsidR="00531262" w:rsidRPr="007B6028">
        <w:t xml:space="preserve">vara i linje med </w:t>
      </w:r>
      <w:r w:rsidR="008E6538" w:rsidRPr="007B6028">
        <w:t xml:space="preserve">ett </w:t>
      </w:r>
      <w:r w:rsidR="009564A5" w:rsidRPr="007B6028">
        <w:t xml:space="preserve">luftfartsavtal med gemenskapen och göra det möjligt </w:t>
      </w:r>
      <w:r w:rsidR="00455173" w:rsidRPr="007B6028">
        <w:t xml:space="preserve">för </w:t>
      </w:r>
      <w:r w:rsidR="00EE4D3F" w:rsidRPr="007B6028">
        <w:t xml:space="preserve">de tunisiska </w:t>
      </w:r>
      <w:r w:rsidR="00C00E35" w:rsidRPr="007B6028">
        <w:t>flygbolagen</w:t>
      </w:r>
      <w:r w:rsidR="008E6538" w:rsidRPr="007B6028">
        <w:t xml:space="preserve"> att skaffa sig en bättre ställning på en avreglerad </w:t>
      </w:r>
      <w:r w:rsidR="00455173" w:rsidRPr="007B6028">
        <w:t>flyg</w:t>
      </w:r>
      <w:r w:rsidR="008E6538" w:rsidRPr="007B6028">
        <w:t xml:space="preserve">marknad och stå emot den nya konkurrens </w:t>
      </w:r>
      <w:r w:rsidR="00EE4D3F" w:rsidRPr="007B6028">
        <w:t>som då uppstår</w:t>
      </w:r>
      <w:r w:rsidR="00535518" w:rsidRPr="007B6028">
        <w:t xml:space="preserve">. </w:t>
      </w:r>
      <w:r w:rsidR="00EE4D3F" w:rsidRPr="007B6028">
        <w:t>Den m</w:t>
      </w:r>
      <w:r w:rsidR="0044407C" w:rsidRPr="007B6028">
        <w:t>arknadsliberalisering</w:t>
      </w:r>
      <w:r w:rsidR="00EE4D3F" w:rsidRPr="007B6028">
        <w:t xml:space="preserve"> som följer av </w:t>
      </w:r>
      <w:r w:rsidR="008E6538" w:rsidRPr="007B6028">
        <w:t>ett så</w:t>
      </w:r>
      <w:r w:rsidR="00EE4D3F" w:rsidRPr="007B6028">
        <w:t>dant gemenskapsavtal skulle medföra</w:t>
      </w:r>
      <w:r w:rsidR="008E6538" w:rsidRPr="007B6028">
        <w:t xml:space="preserve"> att de tunisiska </w:t>
      </w:r>
      <w:r w:rsidR="00F24AA5" w:rsidRPr="007B6028">
        <w:t>myndigheterna</w:t>
      </w:r>
      <w:r w:rsidR="008E6538" w:rsidRPr="007B6028">
        <w:t xml:space="preserve"> inte längre kan fastställa </w:t>
      </w:r>
      <w:r w:rsidR="00C00E35" w:rsidRPr="007B6028">
        <w:t xml:space="preserve">ramar för </w:t>
      </w:r>
      <w:r w:rsidR="008E6538" w:rsidRPr="007B6028">
        <w:t xml:space="preserve">priserna för de europeiska flygbolag som bedriver trafik </w:t>
      </w:r>
      <w:r w:rsidR="00455173" w:rsidRPr="007B6028">
        <w:t>till och från</w:t>
      </w:r>
      <w:r w:rsidR="008E6538" w:rsidRPr="007B6028">
        <w:t xml:space="preserve"> Tunisien eller motsätta sig traditionella restriktioner när det gäller ägande och kontroll av flygbolag från gemenskapen.</w:t>
      </w:r>
    </w:p>
    <w:p w:rsidR="00535518" w:rsidRPr="007B6028" w:rsidRDefault="00D026F8" w:rsidP="00D026F8">
      <w:pPr>
        <w:pStyle w:val="ManualNumPar1"/>
      </w:pPr>
      <w:r w:rsidRPr="007B6028">
        <w:t>13.</w:t>
      </w:r>
      <w:r w:rsidRPr="007B6028">
        <w:tab/>
      </w:r>
      <w:r w:rsidR="008E6538" w:rsidRPr="007B6028">
        <w:t xml:space="preserve">Den kommersiella potentialen </w:t>
      </w:r>
      <w:r w:rsidR="00522120" w:rsidRPr="007B6028">
        <w:t>av</w:t>
      </w:r>
      <w:r w:rsidR="008E6538" w:rsidRPr="007B6028">
        <w:t xml:space="preserve"> ett gemensamt luftrum mellan Tunisien och Europa är därför mycket stor både för konsumenter, </w:t>
      </w:r>
      <w:r w:rsidR="0044407C" w:rsidRPr="007B6028">
        <w:t>flygbolag</w:t>
      </w:r>
      <w:r w:rsidR="008E6538" w:rsidRPr="007B6028">
        <w:t xml:space="preserve"> och flygplatser. </w:t>
      </w:r>
      <w:r w:rsidR="00032380" w:rsidRPr="007B6028">
        <w:t>S</w:t>
      </w:r>
      <w:r w:rsidR="00455173" w:rsidRPr="007B6028">
        <w:t>ås</w:t>
      </w:r>
      <w:r w:rsidR="00032380" w:rsidRPr="007B6028">
        <w:t xml:space="preserve">om framgår av undersökningen </w:t>
      </w:r>
      <w:r w:rsidR="00522120" w:rsidRPr="007B6028">
        <w:t>av</w:t>
      </w:r>
      <w:r w:rsidR="00032380" w:rsidRPr="007B6028">
        <w:t xml:space="preserve"> projektet</w:t>
      </w:r>
      <w:r w:rsidR="00522120" w:rsidRPr="007B6028">
        <w:t xml:space="preserve"> Euromed Aviation</w:t>
      </w:r>
      <w:r w:rsidR="00535518" w:rsidRPr="007B6028">
        <w:rPr>
          <w:rStyle w:val="Fotnotsreferens"/>
        </w:rPr>
        <w:footnoteReference w:id="3"/>
      </w:r>
      <w:r w:rsidR="00535518" w:rsidRPr="007B6028">
        <w:t xml:space="preserve"> </w:t>
      </w:r>
      <w:r w:rsidR="00E00563" w:rsidRPr="007B6028">
        <w:t>är de</w:t>
      </w:r>
      <w:r w:rsidR="008E6538" w:rsidRPr="007B6028">
        <w:t xml:space="preserve"> gällande </w:t>
      </w:r>
      <w:r w:rsidR="00E00563" w:rsidRPr="007B6028">
        <w:t>bestämmelserna</w:t>
      </w:r>
      <w:r w:rsidR="008E6538" w:rsidRPr="007B6028">
        <w:t xml:space="preserve"> i Tunisien tillräckligt soli</w:t>
      </w:r>
      <w:r w:rsidR="00E00563" w:rsidRPr="007B6028">
        <w:t>da och utvecklade</w:t>
      </w:r>
      <w:r w:rsidR="008E6538" w:rsidRPr="007B6028">
        <w:t xml:space="preserve"> för att </w:t>
      </w:r>
      <w:r w:rsidR="00B34B4E" w:rsidRPr="007B6028">
        <w:t xml:space="preserve">lagstiftningen </w:t>
      </w:r>
      <w:r w:rsidR="008E6538" w:rsidRPr="007B6028">
        <w:t xml:space="preserve">snabbt </w:t>
      </w:r>
      <w:r w:rsidR="00B34B4E" w:rsidRPr="007B6028">
        <w:t>ska kunna anpassas till</w:t>
      </w:r>
      <w:r w:rsidR="00032380" w:rsidRPr="007B6028">
        <w:t xml:space="preserve"> gemenskapens normer, vilket också är ett av de främsta måle</w:t>
      </w:r>
      <w:r w:rsidR="0044407C" w:rsidRPr="007B6028">
        <w:t>n</w:t>
      </w:r>
      <w:r w:rsidR="00032380" w:rsidRPr="007B6028">
        <w:t xml:space="preserve"> med ett gemensamt luftrum</w:t>
      </w:r>
      <w:r w:rsidR="00535518" w:rsidRPr="007B6028">
        <w:t xml:space="preserve">. </w:t>
      </w:r>
      <w:r w:rsidR="00032380" w:rsidRPr="007B6028">
        <w:t>De tunisiska luftfartsmyndigheterna har</w:t>
      </w:r>
      <w:r w:rsidR="0044407C" w:rsidRPr="007B6028">
        <w:t>, på grundval av den europeiska modellen,</w:t>
      </w:r>
      <w:r w:rsidR="00032380" w:rsidRPr="007B6028">
        <w:t xml:space="preserve"> bland </w:t>
      </w:r>
      <w:r w:rsidR="0044407C" w:rsidRPr="007B6028">
        <w:t>annat inlett</w:t>
      </w:r>
      <w:r w:rsidR="00032380" w:rsidRPr="007B6028">
        <w:t xml:space="preserve"> en reform för att s</w:t>
      </w:r>
      <w:r w:rsidR="00522120" w:rsidRPr="007B6028">
        <w:t>kilj</w:t>
      </w:r>
      <w:r w:rsidR="00032380" w:rsidRPr="007B6028">
        <w:t>a övervakning och kontroll från driftsverksamheten</w:t>
      </w:r>
      <w:r w:rsidR="00535518" w:rsidRPr="007B6028">
        <w:t>.</w:t>
      </w:r>
      <w:r w:rsidR="00032380" w:rsidRPr="007B6028">
        <w:t xml:space="preserve"> </w:t>
      </w:r>
      <w:r w:rsidR="00535518" w:rsidRPr="007B6028">
        <w:t>De</w:t>
      </w:r>
      <w:r w:rsidR="00032380" w:rsidRPr="007B6028">
        <w:t>t har också konsta</w:t>
      </w:r>
      <w:r w:rsidR="00B34B4E" w:rsidRPr="007B6028">
        <w:t>terats att på områdena luftfart</w:t>
      </w:r>
      <w:r w:rsidR="00032380" w:rsidRPr="007B6028">
        <w:t>s</w:t>
      </w:r>
      <w:r w:rsidR="00EE4D3F" w:rsidRPr="007B6028">
        <w:t>säkerhet</w:t>
      </w:r>
      <w:r w:rsidR="00032380" w:rsidRPr="007B6028">
        <w:t xml:space="preserve"> och flygtrafiktjänster </w:t>
      </w:r>
      <w:r w:rsidR="00531262" w:rsidRPr="007B6028">
        <w:t>ligger</w:t>
      </w:r>
      <w:r w:rsidR="00032380" w:rsidRPr="007B6028">
        <w:t xml:space="preserve"> nivån nära de </w:t>
      </w:r>
      <w:r w:rsidR="00531262" w:rsidRPr="007B6028">
        <w:t xml:space="preserve">bästa </w:t>
      </w:r>
      <w:r w:rsidR="00032380" w:rsidRPr="007B6028">
        <w:t xml:space="preserve">europeiska nivåerna när det gäller </w:t>
      </w:r>
      <w:r w:rsidR="00EE4D3F" w:rsidRPr="007B6028">
        <w:t xml:space="preserve">lagstiftningens överensstämmelse med </w:t>
      </w:r>
      <w:r w:rsidR="00032380" w:rsidRPr="007B6028">
        <w:t>de normer och den praxis som</w:t>
      </w:r>
      <w:r w:rsidR="00B34B4E" w:rsidRPr="007B6028">
        <w:t xml:space="preserve"> Internationella civila luftfartsorganisationen </w:t>
      </w:r>
      <w:r w:rsidR="00032380" w:rsidRPr="007B6028">
        <w:t>rekommendera</w:t>
      </w:r>
      <w:r w:rsidR="00B34B4E" w:rsidRPr="007B6028">
        <w:t>r</w:t>
      </w:r>
      <w:r w:rsidR="00032380" w:rsidRPr="007B6028">
        <w:t xml:space="preserve"> </w:t>
      </w:r>
      <w:r w:rsidR="00255C23" w:rsidRPr="007B6028">
        <w:t xml:space="preserve">liksom </w:t>
      </w:r>
      <w:r w:rsidR="00EE4D3F" w:rsidRPr="007B6028">
        <w:t>med</w:t>
      </w:r>
      <w:r w:rsidR="00535518" w:rsidRPr="007B6028">
        <w:t xml:space="preserve"> </w:t>
      </w:r>
      <w:r w:rsidR="00032380" w:rsidRPr="007B6028">
        <w:t xml:space="preserve">EASA:s förordningar och </w:t>
      </w:r>
      <w:r w:rsidR="00A6165C" w:rsidRPr="007B6028">
        <w:t>Eurocontrols säkerhetskrav</w:t>
      </w:r>
      <w:r w:rsidR="00535518" w:rsidRPr="007B6028">
        <w:t xml:space="preserve">. </w:t>
      </w:r>
      <w:r w:rsidR="00320460" w:rsidRPr="007B6028">
        <w:t>A</w:t>
      </w:r>
      <w:r w:rsidR="00B34B4E" w:rsidRPr="007B6028">
        <w:t>npassning</w:t>
      </w:r>
      <w:r w:rsidR="00320460" w:rsidRPr="007B6028">
        <w:t>en</w:t>
      </w:r>
      <w:r w:rsidR="00B34B4E" w:rsidRPr="007B6028">
        <w:t xml:space="preserve"> av lagstiftningen till</w:t>
      </w:r>
      <w:r w:rsidR="00B96378" w:rsidRPr="007B6028">
        <w:t xml:space="preserve"> gemenskapens normer har </w:t>
      </w:r>
      <w:r w:rsidR="00F24AA5" w:rsidRPr="007B6028">
        <w:t>dessutom</w:t>
      </w:r>
      <w:r w:rsidR="00B96378" w:rsidRPr="007B6028">
        <w:t xml:space="preserve"> uppmuntrats och följts upp i projektet </w:t>
      </w:r>
      <w:r w:rsidR="00522120" w:rsidRPr="007B6028">
        <w:rPr>
          <w:color w:val="000000"/>
          <w:lang w:eastAsia="en-GB"/>
        </w:rPr>
        <w:t>Euromed Aviation</w:t>
      </w:r>
      <w:r w:rsidR="00EE4D3F" w:rsidRPr="007B6028">
        <w:rPr>
          <w:color w:val="000000"/>
          <w:lang w:eastAsia="en-GB"/>
        </w:rPr>
        <w:t>. P</w:t>
      </w:r>
      <w:r w:rsidR="00C00E35" w:rsidRPr="007B6028">
        <w:rPr>
          <w:color w:val="000000"/>
          <w:lang w:eastAsia="en-GB"/>
        </w:rPr>
        <w:t xml:space="preserve">rojektet </w:t>
      </w:r>
      <w:r w:rsidR="00EE4D3F" w:rsidRPr="007B6028">
        <w:rPr>
          <w:color w:val="000000"/>
          <w:lang w:eastAsia="en-GB"/>
        </w:rPr>
        <w:t xml:space="preserve">omfattar </w:t>
      </w:r>
      <w:r w:rsidR="00B96378" w:rsidRPr="007B6028">
        <w:rPr>
          <w:color w:val="000000"/>
          <w:lang w:eastAsia="en-GB"/>
        </w:rPr>
        <w:t xml:space="preserve">en plan för tekniskt bistånd </w:t>
      </w:r>
      <w:r w:rsidR="00522120" w:rsidRPr="007B6028">
        <w:rPr>
          <w:color w:val="000000"/>
          <w:lang w:eastAsia="en-GB"/>
        </w:rPr>
        <w:t>till</w:t>
      </w:r>
      <w:r w:rsidR="00B96378" w:rsidRPr="007B6028">
        <w:rPr>
          <w:color w:val="000000"/>
          <w:lang w:eastAsia="en-GB"/>
        </w:rPr>
        <w:t xml:space="preserve"> just T</w:t>
      </w:r>
      <w:r w:rsidR="00B34B4E" w:rsidRPr="007B6028">
        <w:rPr>
          <w:color w:val="000000"/>
          <w:lang w:eastAsia="en-GB"/>
        </w:rPr>
        <w:t>unisien som sk</w:t>
      </w:r>
      <w:r w:rsidR="00E40626" w:rsidRPr="007B6028">
        <w:rPr>
          <w:color w:val="000000"/>
          <w:lang w:eastAsia="en-GB"/>
        </w:rPr>
        <w:t>a</w:t>
      </w:r>
      <w:r w:rsidR="00B34B4E" w:rsidRPr="007B6028">
        <w:rPr>
          <w:color w:val="000000"/>
          <w:lang w:eastAsia="en-GB"/>
        </w:rPr>
        <w:t xml:space="preserve"> tillgodose</w:t>
      </w:r>
      <w:r w:rsidR="00B96378" w:rsidRPr="007B6028">
        <w:rPr>
          <w:color w:val="000000"/>
          <w:lang w:eastAsia="en-GB"/>
        </w:rPr>
        <w:t xml:space="preserve"> </w:t>
      </w:r>
      <w:r w:rsidR="00C00E35" w:rsidRPr="007B6028">
        <w:rPr>
          <w:color w:val="000000"/>
          <w:lang w:eastAsia="en-GB"/>
        </w:rPr>
        <w:t xml:space="preserve">landets </w:t>
      </w:r>
      <w:r w:rsidR="00B96378" w:rsidRPr="007B6028">
        <w:rPr>
          <w:color w:val="000000"/>
          <w:lang w:eastAsia="en-GB"/>
        </w:rPr>
        <w:t>behov.</w:t>
      </w:r>
    </w:p>
    <w:p w:rsidR="00535518" w:rsidRPr="007B6028" w:rsidRDefault="00D026F8" w:rsidP="00D026F8">
      <w:pPr>
        <w:pStyle w:val="ManualHeading1"/>
      </w:pPr>
      <w:r w:rsidRPr="007B6028">
        <w:t>3.</w:t>
      </w:r>
      <w:r w:rsidRPr="007B6028">
        <w:tab/>
      </w:r>
      <w:r w:rsidR="00320460" w:rsidRPr="007B6028">
        <w:t>FÖRDELAR MED OCH MERVÄRDE AV EN GEMENSKAPSSTRATEGI</w:t>
      </w:r>
    </w:p>
    <w:p w:rsidR="00535518" w:rsidRPr="007B6028" w:rsidRDefault="00D026F8" w:rsidP="00D026F8">
      <w:pPr>
        <w:pStyle w:val="ManualNumPar1"/>
      </w:pPr>
      <w:r w:rsidRPr="007B6028">
        <w:t>14.</w:t>
      </w:r>
      <w:r w:rsidRPr="007B6028">
        <w:tab/>
      </w:r>
      <w:r w:rsidR="00816B95" w:rsidRPr="007B6028">
        <w:t>Den civila luftfarten (inbegripet infrastruktur,</w:t>
      </w:r>
      <w:r w:rsidR="00C00E35" w:rsidRPr="007B6028">
        <w:t xml:space="preserve"> flygbolag</w:t>
      </w:r>
      <w:r w:rsidR="00816B95" w:rsidRPr="007B6028">
        <w:t xml:space="preserve"> och andra </w:t>
      </w:r>
      <w:r w:rsidR="00C00E35" w:rsidRPr="007B6028">
        <w:t>sektorer</w:t>
      </w:r>
      <w:r w:rsidR="00816B95" w:rsidRPr="007B6028">
        <w:t>) är en viktig del av EU:s ekonomi</w:t>
      </w:r>
      <w:r w:rsidR="00535518" w:rsidRPr="007B6028">
        <w:t xml:space="preserve">. </w:t>
      </w:r>
      <w:r w:rsidR="00816B95" w:rsidRPr="007B6028">
        <w:t>Flygbola</w:t>
      </w:r>
      <w:r w:rsidR="00D96FDB" w:rsidRPr="007B6028">
        <w:t>gen står själva för omkring 0,6 </w:t>
      </w:r>
      <w:r w:rsidR="00816B95" w:rsidRPr="007B6028">
        <w:t xml:space="preserve">% av EU:s </w:t>
      </w:r>
      <w:r w:rsidR="00D96FDB" w:rsidRPr="007B6028">
        <w:t>mer</w:t>
      </w:r>
      <w:r w:rsidR="00816B95" w:rsidRPr="007B6028">
        <w:t xml:space="preserve">värde och har mer än 400 000 anställda (0,4 % av det totala antalet anställda i </w:t>
      </w:r>
      <w:r w:rsidR="00E40626" w:rsidRPr="007B6028">
        <w:t>näringslivets</w:t>
      </w:r>
      <w:r w:rsidR="00816B95" w:rsidRPr="007B6028">
        <w:t xml:space="preserve"> icke-finansiella</w:t>
      </w:r>
      <w:r w:rsidR="00531262" w:rsidRPr="007B6028">
        <w:t xml:space="preserve"> sektorer</w:t>
      </w:r>
      <w:r w:rsidR="00816B95" w:rsidRPr="007B6028">
        <w:t>)</w:t>
      </w:r>
      <w:r w:rsidR="004E4990" w:rsidRPr="007B6028">
        <w:rPr>
          <w:rStyle w:val="Fotnotsreferens"/>
        </w:rPr>
        <w:footnoteReference w:id="4"/>
      </w:r>
      <w:r w:rsidR="00816B95" w:rsidRPr="007B6028">
        <w:t>, och hela luftfartssektorn sysselsätter omkring 3 miljoner människor i EU</w:t>
      </w:r>
      <w:r w:rsidR="00535518" w:rsidRPr="007B6028">
        <w:t xml:space="preserve">. </w:t>
      </w:r>
      <w:r w:rsidR="00C00E35" w:rsidRPr="007B6028">
        <w:t xml:space="preserve">Upprättandet av ett </w:t>
      </w:r>
      <w:r w:rsidR="00816B95" w:rsidRPr="007B6028">
        <w:t>gemensam</w:t>
      </w:r>
      <w:r w:rsidR="00C00E35" w:rsidRPr="007B6028">
        <w:t>t</w:t>
      </w:r>
      <w:r w:rsidR="00816B95" w:rsidRPr="007B6028">
        <w:t xml:space="preserve"> luftrum </w:t>
      </w:r>
      <w:r w:rsidR="00531262" w:rsidRPr="007B6028">
        <w:t xml:space="preserve">har </w:t>
      </w:r>
      <w:r w:rsidR="00C00E35" w:rsidRPr="007B6028">
        <w:t xml:space="preserve">sedan </w:t>
      </w:r>
      <w:r w:rsidR="00816B95" w:rsidRPr="007B6028">
        <w:t xml:space="preserve">början av 1990-talet </w:t>
      </w:r>
      <w:r w:rsidR="00D96FDB" w:rsidRPr="007B6028">
        <w:t xml:space="preserve">avsevärt </w:t>
      </w:r>
      <w:r w:rsidR="00816B95" w:rsidRPr="007B6028">
        <w:t>bidragit</w:t>
      </w:r>
      <w:r w:rsidR="00D96FDB" w:rsidRPr="007B6028">
        <w:t xml:space="preserve"> </w:t>
      </w:r>
      <w:r w:rsidR="00816B95" w:rsidRPr="007B6028">
        <w:t>till att öka sektorns dynamik och effektivitet, och har medfört stora ekonomiska och sociala fördelar. Mellan 1992 och 2003 ökade antalet f</w:t>
      </w:r>
      <w:r w:rsidR="00D96FDB" w:rsidRPr="007B6028">
        <w:t>lygsträckor inom EU med över 40 </w:t>
      </w:r>
      <w:r w:rsidR="00816B95" w:rsidRPr="007B6028">
        <w:t xml:space="preserve">%. Gemenskapens största flygbolag har </w:t>
      </w:r>
      <w:r w:rsidR="00D96FDB" w:rsidRPr="007B6028">
        <w:t>haft en produktionsökning på 87 </w:t>
      </w:r>
      <w:r w:rsidR="00816B95" w:rsidRPr="007B6028">
        <w:t>% mellan 1990 och 200</w:t>
      </w:r>
      <w:r w:rsidR="00C00E35" w:rsidRPr="007B6028">
        <w:t>3</w:t>
      </w:r>
      <w:r w:rsidR="00535518" w:rsidRPr="007B6028">
        <w:rPr>
          <w:rStyle w:val="Fotnotsreferens"/>
        </w:rPr>
        <w:footnoteReference w:id="5"/>
      </w:r>
      <w:r w:rsidR="00535518" w:rsidRPr="007B6028">
        <w:t xml:space="preserve">. </w:t>
      </w:r>
      <w:r w:rsidR="00D96FDB" w:rsidRPr="007B6028">
        <w:t>Tunisien</w:t>
      </w:r>
      <w:r w:rsidR="008B1EDD" w:rsidRPr="007B6028">
        <w:t>s</w:t>
      </w:r>
      <w:r w:rsidR="00D96FDB" w:rsidRPr="007B6028">
        <w:t xml:space="preserve"> </w:t>
      </w:r>
      <w:r w:rsidR="00816B95" w:rsidRPr="007B6028">
        <w:t>successiva integration med gemens</w:t>
      </w:r>
      <w:r w:rsidR="00531262" w:rsidRPr="007B6028">
        <w:t xml:space="preserve">kapens </w:t>
      </w:r>
      <w:r w:rsidR="00816B95" w:rsidRPr="007B6028">
        <w:t xml:space="preserve">luftfartsmarknad </w:t>
      </w:r>
      <w:r w:rsidR="008B1EDD" w:rsidRPr="007B6028">
        <w:t>kommer därför endast att bli till fördel för landet</w:t>
      </w:r>
      <w:r w:rsidR="00531262" w:rsidRPr="007B6028">
        <w:t>,</w:t>
      </w:r>
      <w:r w:rsidR="008B1EDD" w:rsidRPr="007B6028">
        <w:t xml:space="preserve"> som kommer att</w:t>
      </w:r>
      <w:r w:rsidR="00531262" w:rsidRPr="007B6028">
        <w:t xml:space="preserve"> kunna</w:t>
      </w:r>
      <w:r w:rsidR="008B1EDD" w:rsidRPr="007B6028">
        <w:t xml:space="preserve"> dra nytta </w:t>
      </w:r>
      <w:r w:rsidR="00816B95" w:rsidRPr="007B6028">
        <w:t>av EU:s erfarenheter på detta område. Utvidgningen av denna gemensamma marknad på grundval av en liberalisering av trafikrättigheter</w:t>
      </w:r>
      <w:r w:rsidR="00D96FDB" w:rsidRPr="007B6028">
        <w:t>,</w:t>
      </w:r>
      <w:r w:rsidR="00816B95" w:rsidRPr="007B6028">
        <w:t xml:space="preserve"> tillsammans med</w:t>
      </w:r>
      <w:r w:rsidR="00D96FDB" w:rsidRPr="007B6028">
        <w:t xml:space="preserve"> en</w:t>
      </w:r>
      <w:r w:rsidR="00816B95" w:rsidRPr="007B6028">
        <w:t xml:space="preserve"> harmonisering av lagstiftningen, kommer också att skapa mervärde för den europeiska industrin och dess användare</w:t>
      </w:r>
      <w:r w:rsidR="00535518" w:rsidRPr="007B6028">
        <w:t xml:space="preserve">. </w:t>
      </w:r>
    </w:p>
    <w:p w:rsidR="00535518" w:rsidRPr="007B6028" w:rsidRDefault="00B2175A" w:rsidP="00D026F8">
      <w:pPr>
        <w:pStyle w:val="ManualNumPar1"/>
      </w:pPr>
      <w:r w:rsidRPr="007B6028">
        <w:t>15.</w:t>
      </w:r>
      <w:r w:rsidRPr="007B6028">
        <w:tab/>
      </w:r>
      <w:r w:rsidR="008B1EDD" w:rsidRPr="007B6028">
        <w:t>Hittills har de flesta m</w:t>
      </w:r>
      <w:r w:rsidR="00637D87" w:rsidRPr="007B6028">
        <w:t xml:space="preserve">edlemsstaterna </w:t>
      </w:r>
      <w:r w:rsidRPr="007B6028">
        <w:t>förhandlat fram</w:t>
      </w:r>
      <w:r w:rsidR="00637D87" w:rsidRPr="007B6028">
        <w:t xml:space="preserve"> restriktiva luftfartsavtal med Tunisien </w:t>
      </w:r>
      <w:r w:rsidR="0044407C" w:rsidRPr="007B6028">
        <w:t xml:space="preserve">som reglerar </w:t>
      </w:r>
      <w:r w:rsidR="00637D87" w:rsidRPr="007B6028">
        <w:t>öppnande</w:t>
      </w:r>
      <w:r w:rsidR="0044407C" w:rsidRPr="007B6028">
        <w:t>t</w:t>
      </w:r>
      <w:r w:rsidRPr="007B6028">
        <w:t xml:space="preserve"> av marknade</w:t>
      </w:r>
      <w:r w:rsidR="00C00E35" w:rsidRPr="007B6028">
        <w:t>r</w:t>
      </w:r>
      <w:r w:rsidRPr="007B6028">
        <w:t>n</w:t>
      </w:r>
      <w:r w:rsidR="00C00E35" w:rsidRPr="007B6028">
        <w:t>a</w:t>
      </w:r>
      <w:r w:rsidR="0044407C" w:rsidRPr="007B6028">
        <w:t xml:space="preserve"> och </w:t>
      </w:r>
      <w:r w:rsidR="00637D87" w:rsidRPr="007B6028">
        <w:t xml:space="preserve">begränsar möjligheterna för </w:t>
      </w:r>
      <w:r w:rsidRPr="007B6028">
        <w:t>flygbolag</w:t>
      </w:r>
      <w:r w:rsidR="00637D87" w:rsidRPr="007B6028">
        <w:t xml:space="preserve"> och passagerare. Det finns mekanismer för fastställande av </w:t>
      </w:r>
      <w:r w:rsidRPr="007B6028">
        <w:t xml:space="preserve">flygbolagens kapacitet, och bolagen </w:t>
      </w:r>
      <w:r w:rsidR="00637D87" w:rsidRPr="007B6028">
        <w:t xml:space="preserve">kan inte alltid fritt fastställa sina </w:t>
      </w:r>
      <w:r w:rsidR="007E59F0" w:rsidRPr="007B6028">
        <w:t>priser</w:t>
      </w:r>
      <w:r w:rsidR="00637D87" w:rsidRPr="007B6028">
        <w:t>. De</w:t>
      </w:r>
      <w:r w:rsidR="00D96FDB" w:rsidRPr="007B6028">
        <w:t xml:space="preserve"> här </w:t>
      </w:r>
      <w:r w:rsidR="00637D87" w:rsidRPr="007B6028">
        <w:t>bilaterala avtal</w:t>
      </w:r>
      <w:r w:rsidR="00D96FDB" w:rsidRPr="007B6028">
        <w:t>en</w:t>
      </w:r>
      <w:r w:rsidR="00637D87" w:rsidRPr="007B6028">
        <w:t xml:space="preserve"> tillåter inte att </w:t>
      </w:r>
      <w:r w:rsidRPr="007B6028">
        <w:t>flygbolag</w:t>
      </w:r>
      <w:r w:rsidR="00637D87" w:rsidRPr="007B6028">
        <w:t xml:space="preserve"> från gemenskapen </w:t>
      </w:r>
      <w:r w:rsidRPr="007B6028">
        <w:t>trafikerar alla flygplatser i Tunisien från</w:t>
      </w:r>
      <w:r w:rsidR="00637D87" w:rsidRPr="007B6028">
        <w:t xml:space="preserve"> alla europeiska flygplatser. </w:t>
      </w:r>
      <w:r w:rsidR="008B1EDD" w:rsidRPr="007B6028">
        <w:t>Gällande bilaterala luftfartsavtal</w:t>
      </w:r>
      <w:r w:rsidR="00637D87" w:rsidRPr="007B6028">
        <w:t xml:space="preserve"> mellan EU:s medlemsstater och Tunisien snedvrider därför traf</w:t>
      </w:r>
      <w:r w:rsidR="00F24AA5" w:rsidRPr="007B6028">
        <w:t>i</w:t>
      </w:r>
      <w:r w:rsidR="00637D87" w:rsidRPr="007B6028">
        <w:t xml:space="preserve">kmönstret och kan missgynna vissa </w:t>
      </w:r>
      <w:r w:rsidRPr="007B6028">
        <w:t>flygbolag från gemenskapen</w:t>
      </w:r>
      <w:r w:rsidR="00637D87" w:rsidRPr="007B6028">
        <w:t xml:space="preserve"> liksom konsumenter i EU:s medlemsstater.</w:t>
      </w:r>
    </w:p>
    <w:p w:rsidR="00535518" w:rsidRPr="007B6028" w:rsidRDefault="00D026F8" w:rsidP="00D026F8">
      <w:pPr>
        <w:pStyle w:val="ManualNumPar1"/>
      </w:pPr>
      <w:r w:rsidRPr="007B6028">
        <w:t>16.</w:t>
      </w:r>
      <w:r w:rsidRPr="007B6028">
        <w:tab/>
      </w:r>
      <w:r w:rsidR="00771C7A" w:rsidRPr="007B6028">
        <w:t xml:space="preserve">Ett övergripande avtal med Europeiska gemenskapen skulle </w:t>
      </w:r>
      <w:r w:rsidR="00D96FDB" w:rsidRPr="007B6028">
        <w:t>förbättra</w:t>
      </w:r>
      <w:r w:rsidR="00771C7A" w:rsidRPr="007B6028">
        <w:t xml:space="preserve"> situationen</w:t>
      </w:r>
      <w:r w:rsidR="00B2175A" w:rsidRPr="007B6028">
        <w:t>,</w:t>
      </w:r>
      <w:r w:rsidR="00771C7A" w:rsidRPr="007B6028">
        <w:t xml:space="preserve"> och den resulterande ökningen av antalet direktförbindelser mellan EU och Tunisien</w:t>
      </w:r>
      <w:r w:rsidR="004E4990" w:rsidRPr="007B6028">
        <w:rPr>
          <w:rStyle w:val="Fotnotsreferens"/>
        </w:rPr>
        <w:footnoteReference w:id="6"/>
      </w:r>
      <w:r w:rsidR="00771C7A" w:rsidRPr="007B6028">
        <w:t xml:space="preserve"> sku</w:t>
      </w:r>
      <w:r w:rsidR="00D96FDB" w:rsidRPr="007B6028">
        <w:t>lle öka både handels- och turist</w:t>
      </w:r>
      <w:r w:rsidR="00771C7A" w:rsidRPr="007B6028">
        <w:t xml:space="preserve">strömmarna betydligt. Om man </w:t>
      </w:r>
      <w:r w:rsidR="0044407C" w:rsidRPr="007B6028">
        <w:t xml:space="preserve">gör en extrapolering av exemplet </w:t>
      </w:r>
      <w:r w:rsidR="00771C7A" w:rsidRPr="007B6028">
        <w:t xml:space="preserve">Marocko och den inre europeiska marknaden kan en </w:t>
      </w:r>
      <w:r w:rsidR="00C00E35" w:rsidRPr="007B6028">
        <w:t>trafik</w:t>
      </w:r>
      <w:r w:rsidR="00771C7A" w:rsidRPr="007B6028">
        <w:t xml:space="preserve">ökning på </w:t>
      </w:r>
      <w:r w:rsidR="00C00E35" w:rsidRPr="007B6028">
        <w:t xml:space="preserve">omkring </w:t>
      </w:r>
      <w:r w:rsidR="00771C7A" w:rsidRPr="007B6028">
        <w:t>15–20 %</w:t>
      </w:r>
      <w:r w:rsidR="0044407C" w:rsidRPr="007B6028">
        <w:t xml:space="preserve"> per år</w:t>
      </w:r>
      <w:r w:rsidR="00771C7A" w:rsidRPr="007B6028">
        <w:t xml:space="preserve"> väntas under de </w:t>
      </w:r>
      <w:r w:rsidR="00F24AA5" w:rsidRPr="007B6028">
        <w:t>första</w:t>
      </w:r>
      <w:r w:rsidR="00771C7A" w:rsidRPr="007B6028">
        <w:t xml:space="preserve"> åren efter avtalets genomförande, och </w:t>
      </w:r>
      <w:r w:rsidR="00C00E35" w:rsidRPr="007B6028">
        <w:t>detta skulle motsvara en ökning med</w:t>
      </w:r>
      <w:r w:rsidR="00771C7A" w:rsidRPr="007B6028">
        <w:t xml:space="preserve"> omkring 1,5 miljoner passagerare. Dessa prognoser</w:t>
      </w:r>
      <w:r w:rsidR="00B2175A" w:rsidRPr="007B6028">
        <w:t>,</w:t>
      </w:r>
      <w:r w:rsidR="00771C7A" w:rsidRPr="007B6028">
        <w:t xml:space="preserve"> som förutsätter </w:t>
      </w:r>
      <w:r w:rsidR="00B2175A" w:rsidRPr="007B6028">
        <w:t xml:space="preserve">att </w:t>
      </w:r>
      <w:r w:rsidR="00771C7A" w:rsidRPr="007B6028">
        <w:t xml:space="preserve">rådande </w:t>
      </w:r>
      <w:r w:rsidR="00C00E35" w:rsidRPr="007B6028">
        <w:t>politi</w:t>
      </w:r>
      <w:r w:rsidR="00531262" w:rsidRPr="007B6028">
        <w:t>s</w:t>
      </w:r>
      <w:r w:rsidR="00C00E35" w:rsidRPr="007B6028">
        <w:t>k</w:t>
      </w:r>
      <w:r w:rsidR="00531262" w:rsidRPr="007B6028">
        <w:t>a</w:t>
      </w:r>
      <w:r w:rsidR="00C00E35" w:rsidRPr="007B6028">
        <w:t xml:space="preserve"> och </w:t>
      </w:r>
      <w:r w:rsidR="00771C7A" w:rsidRPr="007B6028">
        <w:t xml:space="preserve">makroekonomiska villkor </w:t>
      </w:r>
      <w:r w:rsidR="00C00E35" w:rsidRPr="007B6028">
        <w:t xml:space="preserve">inte ändras, kommer </w:t>
      </w:r>
      <w:r w:rsidR="00771C7A" w:rsidRPr="007B6028">
        <w:t>utan t</w:t>
      </w:r>
      <w:r w:rsidR="00B2175A" w:rsidRPr="007B6028">
        <w:t>vivel att behöva justeras uppåt</w:t>
      </w:r>
      <w:r w:rsidR="00771C7A" w:rsidRPr="007B6028">
        <w:t xml:space="preserve"> med tanke på den tunisiska marknaden</w:t>
      </w:r>
      <w:r w:rsidR="0044407C" w:rsidRPr="007B6028">
        <w:t>s</w:t>
      </w:r>
      <w:r w:rsidR="00771C7A" w:rsidRPr="007B6028">
        <w:t xml:space="preserve"> mycket kraftiga tillväxtpotential. </w:t>
      </w:r>
    </w:p>
    <w:p w:rsidR="00535518" w:rsidRPr="007B6028" w:rsidRDefault="00D026F8" w:rsidP="00D026F8">
      <w:pPr>
        <w:pStyle w:val="ManualNumPar1"/>
      </w:pPr>
      <w:r w:rsidRPr="007B6028">
        <w:t>17.</w:t>
      </w:r>
      <w:r w:rsidRPr="007B6028">
        <w:tab/>
      </w:r>
      <w:r w:rsidR="00D96FDB" w:rsidRPr="007B6028">
        <w:t>E</w:t>
      </w:r>
      <w:r w:rsidR="00BF1CE6" w:rsidRPr="007B6028">
        <w:t xml:space="preserve">n stor del av de ekonomiska fördelarna </w:t>
      </w:r>
      <w:r w:rsidR="00D96FDB" w:rsidRPr="007B6028">
        <w:t xml:space="preserve">väntas </w:t>
      </w:r>
      <w:r w:rsidR="00BF1CE6" w:rsidRPr="007B6028">
        <w:t>komma den europeiska flyg</w:t>
      </w:r>
      <w:r w:rsidR="00F24AA5" w:rsidRPr="007B6028">
        <w:t>in</w:t>
      </w:r>
      <w:r w:rsidR="00BF1CE6" w:rsidRPr="007B6028">
        <w:t>dustrin och den europeiska ekonomin i allmänhet</w:t>
      </w:r>
      <w:r w:rsidR="0044407C" w:rsidRPr="007B6028">
        <w:t xml:space="preserve"> till del</w:t>
      </w:r>
      <w:r w:rsidR="00BF1CE6" w:rsidRPr="007B6028">
        <w:t xml:space="preserve">. Det skulle också bli </w:t>
      </w:r>
      <w:r w:rsidR="0044407C" w:rsidRPr="007B6028">
        <w:t xml:space="preserve">lättare </w:t>
      </w:r>
      <w:r w:rsidR="00BF1CE6" w:rsidRPr="007B6028">
        <w:t xml:space="preserve">för tunisiska </w:t>
      </w:r>
      <w:r w:rsidR="00B2175A" w:rsidRPr="007B6028">
        <w:t>flygbolag</w:t>
      </w:r>
      <w:r w:rsidR="00D96FDB" w:rsidRPr="007B6028">
        <w:t xml:space="preserve"> att delta</w:t>
      </w:r>
      <w:r w:rsidR="00BF1CE6" w:rsidRPr="007B6028">
        <w:t xml:space="preserve"> i </w:t>
      </w:r>
      <w:r w:rsidR="00C00E35" w:rsidRPr="007B6028">
        <w:t xml:space="preserve">befintliga </w:t>
      </w:r>
      <w:r w:rsidR="00BF1CE6" w:rsidRPr="007B6028">
        <w:t xml:space="preserve">kommersiella allianser med </w:t>
      </w:r>
      <w:r w:rsidR="00B2175A" w:rsidRPr="007B6028">
        <w:t>flygbolag</w:t>
      </w:r>
      <w:r w:rsidR="00BF1CE6" w:rsidRPr="007B6028">
        <w:t xml:space="preserve"> från gemenskapen och således skulle integrerade produkter och bättre passagerartjänster kunna utvecklas.</w:t>
      </w:r>
    </w:p>
    <w:p w:rsidR="00535518" w:rsidRPr="007B6028" w:rsidRDefault="00D026F8" w:rsidP="00D026F8">
      <w:pPr>
        <w:pStyle w:val="ManualNumPar1"/>
      </w:pPr>
      <w:r w:rsidRPr="007B6028">
        <w:t>18.</w:t>
      </w:r>
      <w:r w:rsidRPr="007B6028">
        <w:tab/>
      </w:r>
      <w:r w:rsidR="00AC38F9" w:rsidRPr="007B6028">
        <w:t>Ö</w:t>
      </w:r>
      <w:r w:rsidR="00B2175A" w:rsidRPr="007B6028">
        <w:t>ppnande</w:t>
      </w:r>
      <w:r w:rsidR="00AC38F9" w:rsidRPr="007B6028">
        <w:t>t</w:t>
      </w:r>
      <w:r w:rsidR="00B2175A" w:rsidRPr="007B6028">
        <w:t xml:space="preserve"> </w:t>
      </w:r>
      <w:r w:rsidR="00BF1CE6" w:rsidRPr="007B6028">
        <w:t xml:space="preserve">av luftfartsmarknaderna måste åtföljas av en </w:t>
      </w:r>
      <w:r w:rsidR="008B1EDD" w:rsidRPr="007B6028">
        <w:t>till</w:t>
      </w:r>
      <w:r w:rsidR="00531262" w:rsidRPr="007B6028">
        <w:t>n</w:t>
      </w:r>
      <w:r w:rsidR="008B1EDD" w:rsidRPr="007B6028">
        <w:t>ärmning av</w:t>
      </w:r>
      <w:r w:rsidR="00BF1CE6" w:rsidRPr="007B6028">
        <w:t xml:space="preserve"> lagstiftningen på centrala områden</w:t>
      </w:r>
      <w:r w:rsidR="00AC38F9" w:rsidRPr="007B6028">
        <w:t>,</w:t>
      </w:r>
      <w:r w:rsidR="00BF1CE6" w:rsidRPr="007B6028">
        <w:t xml:space="preserve"> såsom </w:t>
      </w:r>
      <w:r w:rsidR="00AC38F9" w:rsidRPr="007B6028">
        <w:t xml:space="preserve">skydd, </w:t>
      </w:r>
      <w:r w:rsidR="00BF1CE6" w:rsidRPr="007B6028">
        <w:t xml:space="preserve">säkerhet, miljö och bestämmelser om statligt stöd, som </w:t>
      </w:r>
      <w:r w:rsidR="0044407C" w:rsidRPr="007B6028">
        <w:t xml:space="preserve">kan </w:t>
      </w:r>
      <w:r w:rsidR="00BF1CE6" w:rsidRPr="007B6028">
        <w:t>garantera rättvisa konkurrensvillkor med målet att tillämpa höga luftfartsstandarder på bägge sidor av Medelhavet. När det gäller miljöfrågor måste avtalet stämma överens med gemenskapens åtagande att främj</w:t>
      </w:r>
      <w:r w:rsidR="00AC38F9" w:rsidRPr="007B6028">
        <w:t>a luftfartens</w:t>
      </w:r>
      <w:r w:rsidR="003D4998" w:rsidRPr="007B6028">
        <w:t xml:space="preserve"> hållbara utveckling. </w:t>
      </w:r>
      <w:r w:rsidR="00B2175A" w:rsidRPr="007B6028">
        <w:t>Avtalet får därför inte</w:t>
      </w:r>
      <w:r w:rsidR="003D4998" w:rsidRPr="007B6028">
        <w:t xml:space="preserve"> begränsa EU:s </w:t>
      </w:r>
      <w:r w:rsidR="00B2175A" w:rsidRPr="007B6028">
        <w:t xml:space="preserve">möjligheter </w:t>
      </w:r>
      <w:r w:rsidR="003D4998" w:rsidRPr="007B6028">
        <w:t xml:space="preserve">att tillämpa lagstiftning eller ekonomiska styrmedel för att mildra oönskade sekundära effekter av flygtrafikens ökning, framför allt när det </w:t>
      </w:r>
      <w:r w:rsidR="00C00E35" w:rsidRPr="007B6028">
        <w:t xml:space="preserve">gäller </w:t>
      </w:r>
      <w:r w:rsidR="0095339B" w:rsidRPr="007B6028">
        <w:t>dess bidrag till klimatförändringen, luftkvalitet</w:t>
      </w:r>
      <w:r w:rsidR="00F24AA5" w:rsidRPr="007B6028">
        <w:t>s</w:t>
      </w:r>
      <w:r w:rsidR="0095339B" w:rsidRPr="007B6028">
        <w:t xml:space="preserve">försämring och buller i områden runt flygplatser. Det är endast på gemenskapsnivå som processen för att anpassa den tunisiska lagstiftningen till </w:t>
      </w:r>
      <w:r w:rsidR="008B1EDD" w:rsidRPr="007B6028">
        <w:t>gällande EU-lagstiftning</w:t>
      </w:r>
      <w:r w:rsidR="00C00E35" w:rsidRPr="007B6028">
        <w:t xml:space="preserve"> </w:t>
      </w:r>
      <w:r w:rsidR="00B2175A" w:rsidRPr="007B6028">
        <w:t>kan ske</w:t>
      </w:r>
      <w:r w:rsidR="0095339B" w:rsidRPr="007B6028">
        <w:t xml:space="preserve">. </w:t>
      </w:r>
      <w:r w:rsidR="0095339B" w:rsidRPr="007B6028">
        <w:rPr>
          <w:color w:val="000000"/>
        </w:rPr>
        <w:t>Det måste ut</w:t>
      </w:r>
      <w:r w:rsidR="0044407C" w:rsidRPr="007B6028">
        <w:rPr>
          <w:color w:val="000000"/>
        </w:rPr>
        <w:t>fä</w:t>
      </w:r>
      <w:r w:rsidR="00B2175A" w:rsidRPr="007B6028">
        <w:rPr>
          <w:color w:val="000000"/>
        </w:rPr>
        <w:t>rdas ett förhandlingsmandat fö</w:t>
      </w:r>
      <w:r w:rsidR="0095339B" w:rsidRPr="007B6028">
        <w:rPr>
          <w:color w:val="000000"/>
        </w:rPr>
        <w:t>r Europeiska kommissionen</w:t>
      </w:r>
      <w:r w:rsidR="00AC38F9" w:rsidRPr="007B6028">
        <w:rPr>
          <w:color w:val="000000"/>
        </w:rPr>
        <w:t>,</w:t>
      </w:r>
      <w:r w:rsidR="0095339B" w:rsidRPr="007B6028">
        <w:rPr>
          <w:color w:val="000000"/>
        </w:rPr>
        <w:t xml:space="preserve"> så att den kan förhandla om ett övergripande luftfartsavtal med Tunisien, med det </w:t>
      </w:r>
      <w:r w:rsidR="00F24AA5" w:rsidRPr="007B6028">
        <w:rPr>
          <w:color w:val="000000"/>
        </w:rPr>
        <w:t>slutgiltiga</w:t>
      </w:r>
      <w:r w:rsidR="0095339B" w:rsidRPr="007B6028">
        <w:rPr>
          <w:color w:val="000000"/>
        </w:rPr>
        <w:t xml:space="preserve"> målet att Tunisiens luftfartsmarknad</w:t>
      </w:r>
      <w:r w:rsidR="00C00E35" w:rsidRPr="007B6028">
        <w:rPr>
          <w:color w:val="000000"/>
        </w:rPr>
        <w:t xml:space="preserve"> helt</w:t>
      </w:r>
      <w:r w:rsidR="0095339B" w:rsidRPr="007B6028">
        <w:rPr>
          <w:color w:val="000000"/>
        </w:rPr>
        <w:t xml:space="preserve"> integreras i ett gemensamt luftrum med EU.</w:t>
      </w:r>
    </w:p>
    <w:p w:rsidR="00535518" w:rsidRPr="007B6028" w:rsidRDefault="00D026F8" w:rsidP="00D026F8">
      <w:pPr>
        <w:pStyle w:val="ManualNumPar1"/>
      </w:pPr>
      <w:r w:rsidRPr="007B6028">
        <w:t>19.</w:t>
      </w:r>
      <w:r w:rsidRPr="007B6028">
        <w:tab/>
      </w:r>
      <w:r w:rsidR="001726DF" w:rsidRPr="007B6028">
        <w:t>Up</w:t>
      </w:r>
      <w:r w:rsidR="00B2175A" w:rsidRPr="007B6028">
        <w:t>p</w:t>
      </w:r>
      <w:r w:rsidR="001726DF" w:rsidRPr="007B6028">
        <w:t xml:space="preserve">rättandet av ett gemensamt luftrum med Tunisien kommer också att möjliggöra en </w:t>
      </w:r>
      <w:r w:rsidR="008B1EDD" w:rsidRPr="007B6028">
        <w:t xml:space="preserve">dynamisk </w:t>
      </w:r>
      <w:r w:rsidR="001726DF" w:rsidRPr="007B6028">
        <w:t xml:space="preserve">regional integration </w:t>
      </w:r>
      <w:r w:rsidR="00FD0546" w:rsidRPr="007B6028">
        <w:t>som inte bara omfattar</w:t>
      </w:r>
      <w:r w:rsidR="00AC38F9" w:rsidRPr="007B6028">
        <w:t xml:space="preserve"> </w:t>
      </w:r>
      <w:r w:rsidR="00C00E35" w:rsidRPr="007B6028">
        <w:t>flygförbindelser</w:t>
      </w:r>
      <w:r w:rsidR="00FD0546" w:rsidRPr="007B6028">
        <w:t>na</w:t>
      </w:r>
      <w:r w:rsidR="001726DF" w:rsidRPr="007B6028">
        <w:t xml:space="preserve"> med EU,</w:t>
      </w:r>
      <w:r w:rsidR="00255C23" w:rsidRPr="007B6028">
        <w:t xml:space="preserve"> </w:t>
      </w:r>
      <w:r w:rsidR="001726DF" w:rsidRPr="007B6028">
        <w:t xml:space="preserve">utan även </w:t>
      </w:r>
      <w:r w:rsidR="00C00E35" w:rsidRPr="007B6028">
        <w:t>flygtrafik</w:t>
      </w:r>
      <w:r w:rsidR="00FD0546" w:rsidRPr="007B6028">
        <w:t>en</w:t>
      </w:r>
      <w:r w:rsidR="001726DF" w:rsidRPr="007B6028">
        <w:t xml:space="preserve"> mellan länderna söder om Medelhavet. Det</w:t>
      </w:r>
      <w:r w:rsidR="00AC38F9" w:rsidRPr="007B6028">
        <w:t xml:space="preserve"> här målet </w:t>
      </w:r>
      <w:r w:rsidR="001726DF" w:rsidRPr="007B6028">
        <w:t xml:space="preserve">har </w:t>
      </w:r>
      <w:r w:rsidR="00AC38F9" w:rsidRPr="007B6028">
        <w:t xml:space="preserve">gjort </w:t>
      </w:r>
      <w:r w:rsidR="00EF63C9" w:rsidRPr="007B6028">
        <w:t xml:space="preserve">att Europeiska gemenskapen i </w:t>
      </w:r>
      <w:r w:rsidR="00296F42" w:rsidRPr="007B6028">
        <w:t xml:space="preserve">luftfartsavtalet med Marocko fört in </w:t>
      </w:r>
      <w:r w:rsidR="0044407C" w:rsidRPr="007B6028">
        <w:t xml:space="preserve">en </w:t>
      </w:r>
      <w:r w:rsidR="00296F42" w:rsidRPr="007B6028">
        <w:t xml:space="preserve">bestämmelse om geografisk utvidgning som </w:t>
      </w:r>
      <w:r w:rsidR="0082465A" w:rsidRPr="007B6028">
        <w:t>gör det möjligt för</w:t>
      </w:r>
      <w:r w:rsidR="00296F42" w:rsidRPr="007B6028">
        <w:t xml:space="preserve"> t.ex. Tunisien </w:t>
      </w:r>
      <w:r w:rsidR="0082465A" w:rsidRPr="007B6028">
        <w:t>a</w:t>
      </w:r>
      <w:r w:rsidR="00296F42" w:rsidRPr="007B6028">
        <w:t xml:space="preserve">tt ingå </w:t>
      </w:r>
      <w:r w:rsidR="00C00E35" w:rsidRPr="007B6028">
        <w:t>i d</w:t>
      </w:r>
      <w:r w:rsidR="00296F42" w:rsidRPr="007B6028">
        <w:t>et</w:t>
      </w:r>
      <w:r w:rsidR="00C00E35" w:rsidRPr="007B6028">
        <w:t xml:space="preserve"> gemensamma</w:t>
      </w:r>
      <w:r w:rsidR="00296F42" w:rsidRPr="007B6028">
        <w:t xml:space="preserve"> luftrum</w:t>
      </w:r>
      <w:r w:rsidR="00C00E35" w:rsidRPr="007B6028">
        <w:t>met</w:t>
      </w:r>
      <w:r w:rsidR="00296F42" w:rsidRPr="007B6028">
        <w:t>. Liberaliseringen av flygförbindelserna mellan EU och Marocko å ena sidan och EU och Tunisien å andra sidan, skulle kunna leda till e</w:t>
      </w:r>
      <w:r w:rsidR="0082465A" w:rsidRPr="007B6028">
        <w:t>tt</w:t>
      </w:r>
      <w:r w:rsidR="00296F42" w:rsidRPr="007B6028">
        <w:t xml:space="preserve"> öppn</w:t>
      </w:r>
      <w:r w:rsidR="0082465A" w:rsidRPr="007B6028">
        <w:t>ande</w:t>
      </w:r>
      <w:r w:rsidR="00296F42" w:rsidRPr="007B6028">
        <w:t xml:space="preserve"> av luftfartsmarknaderna mellan </w:t>
      </w:r>
      <w:r w:rsidR="00F24AA5" w:rsidRPr="007B6028">
        <w:t>Tunisien</w:t>
      </w:r>
      <w:r w:rsidR="00296F42" w:rsidRPr="007B6028">
        <w:t xml:space="preserve"> och Marock</w:t>
      </w:r>
      <w:r w:rsidR="00B4741A" w:rsidRPr="007B6028">
        <w:t>o. Även om det underliggande målet är detsamma och de</w:t>
      </w:r>
      <w:r w:rsidR="008B1EDD" w:rsidRPr="007B6028">
        <w:t>t finns en växelverkan mellan de</w:t>
      </w:r>
      <w:r w:rsidR="0082465A" w:rsidRPr="007B6028">
        <w:t xml:space="preserve"> bägge länderna</w:t>
      </w:r>
      <w:r w:rsidR="00B4741A" w:rsidRPr="007B6028">
        <w:t xml:space="preserve">, verkar det i detta skede vara önskvärt att förhandla om dessa luftfartsavtal separat med vart och ett av länderna söder om Medelhavet, framför allt för att </w:t>
      </w:r>
      <w:r w:rsidR="00FD0546" w:rsidRPr="007B6028">
        <w:t>inte undergräva</w:t>
      </w:r>
      <w:r w:rsidR="00E919A5" w:rsidRPr="007B6028">
        <w:t xml:space="preserve"> </w:t>
      </w:r>
      <w:r w:rsidR="0044407C" w:rsidRPr="007B6028">
        <w:t>d</w:t>
      </w:r>
      <w:r w:rsidR="0082465A" w:rsidRPr="007B6028">
        <w:t>en</w:t>
      </w:r>
      <w:r w:rsidR="00B4741A" w:rsidRPr="007B6028">
        <w:t xml:space="preserve"> europeiska grannskapspolitiken och för att tillgodose dessa länders önskan om </w:t>
      </w:r>
      <w:r w:rsidR="00F24AA5" w:rsidRPr="007B6028">
        <w:t>privilegierade</w:t>
      </w:r>
      <w:r w:rsidR="00B4741A" w:rsidRPr="007B6028">
        <w:t xml:space="preserve"> bilaterala </w:t>
      </w:r>
      <w:r w:rsidR="0044407C" w:rsidRPr="007B6028">
        <w:t>förbindelser</w:t>
      </w:r>
      <w:r w:rsidR="00B4741A" w:rsidRPr="007B6028">
        <w:t xml:space="preserve"> med EU</w:t>
      </w:r>
      <w:r w:rsidR="00AC38F9" w:rsidRPr="007B6028">
        <w:t xml:space="preserve">. Detta möjliggör </w:t>
      </w:r>
      <w:r w:rsidR="00B4741A" w:rsidRPr="007B6028">
        <w:t xml:space="preserve">också större flexibilitet och </w:t>
      </w:r>
      <w:r w:rsidR="00F24AA5" w:rsidRPr="007B6028">
        <w:t>differentierade</w:t>
      </w:r>
      <w:r w:rsidR="00B4741A" w:rsidRPr="007B6028">
        <w:t xml:space="preserve"> tillvägagångssätt.</w:t>
      </w:r>
    </w:p>
    <w:p w:rsidR="00535518" w:rsidRPr="007B6028" w:rsidRDefault="00D026F8" w:rsidP="00D026F8">
      <w:pPr>
        <w:pStyle w:val="ManualNumPar1"/>
      </w:pPr>
      <w:r w:rsidRPr="007B6028">
        <w:t>20.</w:t>
      </w:r>
      <w:r w:rsidRPr="007B6028">
        <w:tab/>
      </w:r>
      <w:r w:rsidR="00B4741A" w:rsidRPr="007B6028">
        <w:t>Ett mandat för kommissionen att förhandla med Tunisien skulle också visa EU:s beslutsamhet att uppnå de politiska mål som rådet ställde</w:t>
      </w:r>
      <w:r w:rsidR="00255C23" w:rsidRPr="007B6028">
        <w:t xml:space="preserve"> </w:t>
      </w:r>
      <w:r w:rsidR="00B4741A" w:rsidRPr="007B6028">
        <w:t xml:space="preserve">upp 2005 och öppna sina luftfartsmarknad med alla grannländer, förutsatt att </w:t>
      </w:r>
      <w:r w:rsidR="006F6B39" w:rsidRPr="007B6028">
        <w:t xml:space="preserve">dessa länders </w:t>
      </w:r>
      <w:r w:rsidR="00B4741A" w:rsidRPr="007B6028">
        <w:t>lags</w:t>
      </w:r>
      <w:r w:rsidR="00AC38F9" w:rsidRPr="007B6028">
        <w:t xml:space="preserve">tiftning samtidigt </w:t>
      </w:r>
      <w:r w:rsidR="006F6B39" w:rsidRPr="007B6028">
        <w:t>anpassas till EU:s lagstiftning.</w:t>
      </w:r>
      <w:r w:rsidR="00B4741A" w:rsidRPr="007B6028">
        <w:t xml:space="preserve"> Att inrätta ett gemensamt luftrum med Tunisien skulle därför stärka det regionala samarbetet och integreringen </w:t>
      </w:r>
      <w:r w:rsidR="0082465A" w:rsidRPr="007B6028">
        <w:t>av</w:t>
      </w:r>
      <w:r w:rsidR="00B4741A" w:rsidRPr="007B6028">
        <w:t xml:space="preserve"> luftfartsmarknade</w:t>
      </w:r>
      <w:r w:rsidR="002C1A90" w:rsidRPr="007B6028">
        <w:t>r</w:t>
      </w:r>
      <w:r w:rsidR="00B4741A" w:rsidRPr="007B6028">
        <w:t>n</w:t>
      </w:r>
      <w:r w:rsidR="002C1A90" w:rsidRPr="007B6028">
        <w:t>a</w:t>
      </w:r>
      <w:r w:rsidR="00B4741A" w:rsidRPr="007B6028">
        <w:t xml:space="preserve"> i alla länder söder om Medelhavet.</w:t>
      </w:r>
    </w:p>
    <w:p w:rsidR="00535518" w:rsidRPr="007B6028" w:rsidRDefault="00D026F8" w:rsidP="00D026F8">
      <w:pPr>
        <w:pStyle w:val="ManualHeading1"/>
      </w:pPr>
      <w:r w:rsidRPr="007B6028">
        <w:t>4.</w:t>
      </w:r>
      <w:r w:rsidRPr="007B6028">
        <w:tab/>
      </w:r>
      <w:r w:rsidR="00296F42" w:rsidRPr="007B6028">
        <w:t>SLUTSATSER</w:t>
      </w:r>
    </w:p>
    <w:p w:rsidR="00535518" w:rsidRPr="007B6028" w:rsidRDefault="00D026F8" w:rsidP="00D026F8">
      <w:pPr>
        <w:pStyle w:val="ManualNumPar1"/>
      </w:pPr>
      <w:r w:rsidRPr="007B6028">
        <w:t>21.</w:t>
      </w:r>
      <w:r w:rsidRPr="007B6028">
        <w:tab/>
      </w:r>
      <w:r w:rsidR="00034E07" w:rsidRPr="007B6028">
        <w:t xml:space="preserve">Kommissionen anser därför att det är viktigt att ge Tunisien möjligheter till ett intensifierat samarbete inom den civila luftfarten. Ett övergripande luftfartsavtal med Tunisien skulle </w:t>
      </w:r>
      <w:r w:rsidR="002C1A90" w:rsidRPr="007B6028">
        <w:t xml:space="preserve">kunna </w:t>
      </w:r>
      <w:r w:rsidR="00AC38F9" w:rsidRPr="007B6028">
        <w:t>omfatta</w:t>
      </w:r>
      <w:r w:rsidR="00034E07" w:rsidRPr="007B6028">
        <w:t xml:space="preserve"> de traditionella </w:t>
      </w:r>
      <w:r w:rsidR="00F24AA5" w:rsidRPr="007B6028">
        <w:t>kommersiella</w:t>
      </w:r>
      <w:r w:rsidR="00034E07" w:rsidRPr="007B6028">
        <w:t xml:space="preserve"> aspekterna i luftfartsavtal och </w:t>
      </w:r>
      <w:r w:rsidR="00AC38F9" w:rsidRPr="007B6028">
        <w:t xml:space="preserve">samtidigt </w:t>
      </w:r>
      <w:r w:rsidR="00034E07" w:rsidRPr="007B6028">
        <w:t>skapa en ambitiös ram för utvecklat samarbete i fråga om lagstiftning om</w:t>
      </w:r>
      <w:r w:rsidR="00AC38F9" w:rsidRPr="007B6028">
        <w:t xml:space="preserve"> skydd,</w:t>
      </w:r>
      <w:r w:rsidR="00034E07" w:rsidRPr="007B6028">
        <w:t xml:space="preserve"> säkerhet och trafikledning</w:t>
      </w:r>
      <w:r w:rsidR="00655CEF" w:rsidRPr="007B6028">
        <w:t>,</w:t>
      </w:r>
      <w:r w:rsidR="00034E07" w:rsidRPr="007B6028">
        <w:t xml:space="preserve"> och även underlätta industrisamarbetet med dessa länder.</w:t>
      </w:r>
    </w:p>
    <w:p w:rsidR="00535518" w:rsidRPr="007B6028" w:rsidRDefault="00D026F8" w:rsidP="00D026F8">
      <w:pPr>
        <w:pStyle w:val="ManualNumPar1"/>
      </w:pPr>
      <w:r w:rsidRPr="007B6028">
        <w:t>22.</w:t>
      </w:r>
      <w:r w:rsidRPr="007B6028">
        <w:tab/>
      </w:r>
      <w:r w:rsidR="00034E07" w:rsidRPr="007B6028">
        <w:t xml:space="preserve">Den civila luftfarten erbjuder stora möjligheter att </w:t>
      </w:r>
      <w:r w:rsidR="00655CEF" w:rsidRPr="007B6028">
        <w:t>intensifiera</w:t>
      </w:r>
      <w:r w:rsidR="00034E07" w:rsidRPr="007B6028">
        <w:t xml:space="preserve"> samarbetet inom transportsektorn i allmänhet, vilket kan ge fördelar för både Tunisien och EU. Det måste därför göras insatser för att se till att lufttransporterna blir ett centralt område för samarbete med Tunisien</w:t>
      </w:r>
      <w:r w:rsidR="00655CEF" w:rsidRPr="007B6028">
        <w:t>,</w:t>
      </w:r>
      <w:r w:rsidR="00034E07" w:rsidRPr="007B6028">
        <w:t xml:space="preserve"> och Tunisien </w:t>
      </w:r>
      <w:r w:rsidR="00C00E35" w:rsidRPr="007B6028">
        <w:t>ges ett nytt</w:t>
      </w:r>
      <w:r w:rsidR="00034E07" w:rsidRPr="007B6028">
        <w:t xml:space="preserve"> exempel på </w:t>
      </w:r>
      <w:r w:rsidR="006F6B39" w:rsidRPr="007B6028">
        <w:t xml:space="preserve">hur </w:t>
      </w:r>
      <w:r w:rsidR="00E919A5" w:rsidRPr="007B6028">
        <w:t>landet</w:t>
      </w:r>
      <w:r w:rsidR="006F6B39" w:rsidRPr="007B6028">
        <w:t xml:space="preserve"> kan integreras </w:t>
      </w:r>
      <w:r w:rsidR="00531262" w:rsidRPr="007B6028">
        <w:t>i</w:t>
      </w:r>
      <w:r w:rsidR="00034E07" w:rsidRPr="007B6028">
        <w:t xml:space="preserve"> gemenskapsstruktur</w:t>
      </w:r>
      <w:r w:rsidR="00F24AA5" w:rsidRPr="007B6028">
        <w:t>er</w:t>
      </w:r>
      <w:r w:rsidR="00034E07" w:rsidRPr="007B6028">
        <w:t>na och de europeiska marknaderna.</w:t>
      </w:r>
    </w:p>
    <w:p w:rsidR="00535518" w:rsidRPr="007B6028" w:rsidRDefault="00D026F8" w:rsidP="00D026F8">
      <w:pPr>
        <w:pStyle w:val="ManualNumPar1"/>
      </w:pPr>
      <w:r w:rsidRPr="007B6028">
        <w:t>23.</w:t>
      </w:r>
      <w:r w:rsidRPr="007B6028">
        <w:tab/>
      </w:r>
      <w:r w:rsidR="00034E07" w:rsidRPr="007B6028">
        <w:t xml:space="preserve">Det här avtalet </w:t>
      </w:r>
      <w:r w:rsidR="00655CEF" w:rsidRPr="007B6028">
        <w:t>är</w:t>
      </w:r>
      <w:r w:rsidR="00034E07" w:rsidRPr="007B6028">
        <w:t xml:space="preserve"> e</w:t>
      </w:r>
      <w:r w:rsidR="00655CEF" w:rsidRPr="007B6028">
        <w:t>tt</w:t>
      </w:r>
      <w:r w:rsidR="00034E07" w:rsidRPr="007B6028">
        <w:t xml:space="preserve"> viktigt steg för att upprätta ett </w:t>
      </w:r>
      <w:r w:rsidR="00F24AA5" w:rsidRPr="007B6028">
        <w:t>luftrum</w:t>
      </w:r>
      <w:r w:rsidR="00655CEF" w:rsidRPr="007B6028">
        <w:t xml:space="preserve"> som är gemensamt</w:t>
      </w:r>
      <w:r w:rsidR="00034E07" w:rsidRPr="007B6028">
        <w:t xml:space="preserve"> för EU och dess </w:t>
      </w:r>
      <w:r w:rsidR="002C1A90" w:rsidRPr="007B6028">
        <w:t>grannländer</w:t>
      </w:r>
      <w:r w:rsidR="00034E07" w:rsidRPr="007B6028">
        <w:t xml:space="preserve"> vid Medelhavet, vilket är ett centralt mål för gemenskapens politik för yttre förbindelser </w:t>
      </w:r>
      <w:r w:rsidR="00C00E35" w:rsidRPr="007B6028">
        <w:t>på luftfartsområdet</w:t>
      </w:r>
      <w:r w:rsidR="00034E07" w:rsidRPr="007B6028">
        <w:t xml:space="preserve"> och, mer allmänt, en viktig del i EU:s</w:t>
      </w:r>
      <w:r w:rsidR="001470B8" w:rsidRPr="007B6028">
        <w:t xml:space="preserve"> politik för yttre förbindelser. </w:t>
      </w:r>
      <w:r w:rsidR="006F6B39" w:rsidRPr="007B6028">
        <w:t>Det här a</w:t>
      </w:r>
      <w:r w:rsidR="001470B8" w:rsidRPr="007B6028">
        <w:t xml:space="preserve">vtalet med Tunisien om luftfart skulle </w:t>
      </w:r>
      <w:r w:rsidR="006F6B39" w:rsidRPr="007B6028">
        <w:t xml:space="preserve">skapa </w:t>
      </w:r>
      <w:r w:rsidR="001470B8" w:rsidRPr="007B6028">
        <w:t xml:space="preserve">ett betydande mervärde både politiskt och ekonomiskt och skulle </w:t>
      </w:r>
      <w:r w:rsidR="00F24AA5" w:rsidRPr="007B6028">
        <w:t>kunna</w:t>
      </w:r>
      <w:r w:rsidR="001470B8" w:rsidRPr="007B6028">
        <w:t xml:space="preserve"> bli en </w:t>
      </w:r>
      <w:r w:rsidR="006F6B39" w:rsidRPr="007B6028">
        <w:t xml:space="preserve">förebild </w:t>
      </w:r>
      <w:r w:rsidR="001470B8" w:rsidRPr="007B6028">
        <w:t>för liknande avtal med andra länder söder om Medelhavet och således även bidra till dessa länder</w:t>
      </w:r>
      <w:r w:rsidR="002C1A90" w:rsidRPr="007B6028">
        <w:t>s regionala integrering</w:t>
      </w:r>
      <w:r w:rsidR="001470B8" w:rsidRPr="007B6028">
        <w:t>.</w:t>
      </w:r>
    </w:p>
    <w:p w:rsidR="0060580C" w:rsidRPr="007B6028" w:rsidRDefault="00D026F8" w:rsidP="00D026F8">
      <w:pPr>
        <w:pStyle w:val="ManualNumPar1"/>
      </w:pPr>
      <w:r w:rsidRPr="007B6028">
        <w:t>24.</w:t>
      </w:r>
      <w:r w:rsidRPr="007B6028">
        <w:tab/>
      </w:r>
      <w:r w:rsidR="001470B8" w:rsidRPr="007B6028">
        <w:t xml:space="preserve">Mot bakgrund av detta föreslår kommissionen att rådet ger </w:t>
      </w:r>
      <w:r w:rsidR="00F24AA5" w:rsidRPr="007B6028">
        <w:t>kommissionen</w:t>
      </w:r>
      <w:r w:rsidR="001470B8" w:rsidRPr="007B6028">
        <w:t xml:space="preserve"> mandat att inleda förhandlingar om ett övergripande avtal som gör det möjligt att upprätta ett gemensamt luftrum med Tunisien. Kommissionen kommer att samarbeta med medlemsstaterna och alla berörda parter för precisera och uppnå de mål som fastställs i förslaget till rådets beslut.</w:t>
      </w:r>
    </w:p>
    <w:sectPr w:rsidR="0060580C" w:rsidRPr="007B6028" w:rsidSect="005A02A7">
      <w:footerReference w:type="defaul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679C" w:rsidRPr="007B6028" w:rsidRDefault="00A8679C">
      <w:r w:rsidRPr="007B6028">
        <w:separator/>
      </w:r>
    </w:p>
  </w:endnote>
  <w:endnote w:type="continuationSeparator" w:id="0">
    <w:p w:rsidR="00A8679C" w:rsidRPr="007B6028" w:rsidRDefault="00A8679C">
      <w:r w:rsidRPr="007B60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79C" w:rsidRPr="007B6028" w:rsidRDefault="00A8679C" w:rsidP="007A6E13">
    <w:pPr>
      <w:pStyle w:val="FooterCouncil"/>
      <w:pBdr>
        <w:bottom w:val="single" w:sz="4" w:space="0" w:color="auto"/>
      </w:pBdr>
      <w:spacing w:after="60"/>
    </w:pPr>
  </w:p>
  <w:p w:rsidR="00A8679C" w:rsidRPr="007B6028" w:rsidRDefault="00A8679C" w:rsidP="007A6E13">
    <w:pPr>
      <w:pStyle w:val="FooterCouncil"/>
    </w:pPr>
    <w:r w:rsidRPr="007B6028">
      <w:t>13937/08</w:t>
    </w:r>
    <w:r w:rsidRPr="007B6028">
      <w:tab/>
    </w:r>
    <w:r w:rsidRPr="007B6028">
      <w:tab/>
      <w:t>/lt</w:t>
    </w:r>
    <w:r w:rsidRPr="007B6028">
      <w:tab/>
    </w:r>
  </w:p>
  <w:p w:rsidR="00A8679C" w:rsidRPr="007B6028" w:rsidRDefault="00A8679C" w:rsidP="007A6E13">
    <w:pPr>
      <w:pStyle w:val="FooterCouncil"/>
    </w:pPr>
    <w:r w:rsidRPr="007B6028">
      <w:tab/>
      <w:t>DG C III</w:t>
    </w:r>
    <w:r w:rsidRPr="007B6028">
      <w:tab/>
    </w:r>
    <w:r w:rsidRPr="007B6028">
      <w:rPr>
        <w:b/>
        <w:position w:val="-4"/>
        <w:sz w:val="36"/>
      </w:rPr>
      <w:tab/>
      <w:t>SV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79C" w:rsidRPr="005A02A7" w:rsidRDefault="00A8679C" w:rsidP="005A02A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79C" w:rsidRPr="007B6028" w:rsidRDefault="00A8679C" w:rsidP="005A02A7">
    <w:pPr>
      <w:pStyle w:val="Sidfot"/>
      <w:rPr>
        <w:rFonts w:ascii="Arial" w:hAnsi="Arial" w:cs="Arial"/>
        <w:b/>
        <w:sz w:val="48"/>
      </w:rPr>
    </w:pPr>
    <w:r w:rsidRPr="007B6028">
      <w:rPr>
        <w:rFonts w:ascii="Arial" w:hAnsi="Arial" w:cs="Arial"/>
        <w:b/>
        <w:sz w:val="48"/>
      </w:rPr>
      <w:t>SV</w:t>
    </w:r>
    <w:r w:rsidRPr="007B6028">
      <w:rPr>
        <w:rFonts w:ascii="Arial" w:hAnsi="Arial" w:cs="Arial"/>
        <w:b/>
        <w:sz w:val="48"/>
      </w:rPr>
      <w:tab/>
    </w:r>
    <w:r w:rsidRPr="007B6028">
      <w:rPr>
        <w:rFonts w:ascii="Arial" w:hAnsi="Arial" w:cs="Arial"/>
        <w:b/>
        <w:sz w:val="48"/>
      </w:rPr>
      <w:tab/>
    </w:r>
    <w:r w:rsidRPr="007B6028">
      <w:t xml:space="preserve"> </w:t>
    </w:r>
    <w:r w:rsidRPr="007B6028">
      <w:tab/>
    </w:r>
    <w:r w:rsidRPr="007B6028">
      <w:rPr>
        <w:rFonts w:ascii="Arial" w:hAnsi="Arial" w:cs="Arial"/>
        <w:b/>
        <w:sz w:val="48"/>
      </w:rPr>
      <w:t>SV</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79C" w:rsidRPr="005A02A7" w:rsidRDefault="00A8679C" w:rsidP="005A02A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79C" w:rsidRPr="007B6028" w:rsidRDefault="00A8679C" w:rsidP="005A02A7">
    <w:pPr>
      <w:pStyle w:val="Sidfot"/>
      <w:rPr>
        <w:rFonts w:ascii="Arial" w:hAnsi="Arial" w:cs="Arial"/>
        <w:b/>
        <w:sz w:val="48"/>
      </w:rPr>
    </w:pPr>
    <w:r w:rsidRPr="007B6028">
      <w:rPr>
        <w:rFonts w:ascii="Arial" w:hAnsi="Arial" w:cs="Arial"/>
        <w:b/>
        <w:sz w:val="48"/>
      </w:rPr>
      <w:t>SV</w:t>
    </w:r>
    <w:r w:rsidRPr="007B6028">
      <w:rPr>
        <w:rFonts w:ascii="Arial" w:hAnsi="Arial" w:cs="Arial"/>
        <w:b/>
        <w:sz w:val="48"/>
      </w:rPr>
      <w:tab/>
    </w:r>
    <w:r w:rsidRPr="007B6028">
      <w:fldChar w:fldCharType="begin" w:fldLock="1"/>
    </w:r>
    <w:r w:rsidRPr="007B6028">
      <w:instrText xml:space="preserve"> PAGE  \* MERGEFORMAT </w:instrText>
    </w:r>
    <w:r w:rsidRPr="007B6028">
      <w:fldChar w:fldCharType="separate"/>
    </w:r>
    <w:r w:rsidR="00CA5232" w:rsidRPr="007B6028">
      <w:t>7</w:t>
    </w:r>
    <w:r w:rsidRPr="007B6028">
      <w:fldChar w:fldCharType="end"/>
    </w:r>
    <w:r w:rsidRPr="007B6028">
      <w:tab/>
      <w:t xml:space="preserve"> </w:t>
    </w:r>
    <w:r w:rsidRPr="007B6028">
      <w:tab/>
    </w:r>
    <w:r w:rsidRPr="007B6028">
      <w:rPr>
        <w:rFonts w:ascii="Arial" w:hAnsi="Arial" w:cs="Arial"/>
        <w:b/>
        <w:sz w:val="48"/>
      </w:rPr>
      <w:t>SV</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79C" w:rsidRPr="005A02A7" w:rsidRDefault="00A8679C" w:rsidP="005A02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679C" w:rsidRPr="007B6028" w:rsidRDefault="00A8679C">
      <w:r w:rsidRPr="007B6028">
        <w:separator/>
      </w:r>
    </w:p>
  </w:footnote>
  <w:footnote w:type="continuationSeparator" w:id="0">
    <w:p w:rsidR="00A8679C" w:rsidRPr="007B6028" w:rsidRDefault="00A8679C">
      <w:r w:rsidRPr="007B6028">
        <w:continuationSeparator/>
      </w:r>
    </w:p>
  </w:footnote>
  <w:footnote w:id="1">
    <w:p w:rsidR="00A8679C" w:rsidRPr="007B6028" w:rsidRDefault="00A8679C" w:rsidP="00535518">
      <w:pPr>
        <w:pStyle w:val="Fotnotstext"/>
      </w:pPr>
      <w:r w:rsidRPr="007B6028">
        <w:rPr>
          <w:rStyle w:val="Fotnotsreferens"/>
        </w:rPr>
        <w:footnoteRef/>
      </w:r>
      <w:r w:rsidRPr="007B6028">
        <w:tab/>
        <w:t>KOM(2005) 79 slutlig, 11.3.2005.</w:t>
      </w:r>
    </w:p>
  </w:footnote>
  <w:footnote w:id="2">
    <w:p w:rsidR="00A8679C" w:rsidRPr="007B6028" w:rsidRDefault="00A8679C" w:rsidP="00535518">
      <w:pPr>
        <w:pStyle w:val="Fotnotstext"/>
      </w:pPr>
      <w:r w:rsidRPr="007B6028">
        <w:rPr>
          <w:rStyle w:val="Fotnotsreferens"/>
        </w:rPr>
        <w:footnoteRef/>
      </w:r>
      <w:r w:rsidRPr="007B6028">
        <w:tab/>
        <w:t>Associeringsavtalet mellan EU och Tunisien undertecknades i juli 1995.</w:t>
      </w:r>
    </w:p>
  </w:footnote>
  <w:footnote w:id="3">
    <w:p w:rsidR="00A8679C" w:rsidRPr="007B6028" w:rsidRDefault="00A8679C" w:rsidP="00535518">
      <w:pPr>
        <w:pStyle w:val="Fotnotstext"/>
      </w:pPr>
      <w:r w:rsidRPr="007B6028">
        <w:rPr>
          <w:rStyle w:val="Fotnotsreferens"/>
        </w:rPr>
        <w:footnoteRef/>
      </w:r>
      <w:r w:rsidRPr="007B6028">
        <w:tab/>
        <w:t>Rapport om projektet Euromed Aviation i Tunisien (MED 2006/132-039).</w:t>
      </w:r>
    </w:p>
  </w:footnote>
  <w:footnote w:id="4">
    <w:p w:rsidR="00A8679C" w:rsidRPr="007B6028" w:rsidRDefault="00A8679C">
      <w:pPr>
        <w:pStyle w:val="Fotnotstext"/>
      </w:pPr>
      <w:r w:rsidRPr="007B6028">
        <w:rPr>
          <w:rStyle w:val="Fotnotsreferens"/>
        </w:rPr>
        <w:footnoteRef/>
      </w:r>
      <w:r w:rsidRPr="007B6028">
        <w:tab/>
        <w:t xml:space="preserve">Eurostat, </w:t>
      </w:r>
      <w:r w:rsidRPr="007B6028">
        <w:rPr>
          <w:i/>
          <w:color w:val="000000"/>
          <w:lang w:eastAsia="en-GB"/>
        </w:rPr>
        <w:t>Statistics in focus</w:t>
      </w:r>
      <w:r w:rsidRPr="007B6028">
        <w:rPr>
          <w:color w:val="000000"/>
          <w:lang w:eastAsia="en-GB"/>
        </w:rPr>
        <w:t>, 37/2005, ISBN 1561-4840.</w:t>
      </w:r>
    </w:p>
  </w:footnote>
  <w:footnote w:id="5">
    <w:p w:rsidR="00A8679C" w:rsidRPr="007B6028" w:rsidRDefault="00A8679C" w:rsidP="00535518">
      <w:pPr>
        <w:pStyle w:val="Fotnotstext"/>
      </w:pPr>
      <w:r w:rsidRPr="007B6028">
        <w:rPr>
          <w:rStyle w:val="Fotnotsreferens"/>
        </w:rPr>
        <w:footnoteRef/>
      </w:r>
      <w:r w:rsidRPr="007B6028">
        <w:tab/>
        <w:t xml:space="preserve">Bilaga till meddelandet från kommissionen </w:t>
      </w:r>
      <w:r w:rsidRPr="007B6028">
        <w:rPr>
          <w:i/>
        </w:rPr>
        <w:t>Fortsatt utveckling av EU:s luftfartspolitik gentemot länder utanför EU</w:t>
      </w:r>
      <w:r w:rsidRPr="007B6028">
        <w:t>, KOM(2005) 79 slutlig.</w:t>
      </w:r>
    </w:p>
  </w:footnote>
  <w:footnote w:id="6">
    <w:p w:rsidR="00A8679C" w:rsidRPr="007B6028" w:rsidRDefault="00A8679C">
      <w:pPr>
        <w:pStyle w:val="Fotnotstext"/>
      </w:pPr>
      <w:r w:rsidRPr="007B6028">
        <w:rPr>
          <w:rStyle w:val="Fotnotsreferens"/>
        </w:rPr>
        <w:footnoteRef/>
      </w:r>
      <w:r w:rsidRPr="007B6028">
        <w:tab/>
        <w:t>Efter det att ett Europa-Medelhavsavtal undertecknades med Marocko i december 2006 ökade trafiken med 18 % till nästan 8 miljoner transporterade passagerare mellan EU och Marocko under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79C" w:rsidRPr="005A02A7" w:rsidRDefault="00A8679C" w:rsidP="005A02A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79C" w:rsidRPr="005A02A7" w:rsidRDefault="00A8679C" w:rsidP="005A02A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79C" w:rsidRPr="005A02A7" w:rsidRDefault="00A8679C" w:rsidP="005A02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676AD5B4"/>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E56269C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DDA0F254"/>
    <w:lvl w:ilvl="0">
      <w:start w:val="1"/>
      <w:numFmt w:val="decimal"/>
      <w:lvlText w:val="%1."/>
      <w:lvlJc w:val="left"/>
      <w:pPr>
        <w:tabs>
          <w:tab w:val="num" w:pos="643"/>
        </w:tabs>
        <w:ind w:left="643" w:hanging="360"/>
      </w:pPr>
    </w:lvl>
  </w:abstractNum>
  <w:abstractNum w:abstractNumId="3" w15:restartNumberingAfterBreak="0">
    <w:nsid w:val="FFFFFF81"/>
    <w:multiLevelType w:val="singleLevel"/>
    <w:tmpl w:val="07D25D9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09CC2A8"/>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02AB69E"/>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C52C48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2996C1F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350FB1"/>
    <w:multiLevelType w:val="multilevel"/>
    <w:tmpl w:val="30847FD6"/>
    <w:name w:val="List Number 4"/>
    <w:lvl w:ilvl="0">
      <w:start w:val="1"/>
      <w:numFmt w:val="decimal"/>
      <w:lvlRestart w:val="0"/>
      <w:pStyle w:val="Numreradlist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5E43525"/>
    <w:multiLevelType w:val="multilevel"/>
    <w:tmpl w:val="76202BFE"/>
    <w:name w:val="List Number 3"/>
    <w:lvl w:ilvl="0">
      <w:start w:val="1"/>
      <w:numFmt w:val="decimal"/>
      <w:lvlRestart w:val="0"/>
      <w:pStyle w:val="Numreradlist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2DD5905"/>
    <w:multiLevelType w:val="singleLevel"/>
    <w:tmpl w:val="6CB4B73E"/>
    <w:name w:val="List Bullet 2"/>
    <w:lvl w:ilvl="0">
      <w:start w:val="1"/>
      <w:numFmt w:val="bullet"/>
      <w:lvlRestart w:val="0"/>
      <w:pStyle w:val="Punktlista2"/>
      <w:lvlText w:val=""/>
      <w:lvlJc w:val="left"/>
      <w:pPr>
        <w:tabs>
          <w:tab w:val="num" w:pos="1134"/>
        </w:tabs>
        <w:ind w:left="1134" w:hanging="283"/>
      </w:pPr>
      <w:rPr>
        <w:rFonts w:ascii="Symbol" w:hAnsi="Symbol" w:hint="default"/>
      </w:rPr>
    </w:lvl>
  </w:abstractNum>
  <w:abstractNum w:abstractNumId="11" w15:restartNumberingAfterBreak="0">
    <w:nsid w:val="24E930D7"/>
    <w:multiLevelType w:val="multilevel"/>
    <w:tmpl w:val="EFD2E05E"/>
    <w:name w:val="List Number 2"/>
    <w:lvl w:ilvl="0">
      <w:start w:val="1"/>
      <w:numFmt w:val="decimal"/>
      <w:lvlRestart w:val="0"/>
      <w:pStyle w:val="Numreradlist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9A7D38"/>
    <w:multiLevelType w:val="multilevel"/>
    <w:tmpl w:val="AC500484"/>
    <w:name w:val="Default"/>
    <w:lvl w:ilvl="0">
      <w:start w:val="1"/>
      <w:numFmt w:val="decimal"/>
      <w:lvlRestart w:val="0"/>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2A52C4F"/>
    <w:multiLevelType w:val="singleLevel"/>
    <w:tmpl w:val="CEFC5A24"/>
    <w:name w:val="Tiret 0"/>
    <w:lvl w:ilvl="0">
      <w:start w:val="1"/>
      <w:numFmt w:val="bullet"/>
      <w:lvlRestart w:val="0"/>
      <w:pStyle w:val="Tiret0"/>
      <w:lvlText w:val="–"/>
      <w:lvlJc w:val="left"/>
      <w:pPr>
        <w:tabs>
          <w:tab w:val="num" w:pos="850"/>
        </w:tabs>
        <w:ind w:left="850" w:hanging="850"/>
      </w:pPr>
    </w:lvl>
  </w:abstractNum>
  <w:abstractNum w:abstractNumId="14" w15:restartNumberingAfterBreak="0">
    <w:nsid w:val="395128B6"/>
    <w:multiLevelType w:val="singleLevel"/>
    <w:tmpl w:val="4F70CA0A"/>
    <w:name w:val="Tiret 2"/>
    <w:lvl w:ilvl="0">
      <w:start w:val="1"/>
      <w:numFmt w:val="bullet"/>
      <w:lvlRestart w:val="0"/>
      <w:pStyle w:val="Tiret2"/>
      <w:lvlText w:val="–"/>
      <w:lvlJc w:val="left"/>
      <w:pPr>
        <w:tabs>
          <w:tab w:val="num" w:pos="1984"/>
        </w:tabs>
        <w:ind w:left="1984" w:hanging="567"/>
      </w:pPr>
    </w:lvl>
  </w:abstractNum>
  <w:abstractNum w:abstractNumId="15" w15:restartNumberingAfterBreak="0">
    <w:nsid w:val="3E191884"/>
    <w:multiLevelType w:val="singleLevel"/>
    <w:tmpl w:val="3020C764"/>
    <w:name w:val="List Bullet 3"/>
    <w:lvl w:ilvl="0">
      <w:start w:val="1"/>
      <w:numFmt w:val="bullet"/>
      <w:lvlRestart w:val="0"/>
      <w:pStyle w:val="Punktlista3"/>
      <w:lvlText w:val=""/>
      <w:lvlJc w:val="left"/>
      <w:pPr>
        <w:tabs>
          <w:tab w:val="num" w:pos="1134"/>
        </w:tabs>
        <w:ind w:left="1134" w:hanging="283"/>
      </w:pPr>
      <w:rPr>
        <w:rFonts w:ascii="Symbol" w:hAnsi="Symbol" w:hint="default"/>
      </w:rPr>
    </w:lvl>
  </w:abstractNum>
  <w:abstractNum w:abstractNumId="16" w15:restartNumberingAfterBreak="0">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7" w15:restartNumberingAfterBreak="0">
    <w:nsid w:val="46416817"/>
    <w:multiLevelType w:val="singleLevel"/>
    <w:tmpl w:val="ABE4C590"/>
    <w:name w:val="Tiret 3"/>
    <w:lvl w:ilvl="0">
      <w:start w:val="1"/>
      <w:numFmt w:val="bullet"/>
      <w:lvlRestart w:val="0"/>
      <w:pStyle w:val="Tiret3"/>
      <w:lvlText w:val="–"/>
      <w:lvlJc w:val="left"/>
      <w:pPr>
        <w:tabs>
          <w:tab w:val="num" w:pos="2551"/>
        </w:tabs>
        <w:ind w:left="2551" w:hanging="567"/>
      </w:pPr>
    </w:lvl>
  </w:abstractNum>
  <w:abstractNum w:abstractNumId="18" w15:restartNumberingAfterBreak="0">
    <w:nsid w:val="4C1B7A6F"/>
    <w:multiLevelType w:val="singleLevel"/>
    <w:tmpl w:val="0A7CB49A"/>
    <w:name w:val="Tiret 4"/>
    <w:lvl w:ilvl="0">
      <w:start w:val="1"/>
      <w:numFmt w:val="bullet"/>
      <w:lvlRestart w:val="0"/>
      <w:pStyle w:val="Tiret4"/>
      <w:lvlText w:val="–"/>
      <w:lvlJc w:val="left"/>
      <w:pPr>
        <w:tabs>
          <w:tab w:val="num" w:pos="3118"/>
        </w:tabs>
        <w:ind w:left="3118" w:hanging="567"/>
      </w:pPr>
    </w:lvl>
  </w:abstractNum>
  <w:abstractNum w:abstractNumId="19" w15:restartNumberingAfterBreak="0">
    <w:nsid w:val="53F47367"/>
    <w:multiLevelType w:val="singleLevel"/>
    <w:tmpl w:val="B4E8C9F0"/>
    <w:name w:val="Tiret 1"/>
    <w:lvl w:ilvl="0">
      <w:start w:val="1"/>
      <w:numFmt w:val="bullet"/>
      <w:lvlRestart w:val="0"/>
      <w:pStyle w:val="Tiret1"/>
      <w:lvlText w:val="–"/>
      <w:lvlJc w:val="left"/>
      <w:pPr>
        <w:tabs>
          <w:tab w:val="num" w:pos="1417"/>
        </w:tabs>
        <w:ind w:left="1417" w:hanging="567"/>
      </w:pPr>
    </w:lvl>
  </w:abstractNum>
  <w:abstractNum w:abstractNumId="20" w15:restartNumberingAfterBreak="0">
    <w:nsid w:val="56CB74B4"/>
    <w:multiLevelType w:val="multilevel"/>
    <w:tmpl w:val="E67CE90A"/>
    <w:name w:val="Heading"/>
    <w:lvl w:ilvl="0">
      <w:start w:val="1"/>
      <w:numFmt w:val="decimal"/>
      <w:lvlRestart w:val="0"/>
      <w:pStyle w:val="Rubrik1"/>
      <w:lvlText w:val="%1."/>
      <w:lvlJc w:val="left"/>
      <w:pPr>
        <w:tabs>
          <w:tab w:val="num" w:pos="850"/>
        </w:tabs>
        <w:ind w:left="850" w:hanging="850"/>
      </w:pPr>
    </w:lvl>
    <w:lvl w:ilvl="1">
      <w:start w:val="1"/>
      <w:numFmt w:val="decimal"/>
      <w:pStyle w:val="Rubrik2"/>
      <w:lvlText w:val="%1.%2."/>
      <w:lvlJc w:val="left"/>
      <w:pPr>
        <w:tabs>
          <w:tab w:val="num" w:pos="850"/>
        </w:tabs>
        <w:ind w:left="850" w:hanging="850"/>
      </w:pPr>
    </w:lvl>
    <w:lvl w:ilvl="2">
      <w:start w:val="1"/>
      <w:numFmt w:val="decimal"/>
      <w:pStyle w:val="Rubrik3"/>
      <w:lvlText w:val="%1.%2.%3."/>
      <w:lvlJc w:val="left"/>
      <w:pPr>
        <w:tabs>
          <w:tab w:val="num" w:pos="850"/>
        </w:tabs>
        <w:ind w:left="850" w:hanging="850"/>
      </w:pPr>
    </w:lvl>
    <w:lvl w:ilvl="3">
      <w:start w:val="1"/>
      <w:numFmt w:val="decimal"/>
      <w:pStyle w:val="Rubrik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96D67A1"/>
    <w:multiLevelType w:val="singleLevel"/>
    <w:tmpl w:val="9AC8831A"/>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2" w15:restartNumberingAfterBreak="0">
    <w:nsid w:val="599871B7"/>
    <w:multiLevelType w:val="multilevel"/>
    <w:tmpl w:val="2E3C232A"/>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EF779A6"/>
    <w:multiLevelType w:val="singleLevel"/>
    <w:tmpl w:val="C4347D46"/>
    <w:name w:val="Considérant"/>
    <w:lvl w:ilvl="0">
      <w:start w:val="1"/>
      <w:numFmt w:val="decimal"/>
      <w:lvlRestart w:val="0"/>
      <w:pStyle w:val="Considrant"/>
      <w:lvlText w:val="(%1)"/>
      <w:lvlJc w:val="left"/>
      <w:pPr>
        <w:tabs>
          <w:tab w:val="num" w:pos="709"/>
        </w:tabs>
        <w:ind w:left="709" w:hanging="709"/>
      </w:pPr>
    </w:lvl>
  </w:abstractNum>
  <w:abstractNum w:abstractNumId="24" w15:restartNumberingAfterBreak="0">
    <w:nsid w:val="5F8C3B69"/>
    <w:multiLevelType w:val="multilevel"/>
    <w:tmpl w:val="9B14DAA8"/>
    <w:name w:val="List Number"/>
    <w:lvl w:ilvl="0">
      <w:start w:val="1"/>
      <w:numFmt w:val="decimal"/>
      <w:lvlRestart w:val="0"/>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2A8042C"/>
    <w:multiLevelType w:val="singleLevel"/>
    <w:tmpl w:val="CCF20C06"/>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6" w15:restartNumberingAfterBreak="0">
    <w:nsid w:val="6A6901C1"/>
    <w:multiLevelType w:val="singleLevel"/>
    <w:tmpl w:val="208841AE"/>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7" w15:restartNumberingAfterBreak="0">
    <w:nsid w:val="6D2B5511"/>
    <w:multiLevelType w:val="singleLevel"/>
    <w:tmpl w:val="74A09970"/>
    <w:name w:val="List Bullet"/>
    <w:lvl w:ilvl="0">
      <w:start w:val="1"/>
      <w:numFmt w:val="bullet"/>
      <w:lvlRestart w:val="0"/>
      <w:pStyle w:val="Punktlista"/>
      <w:lvlText w:val=""/>
      <w:lvlJc w:val="left"/>
      <w:pPr>
        <w:tabs>
          <w:tab w:val="num" w:pos="283"/>
        </w:tabs>
        <w:ind w:left="283" w:hanging="283"/>
      </w:pPr>
      <w:rPr>
        <w:rFonts w:ascii="Symbol" w:hAnsi="Symbol" w:hint="default"/>
      </w:rPr>
    </w:lvl>
  </w:abstractNum>
  <w:abstractNum w:abstractNumId="28" w15:restartNumberingAfterBreak="0">
    <w:nsid w:val="78A241BD"/>
    <w:multiLevelType w:val="singleLevel"/>
    <w:tmpl w:val="53C4DF32"/>
    <w:name w:val="List Dash 3"/>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29" w15:restartNumberingAfterBreak="0">
    <w:nsid w:val="79C96D36"/>
    <w:multiLevelType w:val="multilevel"/>
    <w:tmpl w:val="BE983CE4"/>
    <w:name w:val="List Number 1"/>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C966381"/>
    <w:multiLevelType w:val="multilevel"/>
    <w:tmpl w:val="DCC88062"/>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D8820A0"/>
    <w:multiLevelType w:val="singleLevel"/>
    <w:tmpl w:val="54F6C7B4"/>
    <w:name w:val="List Dash 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32" w15:restartNumberingAfterBreak="0">
    <w:nsid w:val="7F7154E1"/>
    <w:multiLevelType w:val="singleLevel"/>
    <w:tmpl w:val="E3F6D2C6"/>
    <w:name w:val="List Bullet 4"/>
    <w:lvl w:ilvl="0">
      <w:start w:val="1"/>
      <w:numFmt w:val="bullet"/>
      <w:lvlRestart w:val="0"/>
      <w:pStyle w:val="Punktlista4"/>
      <w:lvlText w:val=""/>
      <w:lvlJc w:val="left"/>
      <w:pPr>
        <w:tabs>
          <w:tab w:val="num" w:pos="1134"/>
        </w:tabs>
        <w:ind w:left="1134" w:hanging="283"/>
      </w:pPr>
      <w:rPr>
        <w:rFonts w:ascii="Symbol" w:hAnsi="Symbol" w:hint="default"/>
      </w:rPr>
    </w:lvl>
  </w:abstractNum>
  <w:num w:numId="1" w16cid:durableId="406612515">
    <w:abstractNumId w:val="7"/>
  </w:num>
  <w:num w:numId="2" w16cid:durableId="357511587">
    <w:abstractNumId w:val="5"/>
  </w:num>
  <w:num w:numId="3" w16cid:durableId="1807703492">
    <w:abstractNumId w:val="4"/>
  </w:num>
  <w:num w:numId="4" w16cid:durableId="1891266786">
    <w:abstractNumId w:val="3"/>
  </w:num>
  <w:num w:numId="5" w16cid:durableId="1745911736">
    <w:abstractNumId w:val="6"/>
  </w:num>
  <w:num w:numId="6" w16cid:durableId="490678552">
    <w:abstractNumId w:val="2"/>
  </w:num>
  <w:num w:numId="7" w16cid:durableId="754783929">
    <w:abstractNumId w:val="1"/>
  </w:num>
  <w:num w:numId="8" w16cid:durableId="1706322578">
    <w:abstractNumId w:val="0"/>
  </w:num>
  <w:num w:numId="9" w16cid:durableId="812647463">
    <w:abstractNumId w:val="13"/>
  </w:num>
  <w:num w:numId="10" w16cid:durableId="1864247119">
    <w:abstractNumId w:val="19"/>
  </w:num>
  <w:num w:numId="11" w16cid:durableId="1061321859">
    <w:abstractNumId w:val="14"/>
  </w:num>
  <w:num w:numId="12" w16cid:durableId="22757142">
    <w:abstractNumId w:val="17"/>
  </w:num>
  <w:num w:numId="13" w16cid:durableId="1575892693">
    <w:abstractNumId w:val="18"/>
  </w:num>
  <w:num w:numId="14" w16cid:durableId="1368217756">
    <w:abstractNumId w:val="30"/>
  </w:num>
  <w:num w:numId="15" w16cid:durableId="444808517">
    <w:abstractNumId w:val="20"/>
  </w:num>
  <w:num w:numId="16" w16cid:durableId="1144272927">
    <w:abstractNumId w:val="27"/>
  </w:num>
  <w:num w:numId="17" w16cid:durableId="1203442898">
    <w:abstractNumId w:val="26"/>
  </w:num>
  <w:num w:numId="18" w16cid:durableId="1895461617">
    <w:abstractNumId w:val="10"/>
  </w:num>
  <w:num w:numId="19" w16cid:durableId="1351369076">
    <w:abstractNumId w:val="15"/>
  </w:num>
  <w:num w:numId="20" w16cid:durableId="1222595884">
    <w:abstractNumId w:val="32"/>
  </w:num>
  <w:num w:numId="21" w16cid:durableId="1194729474">
    <w:abstractNumId w:val="16"/>
  </w:num>
  <w:num w:numId="22" w16cid:durableId="566889508">
    <w:abstractNumId w:val="25"/>
  </w:num>
  <w:num w:numId="23" w16cid:durableId="2017728599">
    <w:abstractNumId w:val="21"/>
  </w:num>
  <w:num w:numId="24" w16cid:durableId="1733191597">
    <w:abstractNumId w:val="28"/>
  </w:num>
  <w:num w:numId="25" w16cid:durableId="637413629">
    <w:abstractNumId w:val="31"/>
  </w:num>
  <w:num w:numId="26" w16cid:durableId="715740630">
    <w:abstractNumId w:val="24"/>
  </w:num>
  <w:num w:numId="27" w16cid:durableId="674301757">
    <w:abstractNumId w:val="29"/>
  </w:num>
  <w:num w:numId="28" w16cid:durableId="1907301954">
    <w:abstractNumId w:val="11"/>
  </w:num>
  <w:num w:numId="29" w16cid:durableId="2146846376">
    <w:abstractNumId w:val="9"/>
  </w:num>
  <w:num w:numId="30" w16cid:durableId="1827431404">
    <w:abstractNumId w:val="8"/>
  </w:num>
  <w:num w:numId="31" w16cid:durableId="5284478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0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pylist_Path" w:val="\\at100\user\wk\SEILEG\Lw5x\Copylist\CecCons\Template"/>
    <w:docVar w:name="Council" w:val="True"/>
    <w:docVar w:name="LW_DocType" w:val="COM"/>
    <w:docVar w:name="LWCons_Cote" w:val="13937/08"/>
    <w:docVar w:name="LWCons_CoteSec" w:val=" "/>
    <w:docVar w:name="LWCons_Date" w:val="7 oktober 2008"/>
    <w:docVar w:name="LWCons_DateEntree" w:val="(08.10)"/>
    <w:docVar w:name="LWCons_DG" w:val="DG C III"/>
    <w:docVar w:name="LWCons_DossierInterInst" w:val=" "/>
    <w:docVar w:name="LWCons_Init" w:val="/lt"/>
    <w:docVar w:name="LWCons_Langue" w:val="SV"/>
    <w:docVar w:name="LWCons_Lieu" w:val="Bryssel den"/>
    <w:docVar w:name="LWCons_RefInstCEC" w:val="KOM(2008) 603 slutlig"/>
    <w:docVar w:name="LWCons_Sigle" w:val="ST"/>
    <w:docVar w:name="LWCons_Subject" w:val=" "/>
    <w:docVar w:name="VSSDB_IniPath" w:val="\\at100\user\wovo\SEILEG\vss\srcsafe.ini"/>
    <w:docVar w:name="VSSDB_ProjectPath" w:val="$/LegisWrite/DOT/COM"/>
  </w:docVars>
  <w:rsids>
    <w:rsidRoot w:val="00535518"/>
    <w:rsid w:val="000227B9"/>
    <w:rsid w:val="00023D7C"/>
    <w:rsid w:val="00032380"/>
    <w:rsid w:val="00034E07"/>
    <w:rsid w:val="000B4A71"/>
    <w:rsid w:val="000F439D"/>
    <w:rsid w:val="0010572C"/>
    <w:rsid w:val="00123473"/>
    <w:rsid w:val="001470B8"/>
    <w:rsid w:val="00157333"/>
    <w:rsid w:val="00160A65"/>
    <w:rsid w:val="001726DF"/>
    <w:rsid w:val="00182B0C"/>
    <w:rsid w:val="001937DE"/>
    <w:rsid w:val="001976A2"/>
    <w:rsid w:val="001A329A"/>
    <w:rsid w:val="002045B3"/>
    <w:rsid w:val="00237CDF"/>
    <w:rsid w:val="00255C23"/>
    <w:rsid w:val="002879CC"/>
    <w:rsid w:val="00295A5B"/>
    <w:rsid w:val="00296F42"/>
    <w:rsid w:val="002C1A90"/>
    <w:rsid w:val="00313954"/>
    <w:rsid w:val="00320460"/>
    <w:rsid w:val="003729E2"/>
    <w:rsid w:val="003D4998"/>
    <w:rsid w:val="0044407C"/>
    <w:rsid w:val="00455173"/>
    <w:rsid w:val="00460AF5"/>
    <w:rsid w:val="0047520C"/>
    <w:rsid w:val="0049511E"/>
    <w:rsid w:val="004952B0"/>
    <w:rsid w:val="004E109A"/>
    <w:rsid w:val="004E4990"/>
    <w:rsid w:val="00503A1A"/>
    <w:rsid w:val="00511E31"/>
    <w:rsid w:val="00522120"/>
    <w:rsid w:val="00531262"/>
    <w:rsid w:val="00535518"/>
    <w:rsid w:val="0055168D"/>
    <w:rsid w:val="00562FB7"/>
    <w:rsid w:val="0059128D"/>
    <w:rsid w:val="005A02A7"/>
    <w:rsid w:val="0060580C"/>
    <w:rsid w:val="00612A58"/>
    <w:rsid w:val="00637D87"/>
    <w:rsid w:val="00640D6C"/>
    <w:rsid w:val="0064355D"/>
    <w:rsid w:val="00650617"/>
    <w:rsid w:val="00655CEF"/>
    <w:rsid w:val="0068217D"/>
    <w:rsid w:val="006D34AD"/>
    <w:rsid w:val="006F6B39"/>
    <w:rsid w:val="00712435"/>
    <w:rsid w:val="00736D6C"/>
    <w:rsid w:val="00771C7A"/>
    <w:rsid w:val="007A6E13"/>
    <w:rsid w:val="007B136A"/>
    <w:rsid w:val="007B6028"/>
    <w:rsid w:val="007D1C40"/>
    <w:rsid w:val="007E59F0"/>
    <w:rsid w:val="0080096D"/>
    <w:rsid w:val="00800E91"/>
    <w:rsid w:val="008043A5"/>
    <w:rsid w:val="008071C9"/>
    <w:rsid w:val="00816B95"/>
    <w:rsid w:val="0082465A"/>
    <w:rsid w:val="0082723A"/>
    <w:rsid w:val="00827301"/>
    <w:rsid w:val="00833245"/>
    <w:rsid w:val="00886D8A"/>
    <w:rsid w:val="00891749"/>
    <w:rsid w:val="008A5751"/>
    <w:rsid w:val="008B1EDD"/>
    <w:rsid w:val="008B7EAB"/>
    <w:rsid w:val="008C73AC"/>
    <w:rsid w:val="008E2F7F"/>
    <w:rsid w:val="008E6538"/>
    <w:rsid w:val="00916892"/>
    <w:rsid w:val="00930FFC"/>
    <w:rsid w:val="0095339B"/>
    <w:rsid w:val="009564A5"/>
    <w:rsid w:val="0096752C"/>
    <w:rsid w:val="00975B81"/>
    <w:rsid w:val="009924D7"/>
    <w:rsid w:val="009A783C"/>
    <w:rsid w:val="009B0F2E"/>
    <w:rsid w:val="009B1154"/>
    <w:rsid w:val="009D02C5"/>
    <w:rsid w:val="00A27890"/>
    <w:rsid w:val="00A43D58"/>
    <w:rsid w:val="00A6165C"/>
    <w:rsid w:val="00A8679C"/>
    <w:rsid w:val="00AC38F9"/>
    <w:rsid w:val="00AC540C"/>
    <w:rsid w:val="00AF3DE6"/>
    <w:rsid w:val="00B2175A"/>
    <w:rsid w:val="00B317B8"/>
    <w:rsid w:val="00B34B4E"/>
    <w:rsid w:val="00B4741A"/>
    <w:rsid w:val="00B64D1C"/>
    <w:rsid w:val="00B70734"/>
    <w:rsid w:val="00B96378"/>
    <w:rsid w:val="00BB2844"/>
    <w:rsid w:val="00BF1CE6"/>
    <w:rsid w:val="00C00E35"/>
    <w:rsid w:val="00C229F1"/>
    <w:rsid w:val="00C96263"/>
    <w:rsid w:val="00CA0888"/>
    <w:rsid w:val="00CA5232"/>
    <w:rsid w:val="00D026F8"/>
    <w:rsid w:val="00D03D7E"/>
    <w:rsid w:val="00D21DC4"/>
    <w:rsid w:val="00D46429"/>
    <w:rsid w:val="00D66C25"/>
    <w:rsid w:val="00D96FDB"/>
    <w:rsid w:val="00E00563"/>
    <w:rsid w:val="00E25747"/>
    <w:rsid w:val="00E30F3C"/>
    <w:rsid w:val="00E40626"/>
    <w:rsid w:val="00E919A5"/>
    <w:rsid w:val="00EA55FA"/>
    <w:rsid w:val="00EB0E3B"/>
    <w:rsid w:val="00EC6567"/>
    <w:rsid w:val="00EE4D3F"/>
    <w:rsid w:val="00EF63C9"/>
    <w:rsid w:val="00F24AA5"/>
    <w:rsid w:val="00F25171"/>
    <w:rsid w:val="00F55DF5"/>
    <w:rsid w:val="00F84A1C"/>
    <w:rsid w:val="00FD0546"/>
    <w:rsid w:val="00FE6E3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ED104663-A6BB-49B5-B199-82EC46A3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jc w:val="both"/>
    </w:pPr>
    <w:rPr>
      <w:sz w:val="24"/>
      <w:szCs w:val="24"/>
      <w:lang w:val="sv-SE" w:eastAsia="de-DE"/>
    </w:rPr>
  </w:style>
  <w:style w:type="paragraph" w:styleId="Rubrik1">
    <w:name w:val="heading 1"/>
    <w:basedOn w:val="Normal"/>
    <w:next w:val="Text1"/>
    <w:qFormat/>
    <w:rsid w:val="00295A5B"/>
    <w:pPr>
      <w:keepNext/>
      <w:numPr>
        <w:numId w:val="15"/>
      </w:numPr>
      <w:spacing w:before="360"/>
      <w:outlineLvl w:val="0"/>
    </w:pPr>
    <w:rPr>
      <w:b/>
      <w:bCs/>
      <w:smallCaps/>
      <w:szCs w:val="32"/>
    </w:rPr>
  </w:style>
  <w:style w:type="paragraph" w:styleId="Rubrik2">
    <w:name w:val="heading 2"/>
    <w:basedOn w:val="Normal"/>
    <w:next w:val="Text2"/>
    <w:qFormat/>
    <w:rsid w:val="00295A5B"/>
    <w:pPr>
      <w:keepNext/>
      <w:numPr>
        <w:ilvl w:val="1"/>
        <w:numId w:val="15"/>
      </w:numPr>
      <w:outlineLvl w:val="1"/>
    </w:pPr>
    <w:rPr>
      <w:b/>
      <w:bCs/>
      <w:iCs/>
      <w:szCs w:val="28"/>
    </w:rPr>
  </w:style>
  <w:style w:type="paragraph" w:styleId="Rubrik3">
    <w:name w:val="heading 3"/>
    <w:basedOn w:val="Normal"/>
    <w:next w:val="Text3"/>
    <w:qFormat/>
    <w:rsid w:val="00295A5B"/>
    <w:pPr>
      <w:keepNext/>
      <w:numPr>
        <w:ilvl w:val="2"/>
        <w:numId w:val="15"/>
      </w:numPr>
      <w:outlineLvl w:val="2"/>
    </w:pPr>
    <w:rPr>
      <w:bCs/>
      <w:i/>
      <w:szCs w:val="26"/>
    </w:rPr>
  </w:style>
  <w:style w:type="paragraph" w:styleId="Rubrik4">
    <w:name w:val="heading 4"/>
    <w:basedOn w:val="Normal"/>
    <w:next w:val="Text4"/>
    <w:qFormat/>
    <w:rsid w:val="00295A5B"/>
    <w:pPr>
      <w:keepNext/>
      <w:numPr>
        <w:ilvl w:val="3"/>
        <w:numId w:val="15"/>
      </w:numPr>
      <w:outlineLvl w:val="3"/>
    </w:pPr>
    <w:rPr>
      <w:bCs/>
      <w:szCs w:val="2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rsid w:val="00295A5B"/>
    <w:pPr>
      <w:tabs>
        <w:tab w:val="right" w:pos="9071"/>
      </w:tabs>
    </w:pPr>
  </w:style>
  <w:style w:type="paragraph" w:styleId="Sidfot">
    <w:name w:val="footer"/>
    <w:basedOn w:val="Normal"/>
    <w:rsid w:val="00295A5B"/>
    <w:pPr>
      <w:tabs>
        <w:tab w:val="center" w:pos="4535"/>
        <w:tab w:val="right" w:pos="9071"/>
        <w:tab w:val="right" w:pos="9921"/>
      </w:tabs>
      <w:spacing w:before="360" w:after="0"/>
      <w:ind w:left="-850" w:right="-850"/>
      <w:jc w:val="left"/>
    </w:pPr>
  </w:style>
  <w:style w:type="paragraph" w:styleId="Fotnotstext">
    <w:name w:val="footnote text"/>
    <w:basedOn w:val="Normal"/>
    <w:semiHidden/>
    <w:rsid w:val="00295A5B"/>
    <w:pPr>
      <w:spacing w:before="0" w:after="0"/>
      <w:ind w:left="720" w:hanging="720"/>
    </w:pPr>
    <w:rPr>
      <w:sz w:val="20"/>
      <w:szCs w:val="20"/>
    </w:rPr>
  </w:style>
  <w:style w:type="paragraph" w:styleId="Punktlista">
    <w:name w:val="List Bullet"/>
    <w:basedOn w:val="Normal"/>
    <w:rsid w:val="00295A5B"/>
    <w:pPr>
      <w:numPr>
        <w:numId w:val="16"/>
      </w:numPr>
    </w:pPr>
  </w:style>
  <w:style w:type="paragraph" w:styleId="Punktlista2">
    <w:name w:val="List Bullet 2"/>
    <w:basedOn w:val="Normal"/>
    <w:rsid w:val="00295A5B"/>
    <w:pPr>
      <w:numPr>
        <w:numId w:val="18"/>
      </w:numPr>
    </w:pPr>
  </w:style>
  <w:style w:type="paragraph" w:styleId="Punktlista3">
    <w:name w:val="List Bullet 3"/>
    <w:basedOn w:val="Normal"/>
    <w:rsid w:val="00295A5B"/>
    <w:pPr>
      <w:numPr>
        <w:numId w:val="19"/>
      </w:numPr>
    </w:pPr>
  </w:style>
  <w:style w:type="paragraph" w:styleId="Punktlista4">
    <w:name w:val="List Bullet 4"/>
    <w:basedOn w:val="Normal"/>
    <w:rsid w:val="00295A5B"/>
    <w:pPr>
      <w:numPr>
        <w:numId w:val="20"/>
      </w:numPr>
    </w:pPr>
  </w:style>
  <w:style w:type="paragraph" w:styleId="Numreradlista">
    <w:name w:val="List Number"/>
    <w:basedOn w:val="Normal"/>
    <w:rsid w:val="00295A5B"/>
    <w:pPr>
      <w:numPr>
        <w:numId w:val="26"/>
      </w:numPr>
    </w:pPr>
  </w:style>
  <w:style w:type="paragraph" w:styleId="Numreradlista2">
    <w:name w:val="List Number 2"/>
    <w:basedOn w:val="Normal"/>
    <w:rsid w:val="00295A5B"/>
    <w:pPr>
      <w:numPr>
        <w:numId w:val="28"/>
      </w:numPr>
    </w:pPr>
  </w:style>
  <w:style w:type="paragraph" w:styleId="Numreradlista3">
    <w:name w:val="List Number 3"/>
    <w:basedOn w:val="Normal"/>
    <w:rsid w:val="00295A5B"/>
    <w:pPr>
      <w:numPr>
        <w:numId w:val="29"/>
      </w:numPr>
    </w:pPr>
  </w:style>
  <w:style w:type="paragraph" w:styleId="Numreradlista4">
    <w:name w:val="List Number 4"/>
    <w:basedOn w:val="Normal"/>
    <w:rsid w:val="00295A5B"/>
    <w:pPr>
      <w:numPr>
        <w:numId w:val="30"/>
      </w:numPr>
    </w:pPr>
  </w:style>
  <w:style w:type="paragraph" w:styleId="Innehll1">
    <w:name w:val="toc 1"/>
    <w:basedOn w:val="Normal"/>
    <w:next w:val="Normal"/>
    <w:semiHidden/>
    <w:rsid w:val="00295A5B"/>
    <w:pPr>
      <w:tabs>
        <w:tab w:val="right" w:leader="dot" w:pos="9071"/>
      </w:tabs>
      <w:spacing w:before="60"/>
      <w:ind w:left="850" w:hanging="850"/>
      <w:jc w:val="left"/>
    </w:pPr>
  </w:style>
  <w:style w:type="paragraph" w:styleId="Innehll2">
    <w:name w:val="toc 2"/>
    <w:basedOn w:val="Normal"/>
    <w:next w:val="Normal"/>
    <w:semiHidden/>
    <w:rsid w:val="00295A5B"/>
    <w:pPr>
      <w:tabs>
        <w:tab w:val="right" w:leader="dot" w:pos="9071"/>
      </w:tabs>
      <w:spacing w:before="60"/>
      <w:ind w:left="850" w:hanging="850"/>
      <w:jc w:val="left"/>
    </w:pPr>
  </w:style>
  <w:style w:type="paragraph" w:styleId="Innehll3">
    <w:name w:val="toc 3"/>
    <w:basedOn w:val="Normal"/>
    <w:next w:val="Normal"/>
    <w:semiHidden/>
    <w:rsid w:val="00295A5B"/>
    <w:pPr>
      <w:tabs>
        <w:tab w:val="right" w:leader="dot" w:pos="9071"/>
      </w:tabs>
      <w:spacing w:before="60"/>
      <w:ind w:left="850" w:hanging="850"/>
      <w:jc w:val="left"/>
    </w:pPr>
  </w:style>
  <w:style w:type="paragraph" w:styleId="Innehll4">
    <w:name w:val="toc 4"/>
    <w:basedOn w:val="Normal"/>
    <w:next w:val="Normal"/>
    <w:semiHidden/>
    <w:rsid w:val="00295A5B"/>
    <w:pPr>
      <w:tabs>
        <w:tab w:val="right" w:leader="dot" w:pos="9071"/>
      </w:tabs>
      <w:spacing w:before="60"/>
      <w:ind w:left="850" w:hanging="850"/>
      <w:jc w:val="left"/>
    </w:pPr>
  </w:style>
  <w:style w:type="paragraph" w:styleId="Innehll5">
    <w:name w:val="toc 5"/>
    <w:basedOn w:val="Normal"/>
    <w:next w:val="Normal"/>
    <w:semiHidden/>
    <w:rsid w:val="00295A5B"/>
    <w:pPr>
      <w:tabs>
        <w:tab w:val="right" w:leader="dot" w:pos="9071"/>
      </w:tabs>
      <w:spacing w:before="300"/>
      <w:jc w:val="left"/>
    </w:pPr>
  </w:style>
  <w:style w:type="paragraph" w:styleId="Innehll6">
    <w:name w:val="toc 6"/>
    <w:basedOn w:val="Normal"/>
    <w:next w:val="Normal"/>
    <w:semiHidden/>
    <w:rsid w:val="00295A5B"/>
    <w:pPr>
      <w:tabs>
        <w:tab w:val="right" w:leader="dot" w:pos="9071"/>
      </w:tabs>
      <w:spacing w:before="240"/>
      <w:jc w:val="left"/>
    </w:pPr>
  </w:style>
  <w:style w:type="paragraph" w:styleId="Innehll7">
    <w:name w:val="toc 7"/>
    <w:basedOn w:val="Normal"/>
    <w:next w:val="Normal"/>
    <w:semiHidden/>
    <w:rsid w:val="00295A5B"/>
    <w:pPr>
      <w:tabs>
        <w:tab w:val="right" w:leader="dot" w:pos="9071"/>
      </w:tabs>
      <w:spacing w:before="180"/>
      <w:jc w:val="left"/>
    </w:pPr>
  </w:style>
  <w:style w:type="paragraph" w:styleId="Innehll8">
    <w:name w:val="toc 8"/>
    <w:basedOn w:val="Normal"/>
    <w:next w:val="Normal"/>
    <w:semiHidden/>
    <w:rsid w:val="00295A5B"/>
    <w:pPr>
      <w:tabs>
        <w:tab w:val="right" w:leader="dot" w:pos="9071"/>
      </w:tabs>
      <w:jc w:val="left"/>
    </w:pPr>
  </w:style>
  <w:style w:type="paragraph" w:styleId="Innehll9">
    <w:name w:val="toc 9"/>
    <w:basedOn w:val="Normal"/>
    <w:next w:val="Normal"/>
    <w:semiHidden/>
    <w:rsid w:val="00295A5B"/>
    <w:pPr>
      <w:tabs>
        <w:tab w:val="right" w:leader="dot" w:pos="9071"/>
      </w:tabs>
    </w:pPr>
  </w:style>
  <w:style w:type="paragraph" w:customStyle="1" w:styleId="HeaderLandscape">
    <w:name w:val="HeaderLandscape"/>
    <w:basedOn w:val="Normal"/>
    <w:rsid w:val="00295A5B"/>
    <w:pPr>
      <w:tabs>
        <w:tab w:val="right" w:pos="14003"/>
      </w:tabs>
    </w:pPr>
  </w:style>
  <w:style w:type="paragraph" w:customStyle="1" w:styleId="FooterLandscape">
    <w:name w:val="FooterLandscape"/>
    <w:basedOn w:val="Normal"/>
    <w:rsid w:val="00295A5B"/>
    <w:pPr>
      <w:tabs>
        <w:tab w:val="center" w:pos="7285"/>
        <w:tab w:val="center" w:pos="10913"/>
        <w:tab w:val="right" w:pos="15137"/>
      </w:tabs>
      <w:spacing w:before="360" w:after="0"/>
      <w:ind w:left="-567" w:right="-567"/>
      <w:jc w:val="left"/>
    </w:pPr>
  </w:style>
  <w:style w:type="character" w:styleId="Fotnotsreferens">
    <w:name w:val="footnote reference"/>
    <w:basedOn w:val="Standardstycketeckensnitt"/>
    <w:semiHidden/>
    <w:rsid w:val="00295A5B"/>
    <w:rPr>
      <w:vertAlign w:val="superscript"/>
    </w:rPr>
  </w:style>
  <w:style w:type="paragraph" w:customStyle="1" w:styleId="Text1">
    <w:name w:val="Text 1"/>
    <w:basedOn w:val="Normal"/>
    <w:rsid w:val="00295A5B"/>
    <w:pPr>
      <w:ind w:left="850"/>
    </w:pPr>
  </w:style>
  <w:style w:type="paragraph" w:customStyle="1" w:styleId="Text2">
    <w:name w:val="Text 2"/>
    <w:basedOn w:val="Normal"/>
    <w:rsid w:val="00295A5B"/>
    <w:pPr>
      <w:ind w:left="850"/>
    </w:pPr>
  </w:style>
  <w:style w:type="paragraph" w:customStyle="1" w:styleId="Text3">
    <w:name w:val="Text 3"/>
    <w:basedOn w:val="Normal"/>
    <w:rsid w:val="00295A5B"/>
    <w:pPr>
      <w:ind w:left="850"/>
    </w:pPr>
  </w:style>
  <w:style w:type="paragraph" w:customStyle="1" w:styleId="Text4">
    <w:name w:val="Text 4"/>
    <w:basedOn w:val="Normal"/>
    <w:rsid w:val="00295A5B"/>
    <w:pPr>
      <w:ind w:left="850"/>
    </w:pPr>
  </w:style>
  <w:style w:type="paragraph" w:customStyle="1" w:styleId="NormalCentered">
    <w:name w:val="Normal Centered"/>
    <w:basedOn w:val="Normal"/>
    <w:rsid w:val="00295A5B"/>
    <w:pPr>
      <w:jc w:val="center"/>
    </w:pPr>
  </w:style>
  <w:style w:type="paragraph" w:customStyle="1" w:styleId="NormalLeft">
    <w:name w:val="Normal Left"/>
    <w:basedOn w:val="Normal"/>
    <w:rsid w:val="00295A5B"/>
    <w:pPr>
      <w:jc w:val="left"/>
    </w:pPr>
  </w:style>
  <w:style w:type="paragraph" w:customStyle="1" w:styleId="NormalRight">
    <w:name w:val="Normal Right"/>
    <w:basedOn w:val="Normal"/>
    <w:rsid w:val="00295A5B"/>
    <w:pPr>
      <w:jc w:val="right"/>
    </w:pPr>
  </w:style>
  <w:style w:type="paragraph" w:customStyle="1" w:styleId="QuotedText">
    <w:name w:val="Quoted Text"/>
    <w:basedOn w:val="Normal"/>
    <w:rsid w:val="00295A5B"/>
    <w:pPr>
      <w:ind w:left="1417"/>
    </w:pPr>
  </w:style>
  <w:style w:type="paragraph" w:customStyle="1" w:styleId="Point0">
    <w:name w:val="Point 0"/>
    <w:basedOn w:val="Normal"/>
    <w:rsid w:val="00295A5B"/>
    <w:pPr>
      <w:ind w:left="850" w:hanging="850"/>
    </w:pPr>
  </w:style>
  <w:style w:type="paragraph" w:customStyle="1" w:styleId="Point1">
    <w:name w:val="Point 1"/>
    <w:basedOn w:val="Normal"/>
    <w:rsid w:val="00295A5B"/>
    <w:pPr>
      <w:ind w:left="1417" w:hanging="567"/>
    </w:pPr>
  </w:style>
  <w:style w:type="paragraph" w:customStyle="1" w:styleId="Point2">
    <w:name w:val="Point 2"/>
    <w:basedOn w:val="Normal"/>
    <w:rsid w:val="00295A5B"/>
    <w:pPr>
      <w:ind w:left="1984" w:hanging="567"/>
    </w:pPr>
  </w:style>
  <w:style w:type="paragraph" w:customStyle="1" w:styleId="Point3">
    <w:name w:val="Point 3"/>
    <w:basedOn w:val="Normal"/>
    <w:rsid w:val="00295A5B"/>
    <w:pPr>
      <w:ind w:left="2551" w:hanging="567"/>
    </w:pPr>
  </w:style>
  <w:style w:type="paragraph" w:customStyle="1" w:styleId="Point4">
    <w:name w:val="Point 4"/>
    <w:basedOn w:val="Normal"/>
    <w:rsid w:val="00295A5B"/>
    <w:pPr>
      <w:ind w:left="3118" w:hanging="567"/>
    </w:pPr>
  </w:style>
  <w:style w:type="paragraph" w:customStyle="1" w:styleId="Tiret0">
    <w:name w:val="Tiret 0"/>
    <w:basedOn w:val="Point0"/>
    <w:rsid w:val="00295A5B"/>
    <w:pPr>
      <w:numPr>
        <w:numId w:val="9"/>
      </w:numPr>
    </w:pPr>
  </w:style>
  <w:style w:type="paragraph" w:customStyle="1" w:styleId="Tiret1">
    <w:name w:val="Tiret 1"/>
    <w:basedOn w:val="Point1"/>
    <w:rsid w:val="00295A5B"/>
    <w:pPr>
      <w:numPr>
        <w:numId w:val="10"/>
      </w:numPr>
    </w:pPr>
  </w:style>
  <w:style w:type="paragraph" w:customStyle="1" w:styleId="Tiret2">
    <w:name w:val="Tiret 2"/>
    <w:basedOn w:val="Point2"/>
    <w:rsid w:val="00295A5B"/>
    <w:pPr>
      <w:numPr>
        <w:numId w:val="11"/>
      </w:numPr>
    </w:pPr>
  </w:style>
  <w:style w:type="paragraph" w:customStyle="1" w:styleId="Tiret3">
    <w:name w:val="Tiret 3"/>
    <w:basedOn w:val="Point3"/>
    <w:rsid w:val="00295A5B"/>
    <w:pPr>
      <w:numPr>
        <w:numId w:val="12"/>
      </w:numPr>
    </w:pPr>
  </w:style>
  <w:style w:type="paragraph" w:customStyle="1" w:styleId="Tiret4">
    <w:name w:val="Tiret 4"/>
    <w:basedOn w:val="Point4"/>
    <w:rsid w:val="00295A5B"/>
    <w:pPr>
      <w:numPr>
        <w:numId w:val="13"/>
      </w:numPr>
    </w:pPr>
  </w:style>
  <w:style w:type="paragraph" w:customStyle="1" w:styleId="PointDouble0">
    <w:name w:val="PointDouble 0"/>
    <w:basedOn w:val="Normal"/>
    <w:rsid w:val="00295A5B"/>
    <w:pPr>
      <w:tabs>
        <w:tab w:val="left" w:pos="850"/>
      </w:tabs>
      <w:ind w:left="1417" w:hanging="1417"/>
    </w:pPr>
  </w:style>
  <w:style w:type="paragraph" w:customStyle="1" w:styleId="PointDouble1">
    <w:name w:val="PointDouble 1"/>
    <w:basedOn w:val="Normal"/>
    <w:rsid w:val="00295A5B"/>
    <w:pPr>
      <w:tabs>
        <w:tab w:val="left" w:pos="1417"/>
      </w:tabs>
      <w:ind w:left="1984" w:hanging="1134"/>
    </w:pPr>
  </w:style>
  <w:style w:type="paragraph" w:customStyle="1" w:styleId="PointDouble2">
    <w:name w:val="PointDouble 2"/>
    <w:basedOn w:val="Normal"/>
    <w:rsid w:val="00295A5B"/>
    <w:pPr>
      <w:tabs>
        <w:tab w:val="left" w:pos="1984"/>
      </w:tabs>
      <w:ind w:left="2551" w:hanging="1134"/>
    </w:pPr>
  </w:style>
  <w:style w:type="paragraph" w:customStyle="1" w:styleId="PointDouble3">
    <w:name w:val="PointDouble 3"/>
    <w:basedOn w:val="Normal"/>
    <w:rsid w:val="00295A5B"/>
    <w:pPr>
      <w:tabs>
        <w:tab w:val="left" w:pos="2551"/>
      </w:tabs>
      <w:ind w:left="3118" w:hanging="1134"/>
    </w:pPr>
  </w:style>
  <w:style w:type="paragraph" w:customStyle="1" w:styleId="PointDouble4">
    <w:name w:val="PointDouble 4"/>
    <w:basedOn w:val="Normal"/>
    <w:rsid w:val="00295A5B"/>
    <w:pPr>
      <w:tabs>
        <w:tab w:val="left" w:pos="3118"/>
      </w:tabs>
      <w:ind w:left="3685" w:hanging="1134"/>
    </w:pPr>
  </w:style>
  <w:style w:type="paragraph" w:customStyle="1" w:styleId="PointTriple0">
    <w:name w:val="PointTriple 0"/>
    <w:basedOn w:val="Normal"/>
    <w:rsid w:val="00295A5B"/>
    <w:pPr>
      <w:tabs>
        <w:tab w:val="left" w:pos="850"/>
        <w:tab w:val="left" w:pos="1417"/>
      </w:tabs>
      <w:ind w:left="1984" w:hanging="1984"/>
    </w:pPr>
  </w:style>
  <w:style w:type="paragraph" w:customStyle="1" w:styleId="PointTriple1">
    <w:name w:val="PointTriple 1"/>
    <w:basedOn w:val="Normal"/>
    <w:rsid w:val="00295A5B"/>
    <w:pPr>
      <w:tabs>
        <w:tab w:val="left" w:pos="1417"/>
        <w:tab w:val="left" w:pos="1984"/>
      </w:tabs>
      <w:ind w:left="2551" w:hanging="1701"/>
    </w:pPr>
  </w:style>
  <w:style w:type="paragraph" w:customStyle="1" w:styleId="PointTriple2">
    <w:name w:val="PointTriple 2"/>
    <w:basedOn w:val="Normal"/>
    <w:rsid w:val="00295A5B"/>
    <w:pPr>
      <w:tabs>
        <w:tab w:val="left" w:pos="1984"/>
        <w:tab w:val="left" w:pos="2551"/>
      </w:tabs>
      <w:ind w:left="3118" w:hanging="1701"/>
    </w:pPr>
  </w:style>
  <w:style w:type="paragraph" w:customStyle="1" w:styleId="PointTriple3">
    <w:name w:val="PointTriple 3"/>
    <w:basedOn w:val="Normal"/>
    <w:rsid w:val="00295A5B"/>
    <w:pPr>
      <w:tabs>
        <w:tab w:val="left" w:pos="2551"/>
        <w:tab w:val="left" w:pos="3118"/>
      </w:tabs>
      <w:ind w:left="3685" w:hanging="1701"/>
    </w:pPr>
  </w:style>
  <w:style w:type="paragraph" w:customStyle="1" w:styleId="PointTriple4">
    <w:name w:val="PointTriple 4"/>
    <w:basedOn w:val="Normal"/>
    <w:rsid w:val="00295A5B"/>
    <w:pPr>
      <w:tabs>
        <w:tab w:val="left" w:pos="3118"/>
        <w:tab w:val="left" w:pos="3685"/>
      </w:tabs>
      <w:ind w:left="4252" w:hanging="1701"/>
    </w:pPr>
  </w:style>
  <w:style w:type="paragraph" w:customStyle="1" w:styleId="NumPar1">
    <w:name w:val="NumPar 1"/>
    <w:basedOn w:val="Normal"/>
    <w:next w:val="Text1"/>
    <w:rsid w:val="00295A5B"/>
    <w:pPr>
      <w:numPr>
        <w:numId w:val="14"/>
      </w:numPr>
    </w:pPr>
  </w:style>
  <w:style w:type="paragraph" w:customStyle="1" w:styleId="NumPar2">
    <w:name w:val="NumPar 2"/>
    <w:basedOn w:val="Normal"/>
    <w:next w:val="Text2"/>
    <w:rsid w:val="00295A5B"/>
    <w:pPr>
      <w:numPr>
        <w:ilvl w:val="1"/>
        <w:numId w:val="14"/>
      </w:numPr>
    </w:pPr>
  </w:style>
  <w:style w:type="paragraph" w:customStyle="1" w:styleId="NumPar3">
    <w:name w:val="NumPar 3"/>
    <w:basedOn w:val="Normal"/>
    <w:next w:val="Text3"/>
    <w:rsid w:val="00295A5B"/>
    <w:pPr>
      <w:numPr>
        <w:ilvl w:val="2"/>
        <w:numId w:val="14"/>
      </w:numPr>
    </w:pPr>
  </w:style>
  <w:style w:type="paragraph" w:customStyle="1" w:styleId="NumPar4">
    <w:name w:val="NumPar 4"/>
    <w:basedOn w:val="Normal"/>
    <w:next w:val="Text4"/>
    <w:rsid w:val="00295A5B"/>
    <w:pPr>
      <w:numPr>
        <w:ilvl w:val="3"/>
        <w:numId w:val="14"/>
      </w:numPr>
    </w:pPr>
  </w:style>
  <w:style w:type="paragraph" w:customStyle="1" w:styleId="ManualNumPar1">
    <w:name w:val="Manual NumPar 1"/>
    <w:basedOn w:val="Normal"/>
    <w:next w:val="Text1"/>
    <w:rsid w:val="00295A5B"/>
    <w:pPr>
      <w:ind w:left="850" w:hanging="850"/>
    </w:pPr>
  </w:style>
  <w:style w:type="paragraph" w:customStyle="1" w:styleId="ManualNumPar2">
    <w:name w:val="Manual NumPar 2"/>
    <w:basedOn w:val="Normal"/>
    <w:next w:val="Text2"/>
    <w:rsid w:val="00295A5B"/>
    <w:pPr>
      <w:ind w:left="850" w:hanging="850"/>
    </w:pPr>
  </w:style>
  <w:style w:type="paragraph" w:customStyle="1" w:styleId="ManualNumPar3">
    <w:name w:val="Manual NumPar 3"/>
    <w:basedOn w:val="Normal"/>
    <w:next w:val="Text3"/>
    <w:rsid w:val="00295A5B"/>
    <w:pPr>
      <w:ind w:left="850" w:hanging="850"/>
    </w:pPr>
  </w:style>
  <w:style w:type="paragraph" w:customStyle="1" w:styleId="ManualNumPar4">
    <w:name w:val="Manual NumPar 4"/>
    <w:basedOn w:val="Normal"/>
    <w:next w:val="Text4"/>
    <w:rsid w:val="00295A5B"/>
    <w:pPr>
      <w:ind w:left="850" w:hanging="850"/>
    </w:pPr>
  </w:style>
  <w:style w:type="paragraph" w:customStyle="1" w:styleId="QuotedNumPar">
    <w:name w:val="Quoted NumPar"/>
    <w:basedOn w:val="Normal"/>
    <w:rsid w:val="00295A5B"/>
    <w:pPr>
      <w:ind w:left="1417" w:hanging="567"/>
    </w:pPr>
  </w:style>
  <w:style w:type="paragraph" w:customStyle="1" w:styleId="ManualHeading1">
    <w:name w:val="Manual Heading 1"/>
    <w:basedOn w:val="Normal"/>
    <w:next w:val="Text1"/>
    <w:rsid w:val="00295A5B"/>
    <w:pPr>
      <w:keepNext/>
      <w:tabs>
        <w:tab w:val="left" w:pos="850"/>
      </w:tabs>
      <w:spacing w:before="360"/>
      <w:ind w:left="850" w:hanging="850"/>
      <w:outlineLvl w:val="0"/>
    </w:pPr>
    <w:rPr>
      <w:b/>
      <w:smallCaps/>
    </w:rPr>
  </w:style>
  <w:style w:type="paragraph" w:customStyle="1" w:styleId="ManualHeading2">
    <w:name w:val="Manual Heading 2"/>
    <w:basedOn w:val="Normal"/>
    <w:next w:val="Text2"/>
    <w:rsid w:val="00295A5B"/>
    <w:pPr>
      <w:keepNext/>
      <w:tabs>
        <w:tab w:val="left" w:pos="850"/>
      </w:tabs>
      <w:ind w:left="850" w:hanging="850"/>
      <w:outlineLvl w:val="1"/>
    </w:pPr>
    <w:rPr>
      <w:b/>
    </w:rPr>
  </w:style>
  <w:style w:type="paragraph" w:customStyle="1" w:styleId="ManualHeading3">
    <w:name w:val="Manual Heading 3"/>
    <w:basedOn w:val="Normal"/>
    <w:next w:val="Text3"/>
    <w:rsid w:val="00295A5B"/>
    <w:pPr>
      <w:keepNext/>
      <w:tabs>
        <w:tab w:val="left" w:pos="850"/>
      </w:tabs>
      <w:ind w:left="850" w:hanging="850"/>
      <w:outlineLvl w:val="2"/>
    </w:pPr>
    <w:rPr>
      <w:i/>
    </w:rPr>
  </w:style>
  <w:style w:type="paragraph" w:customStyle="1" w:styleId="ManualHeading4">
    <w:name w:val="Manual Heading 4"/>
    <w:basedOn w:val="Normal"/>
    <w:next w:val="Text4"/>
    <w:rsid w:val="00295A5B"/>
    <w:pPr>
      <w:keepNext/>
      <w:tabs>
        <w:tab w:val="left" w:pos="850"/>
      </w:tabs>
      <w:ind w:left="850" w:hanging="850"/>
      <w:outlineLvl w:val="3"/>
    </w:pPr>
  </w:style>
  <w:style w:type="paragraph" w:customStyle="1" w:styleId="ChapterTitle">
    <w:name w:val="ChapterTitle"/>
    <w:basedOn w:val="Normal"/>
    <w:next w:val="Normal"/>
    <w:rsid w:val="00295A5B"/>
    <w:pPr>
      <w:keepNext/>
      <w:spacing w:after="360"/>
      <w:jc w:val="center"/>
    </w:pPr>
    <w:rPr>
      <w:b/>
      <w:sz w:val="32"/>
    </w:rPr>
  </w:style>
  <w:style w:type="paragraph" w:customStyle="1" w:styleId="PartTitle">
    <w:name w:val="PartTitle"/>
    <w:basedOn w:val="Normal"/>
    <w:next w:val="ChapterTitle"/>
    <w:rsid w:val="00295A5B"/>
    <w:pPr>
      <w:keepNext/>
      <w:pageBreakBefore/>
      <w:spacing w:after="360"/>
      <w:jc w:val="center"/>
    </w:pPr>
    <w:rPr>
      <w:b/>
      <w:sz w:val="36"/>
    </w:rPr>
  </w:style>
  <w:style w:type="paragraph" w:customStyle="1" w:styleId="SectionTitle">
    <w:name w:val="SectionTitle"/>
    <w:basedOn w:val="Normal"/>
    <w:next w:val="Rubrik1"/>
    <w:rsid w:val="00295A5B"/>
    <w:pPr>
      <w:keepNext/>
      <w:spacing w:after="360"/>
      <w:jc w:val="center"/>
    </w:pPr>
    <w:rPr>
      <w:b/>
      <w:smallCaps/>
      <w:sz w:val="28"/>
    </w:rPr>
  </w:style>
  <w:style w:type="paragraph" w:customStyle="1" w:styleId="ListBullet1">
    <w:name w:val="List Bullet 1"/>
    <w:basedOn w:val="Normal"/>
    <w:rsid w:val="00295A5B"/>
    <w:pPr>
      <w:numPr>
        <w:numId w:val="17"/>
      </w:numPr>
    </w:pPr>
  </w:style>
  <w:style w:type="paragraph" w:customStyle="1" w:styleId="ListDash">
    <w:name w:val="List Dash"/>
    <w:basedOn w:val="Normal"/>
    <w:rsid w:val="00295A5B"/>
    <w:pPr>
      <w:numPr>
        <w:numId w:val="21"/>
      </w:numPr>
    </w:pPr>
  </w:style>
  <w:style w:type="paragraph" w:customStyle="1" w:styleId="ListDash1">
    <w:name w:val="List Dash 1"/>
    <w:basedOn w:val="Normal"/>
    <w:rsid w:val="00295A5B"/>
    <w:pPr>
      <w:numPr>
        <w:numId w:val="22"/>
      </w:numPr>
    </w:pPr>
  </w:style>
  <w:style w:type="paragraph" w:customStyle="1" w:styleId="ListDash2">
    <w:name w:val="List Dash 2"/>
    <w:basedOn w:val="Normal"/>
    <w:rsid w:val="00295A5B"/>
    <w:pPr>
      <w:numPr>
        <w:numId w:val="23"/>
      </w:numPr>
    </w:pPr>
  </w:style>
  <w:style w:type="paragraph" w:customStyle="1" w:styleId="ListDash3">
    <w:name w:val="List Dash 3"/>
    <w:basedOn w:val="Normal"/>
    <w:rsid w:val="00295A5B"/>
    <w:pPr>
      <w:numPr>
        <w:numId w:val="24"/>
      </w:numPr>
    </w:pPr>
  </w:style>
  <w:style w:type="paragraph" w:customStyle="1" w:styleId="ListDash4">
    <w:name w:val="List Dash 4"/>
    <w:basedOn w:val="Normal"/>
    <w:rsid w:val="00295A5B"/>
    <w:pPr>
      <w:numPr>
        <w:numId w:val="25"/>
      </w:numPr>
    </w:pPr>
  </w:style>
  <w:style w:type="paragraph" w:customStyle="1" w:styleId="ListNumber1">
    <w:name w:val="List Number 1"/>
    <w:basedOn w:val="Text1"/>
    <w:rsid w:val="00295A5B"/>
    <w:pPr>
      <w:numPr>
        <w:numId w:val="27"/>
      </w:numPr>
    </w:pPr>
  </w:style>
  <w:style w:type="paragraph" w:customStyle="1" w:styleId="ListNumberLevel2">
    <w:name w:val="List Number (Level 2)"/>
    <w:basedOn w:val="Normal"/>
    <w:rsid w:val="00295A5B"/>
    <w:pPr>
      <w:numPr>
        <w:ilvl w:val="1"/>
        <w:numId w:val="26"/>
      </w:numPr>
    </w:pPr>
  </w:style>
  <w:style w:type="paragraph" w:customStyle="1" w:styleId="ListNumber1Level2">
    <w:name w:val="List Number 1 (Level 2)"/>
    <w:basedOn w:val="Text1"/>
    <w:rsid w:val="00295A5B"/>
    <w:pPr>
      <w:numPr>
        <w:ilvl w:val="1"/>
        <w:numId w:val="27"/>
      </w:numPr>
    </w:pPr>
  </w:style>
  <w:style w:type="paragraph" w:customStyle="1" w:styleId="ListNumber2Level2">
    <w:name w:val="List Number 2 (Level 2)"/>
    <w:basedOn w:val="Text2"/>
    <w:rsid w:val="00295A5B"/>
    <w:pPr>
      <w:numPr>
        <w:ilvl w:val="1"/>
        <w:numId w:val="28"/>
      </w:numPr>
    </w:pPr>
  </w:style>
  <w:style w:type="paragraph" w:customStyle="1" w:styleId="ListNumber3Level2">
    <w:name w:val="List Number 3 (Level 2)"/>
    <w:basedOn w:val="Text3"/>
    <w:rsid w:val="00295A5B"/>
    <w:pPr>
      <w:numPr>
        <w:ilvl w:val="1"/>
        <w:numId w:val="29"/>
      </w:numPr>
    </w:pPr>
  </w:style>
  <w:style w:type="paragraph" w:customStyle="1" w:styleId="ListNumber4Level2">
    <w:name w:val="List Number 4 (Level 2)"/>
    <w:basedOn w:val="Text4"/>
    <w:rsid w:val="00295A5B"/>
    <w:pPr>
      <w:numPr>
        <w:ilvl w:val="1"/>
        <w:numId w:val="30"/>
      </w:numPr>
    </w:pPr>
  </w:style>
  <w:style w:type="paragraph" w:customStyle="1" w:styleId="ListNumberLevel3">
    <w:name w:val="List Number (Level 3)"/>
    <w:basedOn w:val="Normal"/>
    <w:rsid w:val="00295A5B"/>
    <w:pPr>
      <w:numPr>
        <w:ilvl w:val="2"/>
        <w:numId w:val="26"/>
      </w:numPr>
    </w:pPr>
  </w:style>
  <w:style w:type="paragraph" w:customStyle="1" w:styleId="ListNumber1Level3">
    <w:name w:val="List Number 1 (Level 3)"/>
    <w:basedOn w:val="Text1"/>
    <w:rsid w:val="00295A5B"/>
    <w:pPr>
      <w:numPr>
        <w:ilvl w:val="2"/>
        <w:numId w:val="27"/>
      </w:numPr>
    </w:pPr>
  </w:style>
  <w:style w:type="paragraph" w:customStyle="1" w:styleId="ListNumber2Level3">
    <w:name w:val="List Number 2 (Level 3)"/>
    <w:basedOn w:val="Text2"/>
    <w:rsid w:val="00295A5B"/>
    <w:pPr>
      <w:numPr>
        <w:ilvl w:val="2"/>
        <w:numId w:val="28"/>
      </w:numPr>
    </w:pPr>
  </w:style>
  <w:style w:type="paragraph" w:customStyle="1" w:styleId="ListNumber3Level3">
    <w:name w:val="List Number 3 (Level 3)"/>
    <w:basedOn w:val="Text3"/>
    <w:rsid w:val="00295A5B"/>
    <w:pPr>
      <w:numPr>
        <w:ilvl w:val="2"/>
        <w:numId w:val="29"/>
      </w:numPr>
    </w:pPr>
  </w:style>
  <w:style w:type="paragraph" w:customStyle="1" w:styleId="ListNumber4Level3">
    <w:name w:val="List Number 4 (Level 3)"/>
    <w:basedOn w:val="Text4"/>
    <w:rsid w:val="00295A5B"/>
    <w:pPr>
      <w:numPr>
        <w:ilvl w:val="2"/>
        <w:numId w:val="30"/>
      </w:numPr>
    </w:pPr>
  </w:style>
  <w:style w:type="paragraph" w:customStyle="1" w:styleId="ListNumberLevel4">
    <w:name w:val="List Number (Level 4)"/>
    <w:basedOn w:val="Normal"/>
    <w:rsid w:val="00295A5B"/>
    <w:pPr>
      <w:numPr>
        <w:ilvl w:val="3"/>
        <w:numId w:val="26"/>
      </w:numPr>
    </w:pPr>
  </w:style>
  <w:style w:type="paragraph" w:customStyle="1" w:styleId="ListNumber1Level4">
    <w:name w:val="List Number 1 (Level 4)"/>
    <w:basedOn w:val="Text1"/>
    <w:rsid w:val="00295A5B"/>
    <w:pPr>
      <w:numPr>
        <w:ilvl w:val="3"/>
        <w:numId w:val="27"/>
      </w:numPr>
    </w:pPr>
  </w:style>
  <w:style w:type="paragraph" w:customStyle="1" w:styleId="ListNumber2Level4">
    <w:name w:val="List Number 2 (Level 4)"/>
    <w:basedOn w:val="Text2"/>
    <w:rsid w:val="00295A5B"/>
    <w:pPr>
      <w:numPr>
        <w:ilvl w:val="3"/>
        <w:numId w:val="28"/>
      </w:numPr>
    </w:pPr>
  </w:style>
  <w:style w:type="paragraph" w:customStyle="1" w:styleId="ListNumber3Level4">
    <w:name w:val="List Number 3 (Level 4)"/>
    <w:basedOn w:val="Text3"/>
    <w:rsid w:val="00295A5B"/>
    <w:pPr>
      <w:numPr>
        <w:ilvl w:val="3"/>
        <w:numId w:val="29"/>
      </w:numPr>
    </w:pPr>
  </w:style>
  <w:style w:type="paragraph" w:customStyle="1" w:styleId="ListNumber4Level4">
    <w:name w:val="List Number 4 (Level 4)"/>
    <w:basedOn w:val="Text4"/>
    <w:rsid w:val="00295A5B"/>
    <w:pPr>
      <w:numPr>
        <w:ilvl w:val="3"/>
        <w:numId w:val="30"/>
      </w:numPr>
    </w:pPr>
  </w:style>
  <w:style w:type="paragraph" w:customStyle="1" w:styleId="TableTitle">
    <w:name w:val="Table Title"/>
    <w:basedOn w:val="Normal"/>
    <w:next w:val="Normal"/>
    <w:rsid w:val="00295A5B"/>
    <w:pPr>
      <w:jc w:val="center"/>
    </w:pPr>
    <w:rPr>
      <w:b/>
    </w:rPr>
  </w:style>
  <w:style w:type="character" w:customStyle="1" w:styleId="Marker">
    <w:name w:val="Marker"/>
    <w:basedOn w:val="Standardstycketeckensnitt"/>
    <w:rsid w:val="00295A5B"/>
    <w:rPr>
      <w:color w:val="0000FF"/>
    </w:rPr>
  </w:style>
  <w:style w:type="character" w:customStyle="1" w:styleId="Marker1">
    <w:name w:val="Marker1"/>
    <w:basedOn w:val="Standardstycketeckensnitt"/>
    <w:rsid w:val="00295A5B"/>
    <w:rPr>
      <w:color w:val="008000"/>
    </w:rPr>
  </w:style>
  <w:style w:type="character" w:customStyle="1" w:styleId="Marker2">
    <w:name w:val="Marker2"/>
    <w:basedOn w:val="Standardstycketeckensnitt"/>
    <w:rsid w:val="00295A5B"/>
    <w:rPr>
      <w:color w:val="FF0000"/>
    </w:rPr>
  </w:style>
  <w:style w:type="paragraph" w:customStyle="1" w:styleId="TOCHeading">
    <w:name w:val="TOC Heading"/>
    <w:basedOn w:val="Normal"/>
    <w:next w:val="Normal"/>
    <w:rsid w:val="00295A5B"/>
    <w:pPr>
      <w:spacing w:after="240"/>
      <w:jc w:val="center"/>
    </w:pPr>
    <w:rPr>
      <w:b/>
      <w:sz w:val="28"/>
    </w:rPr>
  </w:style>
  <w:style w:type="paragraph" w:customStyle="1" w:styleId="Annexetitreacte">
    <w:name w:val="Annexe titre (acte)"/>
    <w:basedOn w:val="Normal"/>
    <w:next w:val="Normal"/>
    <w:rsid w:val="00295A5B"/>
    <w:pPr>
      <w:jc w:val="center"/>
    </w:pPr>
    <w:rPr>
      <w:b/>
      <w:u w:val="single"/>
    </w:rPr>
  </w:style>
  <w:style w:type="paragraph" w:customStyle="1" w:styleId="Annexetitreexposglobal">
    <w:name w:val="Annexe titre (exposé global)"/>
    <w:basedOn w:val="Normal"/>
    <w:next w:val="Normal"/>
    <w:rsid w:val="00295A5B"/>
    <w:pPr>
      <w:jc w:val="center"/>
    </w:pPr>
    <w:rPr>
      <w:b/>
      <w:u w:val="single"/>
    </w:rPr>
  </w:style>
  <w:style w:type="paragraph" w:customStyle="1" w:styleId="Annexetitreexpos">
    <w:name w:val="Annexe titre (exposé)"/>
    <w:basedOn w:val="Normal"/>
    <w:next w:val="Normal"/>
    <w:rsid w:val="00295A5B"/>
    <w:pPr>
      <w:jc w:val="center"/>
    </w:pPr>
    <w:rPr>
      <w:b/>
      <w:u w:val="single"/>
    </w:rPr>
  </w:style>
  <w:style w:type="paragraph" w:customStyle="1" w:styleId="Annexetitrefichefinacte">
    <w:name w:val="Annexe titre (fiche fin. acte)"/>
    <w:basedOn w:val="Normal"/>
    <w:next w:val="Normal"/>
    <w:rsid w:val="00295A5B"/>
    <w:pPr>
      <w:jc w:val="center"/>
    </w:pPr>
    <w:rPr>
      <w:b/>
      <w:u w:val="single"/>
    </w:rPr>
  </w:style>
  <w:style w:type="paragraph" w:customStyle="1" w:styleId="Annexetitrefichefinglobale">
    <w:name w:val="Annexe titre (fiche fin. globale)"/>
    <w:basedOn w:val="Normal"/>
    <w:next w:val="Normal"/>
    <w:rsid w:val="00295A5B"/>
    <w:pPr>
      <w:jc w:val="center"/>
    </w:pPr>
    <w:rPr>
      <w:b/>
      <w:u w:val="single"/>
    </w:rPr>
  </w:style>
  <w:style w:type="paragraph" w:customStyle="1" w:styleId="Annexetitreglobale">
    <w:name w:val="Annexe titre (globale)"/>
    <w:basedOn w:val="Normal"/>
    <w:next w:val="Normal"/>
    <w:rsid w:val="00295A5B"/>
    <w:pPr>
      <w:jc w:val="center"/>
    </w:pPr>
    <w:rPr>
      <w:b/>
      <w:u w:val="single"/>
    </w:rPr>
  </w:style>
  <w:style w:type="paragraph" w:customStyle="1" w:styleId="Applicationdirecte">
    <w:name w:val="Application directe"/>
    <w:basedOn w:val="Normal"/>
    <w:next w:val="Fait"/>
    <w:rsid w:val="00295A5B"/>
    <w:pPr>
      <w:spacing w:before="480"/>
    </w:pPr>
  </w:style>
  <w:style w:type="paragraph" w:customStyle="1" w:styleId="Avertissementtitre">
    <w:name w:val="Avertissement titre"/>
    <w:basedOn w:val="Normal"/>
    <w:next w:val="Normal"/>
    <w:rsid w:val="00295A5B"/>
    <w:pPr>
      <w:keepNext/>
      <w:spacing w:before="480"/>
    </w:pPr>
    <w:rPr>
      <w:u w:val="single"/>
    </w:rPr>
  </w:style>
  <w:style w:type="paragraph" w:customStyle="1" w:styleId="Confidence">
    <w:name w:val="Confidence"/>
    <w:basedOn w:val="Normal"/>
    <w:next w:val="Normal"/>
    <w:rsid w:val="00295A5B"/>
    <w:pPr>
      <w:spacing w:before="360"/>
      <w:jc w:val="center"/>
    </w:pPr>
  </w:style>
  <w:style w:type="paragraph" w:customStyle="1" w:styleId="Confidentialit">
    <w:name w:val="Confidentialité"/>
    <w:basedOn w:val="Normal"/>
    <w:next w:val="Statut"/>
    <w:rsid w:val="00295A5B"/>
    <w:pPr>
      <w:spacing w:before="240" w:after="240"/>
      <w:ind w:left="5103"/>
    </w:pPr>
    <w:rPr>
      <w:u w:val="single"/>
    </w:rPr>
  </w:style>
  <w:style w:type="paragraph" w:customStyle="1" w:styleId="Considrant">
    <w:name w:val="Considérant"/>
    <w:basedOn w:val="Normal"/>
    <w:rsid w:val="00295A5B"/>
    <w:pPr>
      <w:numPr>
        <w:numId w:val="31"/>
      </w:numPr>
    </w:pPr>
  </w:style>
  <w:style w:type="paragraph" w:customStyle="1" w:styleId="Corrigendum">
    <w:name w:val="Corrigendum"/>
    <w:basedOn w:val="Normal"/>
    <w:next w:val="Normal"/>
    <w:rsid w:val="00295A5B"/>
    <w:pPr>
      <w:spacing w:before="0" w:after="240"/>
      <w:jc w:val="left"/>
    </w:pPr>
  </w:style>
  <w:style w:type="paragraph" w:customStyle="1" w:styleId="Datedadoption">
    <w:name w:val="Date d'adoption"/>
    <w:basedOn w:val="Normal"/>
    <w:next w:val="Titreobjet"/>
    <w:rsid w:val="00295A5B"/>
    <w:pPr>
      <w:spacing w:before="360" w:after="0"/>
      <w:jc w:val="center"/>
    </w:pPr>
    <w:rPr>
      <w:b/>
    </w:rPr>
  </w:style>
  <w:style w:type="paragraph" w:customStyle="1" w:styleId="Emission">
    <w:name w:val="Emission"/>
    <w:basedOn w:val="Normal"/>
    <w:next w:val="Rfrenceinstitutionelle"/>
    <w:rsid w:val="00295A5B"/>
    <w:pPr>
      <w:spacing w:before="0" w:after="0"/>
      <w:ind w:left="5103"/>
      <w:jc w:val="left"/>
    </w:pPr>
  </w:style>
  <w:style w:type="paragraph" w:customStyle="1" w:styleId="Exposdesmotifstitre">
    <w:name w:val="Exposé des motifs titre"/>
    <w:basedOn w:val="Normal"/>
    <w:next w:val="Normal"/>
    <w:rsid w:val="00295A5B"/>
    <w:pPr>
      <w:jc w:val="center"/>
    </w:pPr>
    <w:rPr>
      <w:b/>
      <w:u w:val="single"/>
    </w:rPr>
  </w:style>
  <w:style w:type="paragraph" w:customStyle="1" w:styleId="Exposdesmotifstitreglobal">
    <w:name w:val="Exposé des motifs titre (global)"/>
    <w:basedOn w:val="Normal"/>
    <w:next w:val="Normal"/>
    <w:rsid w:val="00295A5B"/>
    <w:pPr>
      <w:jc w:val="center"/>
    </w:pPr>
    <w:rPr>
      <w:b/>
      <w:u w:val="single"/>
    </w:rPr>
  </w:style>
  <w:style w:type="paragraph" w:customStyle="1" w:styleId="Fait">
    <w:name w:val="Fait à"/>
    <w:basedOn w:val="Normal"/>
    <w:next w:val="Institutionquisigne"/>
    <w:rsid w:val="00295A5B"/>
    <w:pPr>
      <w:keepNext/>
      <w:spacing w:after="0"/>
    </w:pPr>
  </w:style>
  <w:style w:type="paragraph" w:customStyle="1" w:styleId="Formuledadoption">
    <w:name w:val="Formule d'adoption"/>
    <w:basedOn w:val="Normal"/>
    <w:next w:val="Titrearticle"/>
    <w:rsid w:val="00295A5B"/>
    <w:pPr>
      <w:keepNext/>
    </w:pPr>
  </w:style>
  <w:style w:type="paragraph" w:customStyle="1" w:styleId="Institutionquiagit">
    <w:name w:val="Institution qui agit"/>
    <w:basedOn w:val="Normal"/>
    <w:next w:val="Normal"/>
    <w:rsid w:val="00295A5B"/>
    <w:pPr>
      <w:keepNext/>
      <w:spacing w:before="600"/>
    </w:pPr>
  </w:style>
  <w:style w:type="paragraph" w:customStyle="1" w:styleId="Institutionquisigne">
    <w:name w:val="Institution qui signe"/>
    <w:basedOn w:val="Normal"/>
    <w:next w:val="Personnequisigne"/>
    <w:rsid w:val="00295A5B"/>
    <w:pPr>
      <w:keepNext/>
      <w:tabs>
        <w:tab w:val="left" w:pos="4252"/>
      </w:tabs>
      <w:spacing w:before="720" w:after="0"/>
    </w:pPr>
    <w:rPr>
      <w:i/>
    </w:rPr>
  </w:style>
  <w:style w:type="paragraph" w:customStyle="1" w:styleId="Langue">
    <w:name w:val="Langue"/>
    <w:basedOn w:val="Normal"/>
    <w:next w:val="Rfrenceinterne"/>
    <w:rsid w:val="00295A5B"/>
    <w:pPr>
      <w:spacing w:before="0" w:after="600"/>
      <w:jc w:val="center"/>
    </w:pPr>
    <w:rPr>
      <w:b/>
      <w:caps/>
    </w:rPr>
  </w:style>
  <w:style w:type="paragraph" w:customStyle="1" w:styleId="Langueoriginale">
    <w:name w:val="Langue originale"/>
    <w:basedOn w:val="Normal"/>
    <w:next w:val="Phrasefinale"/>
    <w:rsid w:val="00295A5B"/>
    <w:pPr>
      <w:spacing w:before="360"/>
      <w:jc w:val="center"/>
    </w:pPr>
    <w:rPr>
      <w:caps/>
    </w:rPr>
  </w:style>
  <w:style w:type="paragraph" w:customStyle="1" w:styleId="ManualConsidrant">
    <w:name w:val="Manual Considérant"/>
    <w:basedOn w:val="Normal"/>
    <w:rsid w:val="00295A5B"/>
    <w:pPr>
      <w:ind w:left="709" w:hanging="709"/>
    </w:pPr>
  </w:style>
  <w:style w:type="paragraph" w:customStyle="1" w:styleId="Nomdelinstitution">
    <w:name w:val="Nom de l'institution"/>
    <w:basedOn w:val="Normal"/>
    <w:next w:val="Emission"/>
    <w:rsid w:val="00295A5B"/>
    <w:pPr>
      <w:spacing w:before="0" w:after="0"/>
      <w:jc w:val="left"/>
    </w:pPr>
    <w:rPr>
      <w:rFonts w:ascii="Arial" w:hAnsi="Arial" w:cs="Arial"/>
    </w:rPr>
  </w:style>
  <w:style w:type="paragraph" w:customStyle="1" w:styleId="Personnequisigne">
    <w:name w:val="Personne qui signe"/>
    <w:basedOn w:val="Normal"/>
    <w:next w:val="Institutionquisigne"/>
    <w:rsid w:val="00295A5B"/>
    <w:pPr>
      <w:tabs>
        <w:tab w:val="left" w:pos="4252"/>
      </w:tabs>
      <w:spacing w:before="0" w:after="0"/>
      <w:jc w:val="left"/>
    </w:pPr>
    <w:rPr>
      <w:i/>
    </w:rPr>
  </w:style>
  <w:style w:type="paragraph" w:customStyle="1" w:styleId="Phrasefinale">
    <w:name w:val="Phrase finale"/>
    <w:basedOn w:val="Normal"/>
    <w:next w:val="Normal"/>
    <w:rsid w:val="00295A5B"/>
    <w:pPr>
      <w:spacing w:before="360" w:after="0"/>
      <w:jc w:val="center"/>
    </w:pPr>
  </w:style>
  <w:style w:type="paragraph" w:customStyle="1" w:styleId="Prliminairetitre">
    <w:name w:val="Préliminaire titre"/>
    <w:basedOn w:val="Normal"/>
    <w:next w:val="Normal"/>
    <w:rsid w:val="00295A5B"/>
    <w:pPr>
      <w:spacing w:before="360" w:after="360"/>
      <w:jc w:val="center"/>
    </w:pPr>
    <w:rPr>
      <w:b/>
    </w:rPr>
  </w:style>
  <w:style w:type="paragraph" w:customStyle="1" w:styleId="Prliminairetype">
    <w:name w:val="Préliminaire type"/>
    <w:basedOn w:val="Normal"/>
    <w:next w:val="Normal"/>
    <w:rsid w:val="00295A5B"/>
    <w:pPr>
      <w:spacing w:before="360" w:after="0"/>
      <w:jc w:val="center"/>
    </w:pPr>
    <w:rPr>
      <w:b/>
    </w:rPr>
  </w:style>
  <w:style w:type="paragraph" w:customStyle="1" w:styleId="Rfrenceinstitutionelle">
    <w:name w:val="Référence institutionelle"/>
    <w:basedOn w:val="Normal"/>
    <w:next w:val="Statut"/>
    <w:rsid w:val="00295A5B"/>
    <w:pPr>
      <w:spacing w:before="0" w:after="240"/>
      <w:ind w:left="5103"/>
      <w:jc w:val="left"/>
    </w:pPr>
  </w:style>
  <w:style w:type="paragraph" w:customStyle="1" w:styleId="Rfrenceinterinstitutionelle">
    <w:name w:val="Référence interinstitutionelle"/>
    <w:basedOn w:val="Normal"/>
    <w:next w:val="Statut"/>
    <w:rsid w:val="00295A5B"/>
    <w:pPr>
      <w:spacing w:before="0" w:after="0"/>
      <w:ind w:left="5103"/>
      <w:jc w:val="left"/>
    </w:pPr>
  </w:style>
  <w:style w:type="paragraph" w:customStyle="1" w:styleId="Rfrenceinterinstitutionelleprliminaire">
    <w:name w:val="Référence interinstitutionelle (préliminaire)"/>
    <w:basedOn w:val="Normal"/>
    <w:next w:val="Normal"/>
    <w:rsid w:val="00295A5B"/>
    <w:pPr>
      <w:spacing w:before="0" w:after="0"/>
      <w:ind w:left="5103"/>
      <w:jc w:val="left"/>
    </w:pPr>
  </w:style>
  <w:style w:type="paragraph" w:customStyle="1" w:styleId="Rfrenceinterne">
    <w:name w:val="Référence interne"/>
    <w:basedOn w:val="Normal"/>
    <w:next w:val="Nomdelinstitution"/>
    <w:rsid w:val="00295A5B"/>
    <w:pPr>
      <w:spacing w:before="0" w:after="600"/>
      <w:jc w:val="center"/>
    </w:pPr>
    <w:rPr>
      <w:b/>
    </w:rPr>
  </w:style>
  <w:style w:type="paragraph" w:customStyle="1" w:styleId="Sous-titreobjet">
    <w:name w:val="Sous-titre objet"/>
    <w:basedOn w:val="Normal"/>
    <w:rsid w:val="00295A5B"/>
    <w:pPr>
      <w:spacing w:before="0" w:after="0"/>
      <w:jc w:val="center"/>
    </w:pPr>
    <w:rPr>
      <w:b/>
    </w:rPr>
  </w:style>
  <w:style w:type="paragraph" w:customStyle="1" w:styleId="Sous-titreobjetprliminaire">
    <w:name w:val="Sous-titre objet (préliminaire)"/>
    <w:basedOn w:val="Normal"/>
    <w:rsid w:val="00295A5B"/>
    <w:pPr>
      <w:spacing w:before="0" w:after="0"/>
      <w:jc w:val="center"/>
    </w:pPr>
    <w:rPr>
      <w:b/>
    </w:rPr>
  </w:style>
  <w:style w:type="paragraph" w:customStyle="1" w:styleId="Statut">
    <w:name w:val="Statut"/>
    <w:basedOn w:val="Normal"/>
    <w:next w:val="Typedudocument"/>
    <w:rsid w:val="00295A5B"/>
    <w:pPr>
      <w:spacing w:before="360" w:after="0"/>
      <w:jc w:val="center"/>
    </w:pPr>
  </w:style>
  <w:style w:type="paragraph" w:customStyle="1" w:styleId="Statutprliminaire">
    <w:name w:val="Statut (préliminaire)"/>
    <w:basedOn w:val="Normal"/>
    <w:next w:val="Normal"/>
    <w:rsid w:val="00295A5B"/>
    <w:pPr>
      <w:spacing w:before="360" w:after="0"/>
      <w:jc w:val="center"/>
    </w:pPr>
  </w:style>
  <w:style w:type="paragraph" w:customStyle="1" w:styleId="Titrearticle">
    <w:name w:val="Titre article"/>
    <w:basedOn w:val="Normal"/>
    <w:next w:val="Normal"/>
    <w:rsid w:val="00295A5B"/>
    <w:pPr>
      <w:keepNext/>
      <w:spacing w:before="360"/>
      <w:jc w:val="center"/>
    </w:pPr>
    <w:rPr>
      <w:i/>
    </w:rPr>
  </w:style>
  <w:style w:type="paragraph" w:customStyle="1" w:styleId="Titreobjet">
    <w:name w:val="Titre objet"/>
    <w:basedOn w:val="Normal"/>
    <w:next w:val="Sous-titreobjet"/>
    <w:rsid w:val="00295A5B"/>
    <w:pPr>
      <w:spacing w:before="360" w:after="360"/>
      <w:jc w:val="center"/>
    </w:pPr>
    <w:rPr>
      <w:b/>
    </w:rPr>
  </w:style>
  <w:style w:type="paragraph" w:customStyle="1" w:styleId="Titreobjetprliminaire">
    <w:name w:val="Titre objet (préliminaire)"/>
    <w:basedOn w:val="Normal"/>
    <w:next w:val="Normal"/>
    <w:rsid w:val="00295A5B"/>
    <w:pPr>
      <w:spacing w:before="360" w:after="360"/>
      <w:jc w:val="center"/>
    </w:pPr>
    <w:rPr>
      <w:b/>
    </w:rPr>
  </w:style>
  <w:style w:type="paragraph" w:customStyle="1" w:styleId="Typedudocument">
    <w:name w:val="Type du document"/>
    <w:basedOn w:val="Normal"/>
    <w:next w:val="Datedadoption"/>
    <w:rsid w:val="00295A5B"/>
    <w:pPr>
      <w:spacing w:before="360" w:after="0"/>
      <w:jc w:val="center"/>
    </w:pPr>
    <w:rPr>
      <w:b/>
    </w:rPr>
  </w:style>
  <w:style w:type="paragraph" w:customStyle="1" w:styleId="Typedudocumentprliminaire">
    <w:name w:val="Type du document (préliminaire)"/>
    <w:basedOn w:val="Normal"/>
    <w:next w:val="Normal"/>
    <w:rsid w:val="00295A5B"/>
    <w:pPr>
      <w:spacing w:before="360" w:after="0"/>
      <w:jc w:val="center"/>
    </w:pPr>
    <w:rPr>
      <w:b/>
    </w:rPr>
  </w:style>
  <w:style w:type="character" w:customStyle="1" w:styleId="Added">
    <w:name w:val="Added"/>
    <w:basedOn w:val="Standardstycketeckensnitt"/>
    <w:rsid w:val="00295A5B"/>
    <w:rPr>
      <w:b/>
      <w:u w:val="single"/>
    </w:rPr>
  </w:style>
  <w:style w:type="character" w:customStyle="1" w:styleId="Deleted">
    <w:name w:val="Deleted"/>
    <w:basedOn w:val="Standardstycketeckensnitt"/>
    <w:rsid w:val="00295A5B"/>
    <w:rPr>
      <w:strike/>
    </w:rPr>
  </w:style>
  <w:style w:type="paragraph" w:customStyle="1" w:styleId="Address">
    <w:name w:val="Address"/>
    <w:basedOn w:val="Normal"/>
    <w:next w:val="Normal"/>
    <w:rsid w:val="00295A5B"/>
    <w:pPr>
      <w:keepLines/>
      <w:spacing w:line="360" w:lineRule="auto"/>
      <w:ind w:left="3402"/>
      <w:jc w:val="left"/>
    </w:pPr>
  </w:style>
  <w:style w:type="paragraph" w:customStyle="1" w:styleId="Fichefinancirestandardtitre">
    <w:name w:val="Fiche financière (standard) titre"/>
    <w:basedOn w:val="Normal"/>
    <w:next w:val="Normal"/>
    <w:rsid w:val="00295A5B"/>
    <w:pPr>
      <w:jc w:val="center"/>
    </w:pPr>
    <w:rPr>
      <w:b/>
      <w:u w:val="single"/>
    </w:rPr>
  </w:style>
  <w:style w:type="paragraph" w:customStyle="1" w:styleId="Fichefinancirestandardtitreacte">
    <w:name w:val="Fiche financière (standard) titre (acte)"/>
    <w:basedOn w:val="Normal"/>
    <w:next w:val="Normal"/>
    <w:rsid w:val="00295A5B"/>
    <w:pPr>
      <w:jc w:val="center"/>
    </w:pPr>
    <w:rPr>
      <w:b/>
      <w:u w:val="single"/>
    </w:rPr>
  </w:style>
  <w:style w:type="paragraph" w:customStyle="1" w:styleId="Fichefinanciretravailtitre">
    <w:name w:val="Fiche financière (travail) titre"/>
    <w:basedOn w:val="Normal"/>
    <w:next w:val="Normal"/>
    <w:rsid w:val="00295A5B"/>
    <w:pPr>
      <w:jc w:val="center"/>
    </w:pPr>
    <w:rPr>
      <w:b/>
      <w:u w:val="single"/>
    </w:rPr>
  </w:style>
  <w:style w:type="paragraph" w:customStyle="1" w:styleId="Fichefinanciretravailtitreacte">
    <w:name w:val="Fiche financière (travail) titre (acte)"/>
    <w:basedOn w:val="Normal"/>
    <w:next w:val="Normal"/>
    <w:rsid w:val="00295A5B"/>
    <w:pPr>
      <w:jc w:val="center"/>
    </w:pPr>
    <w:rPr>
      <w:b/>
      <w:u w:val="single"/>
    </w:rPr>
  </w:style>
  <w:style w:type="paragraph" w:customStyle="1" w:styleId="Fichefinancireattributiontitre">
    <w:name w:val="Fiche financière (attribution) titre"/>
    <w:basedOn w:val="Normal"/>
    <w:next w:val="Normal"/>
    <w:rsid w:val="00295A5B"/>
    <w:pPr>
      <w:jc w:val="center"/>
    </w:pPr>
    <w:rPr>
      <w:b/>
      <w:u w:val="single"/>
    </w:rPr>
  </w:style>
  <w:style w:type="paragraph" w:customStyle="1" w:styleId="Fichefinancireattributiontitreacte">
    <w:name w:val="Fiche financière (attribution) titre (acte)"/>
    <w:basedOn w:val="Normal"/>
    <w:next w:val="Normal"/>
    <w:rsid w:val="00295A5B"/>
    <w:pPr>
      <w:jc w:val="center"/>
    </w:pPr>
    <w:rPr>
      <w:b/>
      <w:u w:val="single"/>
    </w:rPr>
  </w:style>
  <w:style w:type="paragraph" w:customStyle="1" w:styleId="Objetexterne">
    <w:name w:val="Objet externe"/>
    <w:basedOn w:val="Normal"/>
    <w:next w:val="Normal"/>
    <w:rsid w:val="00295A5B"/>
    <w:rPr>
      <w:i/>
      <w:caps/>
    </w:rPr>
  </w:style>
  <w:style w:type="character" w:styleId="Kommentarsreferens">
    <w:name w:val="annotation reference"/>
    <w:basedOn w:val="Standardstycketeckensnitt"/>
    <w:semiHidden/>
    <w:rsid w:val="00712435"/>
    <w:rPr>
      <w:sz w:val="16"/>
      <w:szCs w:val="16"/>
    </w:rPr>
  </w:style>
  <w:style w:type="paragraph" w:styleId="Kommentarer">
    <w:name w:val="annotation text"/>
    <w:basedOn w:val="Normal"/>
    <w:semiHidden/>
    <w:rsid w:val="00712435"/>
    <w:rPr>
      <w:sz w:val="20"/>
      <w:szCs w:val="20"/>
    </w:rPr>
  </w:style>
  <w:style w:type="paragraph" w:styleId="Kommentarsmne">
    <w:name w:val="annotation subject"/>
    <w:basedOn w:val="Kommentarer"/>
    <w:next w:val="Kommentarer"/>
    <w:semiHidden/>
    <w:rsid w:val="00712435"/>
    <w:rPr>
      <w:b/>
      <w:bCs/>
    </w:rPr>
  </w:style>
  <w:style w:type="character" w:styleId="Hyperlnk">
    <w:name w:val="Hyperlink"/>
    <w:basedOn w:val="Standardstycketeckensnitt"/>
    <w:rsid w:val="00712435"/>
    <w:rPr>
      <w:color w:val="0000FF"/>
      <w:u w:val="single"/>
    </w:rPr>
  </w:style>
  <w:style w:type="paragraph" w:styleId="Ballongtext">
    <w:name w:val="Balloon Text"/>
    <w:basedOn w:val="Normal"/>
    <w:semiHidden/>
    <w:rsid w:val="00712435"/>
    <w:rPr>
      <w:rFonts w:ascii="Tahoma" w:hAnsi="Tahoma" w:cs="Tahoma"/>
      <w:sz w:val="16"/>
      <w:szCs w:val="16"/>
    </w:rPr>
  </w:style>
  <w:style w:type="character" w:customStyle="1" w:styleId="tw4winMark">
    <w:name w:val="tw4winMark"/>
    <w:rsid w:val="00650617"/>
    <w:rPr>
      <w:vanish/>
      <w:color w:val="800080"/>
      <w:vertAlign w:val="subscript"/>
    </w:rPr>
  </w:style>
  <w:style w:type="paragraph" w:styleId="Dokumentversikt">
    <w:name w:val="Document Map"/>
    <w:basedOn w:val="Normal"/>
    <w:semiHidden/>
    <w:rsid w:val="007A6E13"/>
    <w:pPr>
      <w:shd w:val="clear" w:color="auto" w:fill="000080"/>
    </w:pPr>
    <w:rPr>
      <w:rFonts w:ascii="Tahoma" w:hAnsi="Tahoma" w:cs="Tahoma"/>
    </w:rPr>
  </w:style>
  <w:style w:type="paragraph" w:customStyle="1" w:styleId="EntInstit">
    <w:name w:val="EntInstit"/>
    <w:basedOn w:val="Normal"/>
    <w:rsid w:val="007A6E13"/>
    <w:pPr>
      <w:spacing w:before="0" w:after="0"/>
      <w:jc w:val="right"/>
    </w:pPr>
    <w:rPr>
      <w:b/>
      <w:szCs w:val="20"/>
      <w:lang w:eastAsia="en-US"/>
    </w:rPr>
  </w:style>
  <w:style w:type="paragraph" w:customStyle="1" w:styleId="EntRefer">
    <w:name w:val="EntRefer"/>
    <w:basedOn w:val="Normal"/>
    <w:rsid w:val="007A6E13"/>
    <w:pPr>
      <w:spacing w:before="0" w:after="0"/>
      <w:jc w:val="left"/>
    </w:pPr>
    <w:rPr>
      <w:b/>
      <w:szCs w:val="20"/>
      <w:lang w:eastAsia="en-US"/>
    </w:rPr>
  </w:style>
  <w:style w:type="paragraph" w:customStyle="1" w:styleId="EntEmet">
    <w:name w:val="EntEmet"/>
    <w:basedOn w:val="Normal"/>
    <w:rsid w:val="007A6E13"/>
    <w:pPr>
      <w:spacing w:before="40" w:after="0"/>
      <w:jc w:val="left"/>
    </w:pPr>
    <w:rPr>
      <w:szCs w:val="20"/>
      <w:lang w:eastAsia="en-US"/>
    </w:rPr>
  </w:style>
  <w:style w:type="paragraph" w:customStyle="1" w:styleId="EntLogo">
    <w:name w:val="EntLogo"/>
    <w:basedOn w:val="Normal"/>
    <w:rsid w:val="007A6E13"/>
    <w:pPr>
      <w:tabs>
        <w:tab w:val="right" w:pos="9639"/>
      </w:tabs>
      <w:spacing w:before="0" w:after="0" w:line="360" w:lineRule="auto"/>
      <w:jc w:val="left"/>
    </w:pPr>
    <w:rPr>
      <w:b/>
      <w:szCs w:val="20"/>
      <w:lang w:eastAsia="en-US"/>
    </w:rPr>
  </w:style>
  <w:style w:type="paragraph" w:customStyle="1" w:styleId="Genredudocument">
    <w:name w:val="Genre du document"/>
    <w:basedOn w:val="EntRefer"/>
    <w:next w:val="EntRefer"/>
    <w:rsid w:val="007A6E13"/>
    <w:pPr>
      <w:spacing w:before="240"/>
    </w:pPr>
  </w:style>
  <w:style w:type="paragraph" w:customStyle="1" w:styleId="Lignefinal">
    <w:name w:val="Ligne final"/>
    <w:basedOn w:val="Normal"/>
    <w:next w:val="Normal"/>
    <w:rsid w:val="007A6E13"/>
    <w:pPr>
      <w:pBdr>
        <w:bottom w:val="single" w:sz="4" w:space="0" w:color="000000"/>
      </w:pBdr>
      <w:spacing w:before="720" w:after="360" w:line="360" w:lineRule="auto"/>
      <w:ind w:left="3400" w:right="3400"/>
      <w:jc w:val="center"/>
    </w:pPr>
    <w:rPr>
      <w:b/>
      <w:szCs w:val="20"/>
      <w:lang w:eastAsia="en-US"/>
    </w:rPr>
  </w:style>
  <w:style w:type="paragraph" w:customStyle="1" w:styleId="pj">
    <w:name w:val="p.j."/>
    <w:basedOn w:val="Normal"/>
    <w:next w:val="Normal"/>
    <w:rsid w:val="007A6E13"/>
    <w:pPr>
      <w:spacing w:before="1200"/>
      <w:ind w:left="1440" w:hanging="1440"/>
      <w:jc w:val="left"/>
    </w:pPr>
    <w:rPr>
      <w:szCs w:val="20"/>
      <w:lang w:eastAsia="en-US"/>
    </w:rPr>
  </w:style>
  <w:style w:type="paragraph" w:customStyle="1" w:styleId="EntText">
    <w:name w:val="EntText"/>
    <w:basedOn w:val="Normal"/>
    <w:rsid w:val="007A6E13"/>
    <w:pPr>
      <w:spacing w:line="360" w:lineRule="auto"/>
      <w:jc w:val="left"/>
    </w:pPr>
    <w:rPr>
      <w:szCs w:val="20"/>
      <w:lang w:eastAsia="en-US"/>
    </w:rPr>
  </w:style>
  <w:style w:type="paragraph" w:customStyle="1" w:styleId="FooterCouncil">
    <w:name w:val="Footer Council"/>
    <w:basedOn w:val="Normal"/>
    <w:rsid w:val="007A6E13"/>
    <w:pPr>
      <w:tabs>
        <w:tab w:val="center" w:pos="4819"/>
        <w:tab w:val="center" w:pos="7370"/>
        <w:tab w:val="right" w:pos="9638"/>
      </w:tabs>
      <w:spacing w:before="0"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templates\CO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COM</Template>
  <TotalTime>0</TotalTime>
  <Pages>2</Pages>
  <Words>2497</Words>
  <Characters>15459</Characters>
  <Application>Microsoft Office Word</Application>
  <DocSecurity>4</DocSecurity>
  <Lines>271</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FR</vt:lpstr>
      <vt:lpstr>FR</vt:lpstr>
    </vt:vector>
  </TitlesOfParts>
  <Manager/>
  <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FR</dc:subject>
  <dc:creator>Riksdagen</dc:creator>
  <cp:keywords>Riksdagen</cp:keywords>
  <dc:description/>
  <cp:lastModifiedBy>Lars Brink</cp:lastModifiedBy>
  <cp:revision>2</cp:revision>
  <cp:lastPrinted>2008-12-01T13:15:00Z</cp:lastPrinted>
  <dcterms:created xsi:type="dcterms:W3CDTF">2025-12-17T19:37:00Z</dcterms:created>
  <dcterms:modified xsi:type="dcterms:W3CDTF">2025-12-17T19:37:00Z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COVERNOTE/NT</vt:lpwstr>
  </property>
  <property fmtid="{D5CDD505-2E9C-101B-9397-08002B2CF9AE}" pid="3" name="Classification">
    <vt:lpwstr> </vt:lpwstr>
  </property>
  <property fmtid="{D5CDD505-2E9C-101B-9397-08002B2CF9AE}" pid="4" name="Version">
    <vt:lpwstr>5.6.9.0</vt:lpwstr>
  </property>
  <property fmtid="{D5CDD505-2E9C-101B-9397-08002B2CF9AE}" pid="5" name="Last edited using">
    <vt:lpwstr>LW 5.6, Build 20070611</vt:lpwstr>
  </property>
  <property fmtid="{D5CDD505-2E9C-101B-9397-08002B2CF9AE}" pid="6" name="Created using">
    <vt:lpwstr>LW 5.6, Build 20070611</vt:lpwstr>
  </property>
</Properties>
</file>