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B03B3">
        <w:tblPrEx>
          <w:tblCellMar>
            <w:top w:w="0" w:type="dxa"/>
            <w:left w:w="0" w:type="dxa"/>
            <w:bottom w:w="0" w:type="dxa"/>
            <w:right w:w="0" w:type="dxa"/>
          </w:tblCellMar>
        </w:tblPrEx>
        <w:trPr>
          <w:gridAfter w:val="2"/>
          <w:wAfter w:w="1758" w:type="dxa"/>
          <w:cantSplit/>
          <w:trHeight w:val="1320"/>
        </w:trPr>
        <w:tc>
          <w:tcPr>
            <w:tcW w:w="5897" w:type="dxa"/>
          </w:tcPr>
          <w:p w:rsidR="00DF5FC4" w:rsidRPr="008B03B3" w:rsidRDefault="00DF5FC4">
            <w:pPr>
              <w:pStyle w:val="HuvudRubrik"/>
            </w:pPr>
            <w:r w:rsidRPr="008B03B3">
              <w:t>Regeringskansliet</w:t>
            </w:r>
          </w:p>
          <w:p w:rsidR="00DF5FC4" w:rsidRPr="008B03B3" w:rsidRDefault="00DF5FC4">
            <w:pPr>
              <w:pStyle w:val="HuvudRubrik"/>
            </w:pPr>
            <w:r w:rsidRPr="008B03B3">
              <w:t>Faktapromemoria  2007/08:FPM112</w:t>
            </w:r>
          </w:p>
        </w:tc>
      </w:tr>
      <w:tr w:rsidR="00000000" w:rsidRPr="008B03B3">
        <w:tblPrEx>
          <w:tblCellMar>
            <w:top w:w="0" w:type="dxa"/>
            <w:left w:w="0" w:type="dxa"/>
            <w:bottom w:w="0" w:type="dxa"/>
            <w:right w:w="0" w:type="dxa"/>
          </w:tblCellMar>
        </w:tblPrEx>
        <w:trPr>
          <w:gridAfter w:val="2"/>
          <w:wAfter w:w="1758" w:type="dxa"/>
          <w:cantSplit/>
          <w:trHeight w:val="240"/>
        </w:trPr>
        <w:tc>
          <w:tcPr>
            <w:tcW w:w="5897" w:type="dxa"/>
          </w:tcPr>
          <w:p w:rsidR="00DF5FC4" w:rsidRPr="008B03B3" w:rsidRDefault="00DF5FC4">
            <w:pPr>
              <w:pStyle w:val="HuvudRubrik"/>
              <w:rPr>
                <w:sz w:val="28"/>
              </w:rPr>
            </w:pPr>
            <w:r w:rsidRPr="008B03B3">
              <w:t>Meddelande om minderåriga och skydd vid användning av datorspel</w:t>
            </w:r>
          </w:p>
        </w:tc>
      </w:tr>
      <w:tr w:rsidR="00000000" w:rsidRPr="008B03B3">
        <w:tblPrEx>
          <w:tblCellMar>
            <w:top w:w="0" w:type="dxa"/>
            <w:left w:w="0" w:type="dxa"/>
            <w:bottom w:w="0" w:type="dxa"/>
            <w:right w:w="0" w:type="dxa"/>
          </w:tblCellMar>
        </w:tblPrEx>
        <w:trPr>
          <w:cantSplit/>
          <w:trHeight w:val="285"/>
        </w:trPr>
        <w:tc>
          <w:tcPr>
            <w:tcW w:w="7655" w:type="dxa"/>
            <w:gridSpan w:val="3"/>
          </w:tcPr>
          <w:p w:rsidR="00DF5FC4" w:rsidRPr="008B03B3" w:rsidRDefault="00DF5FC4">
            <w:pPr>
              <w:pStyle w:val="Departement"/>
              <w:rPr>
                <w:sz w:val="28"/>
              </w:rPr>
            </w:pPr>
            <w:r w:rsidRPr="008B03B3">
              <w:t>Kulturdepartementet</w:t>
            </w:r>
          </w:p>
        </w:tc>
      </w:tr>
      <w:tr w:rsidR="00000000" w:rsidRPr="008B03B3">
        <w:tblPrEx>
          <w:tblCellMar>
            <w:top w:w="0" w:type="dxa"/>
            <w:left w:w="0" w:type="dxa"/>
            <w:bottom w:w="0" w:type="dxa"/>
            <w:right w:w="0" w:type="dxa"/>
          </w:tblCellMar>
        </w:tblPrEx>
        <w:trPr>
          <w:cantSplit/>
          <w:trHeight w:val="240"/>
        </w:trPr>
        <w:tc>
          <w:tcPr>
            <w:tcW w:w="7655" w:type="dxa"/>
            <w:gridSpan w:val="3"/>
          </w:tcPr>
          <w:p w:rsidR="00DF5FC4" w:rsidRPr="008B03B3" w:rsidRDefault="00DF5FC4">
            <w:pPr>
              <w:pStyle w:val="Dokumentdatum"/>
            </w:pPr>
            <w:r w:rsidRPr="008B03B3">
              <w:t>2008-05-29</w:t>
            </w:r>
          </w:p>
        </w:tc>
      </w:tr>
      <w:tr w:rsidR="00000000" w:rsidRPr="008B03B3">
        <w:tblPrEx>
          <w:tblCellMar>
            <w:top w:w="0" w:type="dxa"/>
            <w:left w:w="0" w:type="dxa"/>
            <w:bottom w:w="0" w:type="dxa"/>
            <w:right w:w="0" w:type="dxa"/>
          </w:tblCellMar>
        </w:tblPrEx>
        <w:trPr>
          <w:cantSplit/>
          <w:trHeight w:val="726"/>
        </w:trPr>
        <w:tc>
          <w:tcPr>
            <w:tcW w:w="7655" w:type="dxa"/>
            <w:gridSpan w:val="3"/>
            <w:vAlign w:val="bottom"/>
          </w:tcPr>
          <w:p w:rsidR="00DF5FC4" w:rsidRPr="008B03B3" w:rsidRDefault="00DF5FC4">
            <w:pPr>
              <w:pStyle w:val="Dokumentbeteckning"/>
            </w:pPr>
            <w:r w:rsidRPr="008B03B3">
              <w:t>Dokumentbeteckning</w:t>
            </w:r>
          </w:p>
        </w:tc>
      </w:tr>
      <w:tr w:rsidR="00000000" w:rsidRPr="008B03B3">
        <w:tblPrEx>
          <w:tblCellMar>
            <w:top w:w="0" w:type="dxa"/>
            <w:left w:w="0" w:type="dxa"/>
            <w:bottom w:w="0" w:type="dxa"/>
            <w:right w:w="0" w:type="dxa"/>
          </w:tblCellMar>
        </w:tblPrEx>
        <w:trPr>
          <w:gridAfter w:val="1"/>
          <w:wAfter w:w="1560" w:type="dxa"/>
          <w:trHeight w:val="120"/>
        </w:trPr>
        <w:tc>
          <w:tcPr>
            <w:tcW w:w="6095" w:type="dxa"/>
            <w:gridSpan w:val="2"/>
          </w:tcPr>
          <w:p w:rsidR="00DF5FC4" w:rsidRPr="008B03B3" w:rsidRDefault="00DF5FC4">
            <w:bookmarkStart w:id="0" w:name="KomNr"/>
            <w:bookmarkEnd w:id="0"/>
            <w:r w:rsidRPr="008B03B3">
              <w:t>KOM(2008)207 slutlig</w:t>
            </w:r>
          </w:p>
        </w:tc>
      </w:tr>
      <w:tr w:rsidR="00000000" w:rsidRPr="008B03B3">
        <w:tblPrEx>
          <w:tblCellMar>
            <w:top w:w="0" w:type="dxa"/>
            <w:left w:w="0" w:type="dxa"/>
            <w:bottom w:w="0" w:type="dxa"/>
            <w:right w:w="0" w:type="dxa"/>
          </w:tblCellMar>
        </w:tblPrEx>
        <w:trPr>
          <w:gridAfter w:val="1"/>
          <w:wAfter w:w="1560" w:type="dxa"/>
          <w:trHeight w:val="120"/>
        </w:trPr>
        <w:tc>
          <w:tcPr>
            <w:tcW w:w="6095" w:type="dxa"/>
            <w:gridSpan w:val="2"/>
          </w:tcPr>
          <w:p w:rsidR="00DF5FC4" w:rsidRPr="008B03B3" w:rsidRDefault="00DF5FC4">
            <w:pPr>
              <w:pStyle w:val="Dokumentbeteckning-titel"/>
            </w:pPr>
            <w:r w:rsidRPr="008B03B3">
              <w:t>Communication from the European Parliament, the Council, the European Economic and Social Committee and the Committee of the Regions on the protection of consumers, in particular minors, in respect of the use of video games.</w:t>
            </w:r>
          </w:p>
        </w:tc>
      </w:tr>
    </w:tbl>
    <w:p w:rsidR="00DF5FC4" w:rsidRPr="008B03B3" w:rsidRDefault="00DF5FC4">
      <w:pPr>
        <w:pStyle w:val="Rubrik1"/>
        <w:numPr>
          <w:ilvl w:val="0"/>
          <w:numId w:val="0"/>
        </w:numPr>
      </w:pPr>
      <w:r w:rsidRPr="008B03B3">
        <w:t>Sammanfattning</w:t>
      </w:r>
    </w:p>
    <w:p w:rsidR="00DF5FC4" w:rsidRPr="008B03B3" w:rsidRDefault="00DF5FC4">
      <w:r w:rsidRPr="008B03B3">
        <w:t>Kommissionen genomförde hösten 2007 en kartläggning av medlemsländernas lagstiftning och andra åtgärder för att skydda minderåriga mot olämpliga och skadliga dataspel. Kommissionens konstaterar att 20 av medlemsländerna tillämpar PEGI (Pan European Games Information), ett system för åldersklassificering som branschen själv utvecklat med EU-stöd sedan 2003. Systemet finns sedan 2007 i en utvecklad variant anpassad för dataspel som spelas online. Kommissionen konstaterar dock att det hittills är betydligt fä</w:t>
      </w:r>
      <w:r w:rsidRPr="008B03B3">
        <w:t xml:space="preserve">rre medlemsstater som tillämpar systemet för dessa spel. Med utgångspunkt i kartläggningen drar kommissionen slutsatsen att självregleringssystemet PEGI har uppnått goda resultat och att online-versionen är ett lovande initiativ. För att ytterligare stärka detta arbete föreslår kommissionen ett antal initiativ. </w:t>
      </w:r>
    </w:p>
    <w:p w:rsidR="00DF5FC4" w:rsidRPr="008B03B3" w:rsidRDefault="00DF5FC4">
      <w:pPr>
        <w:pStyle w:val="Punktlista"/>
      </w:pPr>
      <w:r w:rsidRPr="008B03B3">
        <w:t>Bland annat uppmanas alla medlemsstaterna att integrera PEGI i sina egna informations- och klassificeringssystem. Medlemsstaterna och branschen uppmanas att samarbete för att hitta nyskapande lösnin</w:t>
      </w:r>
      <w:r w:rsidRPr="008B03B3">
        <w:t xml:space="preserve">gar för ålderskontroll av spel online. Alla återförsäljare i Europa uppmanas också att inom två år komma överens om en EU-övergripande uppförandekod för försäljning av dataspel till minderåriga. </w:t>
      </w:r>
    </w:p>
    <w:p w:rsidR="00DF5FC4" w:rsidRPr="008B03B3" w:rsidRDefault="00DF5FC4">
      <w:pPr>
        <w:pStyle w:val="Punktlista"/>
        <w:numPr>
          <w:ilvl w:val="0"/>
          <w:numId w:val="0"/>
        </w:numPr>
      </w:pPr>
      <w:r w:rsidRPr="008B03B3">
        <w:t>Sverige har positiva erfarenheter av PEGI-systemet och ser självreglering som en god väg att skydda barn och unga mot skadligt medieinnehåll och skadlig mediepåverkan. Kommissionens uppmaningar ligger i stort i linje med de arbetsformer och de initiativ som för närvarande finns hos spelbranschen och staten.  Regeri</w:t>
      </w:r>
      <w:r w:rsidRPr="008B03B3">
        <w:t xml:space="preserve">ngen ser överlag positivt på förslaget. </w:t>
      </w:r>
    </w:p>
    <w:p w:rsidR="00DF5FC4" w:rsidRPr="008B03B3" w:rsidRDefault="00DF5FC4">
      <w:pPr>
        <w:pStyle w:val="Rubrik1"/>
      </w:pPr>
      <w:r w:rsidRPr="008B03B3">
        <w:lastRenderedPageBreak/>
        <w:t>Förslaget</w:t>
      </w:r>
    </w:p>
    <w:p w:rsidR="00DF5FC4" w:rsidRPr="008B03B3" w:rsidRDefault="00DF5FC4">
      <w:pPr>
        <w:pStyle w:val="Rubrik2"/>
      </w:pPr>
      <w:r w:rsidRPr="008B03B3">
        <w:t>Ärendets bakgrund</w:t>
      </w:r>
    </w:p>
    <w:p w:rsidR="00DF5FC4" w:rsidRPr="008B03B3" w:rsidRDefault="00DF5FC4">
      <w:r w:rsidRPr="008B03B3">
        <w:t xml:space="preserve">År 2002 antog rådet en resolution (2002/C65/02) som uppmuntrade åldersklassificering i medlemsländerna och lyfte fram självreglering som en god väg.  I april 2003 lanserades åldersklassificeringssystemet PEGI (Pan European Games Information),  av ISFE (Interactive Software Federation of Europe) som är en europeisk branschorganisation för interaktiva spel. En PEGI-märkning för on-linespel kom 2007. Dator- och TV-spel är en växande fritidssysselsättning och den europeiska dataspelssektorn omsatte mer än 6,3 </w:t>
      </w:r>
      <w:r w:rsidRPr="008B03B3">
        <w:t xml:space="preserve">miljarder euro under 2006. Samtidigt finns ett behov av att skydda barn och unga mot olämpligt spelinnehåll. Kommissionen tog därför under 2007 initiativ till en uppföljning av PEGI-systemet. </w:t>
      </w:r>
    </w:p>
    <w:p w:rsidR="00DF5FC4" w:rsidRPr="008B03B3" w:rsidRDefault="00DF5FC4">
      <w:pPr>
        <w:rPr>
          <w:szCs w:val="24"/>
        </w:rPr>
      </w:pPr>
      <w:r w:rsidRPr="008B03B3">
        <w:rPr>
          <w:szCs w:val="24"/>
        </w:rPr>
        <w:t xml:space="preserve"> </w:t>
      </w:r>
    </w:p>
    <w:p w:rsidR="00DF5FC4" w:rsidRPr="008B03B3" w:rsidRDefault="00DF5FC4">
      <w:r w:rsidRPr="008B03B3">
        <w:t>Förslagets innehåll</w:t>
      </w:r>
    </w:p>
    <w:p w:rsidR="00DF5FC4" w:rsidRPr="008B03B3" w:rsidRDefault="00DF5FC4">
      <w:r w:rsidRPr="008B03B3">
        <w:t xml:space="preserve">Med utgångspunkt i den kartläggning som genomfördes under 2007 innehåller kommissionens meddelande  ett antal uppmaningar till medlemsländerna, till branschen och till andra intressenter. Uppmaningarna bygger på slutsatser från den genomförda uppföljningen av PEGI-systemet. </w:t>
      </w:r>
    </w:p>
    <w:p w:rsidR="00DF5FC4" w:rsidRPr="008B03B3" w:rsidRDefault="00DF5FC4"/>
    <w:p w:rsidR="00DF5FC4" w:rsidRPr="008B03B3" w:rsidRDefault="00DF5FC4">
      <w:r w:rsidRPr="008B03B3">
        <w:t>Medlemsländerna uppmanas:</w:t>
      </w:r>
    </w:p>
    <w:p w:rsidR="00DF5FC4" w:rsidRPr="008B03B3" w:rsidRDefault="00DF5FC4">
      <w:pPr>
        <w:pStyle w:val="Punktlista"/>
      </w:pPr>
      <w:r w:rsidRPr="008B03B3">
        <w:t>att uppmärksamma att dataspel har blivit ett viktigt innehållsmedium och säkerställa att mediet omfattas av både bestämmelser om yttrandefrihet och av ett effektivt skydd för minderåriga,</w:t>
      </w:r>
    </w:p>
    <w:p w:rsidR="00DF5FC4" w:rsidRPr="008B03B3" w:rsidRDefault="00DF5FC4">
      <w:pPr>
        <w:pStyle w:val="Punktlista"/>
      </w:pPr>
      <w:r w:rsidRPr="008B03B3">
        <w:t xml:space="preserve">att integrera PEGI i sina egna informations- och klassificeringssystem. </w:t>
      </w:r>
    </w:p>
    <w:p w:rsidR="00DF5FC4" w:rsidRPr="008B03B3" w:rsidRDefault="00DF5FC4">
      <w:pPr>
        <w:pStyle w:val="Punktlista"/>
        <w:numPr>
          <w:ilvl w:val="0"/>
          <w:numId w:val="0"/>
        </w:numPr>
        <w:ind w:left="170"/>
      </w:pPr>
      <w:r w:rsidRPr="008B03B3">
        <w:t>Medlemsländerna och andra intressenter uppmanas:</w:t>
      </w:r>
    </w:p>
    <w:p w:rsidR="00DF5FC4" w:rsidRPr="008B03B3" w:rsidRDefault="00DF5FC4">
      <w:pPr>
        <w:pStyle w:val="Punktlista"/>
      </w:pPr>
      <w:r w:rsidRPr="008B03B3">
        <w:t>att utvärdera möjliga positiva och negativa hälsoeffekter av dataspel,</w:t>
      </w:r>
    </w:p>
    <w:p w:rsidR="00DF5FC4" w:rsidRPr="008B03B3" w:rsidRDefault="00DF5FC4">
      <w:pPr>
        <w:pStyle w:val="Punktlista"/>
      </w:pPr>
      <w:r w:rsidRPr="008B03B3">
        <w:t>att uppmärksamma att online-spel medför nya utmaningar och därför kräver samarbete för att ta  fram nyskapande lösningar för att t.ex. få en effektiv ålderskontroll med syfte att skydda minderåriga,</w:t>
      </w:r>
    </w:p>
    <w:p w:rsidR="00DF5FC4" w:rsidRPr="008B03B3" w:rsidRDefault="00DF5FC4">
      <w:pPr>
        <w:pStyle w:val="Punktlista"/>
      </w:pPr>
      <w:r w:rsidRPr="008B03B3">
        <w:t>att ta initiativ till att förstärka mediekunskap för dataspel i linje med kommissionens meddelande  om en europeisk strategi för mediekunskap i den digitala miljö KOM(2007)833 slutlig.</w:t>
      </w:r>
    </w:p>
    <w:p w:rsidR="00DF5FC4" w:rsidRPr="008B03B3" w:rsidRDefault="00DF5FC4">
      <w:pPr>
        <w:pStyle w:val="Punktlista"/>
        <w:numPr>
          <w:ilvl w:val="0"/>
          <w:numId w:val="0"/>
        </w:numPr>
        <w:ind w:left="170"/>
      </w:pPr>
      <w:r w:rsidRPr="008B03B3">
        <w:t>Dataspelbranschen uppmanas:</w:t>
      </w:r>
    </w:p>
    <w:p w:rsidR="00DF5FC4" w:rsidRPr="008B03B3" w:rsidRDefault="00DF5FC4">
      <w:pPr>
        <w:pStyle w:val="Punktlista"/>
      </w:pPr>
      <w:r w:rsidRPr="008B03B3">
        <w:t xml:space="preserve">att utveckla och förbättra PEGI och PEGI-on-linesystemen, särskilt genom att uppdatera kriterier för åldersgränser och  märkning, genom en aktivare annonsering samt genom spridning av systemet. </w:t>
      </w:r>
    </w:p>
    <w:p w:rsidR="00DF5FC4" w:rsidRPr="008B03B3" w:rsidRDefault="00DF5FC4">
      <w:pPr>
        <w:pStyle w:val="Punktlista"/>
        <w:numPr>
          <w:ilvl w:val="0"/>
          <w:numId w:val="0"/>
        </w:numPr>
        <w:ind w:left="170"/>
      </w:pPr>
      <w:r w:rsidRPr="008B03B3">
        <w:t>Samtliga intressenter som är involverade i återförsäljning av dataspel uppmanas:</w:t>
      </w:r>
    </w:p>
    <w:p w:rsidR="00DF5FC4" w:rsidRPr="008B03B3" w:rsidRDefault="00DF5FC4">
      <w:pPr>
        <w:pStyle w:val="Punktlista"/>
      </w:pPr>
      <w:r w:rsidRPr="008B03B3">
        <w:t>att inom två år komma överens om en gemensam europeisk uppförandekod  för försäljning av spel till minderåriga, att skapa ökad kunskap om PEGI-systemet bland föräldrar och barn samt att ställa lämpliga resurser för att genomföra uppförandekoden till förfogande.</w:t>
      </w:r>
    </w:p>
    <w:p w:rsidR="00DF5FC4" w:rsidRPr="008B03B3" w:rsidRDefault="00DF5FC4">
      <w:pPr>
        <w:pStyle w:val="Punktlista"/>
        <w:numPr>
          <w:ilvl w:val="0"/>
          <w:numId w:val="0"/>
        </w:numPr>
        <w:ind w:left="170"/>
      </w:pPr>
      <w:r w:rsidRPr="008B03B3">
        <w:t xml:space="preserve"> Kommissionen avser:</w:t>
      </w:r>
    </w:p>
    <w:p w:rsidR="00DF5FC4" w:rsidRPr="008B03B3" w:rsidRDefault="00DF5FC4">
      <w:pPr>
        <w:pStyle w:val="Punktlista"/>
      </w:pPr>
      <w:r w:rsidRPr="008B03B3">
        <w:t>att arrangera möten där olika klassificeringsorgan kan utbyte erfarenheter,</w:t>
      </w:r>
    </w:p>
    <w:p w:rsidR="00DF5FC4" w:rsidRPr="008B03B3" w:rsidRDefault="00DF5FC4">
      <w:pPr>
        <w:pStyle w:val="Punktlista"/>
      </w:pPr>
      <w:r w:rsidRPr="008B03B3">
        <w:t xml:space="preserve">använda redan etablerade nätverk och plattformar för konsumentorganisationer för att öka medvetandet om PEGI och de här lämnade rekommendationerna. </w:t>
      </w:r>
    </w:p>
    <w:p w:rsidR="00DF5FC4" w:rsidRPr="008B03B3" w:rsidRDefault="00DF5FC4">
      <w:pPr>
        <w:pStyle w:val="Rubrik2"/>
      </w:pPr>
      <w:r w:rsidRPr="008B03B3">
        <w:t>Gällande svenska regler och förslagets effekt på dessa</w:t>
      </w:r>
    </w:p>
    <w:p w:rsidR="00DF5FC4" w:rsidRPr="008B03B3" w:rsidRDefault="00DF5FC4">
      <w:pPr>
        <w:rPr>
          <w:i/>
        </w:rPr>
      </w:pPr>
      <w:r w:rsidRPr="008B03B3">
        <w:t xml:space="preserve">Kommissionens uppmaningar  till medlemsländerna kommer att överlämnas till den beslutade översynen av granskningslagen och skyddet av barn och unga mot skadligt medieinnehåll och skadlig mediepåverkan (2008:62).  </w:t>
      </w:r>
    </w:p>
    <w:p w:rsidR="00DF5FC4" w:rsidRPr="008B03B3" w:rsidRDefault="00DF5FC4">
      <w:pPr>
        <w:pStyle w:val="Rubrik2"/>
      </w:pPr>
      <w:r w:rsidRPr="008B03B3">
        <w:t>Budgetära konsekvenser / Konsekvensanalys</w:t>
      </w:r>
    </w:p>
    <w:p w:rsidR="00DF5FC4" w:rsidRPr="008B03B3" w:rsidRDefault="00DF5FC4">
      <w:r w:rsidRPr="008B03B3">
        <w:t xml:space="preserve">Meddelandet innebär inga budgetära konsekvenser. </w:t>
      </w:r>
    </w:p>
    <w:p w:rsidR="00DF5FC4" w:rsidRPr="008B03B3" w:rsidRDefault="00DF5FC4">
      <w:pPr>
        <w:pStyle w:val="Rubrik1"/>
      </w:pPr>
      <w:r w:rsidRPr="008B03B3">
        <w:t>Ståndpunkter</w:t>
      </w:r>
    </w:p>
    <w:p w:rsidR="00DF5FC4" w:rsidRPr="008B03B3" w:rsidRDefault="00DF5FC4">
      <w:pPr>
        <w:pStyle w:val="Rubrik2"/>
      </w:pPr>
      <w:r w:rsidRPr="008B03B3">
        <w:t>Preliminär svensk ståndpunkt</w:t>
      </w:r>
    </w:p>
    <w:p w:rsidR="00DF5FC4" w:rsidRPr="008B03B3" w:rsidRDefault="00DF5FC4"/>
    <w:p w:rsidR="00DF5FC4" w:rsidRPr="008B03B3" w:rsidRDefault="00DF5FC4">
      <w:r w:rsidRPr="008B03B3">
        <w:t xml:space="preserve">Skydd av barn mot skadligt medieinnehåll är ett prioriterat område för regeringen. De aktiviteter som genomförs för att öka kunskap om den interaktiva spelvärlden, branschens självreglerande arbete och samarbetet mellan stat och bransch fungerar väl i Sverige. Att stärka branschens självreglerande arbetet och öka mediekunskapen hos föräldrar, andra vuxna och barn och unga är en god väg att skydda barn mot skadligt medieinnehåll. Regeringen välkomnar därför kommissionens meddelande.  </w:t>
      </w:r>
    </w:p>
    <w:p w:rsidR="00DF5FC4" w:rsidRPr="008B03B3" w:rsidRDefault="00DF5FC4">
      <w:pPr>
        <w:pStyle w:val="Rubrik2"/>
      </w:pPr>
      <w:r w:rsidRPr="008B03B3">
        <w:t>Medlemsstaternas ståndpunkter</w:t>
      </w:r>
    </w:p>
    <w:p w:rsidR="00DF5FC4" w:rsidRPr="008B03B3" w:rsidRDefault="00DF5FC4">
      <w:pPr>
        <w:keepLines/>
        <w:tabs>
          <w:tab w:val="left" w:pos="624"/>
        </w:tabs>
        <w:autoSpaceDE w:val="0"/>
        <w:autoSpaceDN w:val="0"/>
        <w:adjustRightInd w:val="0"/>
        <w:spacing w:before="240" w:line="240" w:lineRule="auto"/>
        <w:ind w:left="624" w:hanging="624"/>
        <w:jc w:val="left"/>
        <w:rPr>
          <w:sz w:val="18"/>
          <w:szCs w:val="18"/>
          <w:lang w:eastAsia="en-US"/>
        </w:rPr>
      </w:pPr>
      <w:r w:rsidRPr="008B03B3">
        <w:rPr>
          <w:sz w:val="18"/>
          <w:szCs w:val="18"/>
          <w:lang w:eastAsia="en-US"/>
        </w:rPr>
        <w:t>Medlemsstaternas ståndpunkter om meddelandet är ännu inte kända.</w:t>
      </w:r>
    </w:p>
    <w:p w:rsidR="00DF5FC4" w:rsidRPr="008B03B3" w:rsidRDefault="00DF5FC4"/>
    <w:p w:rsidR="00DF5FC4" w:rsidRPr="008B03B3" w:rsidRDefault="00DF5FC4">
      <w:pPr>
        <w:pStyle w:val="Rubrik2"/>
      </w:pPr>
      <w:r w:rsidRPr="008B03B3">
        <w:t>Institutionernas ståndpunkter</w:t>
      </w:r>
    </w:p>
    <w:p w:rsidR="00DF5FC4" w:rsidRPr="008B03B3" w:rsidRDefault="00DF5FC4">
      <w:pPr>
        <w:autoSpaceDE w:val="0"/>
        <w:autoSpaceDN w:val="0"/>
        <w:adjustRightInd w:val="0"/>
        <w:spacing w:before="120" w:line="240" w:lineRule="auto"/>
        <w:rPr>
          <w:sz w:val="18"/>
          <w:szCs w:val="18"/>
          <w:lang w:eastAsia="en-US"/>
        </w:rPr>
      </w:pPr>
      <w:r w:rsidRPr="008B03B3">
        <w:rPr>
          <w:sz w:val="18"/>
          <w:szCs w:val="18"/>
          <w:lang w:eastAsia="en-US"/>
        </w:rPr>
        <w:t>Institutionernas ståndpunkter är inte kända.</w:t>
      </w:r>
    </w:p>
    <w:p w:rsidR="00DF5FC4" w:rsidRPr="008B03B3" w:rsidRDefault="00DF5FC4"/>
    <w:p w:rsidR="00DF5FC4" w:rsidRPr="008B03B3" w:rsidRDefault="00DF5FC4">
      <w:pPr>
        <w:pStyle w:val="Rubrik2"/>
      </w:pPr>
      <w:r w:rsidRPr="008B03B3">
        <w:t>Remissinstansernas ståndpunkter</w:t>
      </w:r>
    </w:p>
    <w:p w:rsidR="00DF5FC4" w:rsidRPr="008B03B3" w:rsidRDefault="00DF5FC4">
      <w:pPr>
        <w:autoSpaceDE w:val="0"/>
        <w:autoSpaceDN w:val="0"/>
        <w:adjustRightInd w:val="0"/>
        <w:spacing w:before="120" w:line="240" w:lineRule="auto"/>
        <w:rPr>
          <w:sz w:val="18"/>
          <w:szCs w:val="18"/>
          <w:lang w:eastAsia="en-US"/>
        </w:rPr>
      </w:pPr>
      <w:r w:rsidRPr="008B03B3">
        <w:rPr>
          <w:sz w:val="18"/>
          <w:szCs w:val="18"/>
          <w:lang w:eastAsia="en-US"/>
        </w:rPr>
        <w:t xml:space="preserve">Meddelandet har inte sänts på remiss i Sverige. </w:t>
      </w:r>
    </w:p>
    <w:p w:rsidR="00DF5FC4" w:rsidRPr="008B03B3" w:rsidRDefault="00DF5FC4"/>
    <w:p w:rsidR="00DF5FC4" w:rsidRPr="008B03B3" w:rsidRDefault="00DF5FC4">
      <w:pPr>
        <w:pStyle w:val="Rubrik1"/>
      </w:pPr>
      <w:r w:rsidRPr="008B03B3">
        <w:t>Förslagets förutsättningar</w:t>
      </w:r>
    </w:p>
    <w:p w:rsidR="00DF5FC4" w:rsidRPr="008B03B3" w:rsidRDefault="00DF5FC4">
      <w:pPr>
        <w:pStyle w:val="Rubrik2"/>
      </w:pPr>
      <w:r w:rsidRPr="008B03B3">
        <w:t>Rättslig grund och beslutsförfarande</w:t>
      </w:r>
    </w:p>
    <w:p w:rsidR="00DF5FC4" w:rsidRPr="008B03B3" w:rsidRDefault="00DF5FC4">
      <w:pPr>
        <w:autoSpaceDE w:val="0"/>
        <w:autoSpaceDN w:val="0"/>
        <w:adjustRightInd w:val="0"/>
        <w:spacing w:before="120" w:line="240" w:lineRule="auto"/>
        <w:rPr>
          <w:sz w:val="18"/>
          <w:szCs w:val="18"/>
          <w:lang w:eastAsia="en-US"/>
        </w:rPr>
      </w:pPr>
      <w:r w:rsidRPr="008B03B3">
        <w:rPr>
          <w:sz w:val="18"/>
          <w:szCs w:val="18"/>
          <w:lang w:eastAsia="en-US"/>
        </w:rPr>
        <w:t>Dokumentet är ett meddelande och förslag till rättsakt ingår inte.</w:t>
      </w:r>
    </w:p>
    <w:p w:rsidR="00DF5FC4" w:rsidRPr="008B03B3" w:rsidRDefault="00DF5FC4">
      <w:pPr>
        <w:rPr>
          <w:sz w:val="18"/>
          <w:szCs w:val="18"/>
        </w:rPr>
      </w:pPr>
    </w:p>
    <w:p w:rsidR="00DF5FC4" w:rsidRPr="008B03B3" w:rsidRDefault="00DF5FC4">
      <w:pPr>
        <w:pStyle w:val="Rubrik2"/>
      </w:pPr>
      <w:r w:rsidRPr="008B03B3">
        <w:t>Subsidiaritets- och proportionalitetsprincipen</w:t>
      </w:r>
    </w:p>
    <w:p w:rsidR="00DF5FC4" w:rsidRPr="008B03B3" w:rsidRDefault="00DF5FC4">
      <w:pPr>
        <w:autoSpaceDE w:val="0"/>
        <w:autoSpaceDN w:val="0"/>
        <w:adjustRightInd w:val="0"/>
        <w:spacing w:before="120" w:line="240" w:lineRule="auto"/>
        <w:rPr>
          <w:sz w:val="18"/>
          <w:szCs w:val="18"/>
          <w:lang w:eastAsia="en-US"/>
        </w:rPr>
      </w:pPr>
      <w:r w:rsidRPr="008B03B3">
        <w:rPr>
          <w:sz w:val="18"/>
          <w:szCs w:val="18"/>
          <w:lang w:eastAsia="en-US"/>
        </w:rPr>
        <w:t>I kommissionens meddelande ingår inget avsnitt om subsidiaritets- och proportionalitetsprincipen som regeringen har att ta ställning till.</w:t>
      </w:r>
    </w:p>
    <w:p w:rsidR="00DF5FC4" w:rsidRPr="008B03B3" w:rsidRDefault="00DF5FC4"/>
    <w:p w:rsidR="00DF5FC4" w:rsidRPr="008B03B3" w:rsidRDefault="00DF5FC4">
      <w:pPr>
        <w:pStyle w:val="Rubrik1"/>
      </w:pPr>
      <w:r w:rsidRPr="008B03B3">
        <w:t>Övrigt</w:t>
      </w:r>
    </w:p>
    <w:p w:rsidR="00DF5FC4" w:rsidRPr="008B03B3" w:rsidRDefault="00DF5FC4">
      <w:pPr>
        <w:pStyle w:val="Rubrik2"/>
      </w:pPr>
      <w:r w:rsidRPr="008B03B3">
        <w:t>Fortsatt behandling av ärendet</w:t>
      </w:r>
    </w:p>
    <w:p w:rsidR="00DF5FC4" w:rsidRPr="008B03B3" w:rsidRDefault="00DF5FC4">
      <w:r w:rsidRPr="008B03B3">
        <w:t>Regeringen beslutade den 22 maj om direktiv till en översyn av granskningslagen och skyddet av barn och unga mot skadligt medieinnehåll och skadlig mediepåverkan. Översynen ska vara inriktad på att anpassa nuvarande lagstiftning och förebyggande insatser inom området till utvecklingen av nya medier och nya medievanor och omfattar alla rörliga bildmedier, däribland data- och TV-spel. Utredningen beräknas vara klar i slutet av maj 2009.</w:t>
      </w:r>
    </w:p>
    <w:p w:rsidR="00DF5FC4" w:rsidRPr="008B03B3" w:rsidRDefault="00DF5FC4">
      <w:r w:rsidRPr="008B03B3">
        <w:t xml:space="preserve">Utredaren ska utifrån en analys av det nuvarande skyddet av barn och unga mot skadligt medieinnehåll och skadlig mediepåverkan ta fram underlag till hur skyddet av barn och unga upp till 18 år kan förbättras och moderniseras och ges bästa möjliga förutsättningar inför framtiden.. </w:t>
      </w:r>
    </w:p>
    <w:p w:rsidR="00DF5FC4" w:rsidRPr="008B03B3" w:rsidRDefault="00DF5FC4">
      <w:r w:rsidRPr="008B03B3">
        <w:t>I uppdraget ingår bl.a. att kartlägga och beskriva den nuvarande arbets- och ansvarsstrukturen för skydd av barn och unga mot skadligt medieinnehåll och skadlig mediepåverkan mellan olika statliga aktörer, mediebranscherna och intresseorganisationer. Utredaren ska i detta sammanhang göra en internationell jämförelse och beakta aktuell europeisk utveckling inom området som kan vara av intresse för svenska förhållanden.</w:t>
      </w:r>
    </w:p>
    <w:p w:rsidR="00DF5FC4" w:rsidRPr="008B03B3" w:rsidRDefault="00DF5FC4">
      <w:r w:rsidRPr="008B03B3">
        <w:t xml:space="preserve"> Utredaren ska även beakta det arbete på området som pågår inom EU samt de skyldigheter som följer av Sveriges medlemskap.</w:t>
      </w:r>
    </w:p>
    <w:p w:rsidR="00DF5FC4" w:rsidRPr="008B03B3" w:rsidRDefault="00DF5FC4"/>
    <w:p w:rsidR="00DF5FC4" w:rsidRPr="008B03B3" w:rsidRDefault="00DF5FC4">
      <w:pPr>
        <w:pStyle w:val="Rubrik2"/>
      </w:pPr>
      <w:r w:rsidRPr="008B03B3">
        <w:t>Fackuttryck / termer</w:t>
      </w:r>
    </w:p>
    <w:sectPr w:rsidR="00DF5FC4" w:rsidRPr="008B03B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FC4" w:rsidRPr="008B03B3" w:rsidRDefault="00DF5FC4">
      <w:r w:rsidRPr="008B03B3">
        <w:separator/>
      </w:r>
    </w:p>
  </w:endnote>
  <w:endnote w:type="continuationSeparator" w:id="0">
    <w:p w:rsidR="00DF5FC4" w:rsidRPr="008B03B3" w:rsidRDefault="00DF5FC4">
      <w:r w:rsidRPr="008B03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DF5F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DF5FC4">
    <w:pPr>
      <w:pStyle w:val="SidfotH"/>
      <w:framePr w:wrap="around"/>
    </w:pPr>
    <w:r w:rsidRPr="008B03B3">
      <w:t>5</w:t>
    </w:r>
  </w:p>
  <w:p w:rsidR="00DF5FC4" w:rsidRPr="008B03B3" w:rsidRDefault="00DF5F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DF5FC4">
    <w:pPr>
      <w:pStyle w:val="SidfotH"/>
      <w:framePr w:wrap="around"/>
    </w:pPr>
    <w:r w:rsidRPr="008B03B3">
      <w:t>1</w:t>
    </w:r>
  </w:p>
  <w:p w:rsidR="00DF5FC4" w:rsidRPr="008B03B3" w:rsidRDefault="00DF5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FC4" w:rsidRPr="008B03B3" w:rsidRDefault="00DF5FC4">
      <w:r w:rsidRPr="008B03B3">
        <w:separator/>
      </w:r>
    </w:p>
  </w:footnote>
  <w:footnote w:type="continuationSeparator" w:id="0">
    <w:p w:rsidR="00DF5FC4" w:rsidRPr="008B03B3" w:rsidRDefault="00DF5FC4">
      <w:r w:rsidRPr="008B03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DF5F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DF5FC4">
    <w:pPr>
      <w:pStyle w:val="Kantrubrik"/>
      <w:framePr w:h="1157" w:hRule="exact" w:wrap="around" w:y="738"/>
    </w:pPr>
    <w:r w:rsidRPr="008B03B3">
      <w:t>2007/08:FPM112</w:t>
    </w:r>
  </w:p>
  <w:p w:rsidR="00DF5FC4" w:rsidRPr="008B03B3" w:rsidRDefault="00DF5F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FC4" w:rsidRPr="008B03B3" w:rsidRDefault="008B03B3">
    <w:pPr>
      <w:pStyle w:val="Sidhuvud"/>
    </w:pPr>
    <w:r w:rsidRPr="008B03B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9497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FC4" w:rsidRDefault="00DF5F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4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F5FC4" w:rsidRDefault="00DF5FC4">
                    <w:pPr>
                      <w:pStyle w:val="Logo"/>
                    </w:pPr>
                    <w:r>
                      <w:object w:dxaOrig="840" w:dyaOrig="1545">
                        <v:shape id="_x0000_i1025" type="#_x0000_t75" style="width:42pt;height:77.15pt" filled="t">
                          <v:imagedata r:id="rId1" o:title=""/>
                        </v:shape>
                        <o:OLEObject Type="Embed" ProgID="Word.Picture.8" ShapeID="_x0000_i1025" DrawAspect="Content" ObjectID="_18274954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BCF0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B9F543C"/>
    <w:multiLevelType w:val="hybridMultilevel"/>
    <w:tmpl w:val="2A16D66C"/>
    <w:lvl w:ilvl="0" w:tplc="5CEC1C3C">
      <w:start w:val="1"/>
      <w:numFmt w:val="bullet"/>
      <w:lvlRestart w:val="0"/>
      <w:pStyle w:val="Punktlista"/>
      <w:lvlText w:val=""/>
      <w:lvlJc w:val="left"/>
      <w:pPr>
        <w:tabs>
          <w:tab w:val="num" w:pos="527"/>
        </w:tabs>
        <w:ind w:left="527" w:hanging="357"/>
      </w:pPr>
      <w:rPr>
        <w:rFonts w:ascii="Symbol" w:hAnsi="Symbol" w:hint="default"/>
      </w:rPr>
    </w:lvl>
    <w:lvl w:ilvl="1" w:tplc="0409000F">
      <w:start w:val="1"/>
      <w:numFmt w:val="decimal"/>
      <w:lvlText w:val="%2."/>
      <w:lvlJc w:val="left"/>
      <w:pPr>
        <w:tabs>
          <w:tab w:val="num" w:pos="1610"/>
        </w:tabs>
        <w:ind w:left="1610" w:hanging="360"/>
      </w:pPr>
      <w:rPr>
        <w:rFonts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3463568">
    <w:abstractNumId w:val="5"/>
  </w:num>
  <w:num w:numId="2" w16cid:durableId="966353138">
    <w:abstractNumId w:val="2"/>
  </w:num>
  <w:num w:numId="3" w16cid:durableId="1913349927">
    <w:abstractNumId w:val="3"/>
  </w:num>
  <w:num w:numId="4" w16cid:durableId="507214035">
    <w:abstractNumId w:val="4"/>
  </w:num>
  <w:num w:numId="5" w16cid:durableId="363949821">
    <w:abstractNumId w:val="7"/>
  </w:num>
  <w:num w:numId="6" w16cid:durableId="498738235">
    <w:abstractNumId w:val="1"/>
  </w:num>
  <w:num w:numId="7" w16cid:durableId="856844208">
    <w:abstractNumId w:val="0"/>
  </w:num>
  <w:num w:numId="8" w16cid:durableId="443967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29"/>
    <w:docVar w:name="Ar" w:val="2007/08"/>
    <w:docVar w:name="Dep" w:val="Kulturdepartementet"/>
    <w:docVar w:name="DepWeb" w:val="Kulturdepartementet"/>
    <w:docVar w:name="GDB1" w:val="KOM(2008)2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from the European Parliament, the Council, the European Economic and Social Committee and the Committee of the Regions on the protection of consumers, in particular minors, in respect of the use of video game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207 slutlig"/>
    <w:docVar w:name="Nr" w:val="112"/>
    <w:docVar w:name="RD_APPVERSION" w:val="3.00"/>
    <w:docVar w:name="Rub" w:val="Meddelande om minderåriga och skydd vid användning av datorspel"/>
    <w:docVar w:name="UppDat" w:val="2008-05-29"/>
    <w:docVar w:name="Utsk" w:val="Kulturutskottet"/>
  </w:docVars>
  <w:rsids>
    <w:rsidRoot w:val="00075259"/>
    <w:rsid w:val="00075259"/>
    <w:rsid w:val="008B03B3"/>
    <w:rsid w:val="00DF5F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91F8A8-154E-4D9D-8797-F4A0BDB4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Dirnormalmedindrag">
    <w:name w:val="Dir. normal med indrag"/>
    <w:basedOn w:val="Normal"/>
    <w:link w:val="DirnormalmedindragChar"/>
    <w:pPr>
      <w:overflowPunct w:val="0"/>
      <w:autoSpaceDE w:val="0"/>
      <w:autoSpaceDN w:val="0"/>
      <w:adjustRightInd w:val="0"/>
      <w:spacing w:before="0" w:line="240" w:lineRule="auto"/>
      <w:ind w:firstLine="284"/>
      <w:textAlignment w:val="baseline"/>
    </w:pPr>
    <w:rPr>
      <w:sz w:val="22"/>
      <w:lang w:eastAsia="en-US"/>
    </w:rPr>
  </w:style>
  <w:style w:type="character" w:customStyle="1" w:styleId="DirnormalmedindragChar">
    <w:name w:val="Dir. normal med indrag Char"/>
    <w:basedOn w:val="Standardstycketeckensnitt"/>
    <w:link w:val="Dirnormalmedindrag"/>
    <w:rPr>
      <w:sz w:val="22"/>
      <w:lang w:val="sv-SE" w:eastAsia="en-US" w:bidi="ar-SA"/>
    </w:rPr>
  </w:style>
  <w:style w:type="paragraph" w:customStyle="1" w:styleId="Dirnormalutanindrag">
    <w:name w:val="Dir. normal utan indrag"/>
    <w:basedOn w:val="Normal"/>
    <w:next w:val="Dirnormalmedindrag"/>
    <w:link w:val="DirnormalutanindragChar"/>
    <w:pPr>
      <w:overflowPunct w:val="0"/>
      <w:autoSpaceDE w:val="0"/>
      <w:autoSpaceDN w:val="0"/>
      <w:adjustRightInd w:val="0"/>
      <w:spacing w:before="0" w:line="240" w:lineRule="auto"/>
      <w:textAlignment w:val="baseline"/>
    </w:pPr>
    <w:rPr>
      <w:sz w:val="22"/>
      <w:lang w:eastAsia="en-US"/>
    </w:rPr>
  </w:style>
  <w:style w:type="paragraph" w:customStyle="1" w:styleId="Dirrubrik1">
    <w:name w:val="Dir. rubrik 1"/>
    <w:basedOn w:val="Dirnormalutanindrag"/>
    <w:next w:val="Dirnormalutanindrag"/>
    <w:link w:val="Dirrubrik1Char"/>
    <w:pPr>
      <w:spacing w:before="480" w:after="160"/>
      <w:jc w:val="left"/>
    </w:pPr>
    <w:rPr>
      <w:b/>
    </w:rPr>
  </w:style>
  <w:style w:type="paragraph" w:customStyle="1" w:styleId="Dirrubrik2">
    <w:name w:val="Dir. rubrik 2"/>
    <w:basedOn w:val="Dirnormalutanindrag"/>
    <w:next w:val="Dirnormalutanindrag"/>
    <w:pPr>
      <w:spacing w:before="240" w:after="160"/>
      <w:jc w:val="left"/>
    </w:pPr>
    <w:rPr>
      <w:i/>
    </w:rPr>
  </w:style>
  <w:style w:type="character" w:customStyle="1" w:styleId="DirnormalutanindragChar">
    <w:name w:val="Dir. normal utan indrag Char"/>
    <w:basedOn w:val="Standardstycketeckensnitt"/>
    <w:link w:val="Dirnormalutanindrag"/>
    <w:rPr>
      <w:sz w:val="22"/>
      <w:lang w:val="sv-SE" w:eastAsia="en-US" w:bidi="ar-SA"/>
    </w:rPr>
  </w:style>
  <w:style w:type="character" w:customStyle="1" w:styleId="Dirrubrik1Char">
    <w:name w:val="Dir. rubrik 1 Char"/>
    <w:basedOn w:val="DirnormalutanindragChar"/>
    <w:link w:val="Dirrubrik1"/>
    <w:rPr>
      <w:b/>
      <w:sz w:val="22"/>
      <w:lang w:val="sv-SE" w:eastAsia="en-US" w:bidi="ar-SA"/>
    </w:rPr>
  </w:style>
  <w:style w:type="character" w:customStyle="1" w:styleId="Rubrik1Char">
    <w:name w:val="Rubrik 1 Char"/>
    <w:basedOn w:val="Standardstycketeckensnitt"/>
    <w:link w:val="Rubrik1"/>
    <w:rPr>
      <w:sz w:val="28"/>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989</Words>
  <Characters>6445</Characters>
  <Application>Microsoft Office Word</Application>
  <DocSecurity>4</DocSecurity>
  <Lines>140</Lines>
  <Paragraphs>64</Paragraphs>
  <ScaleCrop>false</ScaleCrop>
  <HeadingPairs>
    <vt:vector size="2" baseType="variant">
      <vt:variant>
        <vt:lpstr>Rubrik</vt:lpstr>
      </vt:variant>
      <vt:variant>
        <vt:i4>1</vt:i4>
      </vt:variant>
    </vt:vector>
  </HeadingPairs>
  <TitlesOfParts>
    <vt:vector size="1" baseType="lpstr">
      <vt:lpstr>FPM_200708__112</vt:lpstr>
    </vt:vector>
  </TitlesOfParts>
  <Company>RD-DTSL</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FPM_200708__112</dc:title>
  <dc:subject>FPM_200708__112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2008-05-30T04:54:00Z</cp:lastPrinted>
  <dcterms:created xsi:type="dcterms:W3CDTF">2025-12-17T11:54:00Z</dcterms:created>
  <dcterms:modified xsi:type="dcterms:W3CDTF">2025-12-17T11:54:00Z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KOM(2008)207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Meddelande om minderåriga och skydd vid användning av datorspel</vt:lpwstr>
  </property>
  <property fmtid="{D5CDD505-2E9C-101B-9397-08002B2CF9AE}" pid="8" name="UppDat">
    <vt:lpwstr>2008-05-29</vt:lpwstr>
  </property>
  <property fmtid="{D5CDD505-2E9C-101B-9397-08002B2CF9AE}" pid="9" name="AnkDat">
    <vt:lpwstr>2008-05-29</vt:lpwstr>
  </property>
  <property fmtid="{D5CDD505-2E9C-101B-9397-08002B2CF9AE}" pid="10" name="Utsk">
    <vt:lpwstr>Kulturutskottet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9;0;0;0</vt:lpwstr>
  </property>
  <property fmtid="{D5CDD505-2E9C-101B-9397-08002B2CF9AE}" pid="42" name="Sprak">
    <vt:lpwstr>Svenska</vt:lpwstr>
  </property>
  <property fmtid="{D5CDD505-2E9C-101B-9397-08002B2CF9AE}" pid="43" name="DokID">
    <vt:i4>80</vt:i4>
  </property>
</Properties>
</file>