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2C7" w:rsidRPr="009F34F6" w:rsidRDefault="009122C7">
      <w:pPr>
        <w:pStyle w:val="Frslagsrubrik"/>
      </w:pPr>
      <w:r w:rsidRPr="009F34F6">
        <w:t>Förslag till riksdagsbeslut</w:t>
      </w:r>
    </w:p>
    <w:p w:rsidR="009122C7" w:rsidRPr="009F34F6" w:rsidRDefault="009122C7">
      <w:pPr>
        <w:pStyle w:val="Hemstlatt"/>
        <w:numPr>
          <w:ilvl w:val="0"/>
          <w:numId w:val="1"/>
        </w:numPr>
      </w:pPr>
      <w:r w:rsidRPr="009F34F6">
        <w:t>Riksdagen tillkännager för regeringen som sin mening vad som anförs i motionen om ett stabilt pensionssystem som ger pensionärerna en trygg inkomst.</w:t>
      </w:r>
    </w:p>
    <w:p w:rsidR="009122C7" w:rsidRPr="009F34F6" w:rsidRDefault="009122C7">
      <w:pPr>
        <w:pStyle w:val="Hemstlatt"/>
        <w:numPr>
          <w:ilvl w:val="0"/>
          <w:numId w:val="1"/>
        </w:numPr>
      </w:pPr>
      <w:r w:rsidRPr="009F34F6">
        <w:t>Riksdagen tillkännager för regeringen som sin mening vad som anförs i motionen om viktiga förutsättningar för hållbara pensi</w:t>
      </w:r>
      <w:r w:rsidRPr="009F34F6">
        <w:t>o</w:t>
      </w:r>
      <w:r w:rsidRPr="009F34F6">
        <w:t>ner.</w:t>
      </w:r>
    </w:p>
    <w:p w:rsidR="009122C7" w:rsidRPr="009F34F6" w:rsidRDefault="009122C7">
      <w:pPr>
        <w:pStyle w:val="Hemstlatt"/>
        <w:numPr>
          <w:ilvl w:val="0"/>
          <w:numId w:val="1"/>
        </w:numPr>
      </w:pPr>
      <w:r w:rsidRPr="009F34F6">
        <w:t>Riksdagen tillkännager för regeringen som sin mening vad som anförs i motionen om förutsättningar för människor att arbeta till 65 års ålder.</w:t>
      </w:r>
    </w:p>
    <w:p w:rsidR="009122C7" w:rsidRPr="009F34F6" w:rsidRDefault="009122C7">
      <w:pPr>
        <w:pStyle w:val="Hemstlatt"/>
        <w:numPr>
          <w:ilvl w:val="0"/>
          <w:numId w:val="1"/>
        </w:numPr>
      </w:pPr>
      <w:r w:rsidRPr="009F34F6">
        <w:t>Riksdagen tillkännager för regeringen som sin mening vad som anförs i motionen om att regeringen bör återkomma med en r</w:t>
      </w:r>
      <w:r w:rsidRPr="009F34F6">
        <w:t>e</w:t>
      </w:r>
      <w:r w:rsidRPr="009F34F6">
        <w:t>dovisning av hur den statliga ålderspensionen påverkas av framvä</w:t>
      </w:r>
      <w:r w:rsidRPr="009F34F6">
        <w:t>x</w:t>
      </w:r>
      <w:r w:rsidRPr="009F34F6">
        <w:t>ten av en låglönemarknad och den höga arbetslöshetsnivå som etabl</w:t>
      </w:r>
      <w:r w:rsidRPr="009F34F6">
        <w:t>e</w:t>
      </w:r>
      <w:r w:rsidRPr="009F34F6">
        <w:t>rats under de senaste åren.</w:t>
      </w:r>
    </w:p>
    <w:p w:rsidR="009122C7" w:rsidRPr="009F34F6" w:rsidRDefault="009122C7">
      <w:pPr>
        <w:pStyle w:val="Hemstlatt"/>
        <w:numPr>
          <w:ilvl w:val="0"/>
          <w:numId w:val="1"/>
        </w:numPr>
      </w:pPr>
      <w:r w:rsidRPr="009F34F6">
        <w:t>Riksdagen tillkännager för regeringen som sin mening vad som anförs i motionen om förstärkt information om rätten till b</w:t>
      </w:r>
      <w:r w:rsidRPr="009F34F6">
        <w:t>o</w:t>
      </w:r>
      <w:r w:rsidRPr="009F34F6">
        <w:t>stadstillägg även fortsättningsvis.</w:t>
      </w:r>
    </w:p>
    <w:p w:rsidR="009122C7" w:rsidRPr="009F34F6" w:rsidRDefault="009122C7">
      <w:pPr>
        <w:pStyle w:val="Rubrik1"/>
      </w:pPr>
      <w:r w:rsidRPr="009F34F6">
        <w:t>Motivering</w:t>
      </w:r>
    </w:p>
    <w:p w:rsidR="009122C7" w:rsidRPr="009F34F6" w:rsidRDefault="009122C7">
      <w:r w:rsidRPr="009F34F6">
        <w:t>Vi lever ett allt längre och friskare liv och många pensionärer lever ett gott liv där man förverkligar många av sina drömmar. Vi socialdemokrater vill att alla ska kunna se fram mot en givande och trygg tid som pensionär.</w:t>
      </w:r>
    </w:p>
    <w:p w:rsidR="009122C7" w:rsidRPr="009F34F6" w:rsidRDefault="009122C7">
      <w:pPr>
        <w:pStyle w:val="Normaltindrag"/>
      </w:pPr>
      <w:r w:rsidRPr="009F34F6">
        <w:t>Vi ska ha ett starkt, gemensamt pensionssystem. Alla ska kunna lita på att pensionssystemet ger en trygg inkomst på ålderns höst.</w:t>
      </w:r>
    </w:p>
    <w:p w:rsidR="009122C7" w:rsidRPr="009F34F6" w:rsidRDefault="009122C7">
      <w:pPr>
        <w:pStyle w:val="Normaltindrag"/>
      </w:pPr>
      <w:r w:rsidRPr="009F34F6">
        <w:t xml:space="preserve">Pensionssystemet har en stabil politisk förankring, vilket är värdefullt för Sverige. Pensionssystemet är ekonomiskt robust men samtidigt visar studier </w:t>
      </w:r>
      <w:r w:rsidRPr="009F34F6">
        <w:lastRenderedPageBreak/>
        <w:t>på låga framtida statliga pensionsnivåer för breda grupper av löntagare, vilket naturligtvis påverkar förtroendet för det gemensamma systemet.</w:t>
      </w:r>
    </w:p>
    <w:p w:rsidR="009122C7" w:rsidRPr="009F34F6" w:rsidRDefault="009122C7">
      <w:pPr>
        <w:pStyle w:val="Normaltindrag"/>
      </w:pPr>
      <w:r w:rsidRPr="009F34F6">
        <w:t>Pensionssystemet står därtill inför stora utmaningar under kommande d</w:t>
      </w:r>
      <w:r w:rsidRPr="009F34F6">
        <w:t>e</w:t>
      </w:r>
      <w:r w:rsidRPr="009F34F6">
        <w:t>cennier. Den demografiska utvecklingen innebär att de som förvärvsarbetar måste försörja allt fler. Med en hög långtidsarbetslöshet försämras förutsät</w:t>
      </w:r>
      <w:r w:rsidRPr="009F34F6">
        <w:t>t</w:t>
      </w:r>
      <w:r w:rsidRPr="009F34F6">
        <w:t>ningarna att långsiktigt finansiera pensionerna. Vi får därtill en växande grupp medborgare som riskerar att få mycket låga pensioner till följd av att de utförsäkrats eller ställts utanför arbetsmarknaden under en längre tid.</w:t>
      </w:r>
    </w:p>
    <w:p w:rsidR="009122C7" w:rsidRPr="009F34F6" w:rsidRDefault="009122C7">
      <w:pPr>
        <w:pStyle w:val="Normaltindrag"/>
      </w:pPr>
      <w:r w:rsidRPr="009F34F6">
        <w:t>För att långsiktigt säkra pensionssystemets hållbarhet och trygga bra pe</w:t>
      </w:r>
      <w:r w:rsidRPr="009F34F6">
        <w:t>n</w:t>
      </w:r>
      <w:r w:rsidRPr="009F34F6">
        <w:t>sioner för breda yrkesgrupper är det viktigt att sysselsättningen ökar och att åtgärder vidtas för att möjliggöra för många fler löntagare att arbeta längre. Arbetslivet måste vara så utformat att människor faktiskt orkar jobba till 65-årsdagen. Det kräver bland annat ökade resurser för kontroll, forskning och utveckling av arbetsmiljöarbetet. Men det krävs också förbättrade insatser för rehabilitering och omställning för att förhindra den utslagning som nu sker från arbetslivet. Pensionsgruppen, som bestå</w:t>
      </w:r>
      <w:r w:rsidRPr="009F34F6">
        <w:t>r av ledamöter från de partier som står bakom pensionsöverenskommelsen och som har till uppgift att ko</w:t>
      </w:r>
      <w:r w:rsidRPr="009F34F6">
        <w:t>n</w:t>
      </w:r>
      <w:r w:rsidRPr="009F34F6">
        <w:t>tinuerligt följa pensionssystemet, har tillsatt en utredning för att se över de pensionsrelaterade åldersgränserna och möjligheterna för ett längre arbetsliv.</w:t>
      </w:r>
    </w:p>
    <w:p w:rsidR="009122C7" w:rsidRPr="009F34F6" w:rsidRDefault="009122C7">
      <w:pPr>
        <w:pStyle w:val="Normaltindrag"/>
      </w:pPr>
      <w:r w:rsidRPr="009F34F6">
        <w:t>Det behövs också en grundligare analys av vilka effekter de senaste årens förändringar riskerar att få för pensionssystemet. Denna bör ske i nära dialog med arbetsmarknadens parter och genomföras inom ramen för den breda pensionsöverenskommelsen över</w:t>
      </w:r>
      <w:r w:rsidRPr="009F34F6">
        <w:t xml:space="preserve"> blockgränserna. Syftet bör vara att trygga goda pensioner och samtidigt slå vakt om ålderspensionssystemets långsiktiga ekonomiska stabilitet.</w:t>
      </w:r>
    </w:p>
    <w:p w:rsidR="009122C7" w:rsidRPr="009F34F6" w:rsidRDefault="009122C7">
      <w:pPr>
        <w:pStyle w:val="Normaltindrag"/>
      </w:pPr>
      <w:r w:rsidRPr="009F34F6">
        <w:t>Pensionärer ska inte beskattas hårdare än löntagare. En väl fungerande a</w:t>
      </w:r>
      <w:r w:rsidRPr="009F34F6">
        <w:t>r</w:t>
      </w:r>
      <w:r w:rsidRPr="009F34F6">
        <w:t>betslinje kräver att det ska löna sig både att arbeta och att ha arbetat. Den borgerliga regeringen har medvetet skapat och behållit en skatteklyfta mellan lön och pension. Vi vill successivt sluta denna klyfta genom att höja grunda</w:t>
      </w:r>
      <w:r w:rsidRPr="009F34F6">
        <w:t>v</w:t>
      </w:r>
      <w:r w:rsidRPr="009F34F6">
        <w:t>draget för pensionärer. I denna budget tar vi ett första viktigt steg i den rik</w:t>
      </w:r>
      <w:r w:rsidRPr="009F34F6">
        <w:t>t</w:t>
      </w:r>
      <w:r w:rsidRPr="009F34F6">
        <w:t xml:space="preserve">ningen. Den föreslagna förändringen innebär en skattesänkning på mellan 1 200 och 1 500 kronor per år för årsinkomster mellan 135 000 och 430 000 kronor per år. Pension är inget annat än uppskjuten </w:t>
      </w:r>
      <w:r w:rsidRPr="009F34F6">
        <w:t>lön och det finns ingen rättvisa i att pensionärer ska beskattas högre än löntagarna.</w:t>
      </w:r>
    </w:p>
    <w:p w:rsidR="009122C7" w:rsidRPr="009F34F6" w:rsidRDefault="009122C7">
      <w:pPr>
        <w:pStyle w:val="Normaltindrag"/>
      </w:pPr>
      <w:r w:rsidRPr="009F34F6">
        <w:t xml:space="preserve">Det faktum att kvinnor generellt sett har lägre löner än män påverkar också pensionen. En övervägande del av gruppen med garantipension är kvinnor. Det är kvinnorna som har och har haft lägre inkomster än män, och det är också de som förvärvsarbetat minst och arbetat mest deltid men utfört desto mer obetalt hemarbete. För att komma till rätta med de skillnaderna på kort och lång sikt måste jämställdheten öka både i hemmet </w:t>
      </w:r>
      <w:r w:rsidRPr="009F34F6">
        <w:t>och i arbetslivet. Kvi</w:t>
      </w:r>
      <w:r w:rsidRPr="009F34F6">
        <w:t>n</w:t>
      </w:r>
      <w:r w:rsidRPr="009F34F6">
        <w:t>nor drabbas också särskilt hårt när sjukförsäkringen inte längre fungerar. Rehabiliteringen tillbaka till arbete är bristfällig, många lever på försörjning</w:t>
      </w:r>
      <w:r w:rsidRPr="009F34F6">
        <w:t>s</w:t>
      </w:r>
      <w:r w:rsidRPr="009F34F6">
        <w:t>stöd trots att de är sjuka och borde få tillgång till sjukförsäkringen. Vi hör vittnesmål om att kvinnor tvingas att ta ut pension i förtid för att kunna fö</w:t>
      </w:r>
      <w:r w:rsidRPr="009F34F6">
        <w:t>r</w:t>
      </w:r>
      <w:r w:rsidRPr="009F34F6">
        <w:t>sörja sig. Det riskerar att få stora återverkningar på pensionens storlek.</w:t>
      </w:r>
    </w:p>
    <w:p w:rsidR="009122C7" w:rsidRPr="009F34F6" w:rsidRDefault="009122C7">
      <w:pPr>
        <w:pStyle w:val="Rubrik2"/>
      </w:pPr>
      <w:r w:rsidRPr="009F34F6">
        <w:t>Bostadstillägg till pensionärer</w:t>
      </w:r>
    </w:p>
    <w:p w:rsidR="009122C7" w:rsidRPr="009F34F6" w:rsidRDefault="009122C7">
      <w:r w:rsidRPr="009F34F6">
        <w:t>För de sämst ställda pensionärerna är bostadstillägget ett viktigt tillskott till ekonomin. Redan inför valet 2010 föreslog vi att bostadstillägget skulle höjas, och vi välkomnar att regeringen nu följer vårt förslag. Samtidigt kan vi ko</w:t>
      </w:r>
      <w:r w:rsidRPr="009F34F6">
        <w:t>n</w:t>
      </w:r>
      <w:r w:rsidRPr="009F34F6">
        <w:t>statera att regeringens åtgärder inte på något sätt kompenserar den klyfta i beskattning om regeringen skapat.</w:t>
      </w:r>
    </w:p>
    <w:p w:rsidR="009122C7" w:rsidRPr="009F34F6" w:rsidRDefault="009122C7">
      <w:pPr>
        <w:pStyle w:val="Normaltindrag"/>
      </w:pPr>
      <w:r w:rsidRPr="009F34F6">
        <w:t xml:space="preserve">Det är viktigt att den som har rätt till bostadstillägg nås av information om möjlighet att ansöka. </w:t>
      </w:r>
      <w:bookmarkStart w:id="0" w:name="fnref0"/>
      <w:bookmarkEnd w:id="0"/>
      <w:r w:rsidRPr="009F34F6">
        <w:t>Det är angeläget Pensionsmyndigheten fortsätter arbetet med informationsinsatser till gruppen som är berättigade till bostadstillägg.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4F6">
        <w:trPr>
          <w:cantSplit/>
        </w:trPr>
        <w:tc>
          <w:tcPr>
            <w:tcW w:w="3046" w:type="dxa"/>
          </w:tcPr>
          <w:p w:rsidR="009122C7" w:rsidRPr="009F34F6" w:rsidRDefault="009122C7">
            <w:pPr>
              <w:pStyle w:val="UnderskriftDatum"/>
              <w:spacing w:before="240"/>
            </w:pPr>
            <w:r w:rsidRPr="009F34F6">
              <w:t>Stockholm den 5 oktober 2011</w:t>
            </w:r>
          </w:p>
        </w:tc>
        <w:tc>
          <w:tcPr>
            <w:tcW w:w="3047" w:type="dxa"/>
          </w:tcPr>
          <w:p w:rsidR="009122C7" w:rsidRPr="009F34F6" w:rsidRDefault="009122C7">
            <w:pPr>
              <w:pStyle w:val="Underskrifter"/>
              <w:spacing w:before="240"/>
            </w:pPr>
          </w:p>
        </w:tc>
      </w:tr>
      <w:tr w:rsidR="00000000" w:rsidRPr="009F34F6">
        <w:trPr>
          <w:cantSplit/>
        </w:trPr>
        <w:tc>
          <w:tcPr>
            <w:tcW w:w="3046" w:type="dxa"/>
          </w:tcPr>
          <w:p w:rsidR="009122C7" w:rsidRPr="009F34F6" w:rsidRDefault="009122C7">
            <w:pPr>
              <w:pStyle w:val="Underskrifter"/>
            </w:pPr>
            <w:r w:rsidRPr="009F34F6">
              <w:t>Tomas Eneroth (S)</w:t>
            </w:r>
          </w:p>
        </w:tc>
        <w:tc>
          <w:tcPr>
            <w:tcW w:w="3046" w:type="dxa"/>
          </w:tcPr>
          <w:p w:rsidR="009122C7" w:rsidRPr="009F34F6" w:rsidRDefault="009122C7">
            <w:pPr>
              <w:pStyle w:val="Underskrifter"/>
            </w:pPr>
          </w:p>
        </w:tc>
      </w:tr>
      <w:tr w:rsidR="00000000" w:rsidRPr="009F34F6">
        <w:trPr>
          <w:cantSplit/>
        </w:trPr>
        <w:tc>
          <w:tcPr>
            <w:tcW w:w="3046" w:type="dxa"/>
          </w:tcPr>
          <w:p w:rsidR="009122C7" w:rsidRPr="009F34F6" w:rsidRDefault="009122C7">
            <w:pPr>
              <w:pStyle w:val="Underskrifter"/>
            </w:pPr>
            <w:r w:rsidRPr="009F34F6">
              <w:t>Fredrik Lundh Sammeli (S)</w:t>
            </w:r>
          </w:p>
        </w:tc>
        <w:tc>
          <w:tcPr>
            <w:tcW w:w="3046" w:type="dxa"/>
          </w:tcPr>
          <w:p w:rsidR="009122C7" w:rsidRPr="009F34F6" w:rsidRDefault="009122C7">
            <w:pPr>
              <w:pStyle w:val="Underskrifter"/>
            </w:pPr>
            <w:r w:rsidRPr="009F34F6">
              <w:t>Eva-Lena Jansson (S)</w:t>
            </w:r>
          </w:p>
        </w:tc>
      </w:tr>
      <w:tr w:rsidR="00000000" w:rsidRPr="009F34F6">
        <w:trPr>
          <w:cantSplit/>
        </w:trPr>
        <w:tc>
          <w:tcPr>
            <w:tcW w:w="3046" w:type="dxa"/>
          </w:tcPr>
          <w:p w:rsidR="009122C7" w:rsidRPr="009F34F6" w:rsidRDefault="009122C7">
            <w:pPr>
              <w:pStyle w:val="Underskrifter"/>
            </w:pPr>
            <w:r w:rsidRPr="009F34F6">
              <w:t>Kurt Kvarnström (S)</w:t>
            </w:r>
          </w:p>
        </w:tc>
        <w:tc>
          <w:tcPr>
            <w:tcW w:w="3046" w:type="dxa"/>
          </w:tcPr>
          <w:p w:rsidR="009122C7" w:rsidRPr="009F34F6" w:rsidRDefault="009122C7">
            <w:pPr>
              <w:pStyle w:val="Underskrifter"/>
            </w:pPr>
            <w:r w:rsidRPr="009F34F6">
              <w:t>Shadiye Heydari (S)</w:t>
            </w:r>
          </w:p>
        </w:tc>
      </w:tr>
      <w:tr w:rsidR="00000000" w:rsidRPr="009F34F6">
        <w:trPr>
          <w:cantSplit/>
        </w:trPr>
        <w:tc>
          <w:tcPr>
            <w:tcW w:w="3046" w:type="dxa"/>
          </w:tcPr>
          <w:p w:rsidR="009122C7" w:rsidRPr="009F34F6" w:rsidRDefault="009122C7">
            <w:pPr>
              <w:pStyle w:val="Underskrifter"/>
            </w:pPr>
            <w:r w:rsidRPr="009F34F6">
              <w:t>Jasenko Omanovic (S)</w:t>
            </w:r>
          </w:p>
        </w:tc>
        <w:tc>
          <w:tcPr>
            <w:tcW w:w="3046" w:type="dxa"/>
          </w:tcPr>
          <w:p w:rsidR="009122C7" w:rsidRPr="009F34F6" w:rsidRDefault="009122C7">
            <w:pPr>
              <w:pStyle w:val="Underskrifter"/>
            </w:pPr>
            <w:r w:rsidRPr="009F34F6">
              <w:t>Annelie Karlsson (S)</w:t>
            </w:r>
          </w:p>
        </w:tc>
      </w:tr>
    </w:tbl>
    <w:p w:rsidR="009122C7" w:rsidRPr="009F34F6" w:rsidRDefault="009122C7">
      <w:pPr>
        <w:pStyle w:val="Normaltindrag"/>
      </w:pPr>
    </w:p>
    <w:sectPr w:rsidR="009122C7" w:rsidRPr="009F34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2C7" w:rsidRPr="009F34F6" w:rsidRDefault="009122C7">
      <w:r w:rsidRPr="009F34F6">
        <w:separator/>
      </w:r>
    </w:p>
  </w:endnote>
  <w:endnote w:type="continuationSeparator" w:id="0">
    <w:p w:rsidR="009122C7" w:rsidRPr="009F34F6" w:rsidRDefault="009122C7">
      <w:r w:rsidRPr="009F34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C7" w:rsidRPr="009F34F6" w:rsidRDefault="009F34F6">
    <w:pPr>
      <w:pStyle w:val="Sidfot"/>
    </w:pPr>
    <w:r w:rsidRPr="009F34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820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C7" w:rsidRDefault="009122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2C7" w:rsidRDefault="009122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C7" w:rsidRPr="009F34F6" w:rsidRDefault="009F34F6">
    <w:pPr>
      <w:pStyle w:val="Sidfot"/>
    </w:pPr>
    <w:r w:rsidRPr="009F34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408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C7" w:rsidRDefault="009122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2C7" w:rsidRDefault="009122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C7" w:rsidRPr="009F34F6" w:rsidRDefault="009F34F6">
    <w:pPr>
      <w:pStyle w:val="Sidfot"/>
    </w:pPr>
    <w:r w:rsidRPr="009F34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842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C7" w:rsidRDefault="00912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2C7" w:rsidRDefault="00912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2C7" w:rsidRPr="009F34F6" w:rsidRDefault="009122C7">
      <w:r w:rsidRPr="009F34F6">
        <w:separator/>
      </w:r>
    </w:p>
  </w:footnote>
  <w:footnote w:type="continuationSeparator" w:id="0">
    <w:p w:rsidR="009122C7" w:rsidRPr="009F34F6" w:rsidRDefault="009122C7">
      <w:r w:rsidRPr="009F34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C7" w:rsidRPr="009F34F6" w:rsidRDefault="009F34F6">
    <w:pPr>
      <w:pStyle w:val="Sidhuvud"/>
    </w:pPr>
    <w:r w:rsidRPr="009F34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648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C7" w:rsidRDefault="009122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2C7" w:rsidRDefault="009122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C7" w:rsidRPr="009F34F6" w:rsidRDefault="009F34F6">
    <w:pPr>
      <w:pStyle w:val="Sidhuvud"/>
    </w:pPr>
    <w:r w:rsidRPr="009F34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582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C7" w:rsidRDefault="009122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2C7" w:rsidRDefault="009122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C7" w:rsidRPr="009F34F6" w:rsidRDefault="009122C7">
    <w:pPr>
      <w:pStyle w:val="FSHNormal"/>
      <w:tabs>
        <w:tab w:val="right" w:pos="5840"/>
      </w:tabs>
    </w:pPr>
    <w:r w:rsidRPr="009F34F6">
      <w:br/>
    </w:r>
    <w:r w:rsidRPr="009F34F6">
      <w:fldChar w:fldCharType="begin" w:fldLock="1"/>
    </w:r>
    <w:r w:rsidRPr="009F34F6">
      <w:instrText xml:space="preserve"> DOCPROPERTY</w:instrText>
    </w:r>
    <w:r w:rsidRPr="009F34F6">
      <w:rPr>
        <w:sz w:val="18"/>
      </w:rPr>
      <w:instrText xml:space="preserve"> "YearUser" *\charformat </w:instrText>
    </w:r>
    <w:r w:rsidRPr="009F34F6">
      <w:fldChar w:fldCharType="separate"/>
    </w:r>
    <w:r w:rsidRPr="009F34F6">
      <w:t>2011/12</w:t>
    </w:r>
    <w:r w:rsidRPr="009F34F6">
      <w:fldChar w:fldCharType="end"/>
    </w:r>
    <w:r w:rsidRPr="009F34F6">
      <w:t xml:space="preserve"> </w:t>
    </w:r>
    <w:r w:rsidRPr="009F34F6">
      <w:tab/>
      <w:t xml:space="preserve">mnr: </w:t>
    </w:r>
    <w:r w:rsidRPr="009F34F6">
      <w:fldChar w:fldCharType="begin" w:fldLock="1"/>
    </w:r>
    <w:r w:rsidRPr="009F34F6">
      <w:instrText xml:space="preserve"> DOCPROPERTY</w:instrText>
    </w:r>
    <w:r w:rsidRPr="009F34F6">
      <w:rPr>
        <w:sz w:val="18"/>
      </w:rPr>
      <w:instrText xml:space="preserve"> "Motionsnummer" *\charformat </w:instrText>
    </w:r>
    <w:r w:rsidRPr="009F34F6">
      <w:fldChar w:fldCharType="separate"/>
    </w:r>
    <w:r w:rsidRPr="009F34F6">
      <w:t>Sf310</w:t>
    </w:r>
    <w:r w:rsidRPr="009F34F6">
      <w:fldChar w:fldCharType="end"/>
    </w:r>
    <w:r w:rsidRPr="009F34F6">
      <w:br/>
    </w:r>
    <w:r w:rsidRPr="009F34F6">
      <w:fldChar w:fldCharType="begin" w:fldLock="1"/>
    </w:r>
    <w:r w:rsidRPr="009F34F6">
      <w:instrText xml:space="preserve"> DOCPROPERTY</w:instrText>
    </w:r>
    <w:r w:rsidRPr="009F34F6">
      <w:rPr>
        <w:sz w:val="18"/>
      </w:rPr>
      <w:instrText xml:space="preserve"> "Samling" *\charformat </w:instrText>
    </w:r>
    <w:r w:rsidRPr="009F34F6">
      <w:fldChar w:fldCharType="end"/>
    </w:r>
    <w:r w:rsidRPr="009F34F6">
      <w:tab/>
      <w:t xml:space="preserve">pnr: </w:t>
    </w:r>
    <w:r w:rsidRPr="009F34F6">
      <w:fldChar w:fldCharType="begin" w:fldLock="1"/>
    </w:r>
    <w:r w:rsidRPr="009F34F6">
      <w:instrText xml:space="preserve"> DOCPROPERTY</w:instrText>
    </w:r>
    <w:r w:rsidRPr="009F34F6">
      <w:rPr>
        <w:sz w:val="18"/>
      </w:rPr>
      <w:instrText xml:space="preserve"> "Partinummer" *\charformat </w:instrText>
    </w:r>
    <w:r w:rsidRPr="009F34F6">
      <w:fldChar w:fldCharType="separate"/>
    </w:r>
    <w:r w:rsidRPr="009F34F6">
      <w:t>S47002</w:t>
    </w:r>
    <w:r w:rsidRPr="009F34F6">
      <w:fldChar w:fldCharType="end"/>
    </w:r>
  </w:p>
  <w:p w:rsidR="009122C7" w:rsidRPr="009F34F6" w:rsidRDefault="009122C7">
    <w:pPr>
      <w:pStyle w:val="FSHRub1"/>
    </w:pPr>
    <w:r w:rsidRPr="009F34F6">
      <w:t>Motion till riksdagen</w:t>
    </w:r>
    <w:r w:rsidRPr="009F34F6">
      <w:br/>
    </w:r>
    <w:r w:rsidRPr="009F34F6">
      <w:fldChar w:fldCharType="begin" w:fldLock="1"/>
    </w:r>
    <w:r w:rsidRPr="009F34F6">
      <w:instrText xml:space="preserve"> DOCPROPERTY "YearUser" *\charformat </w:instrText>
    </w:r>
    <w:r w:rsidRPr="009F34F6">
      <w:fldChar w:fldCharType="separate"/>
    </w:r>
    <w:r w:rsidRPr="009F34F6">
      <w:t>2011/12</w:t>
    </w:r>
    <w:r w:rsidRPr="009F34F6">
      <w:fldChar w:fldCharType="end"/>
    </w:r>
    <w:r w:rsidRPr="009F34F6">
      <w:t>:</w:t>
    </w:r>
    <w:r w:rsidRPr="009F34F6">
      <w:fldChar w:fldCharType="begin" w:fldLock="1"/>
    </w:r>
    <w:r w:rsidRPr="009F34F6">
      <w:instrText xml:space="preserve"> DOCPROPERTY "Motionsnummer" *\charformat </w:instrText>
    </w:r>
    <w:r w:rsidRPr="009F34F6">
      <w:fldChar w:fldCharType="separate"/>
    </w:r>
    <w:r w:rsidRPr="009F34F6">
      <w:t>Sf310</w:t>
    </w:r>
    <w:r w:rsidRPr="009F34F6">
      <w:fldChar w:fldCharType="end"/>
    </w:r>
  </w:p>
  <w:p w:rsidR="009122C7" w:rsidRPr="009F34F6" w:rsidRDefault="009122C7">
    <w:pPr>
      <w:pStyle w:val="FSHNormalS5"/>
    </w:pPr>
    <w:r w:rsidRPr="009F34F6">
      <w:fldChar w:fldCharType="begin" w:fldLock="1"/>
    </w:r>
    <w:r w:rsidRPr="009F34F6">
      <w:instrText xml:space="preserve"> DOCPROPERTY "MotionarText" *\charformat </w:instrText>
    </w:r>
    <w:r w:rsidRPr="009F34F6">
      <w:fldChar w:fldCharType="separate"/>
    </w:r>
    <w:r w:rsidRPr="009F34F6">
      <w:t>av Tomas Eneroth m.fl. (S)</w:t>
    </w:r>
    <w:r w:rsidRPr="009F34F6">
      <w:fldChar w:fldCharType="end"/>
    </w:r>
    <w:r w:rsidRPr="009F34F6">
      <w:br/>
    </w:r>
    <w:r w:rsidRPr="009F34F6">
      <w:fldChar w:fldCharType="begin" w:fldLock="1"/>
    </w:r>
    <w:r w:rsidRPr="009F34F6">
      <w:instrText xml:space="preserve"> DOCPROPERTY "SvarFrasKort" *\charformat </w:instrText>
    </w:r>
    <w:r w:rsidRPr="009F34F6">
      <w:fldChar w:fldCharType="end"/>
    </w:r>
  </w:p>
  <w:p w:rsidR="009122C7" w:rsidRPr="009F34F6" w:rsidRDefault="009122C7">
    <w:pPr>
      <w:pStyle w:val="FSHTitel"/>
    </w:pPr>
    <w:r w:rsidRPr="009F34F6">
      <w:fldChar w:fldCharType="begin" w:fldLock="1"/>
    </w:r>
    <w:r w:rsidRPr="009F34F6">
      <w:instrText xml:space="preserve"> DOCPROPERTY</w:instrText>
    </w:r>
    <w:r w:rsidRPr="009F34F6">
      <w:rPr>
        <w:sz w:val="18"/>
      </w:rPr>
      <w:instrText xml:space="preserve"> "RubrikSvar" *\charformat </w:instrText>
    </w:r>
    <w:r w:rsidRPr="009F34F6">
      <w:fldChar w:fldCharType="separate"/>
    </w:r>
    <w:r w:rsidRPr="009F34F6">
      <w:t>Utgiftsområde 11 Ekonomisk trygghet vid ålderdom</w:t>
    </w:r>
    <w:r w:rsidRPr="009F34F6">
      <w:fldChar w:fldCharType="end"/>
    </w:r>
  </w:p>
  <w:p w:rsidR="009122C7" w:rsidRPr="009F34F6" w:rsidRDefault="009122C7">
    <w:pPr>
      <w:pStyle w:val="Normal00"/>
    </w:pPr>
  </w:p>
  <w:p w:rsidR="009122C7" w:rsidRPr="009F34F6" w:rsidRDefault="00912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62F3C"/>
    <w:multiLevelType w:val="hybridMultilevel"/>
    <w:tmpl w:val="A17CAD7C"/>
    <w:lvl w:ilvl="0" w:tplc="180009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1AB4AD8E">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2080E14">
      <w:start w:val="1"/>
      <w:numFmt w:val="decimal"/>
      <w:lvlText w:val="%1."/>
      <w:lvlJc w:val="left"/>
      <w:pPr>
        <w:tabs>
          <w:tab w:val="num" w:pos="340"/>
        </w:tabs>
        <w:ind w:left="340" w:hanging="340"/>
      </w:pPr>
      <w:rPr>
        <w:rFonts w:cs="Times New Roman"/>
      </w:rPr>
    </w:lvl>
    <w:lvl w:ilvl="1" w:tplc="574EC6A0" w:tentative="1">
      <w:start w:val="1"/>
      <w:numFmt w:val="lowerLetter"/>
      <w:lvlText w:val="%2."/>
      <w:lvlJc w:val="left"/>
      <w:pPr>
        <w:tabs>
          <w:tab w:val="num" w:pos="1440"/>
        </w:tabs>
        <w:ind w:left="1440" w:hanging="360"/>
      </w:pPr>
      <w:rPr>
        <w:rFonts w:cs="Times New Roman"/>
      </w:rPr>
    </w:lvl>
    <w:lvl w:ilvl="2" w:tplc="7D024734" w:tentative="1">
      <w:start w:val="1"/>
      <w:numFmt w:val="lowerRoman"/>
      <w:lvlText w:val="%3."/>
      <w:lvlJc w:val="right"/>
      <w:pPr>
        <w:tabs>
          <w:tab w:val="num" w:pos="2160"/>
        </w:tabs>
        <w:ind w:left="2160" w:hanging="180"/>
      </w:pPr>
      <w:rPr>
        <w:rFonts w:cs="Times New Roman"/>
      </w:rPr>
    </w:lvl>
    <w:lvl w:ilvl="3" w:tplc="1B2CC0CA" w:tentative="1">
      <w:start w:val="1"/>
      <w:numFmt w:val="decimal"/>
      <w:lvlText w:val="%4."/>
      <w:lvlJc w:val="left"/>
      <w:pPr>
        <w:tabs>
          <w:tab w:val="num" w:pos="2880"/>
        </w:tabs>
        <w:ind w:left="2880" w:hanging="360"/>
      </w:pPr>
      <w:rPr>
        <w:rFonts w:cs="Times New Roman"/>
      </w:rPr>
    </w:lvl>
    <w:lvl w:ilvl="4" w:tplc="7C7888AC" w:tentative="1">
      <w:start w:val="1"/>
      <w:numFmt w:val="lowerLetter"/>
      <w:lvlText w:val="%5."/>
      <w:lvlJc w:val="left"/>
      <w:pPr>
        <w:tabs>
          <w:tab w:val="num" w:pos="3600"/>
        </w:tabs>
        <w:ind w:left="3600" w:hanging="360"/>
      </w:pPr>
      <w:rPr>
        <w:rFonts w:cs="Times New Roman"/>
      </w:rPr>
    </w:lvl>
    <w:lvl w:ilvl="5" w:tplc="A5926046" w:tentative="1">
      <w:start w:val="1"/>
      <w:numFmt w:val="lowerRoman"/>
      <w:lvlText w:val="%6."/>
      <w:lvlJc w:val="right"/>
      <w:pPr>
        <w:tabs>
          <w:tab w:val="num" w:pos="4320"/>
        </w:tabs>
        <w:ind w:left="4320" w:hanging="180"/>
      </w:pPr>
      <w:rPr>
        <w:rFonts w:cs="Times New Roman"/>
      </w:rPr>
    </w:lvl>
    <w:lvl w:ilvl="6" w:tplc="F7589728" w:tentative="1">
      <w:start w:val="1"/>
      <w:numFmt w:val="decimal"/>
      <w:lvlText w:val="%7."/>
      <w:lvlJc w:val="left"/>
      <w:pPr>
        <w:tabs>
          <w:tab w:val="num" w:pos="5040"/>
        </w:tabs>
        <w:ind w:left="5040" w:hanging="360"/>
      </w:pPr>
      <w:rPr>
        <w:rFonts w:cs="Times New Roman"/>
      </w:rPr>
    </w:lvl>
    <w:lvl w:ilvl="7" w:tplc="53EE3064" w:tentative="1">
      <w:start w:val="1"/>
      <w:numFmt w:val="lowerLetter"/>
      <w:lvlText w:val="%8."/>
      <w:lvlJc w:val="left"/>
      <w:pPr>
        <w:tabs>
          <w:tab w:val="num" w:pos="5760"/>
        </w:tabs>
        <w:ind w:left="5760" w:hanging="360"/>
      </w:pPr>
      <w:rPr>
        <w:rFonts w:cs="Times New Roman"/>
      </w:rPr>
    </w:lvl>
    <w:lvl w:ilvl="8" w:tplc="F276394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8392196">
    <w:abstractNumId w:val="3"/>
  </w:num>
  <w:num w:numId="2" w16cid:durableId="1968852618">
    <w:abstractNumId w:val="2"/>
  </w:num>
  <w:num w:numId="3" w16cid:durableId="1156722449">
    <w:abstractNumId w:val="1"/>
  </w:num>
  <w:num w:numId="4" w16cid:durableId="1718046643">
    <w:abstractNumId w:val="0"/>
  </w:num>
  <w:num w:numId="5" w16cid:durableId="1582566571">
    <w:abstractNumId w:val="7"/>
  </w:num>
  <w:num w:numId="6" w16cid:durableId="464197580">
    <w:abstractNumId w:val="6"/>
  </w:num>
  <w:num w:numId="7" w16cid:durableId="541795240">
    <w:abstractNumId w:val="5"/>
  </w:num>
  <w:num w:numId="8" w16cid:durableId="282543443">
    <w:abstractNumId w:val="4"/>
  </w:num>
  <w:num w:numId="9" w16cid:durableId="1406802789">
    <w:abstractNumId w:val="8"/>
  </w:num>
  <w:num w:numId="10" w16cid:durableId="540214314">
    <w:abstractNumId w:val="9"/>
  </w:num>
  <w:num w:numId="11" w16cid:durableId="1537111162">
    <w:abstractNumId w:val="10"/>
  </w:num>
  <w:num w:numId="12" w16cid:durableId="830557947">
    <w:abstractNumId w:val="14"/>
  </w:num>
  <w:num w:numId="13" w16cid:durableId="859733652">
    <w:abstractNumId w:val="16"/>
  </w:num>
  <w:num w:numId="14" w16cid:durableId="1277055597">
    <w:abstractNumId w:val="17"/>
  </w:num>
  <w:num w:numId="15" w16cid:durableId="1571305642">
    <w:abstractNumId w:val="11"/>
  </w:num>
  <w:num w:numId="16" w16cid:durableId="55783223">
    <w:abstractNumId w:val="19"/>
  </w:num>
  <w:num w:numId="17" w16cid:durableId="479276392">
    <w:abstractNumId w:val="18"/>
  </w:num>
  <w:num w:numId="18" w16cid:durableId="725295370">
    <w:abstractNumId w:val="15"/>
  </w:num>
  <w:num w:numId="19" w16cid:durableId="1139375285">
    <w:abstractNumId w:val="12"/>
  </w:num>
  <w:num w:numId="20" w16cid:durableId="136731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DD6BA6"/>
    <w:rsid w:val="009122C7"/>
    <w:rsid w:val="009F34F6"/>
    <w:rsid w:val="00DD6B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6E900A-0E33-44D4-A2FD-47120F1E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4726</Characters>
  <Application>Microsoft Office Word</Application>
  <DocSecurity>4</DocSecurity>
  <Lines>89</Lines>
  <Paragraphs>30</Paragraphs>
  <ScaleCrop>false</ScaleCrop>
  <HeadingPairs>
    <vt:vector size="2" baseType="variant">
      <vt:variant>
        <vt:lpstr>Rubrik</vt:lpstr>
      </vt:variant>
      <vt:variant>
        <vt:i4>1</vt:i4>
      </vt:variant>
    </vt:vector>
  </HeadingPairs>
  <TitlesOfParts>
    <vt:vector size="1" baseType="lpstr">
      <vt:lpstr>S47002</vt:lpstr>
    </vt:vector>
  </TitlesOfParts>
  <Company>Riksdagen</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S47002</dc:title>
  <dc:subject>S47002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2011-10-28T06:34:00Z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 Ekonomisk trygghet vid ålderdom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pia.magnusson@riksdagen.se</vt:lpwstr>
  </property>
  <property fmtid="{D5CDD505-2E9C-101B-9397-08002B2CF9AE}" pid="45" name="ReservUID">
    <vt:lpwstr>pa0227aa</vt:lpwstr>
  </property>
  <property fmtid="{D5CDD505-2E9C-101B-9397-08002B2CF9AE}" pid="46" name="MotionID">
    <vt:lpwstr>20112012000000000083000470020075</vt:lpwstr>
  </property>
  <property fmtid="{D5CDD505-2E9C-101B-9397-08002B2CF9AE}" pid="47" name="datum">
    <vt:lpwstr>111005</vt:lpwstr>
  </property>
  <property fmtid="{D5CDD505-2E9C-101B-9397-08002B2CF9AE}" pid="48" name="avsändar-e-post">
    <vt:lpwstr>pia.magnusson@riksdagen.se</vt:lpwstr>
  </property>
  <property fmtid="{D5CDD505-2E9C-101B-9397-08002B2CF9AE}" pid="49" name="id">
    <vt:lpwstr>20112012000000000083000470020075</vt:lpwstr>
  </property>
  <property fmtid="{D5CDD505-2E9C-101B-9397-08002B2CF9AE}" pid="50" name="nummer">
    <vt:lpwstr>310</vt:lpwstr>
  </property>
  <property fmtid="{D5CDD505-2E9C-101B-9397-08002B2CF9AE}" pid="51" name="utskottsbeteckning">
    <vt:lpwstr>Sf</vt:lpwstr>
  </property>
  <property fmtid="{D5CDD505-2E9C-101B-9397-08002B2CF9AE}" pid="52" name="GlobalUID">
    <vt:lpwstr>{4D4F5365-A12A-4FBA-A113-56CE669F1BD6}</vt:lpwstr>
  </property>
  <property fmtid="{D5CDD505-2E9C-101B-9397-08002B2CF9AE}" pid="53" name="Överföringar">
    <vt:i4>0</vt:i4>
  </property>
  <property fmtid="{D5CDD505-2E9C-101B-9397-08002B2CF9AE}" pid="54" name="Checksum">
    <vt:lpwstr>*1006915883492*</vt:lpwstr>
  </property>
  <property fmtid="{D5CDD505-2E9C-101B-9397-08002B2CF9AE}" pid="55" name="skuggnummer">
    <vt:lpwstr>2507</vt:lpwstr>
  </property>
  <property fmtid="{D5CDD505-2E9C-101B-9397-08002B2CF9AE}" pid="56" name="urixVersion">
    <vt:lpwstr>4.5.0.25</vt:lpwstr>
  </property>
  <property fmtid="{D5CDD505-2E9C-101B-9397-08002B2CF9AE}" pid="57" name="urixOrigin">
    <vt:lpwstr>111101 10:19:18.587</vt:lpwstr>
  </property>
  <property fmtid="{D5CDD505-2E9C-101B-9397-08002B2CF9AE}" pid="58" name="urixGuid">
    <vt:lpwstr>{CDB77EE8-7EFC-44F8-859E-B2D938595872}</vt:lpwstr>
  </property>
</Properties>
</file>