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60C" w:rsidRPr="006B093B" w:rsidRDefault="005C660C">
      <w:pPr>
        <w:pStyle w:val="RubrikSammanf"/>
        <w:shd w:val="clear" w:color="000000" w:fill="auto"/>
      </w:pPr>
      <w:bookmarkStart w:id="0" w:name="_Toc155577696"/>
      <w:bookmarkStart w:id="1" w:name="_Toc155693339"/>
      <w:r w:rsidRPr="006B093B">
        <w:t>Sammanfattning</w:t>
      </w:r>
      <w:bookmarkEnd w:id="0"/>
      <w:bookmarkEnd w:id="1"/>
    </w:p>
    <w:p w:rsidR="005C660C" w:rsidRPr="006B093B" w:rsidRDefault="005C660C">
      <w:pPr>
        <w:shd w:val="clear" w:color="000000" w:fill="auto"/>
      </w:pPr>
      <w:r w:rsidRPr="006B093B">
        <w:t>All offentlig makt utgår från folket och folkets representanter är de till riksd</w:t>
      </w:r>
      <w:r w:rsidRPr="006B093B">
        <w:t>a</w:t>
      </w:r>
      <w:r w:rsidRPr="006B093B">
        <w:t>gen valda ledamöterna. Miljöpartiets inställning är att de funktioner i samhä</w:t>
      </w:r>
      <w:r w:rsidRPr="006B093B">
        <w:t>l</w:t>
      </w:r>
      <w:r w:rsidRPr="006B093B">
        <w:t>let som behöver garanteras en konstitutionell självständighet skall vila under riksdagen och därmed folkets direkta styrning. Så har under senare tid skett då Riksrevisionen och Riksbanken förlagts under riksdagen</w:t>
      </w:r>
      <w:r w:rsidR="009822E7" w:rsidRPr="006B093B">
        <w:t>,</w:t>
      </w:r>
      <w:r w:rsidRPr="006B093B">
        <w:t xml:space="preserve"> och vi vill gå vidare och förlägga en ny nämnd för </w:t>
      </w:r>
      <w:r w:rsidR="009822E7" w:rsidRPr="006B093B">
        <w:t>skyddet av enskildas integritet</w:t>
      </w:r>
      <w:r w:rsidRPr="006B093B">
        <w:t xml:space="preserve"> under riksdagen. Denna nämnd skall kontrollera allt användande av så kallade he</w:t>
      </w:r>
      <w:r w:rsidRPr="006B093B">
        <w:t>m</w:t>
      </w:r>
      <w:r w:rsidRPr="006B093B">
        <w:t xml:space="preserve">liga tvångsmedel i Sverige. Under riksdagen lyder också </w:t>
      </w:r>
      <w:r w:rsidR="009822E7" w:rsidRPr="006B093B">
        <w:t xml:space="preserve">Riksdagens </w:t>
      </w:r>
      <w:r w:rsidRPr="006B093B">
        <w:t>o</w:t>
      </w:r>
      <w:r w:rsidRPr="006B093B">
        <w:t>m</w:t>
      </w:r>
      <w:r w:rsidRPr="006B093B">
        <w:t>budsmän – JO. Tillsammans med Justitiekanslern, är detta organ en av de funktioner som</w:t>
      </w:r>
      <w:r w:rsidR="009822E7" w:rsidRPr="006B093B">
        <w:t xml:space="preserve"> allmänheten kan vända sig till för att få </w:t>
      </w:r>
      <w:r w:rsidRPr="006B093B">
        <w:t>den offentliga makt</w:t>
      </w:r>
      <w:r w:rsidR="009822E7" w:rsidRPr="006B093B">
        <w:softHyphen/>
      </w:r>
      <w:r w:rsidRPr="006B093B">
        <w:t>utövningen</w:t>
      </w:r>
      <w:r w:rsidR="009822E7" w:rsidRPr="006B093B">
        <w:t xml:space="preserve"> granskad</w:t>
      </w:r>
      <w:r w:rsidRPr="006B093B">
        <w:t>. Miljöpartiet vill att de tillförs extra resurser.</w:t>
      </w:r>
    </w:p>
    <w:p w:rsidR="005C660C" w:rsidRPr="006B093B" w:rsidRDefault="005C660C">
      <w:pPr>
        <w:pStyle w:val="Normaltindrag"/>
        <w:shd w:val="clear" w:color="000000" w:fill="auto"/>
      </w:pPr>
      <w:r w:rsidRPr="006B093B">
        <w:t xml:space="preserve">Sverige har en egen ursprungsbefolkning – </w:t>
      </w:r>
      <w:r w:rsidR="009822E7" w:rsidRPr="006B093B">
        <w:t>samerna</w:t>
      </w:r>
      <w:r w:rsidRPr="006B093B">
        <w:t>. De utgör tillsammans med judar, sverigefinnar, tornedalingar och romer dessutom våra nationella minoriteter. Sverige har konventionsgrundade skyldigheter att värna dessa minoriteter och att stärka deras ställning. Åtgärder måste omedelbart vidtas, inte bara för att undgå internationell kritik, utan även för att exempelvis det sydsamiska språket annars riskerar att försvinna eller för att den romska m</w:t>
      </w:r>
      <w:r w:rsidRPr="006B093B">
        <w:t>i</w:t>
      </w:r>
      <w:r w:rsidRPr="006B093B">
        <w:t>noriteten riskerar att bli fast i ett stigmatiserat utanförskap. De nationella minoriteterna förpliktar!</w:t>
      </w:r>
    </w:p>
    <w:p w:rsidR="005C660C" w:rsidRPr="006B093B" w:rsidRDefault="005C660C">
      <w:pPr>
        <w:pStyle w:val="Normaltindrag"/>
        <w:shd w:val="clear" w:color="000000" w:fill="auto"/>
      </w:pPr>
      <w:r w:rsidRPr="006B093B">
        <w:t xml:space="preserve">Länsstyrelserna utgör statens förlängda arm i landet och har en viktig roll som samordnare av många av de av riksdag och regering uppsatta målen och riktlinjerna för politikområdena i statsbudgeten. Länsstyrelserna utövar därtill en mycket viktig regional tillsyn. Miljöpartiet vill </w:t>
      </w:r>
      <w:r w:rsidR="006543FC" w:rsidRPr="006B093B">
        <w:t>–</w:t>
      </w:r>
      <w:r w:rsidRPr="006B093B">
        <w:t xml:space="preserve"> till skillnad från regerin</w:t>
      </w:r>
      <w:r w:rsidRPr="006B093B">
        <w:t>g</w:t>
      </w:r>
      <w:r w:rsidRPr="006B093B">
        <w:t>en – stärka länsstyrelsernas ställning.</w:t>
      </w:r>
    </w:p>
    <w:p w:rsidR="005C660C" w:rsidRPr="006B093B" w:rsidRDefault="005C660C">
      <w:pPr>
        <w:pStyle w:val="Normaltindrag"/>
        <w:shd w:val="clear" w:color="000000" w:fill="auto"/>
      </w:pPr>
      <w:r w:rsidRPr="006B093B">
        <w:t>Svenska institutet för europapolitiska studier – Sieps – är enligt oss en dyrbar diskussionsklubb utan samhällsavgörande betydelse. Den bör därför omedelbart avskaffas.</w:t>
      </w:r>
    </w:p>
    <w:p w:rsidR="00122905" w:rsidRPr="006B093B" w:rsidRDefault="00122905">
      <w:pPr>
        <w:pStyle w:val="RubrikInnehllsf"/>
        <w:shd w:val="clear" w:color="000000" w:fill="auto"/>
      </w:pPr>
      <w:bookmarkStart w:id="2" w:name="_Toc155577697"/>
      <w:r w:rsidRPr="006B093B">
        <w:lastRenderedPageBreak/>
        <w:t>Innehållsförteckning</w:t>
      </w:r>
      <w:bookmarkEnd w:id="2"/>
    </w:p>
    <w:bookmarkStart w:id="3" w:name="_Toc155577698"/>
    <w:p w:rsidR="005022C7" w:rsidRPr="006B093B" w:rsidRDefault="00CB17CC">
      <w:pPr>
        <w:pStyle w:val="Innehll1"/>
        <w:shd w:val="clear" w:color="000000" w:fill="auto"/>
        <w:tabs>
          <w:tab w:val="left" w:pos="360"/>
        </w:tabs>
        <w:spacing w:before="125"/>
        <w:rPr>
          <w:sz w:val="24"/>
          <w:szCs w:val="24"/>
        </w:rPr>
      </w:pPr>
      <w:r w:rsidRPr="006B093B">
        <w:fldChar w:fldCharType="begin" w:fldLock="1"/>
      </w:r>
      <w:r w:rsidR="006543FC" w:rsidRPr="006B093B">
        <w:instrText xml:space="preserve"> TOC \o "2-3" \t "Rubrik 1;1;Hemstl_rubrik;1;RubrikSammanf;1" </w:instrText>
      </w:r>
      <w:r w:rsidRPr="006B093B">
        <w:fldChar w:fldCharType="separate"/>
      </w:r>
      <w:r w:rsidR="005022C7" w:rsidRPr="006B093B">
        <w:t>1</w:t>
      </w:r>
      <w:r w:rsidR="005022C7" w:rsidRPr="006B093B">
        <w:rPr>
          <w:sz w:val="24"/>
          <w:szCs w:val="24"/>
        </w:rPr>
        <w:tab/>
      </w:r>
      <w:r w:rsidR="005022C7" w:rsidRPr="006B093B">
        <w:t>Sammanfattning</w:t>
      </w:r>
      <w:r w:rsidR="005022C7" w:rsidRPr="006B093B">
        <w:tab/>
      </w:r>
      <w:r w:rsidRPr="006B093B">
        <w:fldChar w:fldCharType="begin" w:fldLock="1"/>
      </w:r>
      <w:r w:rsidR="005022C7" w:rsidRPr="006B093B">
        <w:instrText xml:space="preserve"> PAGEREF _Toc155693339 \h </w:instrText>
      </w:r>
      <w:r w:rsidRPr="006B093B">
        <w:fldChar w:fldCharType="separate"/>
      </w:r>
      <w:r w:rsidR="00CD6249" w:rsidRPr="006B093B">
        <w:t>1</w:t>
      </w:r>
      <w:r w:rsidRPr="006B093B">
        <w:fldChar w:fldCharType="end"/>
      </w:r>
    </w:p>
    <w:p w:rsidR="005022C7" w:rsidRPr="006B093B" w:rsidRDefault="005022C7">
      <w:pPr>
        <w:pStyle w:val="Innehll1"/>
        <w:shd w:val="clear" w:color="000000" w:fill="auto"/>
        <w:tabs>
          <w:tab w:val="left" w:pos="360"/>
        </w:tabs>
        <w:rPr>
          <w:sz w:val="24"/>
          <w:szCs w:val="24"/>
        </w:rPr>
      </w:pPr>
      <w:r w:rsidRPr="006B093B">
        <w:t>3</w:t>
      </w:r>
      <w:r w:rsidRPr="006B093B">
        <w:rPr>
          <w:sz w:val="24"/>
          <w:szCs w:val="24"/>
        </w:rPr>
        <w:tab/>
      </w:r>
      <w:r w:rsidRPr="006B093B">
        <w:t>Förslag till riksdagsbeslut</w:t>
      </w:r>
      <w:r w:rsidRPr="006B093B">
        <w:tab/>
      </w:r>
      <w:r w:rsidR="00CB17CC" w:rsidRPr="006B093B">
        <w:fldChar w:fldCharType="begin" w:fldLock="1"/>
      </w:r>
      <w:r w:rsidRPr="006B093B">
        <w:instrText xml:space="preserve"> PAGEREF _Toc155693340 \h </w:instrText>
      </w:r>
      <w:r w:rsidR="00CB17CC" w:rsidRPr="006B093B">
        <w:fldChar w:fldCharType="separate"/>
      </w:r>
      <w:r w:rsidR="00CD6249" w:rsidRPr="006B093B">
        <w:t>3</w:t>
      </w:r>
      <w:r w:rsidR="00CB17CC" w:rsidRPr="006B093B">
        <w:fldChar w:fldCharType="end"/>
      </w:r>
    </w:p>
    <w:p w:rsidR="005022C7" w:rsidRPr="006B093B" w:rsidRDefault="005022C7">
      <w:pPr>
        <w:pStyle w:val="Innehll1"/>
        <w:shd w:val="clear" w:color="000000" w:fill="auto"/>
        <w:tabs>
          <w:tab w:val="left" w:pos="360"/>
        </w:tabs>
        <w:rPr>
          <w:sz w:val="24"/>
          <w:szCs w:val="24"/>
        </w:rPr>
      </w:pPr>
      <w:r w:rsidRPr="006B093B">
        <w:t>4</w:t>
      </w:r>
      <w:r w:rsidRPr="006B093B">
        <w:rPr>
          <w:sz w:val="24"/>
          <w:szCs w:val="24"/>
        </w:rPr>
        <w:tab/>
      </w:r>
      <w:r w:rsidRPr="006B093B">
        <w:t>Utgiftsområde 1 – Rikets styrelse</w:t>
      </w:r>
      <w:r w:rsidRPr="006B093B">
        <w:tab/>
      </w:r>
      <w:r w:rsidR="00CB17CC" w:rsidRPr="006B093B">
        <w:fldChar w:fldCharType="begin" w:fldLock="1"/>
      </w:r>
      <w:r w:rsidRPr="006B093B">
        <w:instrText xml:space="preserve"> PAGEREF _Toc155693341 \h </w:instrText>
      </w:r>
      <w:r w:rsidR="00CB17CC" w:rsidRPr="006B093B">
        <w:fldChar w:fldCharType="separate"/>
      </w:r>
      <w:r w:rsidR="00CD6249" w:rsidRPr="006B093B">
        <w:t>4</w:t>
      </w:r>
      <w:r w:rsidR="00CB17CC" w:rsidRPr="006B093B">
        <w:fldChar w:fldCharType="end"/>
      </w:r>
    </w:p>
    <w:p w:rsidR="005022C7" w:rsidRPr="006B093B" w:rsidRDefault="005022C7">
      <w:pPr>
        <w:pStyle w:val="Innehll2"/>
        <w:shd w:val="clear" w:color="000000" w:fill="auto"/>
        <w:tabs>
          <w:tab w:val="left" w:pos="600"/>
        </w:tabs>
        <w:ind w:left="120"/>
        <w:rPr>
          <w:sz w:val="24"/>
          <w:szCs w:val="24"/>
        </w:rPr>
      </w:pPr>
      <w:r w:rsidRPr="006B093B">
        <w:t>4.1</w:t>
      </w:r>
      <w:r w:rsidRPr="006B093B">
        <w:rPr>
          <w:sz w:val="24"/>
          <w:szCs w:val="24"/>
        </w:rPr>
        <w:tab/>
      </w:r>
      <w:r w:rsidRPr="006B093B">
        <w:t>Justitiekanslern</w:t>
      </w:r>
      <w:r w:rsidRPr="006B093B">
        <w:tab/>
      </w:r>
      <w:r w:rsidR="00CB17CC" w:rsidRPr="006B093B">
        <w:fldChar w:fldCharType="begin" w:fldLock="1"/>
      </w:r>
      <w:r w:rsidRPr="006B093B">
        <w:instrText xml:space="preserve"> PAGEREF _Toc155693342 \h </w:instrText>
      </w:r>
      <w:r w:rsidR="00CB17CC" w:rsidRPr="006B093B">
        <w:fldChar w:fldCharType="separate"/>
      </w:r>
      <w:r w:rsidR="00CD6249" w:rsidRPr="006B093B">
        <w:t>4</w:t>
      </w:r>
      <w:r w:rsidR="00CB17CC" w:rsidRPr="006B093B">
        <w:fldChar w:fldCharType="end"/>
      </w:r>
    </w:p>
    <w:p w:rsidR="005022C7" w:rsidRPr="006B093B" w:rsidRDefault="005022C7">
      <w:pPr>
        <w:pStyle w:val="Innehll2"/>
        <w:shd w:val="clear" w:color="000000" w:fill="auto"/>
        <w:tabs>
          <w:tab w:val="left" w:pos="600"/>
        </w:tabs>
        <w:ind w:left="120"/>
        <w:rPr>
          <w:sz w:val="24"/>
          <w:szCs w:val="24"/>
        </w:rPr>
      </w:pPr>
      <w:r w:rsidRPr="006B093B">
        <w:t>4.2</w:t>
      </w:r>
      <w:r w:rsidRPr="006B093B">
        <w:rPr>
          <w:sz w:val="24"/>
          <w:szCs w:val="24"/>
        </w:rPr>
        <w:tab/>
      </w:r>
      <w:r w:rsidRPr="006B093B">
        <w:t>En ny integritetsskyddsnämnd</w:t>
      </w:r>
      <w:r w:rsidRPr="006B093B">
        <w:tab/>
      </w:r>
      <w:r w:rsidR="00CB17CC" w:rsidRPr="006B093B">
        <w:fldChar w:fldCharType="begin" w:fldLock="1"/>
      </w:r>
      <w:r w:rsidRPr="006B093B">
        <w:instrText xml:space="preserve"> PAGEREF _Toc155693343 \h </w:instrText>
      </w:r>
      <w:r w:rsidR="00CB17CC" w:rsidRPr="006B093B">
        <w:fldChar w:fldCharType="separate"/>
      </w:r>
      <w:r w:rsidR="00CD6249" w:rsidRPr="006B093B">
        <w:t>4</w:t>
      </w:r>
      <w:r w:rsidR="00CB17CC" w:rsidRPr="006B093B">
        <w:fldChar w:fldCharType="end"/>
      </w:r>
    </w:p>
    <w:p w:rsidR="005022C7" w:rsidRPr="006B093B" w:rsidRDefault="005022C7">
      <w:pPr>
        <w:pStyle w:val="Innehll2"/>
        <w:shd w:val="clear" w:color="000000" w:fill="auto"/>
        <w:tabs>
          <w:tab w:val="left" w:pos="600"/>
        </w:tabs>
        <w:ind w:left="120"/>
        <w:rPr>
          <w:sz w:val="24"/>
          <w:szCs w:val="24"/>
        </w:rPr>
      </w:pPr>
      <w:r w:rsidRPr="006B093B">
        <w:t>4.3</w:t>
      </w:r>
      <w:r w:rsidRPr="006B093B">
        <w:rPr>
          <w:sz w:val="24"/>
          <w:szCs w:val="24"/>
        </w:rPr>
        <w:tab/>
      </w:r>
      <w:r w:rsidRPr="006B093B">
        <w:t>Stöd till de nationella minoriteterna</w:t>
      </w:r>
      <w:r w:rsidRPr="006B093B">
        <w:tab/>
      </w:r>
      <w:r w:rsidR="00CB17CC" w:rsidRPr="006B093B">
        <w:fldChar w:fldCharType="begin" w:fldLock="1"/>
      </w:r>
      <w:r w:rsidRPr="006B093B">
        <w:instrText xml:space="preserve"> PAGEREF _Toc155693344 \h </w:instrText>
      </w:r>
      <w:r w:rsidR="00CB17CC" w:rsidRPr="006B093B">
        <w:fldChar w:fldCharType="separate"/>
      </w:r>
      <w:r w:rsidR="00CD6249" w:rsidRPr="006B093B">
        <w:t>4</w:t>
      </w:r>
      <w:r w:rsidR="00CB17CC" w:rsidRPr="006B093B">
        <w:fldChar w:fldCharType="end"/>
      </w:r>
    </w:p>
    <w:p w:rsidR="005022C7" w:rsidRPr="006B093B" w:rsidRDefault="005022C7">
      <w:pPr>
        <w:pStyle w:val="Innehll2"/>
        <w:shd w:val="clear" w:color="000000" w:fill="auto"/>
        <w:tabs>
          <w:tab w:val="left" w:pos="600"/>
        </w:tabs>
        <w:ind w:left="120"/>
        <w:rPr>
          <w:sz w:val="24"/>
          <w:szCs w:val="24"/>
        </w:rPr>
      </w:pPr>
      <w:r w:rsidRPr="006B093B">
        <w:t>4.4</w:t>
      </w:r>
      <w:r w:rsidRPr="006B093B">
        <w:rPr>
          <w:sz w:val="24"/>
          <w:szCs w:val="24"/>
        </w:rPr>
        <w:tab/>
      </w:r>
      <w:r w:rsidRPr="006B093B">
        <w:t>Länsstyrelserna</w:t>
      </w:r>
      <w:r w:rsidRPr="006B093B">
        <w:tab/>
      </w:r>
      <w:r w:rsidR="00CB17CC" w:rsidRPr="006B093B">
        <w:fldChar w:fldCharType="begin" w:fldLock="1"/>
      </w:r>
      <w:r w:rsidRPr="006B093B">
        <w:instrText xml:space="preserve"> PAGEREF _Toc155693345 \h </w:instrText>
      </w:r>
      <w:r w:rsidR="00CB17CC" w:rsidRPr="006B093B">
        <w:fldChar w:fldCharType="separate"/>
      </w:r>
      <w:r w:rsidR="00CD6249" w:rsidRPr="006B093B">
        <w:t>5</w:t>
      </w:r>
      <w:r w:rsidR="00CB17CC" w:rsidRPr="006B093B">
        <w:fldChar w:fldCharType="end"/>
      </w:r>
    </w:p>
    <w:p w:rsidR="005022C7" w:rsidRPr="006B093B" w:rsidRDefault="005022C7">
      <w:pPr>
        <w:pStyle w:val="Innehll3"/>
        <w:shd w:val="clear" w:color="000000" w:fill="auto"/>
        <w:tabs>
          <w:tab w:val="left" w:pos="960"/>
        </w:tabs>
        <w:ind w:left="360"/>
        <w:rPr>
          <w:sz w:val="24"/>
          <w:szCs w:val="24"/>
        </w:rPr>
      </w:pPr>
      <w:r w:rsidRPr="006B093B">
        <w:t>4.4.1</w:t>
      </w:r>
      <w:r w:rsidRPr="006B093B">
        <w:rPr>
          <w:sz w:val="24"/>
          <w:szCs w:val="24"/>
        </w:rPr>
        <w:tab/>
      </w:r>
      <w:r w:rsidRPr="006B093B">
        <w:t>Länsstyrelserna måste få behålla medel för generationsväxlingar!</w:t>
      </w:r>
      <w:r w:rsidRPr="006B093B">
        <w:tab/>
      </w:r>
      <w:r w:rsidR="00CB17CC" w:rsidRPr="006B093B">
        <w:fldChar w:fldCharType="begin" w:fldLock="1"/>
      </w:r>
      <w:r w:rsidRPr="006B093B">
        <w:instrText xml:space="preserve"> PAGEREF _Toc155693346 \h </w:instrText>
      </w:r>
      <w:r w:rsidR="00CB17CC" w:rsidRPr="006B093B">
        <w:fldChar w:fldCharType="separate"/>
      </w:r>
      <w:r w:rsidR="00CD6249" w:rsidRPr="006B093B">
        <w:t>5</w:t>
      </w:r>
      <w:r w:rsidR="00CB17CC" w:rsidRPr="006B093B">
        <w:fldChar w:fldCharType="end"/>
      </w:r>
    </w:p>
    <w:p w:rsidR="005022C7" w:rsidRPr="006B093B" w:rsidRDefault="005022C7">
      <w:pPr>
        <w:pStyle w:val="Innehll3"/>
        <w:shd w:val="clear" w:color="000000" w:fill="auto"/>
        <w:tabs>
          <w:tab w:val="left" w:pos="960"/>
        </w:tabs>
        <w:ind w:left="360"/>
        <w:rPr>
          <w:sz w:val="24"/>
          <w:szCs w:val="24"/>
        </w:rPr>
      </w:pPr>
      <w:r w:rsidRPr="006B093B">
        <w:t>4.4.2</w:t>
      </w:r>
      <w:r w:rsidRPr="006B093B">
        <w:rPr>
          <w:sz w:val="24"/>
          <w:szCs w:val="24"/>
        </w:rPr>
        <w:tab/>
      </w:r>
      <w:r w:rsidRPr="006B093B">
        <w:t>Ett regionalt ansvar för tillsyn och kunskapsbildning rörande mäns våld mot kvinnor</w:t>
      </w:r>
      <w:r w:rsidRPr="006B093B">
        <w:tab/>
      </w:r>
      <w:r w:rsidR="00CB17CC" w:rsidRPr="006B093B">
        <w:fldChar w:fldCharType="begin" w:fldLock="1"/>
      </w:r>
      <w:r w:rsidRPr="006B093B">
        <w:instrText xml:space="preserve"> PAGEREF _Toc155693347 \h </w:instrText>
      </w:r>
      <w:r w:rsidR="00CB17CC" w:rsidRPr="006B093B">
        <w:fldChar w:fldCharType="separate"/>
      </w:r>
      <w:r w:rsidR="00CD6249" w:rsidRPr="006B093B">
        <w:t>5</w:t>
      </w:r>
      <w:r w:rsidR="00CB17CC" w:rsidRPr="006B093B">
        <w:fldChar w:fldCharType="end"/>
      </w:r>
    </w:p>
    <w:p w:rsidR="005022C7" w:rsidRPr="006B093B" w:rsidRDefault="005022C7">
      <w:pPr>
        <w:pStyle w:val="Innehll3"/>
        <w:shd w:val="clear" w:color="000000" w:fill="auto"/>
        <w:tabs>
          <w:tab w:val="left" w:pos="960"/>
        </w:tabs>
        <w:ind w:left="360"/>
        <w:rPr>
          <w:sz w:val="24"/>
          <w:szCs w:val="24"/>
        </w:rPr>
      </w:pPr>
      <w:r w:rsidRPr="006B093B">
        <w:t>4.4.3</w:t>
      </w:r>
      <w:r w:rsidRPr="006B093B">
        <w:rPr>
          <w:sz w:val="24"/>
          <w:szCs w:val="24"/>
        </w:rPr>
        <w:tab/>
      </w:r>
      <w:r w:rsidRPr="006B093B">
        <w:t>Satsning för förbättrad miljötillsyn</w:t>
      </w:r>
      <w:r w:rsidRPr="006B093B">
        <w:tab/>
      </w:r>
      <w:r w:rsidR="00CB17CC" w:rsidRPr="006B093B">
        <w:fldChar w:fldCharType="begin" w:fldLock="1"/>
      </w:r>
      <w:r w:rsidRPr="006B093B">
        <w:instrText xml:space="preserve"> PAGEREF _Toc155693348 \h </w:instrText>
      </w:r>
      <w:r w:rsidR="00CB17CC" w:rsidRPr="006B093B">
        <w:fldChar w:fldCharType="separate"/>
      </w:r>
      <w:r w:rsidR="00CD6249" w:rsidRPr="006B093B">
        <w:t>5</w:t>
      </w:r>
      <w:r w:rsidR="00CB17CC" w:rsidRPr="006B093B">
        <w:fldChar w:fldCharType="end"/>
      </w:r>
    </w:p>
    <w:p w:rsidR="005022C7" w:rsidRPr="006B093B" w:rsidRDefault="005022C7">
      <w:pPr>
        <w:pStyle w:val="Innehll3"/>
        <w:shd w:val="clear" w:color="000000" w:fill="auto"/>
        <w:tabs>
          <w:tab w:val="left" w:pos="960"/>
        </w:tabs>
        <w:ind w:left="360"/>
        <w:rPr>
          <w:sz w:val="24"/>
          <w:szCs w:val="24"/>
        </w:rPr>
      </w:pPr>
      <w:r w:rsidRPr="006B093B">
        <w:t>4.4.4</w:t>
      </w:r>
      <w:r w:rsidRPr="006B093B">
        <w:rPr>
          <w:sz w:val="24"/>
          <w:szCs w:val="24"/>
        </w:rPr>
        <w:tab/>
      </w:r>
      <w:r w:rsidRPr="006B093B">
        <w:t>Länsstyrelserna skall ta fram regionala omställningsprogram</w:t>
      </w:r>
      <w:r w:rsidRPr="006B093B">
        <w:tab/>
      </w:r>
      <w:r w:rsidR="00CB17CC" w:rsidRPr="006B093B">
        <w:fldChar w:fldCharType="begin" w:fldLock="1"/>
      </w:r>
      <w:r w:rsidRPr="006B093B">
        <w:instrText xml:space="preserve"> PAGEREF _Toc155693349 \h </w:instrText>
      </w:r>
      <w:r w:rsidR="00CB17CC" w:rsidRPr="006B093B">
        <w:fldChar w:fldCharType="separate"/>
      </w:r>
      <w:r w:rsidR="00CD6249" w:rsidRPr="006B093B">
        <w:t>6</w:t>
      </w:r>
      <w:r w:rsidR="00CB17CC" w:rsidRPr="006B093B">
        <w:fldChar w:fldCharType="end"/>
      </w:r>
    </w:p>
    <w:p w:rsidR="005022C7" w:rsidRPr="006B093B" w:rsidRDefault="005022C7">
      <w:pPr>
        <w:pStyle w:val="Innehll2"/>
        <w:shd w:val="clear" w:color="000000" w:fill="auto"/>
        <w:tabs>
          <w:tab w:val="left" w:pos="600"/>
        </w:tabs>
        <w:ind w:left="120"/>
      </w:pPr>
      <w:r w:rsidRPr="006B093B">
        <w:t>4.5</w:t>
      </w:r>
      <w:r w:rsidRPr="006B093B">
        <w:rPr>
          <w:sz w:val="24"/>
          <w:szCs w:val="24"/>
        </w:rPr>
        <w:tab/>
      </w:r>
      <w:r w:rsidRPr="006B093B">
        <w:t>Riksdagens ombudsmän – JO</w:t>
      </w:r>
      <w:r w:rsidRPr="006B093B">
        <w:tab/>
      </w:r>
      <w:r w:rsidR="00CB17CC" w:rsidRPr="006B093B">
        <w:fldChar w:fldCharType="begin" w:fldLock="1"/>
      </w:r>
      <w:r w:rsidRPr="006B093B">
        <w:instrText xml:space="preserve"> PAGEREF _Toc155693350 \h </w:instrText>
      </w:r>
      <w:r w:rsidR="00CB17CC" w:rsidRPr="006B093B">
        <w:fldChar w:fldCharType="separate"/>
      </w:r>
      <w:r w:rsidR="00CD6249" w:rsidRPr="006B093B">
        <w:t>6</w:t>
      </w:r>
      <w:r w:rsidR="00CB17CC" w:rsidRPr="006B093B">
        <w:fldChar w:fldCharType="end"/>
      </w:r>
    </w:p>
    <w:p w:rsidR="005022C7" w:rsidRPr="006B093B" w:rsidRDefault="005022C7">
      <w:pPr>
        <w:pStyle w:val="Innehll2"/>
        <w:shd w:val="clear" w:color="000000" w:fill="auto"/>
        <w:tabs>
          <w:tab w:val="left" w:pos="600"/>
        </w:tabs>
        <w:ind w:left="120"/>
        <w:rPr>
          <w:sz w:val="24"/>
          <w:szCs w:val="24"/>
        </w:rPr>
      </w:pPr>
      <w:r w:rsidRPr="006B093B">
        <w:t>4.6</w:t>
      </w:r>
      <w:r w:rsidRPr="006B093B">
        <w:tab/>
        <w:t>Svenska institutet för europapolitiska studier</w:t>
      </w:r>
      <w:r w:rsidRPr="006B093B">
        <w:tab/>
      </w:r>
      <w:r w:rsidR="00CB17CC" w:rsidRPr="006B093B">
        <w:fldChar w:fldCharType="begin" w:fldLock="1"/>
      </w:r>
      <w:r w:rsidRPr="006B093B">
        <w:instrText xml:space="preserve"> PAGEREF _Toc155693351 \h </w:instrText>
      </w:r>
      <w:r w:rsidR="00CB17CC" w:rsidRPr="006B093B">
        <w:fldChar w:fldCharType="separate"/>
      </w:r>
      <w:r w:rsidR="00CD6249" w:rsidRPr="006B093B">
        <w:t>6</w:t>
      </w:r>
      <w:r w:rsidR="00CB17CC" w:rsidRPr="006B093B">
        <w:fldChar w:fldCharType="end"/>
      </w:r>
    </w:p>
    <w:p w:rsidR="00CB17CC" w:rsidRPr="006B093B" w:rsidRDefault="00CB17CC">
      <w:r w:rsidRPr="006B093B">
        <w:fldChar w:fldCharType="end"/>
      </w:r>
      <w:bookmarkStart w:id="4" w:name="_Toc155693340"/>
    </w:p>
    <w:p w:rsidR="00D12AC2" w:rsidRPr="006B093B" w:rsidRDefault="00D12AC2">
      <w:pPr>
        <w:pStyle w:val="Hemstlrubrik"/>
        <w:pageBreakBefore/>
        <w:shd w:val="clear" w:color="000000" w:fill="auto"/>
        <w:spacing w:before="0"/>
      </w:pPr>
      <w:r w:rsidRPr="006B093B">
        <w:t>Förslag till riksdagsbeslut</w:t>
      </w:r>
      <w:bookmarkEnd w:id="3"/>
      <w:bookmarkEnd w:id="4"/>
    </w:p>
    <w:p w:rsidR="00CB17CC" w:rsidRPr="006B093B" w:rsidRDefault="00CB17CC">
      <w:pPr>
        <w:pStyle w:val="Hemstlatt"/>
        <w:numPr>
          <w:ilvl w:val="0"/>
          <w:numId w:val="1"/>
        </w:numPr>
        <w:shd w:val="clear" w:color="000000" w:fill="auto"/>
      </w:pPr>
      <w:r w:rsidRPr="006B093B">
        <w:t>Riksdagen anvisar med följande ändringar i förhållande till regeringens förslag anslagen under utgiftsområde 1 Rikets styrelse enligt uppställningen:</w:t>
      </w:r>
    </w:p>
    <w:tbl>
      <w:tblPr>
        <w:tblW w:w="5613" w:type="dxa"/>
        <w:tblInd w:w="430" w:type="dxa"/>
        <w:tblLayout w:type="fixed"/>
        <w:tblCellMar>
          <w:left w:w="70" w:type="dxa"/>
          <w:right w:w="70" w:type="dxa"/>
        </w:tblCellMar>
        <w:tblLook w:val="0000" w:firstRow="0" w:lastRow="0" w:firstColumn="0" w:lastColumn="0" w:noHBand="0" w:noVBand="0"/>
      </w:tblPr>
      <w:tblGrid>
        <w:gridCol w:w="775"/>
        <w:gridCol w:w="2519"/>
        <w:gridCol w:w="773"/>
        <w:gridCol w:w="773"/>
        <w:gridCol w:w="773"/>
      </w:tblGrid>
      <w:tr w:rsidR="00BA5535" w:rsidRPr="006B093B">
        <w:tc>
          <w:tcPr>
            <w:tcW w:w="5613" w:type="dxa"/>
            <w:gridSpan w:val="5"/>
            <w:tcBorders>
              <w:bottom w:val="single" w:sz="4" w:space="0" w:color="auto"/>
            </w:tcBorders>
            <w:noWrap/>
            <w:vAlign w:val="bottom"/>
          </w:tcPr>
          <w:p w:rsidR="00CB17CC" w:rsidRPr="006B093B" w:rsidRDefault="00CB17CC">
            <w:pPr>
              <w:shd w:val="clear" w:color="000000" w:fill="auto"/>
              <w:spacing w:line="200" w:lineRule="exact"/>
              <w:rPr>
                <w:sz w:val="16"/>
                <w:szCs w:val="16"/>
              </w:rPr>
            </w:pPr>
            <w:r w:rsidRPr="006B093B">
              <w:rPr>
                <w:sz w:val="16"/>
                <w:szCs w:val="16"/>
              </w:rPr>
              <w:t>Miljöpartiets förslag, avvikelse från regeringens förslag, miljoner kronor</w:t>
            </w:r>
          </w:p>
        </w:tc>
      </w:tr>
      <w:tr w:rsidR="00BA5535" w:rsidRPr="006B093B">
        <w:tc>
          <w:tcPr>
            <w:tcW w:w="775" w:type="dxa"/>
            <w:tcBorders>
              <w:top w:val="single" w:sz="4" w:space="0" w:color="auto"/>
            </w:tcBorders>
            <w:noWrap/>
            <w:vAlign w:val="bottom"/>
          </w:tcPr>
          <w:p w:rsidR="00CB17CC" w:rsidRPr="006B093B" w:rsidRDefault="00CB17CC">
            <w:pPr>
              <w:shd w:val="clear" w:color="000000" w:fill="auto"/>
              <w:spacing w:line="200" w:lineRule="exact"/>
              <w:rPr>
                <w:b/>
                <w:sz w:val="16"/>
                <w:szCs w:val="16"/>
              </w:rPr>
            </w:pPr>
            <w:r w:rsidRPr="006B093B">
              <w:rPr>
                <w:b/>
                <w:sz w:val="16"/>
                <w:szCs w:val="16"/>
              </w:rPr>
              <w:t>1</w:t>
            </w:r>
          </w:p>
        </w:tc>
        <w:tc>
          <w:tcPr>
            <w:tcW w:w="2519" w:type="dxa"/>
            <w:tcBorders>
              <w:top w:val="single" w:sz="4" w:space="0" w:color="auto"/>
            </w:tcBorders>
            <w:noWrap/>
            <w:vAlign w:val="bottom"/>
          </w:tcPr>
          <w:p w:rsidR="00CB17CC" w:rsidRPr="006B093B" w:rsidRDefault="00CB17CC">
            <w:pPr>
              <w:shd w:val="clear" w:color="000000" w:fill="auto"/>
              <w:spacing w:line="200" w:lineRule="exact"/>
              <w:rPr>
                <w:b/>
                <w:sz w:val="16"/>
                <w:szCs w:val="16"/>
              </w:rPr>
            </w:pPr>
            <w:r w:rsidRPr="006B093B">
              <w:rPr>
                <w:b/>
                <w:sz w:val="16"/>
                <w:szCs w:val="16"/>
              </w:rPr>
              <w:t>Rikets styrelse</w:t>
            </w:r>
          </w:p>
        </w:tc>
        <w:tc>
          <w:tcPr>
            <w:tcW w:w="773" w:type="dxa"/>
            <w:tcBorders>
              <w:top w:val="single" w:sz="4" w:space="0" w:color="auto"/>
            </w:tcBorders>
            <w:noWrap/>
            <w:vAlign w:val="bottom"/>
          </w:tcPr>
          <w:p w:rsidR="00CB17CC" w:rsidRPr="006B093B" w:rsidRDefault="00CB17CC">
            <w:pPr>
              <w:shd w:val="clear" w:color="000000" w:fill="auto"/>
              <w:spacing w:line="200" w:lineRule="exact"/>
              <w:jc w:val="right"/>
              <w:rPr>
                <w:b/>
                <w:spacing w:val="-2"/>
                <w:sz w:val="16"/>
                <w:szCs w:val="16"/>
              </w:rPr>
            </w:pPr>
            <w:r w:rsidRPr="006B093B">
              <w:rPr>
                <w:b/>
                <w:spacing w:val="-2"/>
                <w:sz w:val="16"/>
                <w:szCs w:val="16"/>
              </w:rPr>
              <w:t>Förslag</w:t>
            </w:r>
            <w:r w:rsidRPr="006B093B">
              <w:rPr>
                <w:b/>
                <w:spacing w:val="-2"/>
                <w:sz w:val="16"/>
                <w:szCs w:val="16"/>
              </w:rPr>
              <w:br/>
              <w:t>2007</w:t>
            </w:r>
          </w:p>
        </w:tc>
        <w:tc>
          <w:tcPr>
            <w:tcW w:w="773" w:type="dxa"/>
            <w:tcBorders>
              <w:top w:val="single" w:sz="4" w:space="0" w:color="auto"/>
            </w:tcBorders>
            <w:noWrap/>
            <w:vAlign w:val="bottom"/>
          </w:tcPr>
          <w:p w:rsidR="00CB17CC" w:rsidRPr="006B093B" w:rsidRDefault="00CB17CC">
            <w:pPr>
              <w:shd w:val="clear" w:color="000000" w:fill="auto"/>
              <w:spacing w:line="200" w:lineRule="exact"/>
              <w:jc w:val="right"/>
              <w:rPr>
                <w:b/>
                <w:spacing w:val="-2"/>
                <w:sz w:val="16"/>
                <w:szCs w:val="16"/>
              </w:rPr>
            </w:pPr>
            <w:r w:rsidRPr="006B093B">
              <w:rPr>
                <w:b/>
                <w:spacing w:val="-2"/>
                <w:sz w:val="16"/>
                <w:szCs w:val="16"/>
              </w:rPr>
              <w:t>Beräknat</w:t>
            </w:r>
            <w:r w:rsidRPr="006B093B">
              <w:rPr>
                <w:b/>
                <w:spacing w:val="-2"/>
                <w:sz w:val="16"/>
                <w:szCs w:val="16"/>
              </w:rPr>
              <w:br/>
              <w:t>2008</w:t>
            </w:r>
          </w:p>
        </w:tc>
        <w:tc>
          <w:tcPr>
            <w:tcW w:w="773" w:type="dxa"/>
            <w:tcBorders>
              <w:top w:val="single" w:sz="4" w:space="0" w:color="auto"/>
            </w:tcBorders>
            <w:noWrap/>
            <w:vAlign w:val="bottom"/>
          </w:tcPr>
          <w:p w:rsidR="00CB17CC" w:rsidRPr="006B093B" w:rsidRDefault="00CB17CC">
            <w:pPr>
              <w:shd w:val="clear" w:color="000000" w:fill="auto"/>
              <w:spacing w:line="200" w:lineRule="exact"/>
              <w:jc w:val="right"/>
              <w:rPr>
                <w:b/>
                <w:spacing w:val="-2"/>
                <w:sz w:val="16"/>
                <w:szCs w:val="16"/>
              </w:rPr>
            </w:pPr>
            <w:r w:rsidRPr="006B093B">
              <w:rPr>
                <w:b/>
                <w:spacing w:val="-2"/>
                <w:sz w:val="16"/>
                <w:szCs w:val="16"/>
              </w:rPr>
              <w:t>Beräknat</w:t>
            </w:r>
            <w:r w:rsidRPr="006B093B">
              <w:rPr>
                <w:b/>
                <w:spacing w:val="-2"/>
                <w:sz w:val="16"/>
                <w:szCs w:val="16"/>
              </w:rPr>
              <w:br/>
              <w:t>2009</w:t>
            </w:r>
          </w:p>
        </w:tc>
      </w:tr>
      <w:tr w:rsidR="00BA5535" w:rsidRPr="006B093B">
        <w:tc>
          <w:tcPr>
            <w:tcW w:w="3294" w:type="dxa"/>
            <w:gridSpan w:val="2"/>
            <w:tcBorders>
              <w:bottom w:val="single" w:sz="4" w:space="0" w:color="auto"/>
            </w:tcBorders>
            <w:noWrap/>
            <w:vAlign w:val="bottom"/>
          </w:tcPr>
          <w:p w:rsidR="00CB17CC" w:rsidRPr="006B093B" w:rsidRDefault="00CB17CC">
            <w:pPr>
              <w:shd w:val="clear" w:color="000000" w:fill="auto"/>
              <w:spacing w:before="60" w:line="200" w:lineRule="exact"/>
              <w:rPr>
                <w:b/>
                <w:bCs/>
                <w:sz w:val="16"/>
                <w:szCs w:val="16"/>
              </w:rPr>
            </w:pPr>
            <w:r w:rsidRPr="006B093B">
              <w:rPr>
                <w:b/>
                <w:bCs/>
                <w:sz w:val="16"/>
                <w:szCs w:val="16"/>
              </w:rPr>
              <w:t>Anslag</w:t>
            </w:r>
          </w:p>
        </w:tc>
        <w:tc>
          <w:tcPr>
            <w:tcW w:w="773" w:type="dxa"/>
            <w:tcBorders>
              <w:bottom w:val="single" w:sz="4" w:space="0" w:color="auto"/>
            </w:tcBorders>
            <w:noWrap/>
            <w:vAlign w:val="bottom"/>
          </w:tcPr>
          <w:p w:rsidR="00CB17CC" w:rsidRPr="006B093B" w:rsidRDefault="00CB17CC">
            <w:pPr>
              <w:shd w:val="clear" w:color="000000" w:fill="auto"/>
              <w:spacing w:before="60" w:line="200" w:lineRule="exact"/>
              <w:jc w:val="right"/>
              <w:rPr>
                <w:b/>
                <w:sz w:val="16"/>
                <w:szCs w:val="16"/>
              </w:rPr>
            </w:pPr>
          </w:p>
        </w:tc>
        <w:tc>
          <w:tcPr>
            <w:tcW w:w="773" w:type="dxa"/>
            <w:tcBorders>
              <w:bottom w:val="single" w:sz="4" w:space="0" w:color="auto"/>
            </w:tcBorders>
            <w:noWrap/>
            <w:vAlign w:val="bottom"/>
          </w:tcPr>
          <w:p w:rsidR="00CB17CC" w:rsidRPr="006B093B" w:rsidRDefault="00CB17CC">
            <w:pPr>
              <w:shd w:val="clear" w:color="000000" w:fill="auto"/>
              <w:spacing w:before="60" w:line="200" w:lineRule="exact"/>
              <w:jc w:val="right"/>
              <w:rPr>
                <w:b/>
                <w:sz w:val="16"/>
                <w:szCs w:val="16"/>
              </w:rPr>
            </w:pPr>
          </w:p>
        </w:tc>
        <w:tc>
          <w:tcPr>
            <w:tcW w:w="773" w:type="dxa"/>
            <w:tcBorders>
              <w:bottom w:val="single" w:sz="4" w:space="0" w:color="auto"/>
            </w:tcBorders>
            <w:noWrap/>
            <w:vAlign w:val="bottom"/>
          </w:tcPr>
          <w:p w:rsidR="00CB17CC" w:rsidRPr="006B093B" w:rsidRDefault="00CB17CC">
            <w:pPr>
              <w:shd w:val="clear" w:color="000000" w:fill="auto"/>
              <w:spacing w:before="60" w:line="200" w:lineRule="exact"/>
              <w:jc w:val="right"/>
              <w:rPr>
                <w:b/>
                <w:sz w:val="16"/>
                <w:szCs w:val="16"/>
              </w:rPr>
            </w:pPr>
          </w:p>
        </w:tc>
      </w:tr>
      <w:tr w:rsidR="00BA5535" w:rsidRPr="006B093B">
        <w:tc>
          <w:tcPr>
            <w:tcW w:w="775" w:type="dxa"/>
            <w:tcBorders>
              <w:top w:val="single" w:sz="4" w:space="0" w:color="auto"/>
            </w:tcBorders>
            <w:noWrap/>
            <w:vAlign w:val="bottom"/>
          </w:tcPr>
          <w:p w:rsidR="00CB17CC" w:rsidRPr="006B093B" w:rsidRDefault="00CB17CC">
            <w:pPr>
              <w:shd w:val="clear" w:color="000000" w:fill="auto"/>
              <w:spacing w:before="60" w:line="200" w:lineRule="exact"/>
              <w:rPr>
                <w:sz w:val="16"/>
                <w:szCs w:val="16"/>
              </w:rPr>
            </w:pPr>
            <w:r w:rsidRPr="006B093B">
              <w:rPr>
                <w:sz w:val="16"/>
                <w:szCs w:val="16"/>
              </w:rPr>
              <w:t>32:1</w:t>
            </w:r>
          </w:p>
        </w:tc>
        <w:tc>
          <w:tcPr>
            <w:tcW w:w="2519" w:type="dxa"/>
            <w:tcBorders>
              <w:top w:val="single" w:sz="4" w:space="0" w:color="auto"/>
            </w:tcBorders>
            <w:noWrap/>
            <w:vAlign w:val="bottom"/>
          </w:tcPr>
          <w:p w:rsidR="00CB17CC" w:rsidRPr="006B093B" w:rsidRDefault="00CB17CC">
            <w:pPr>
              <w:shd w:val="clear" w:color="000000" w:fill="auto"/>
              <w:spacing w:before="60" w:line="200" w:lineRule="exact"/>
              <w:rPr>
                <w:sz w:val="16"/>
                <w:szCs w:val="16"/>
              </w:rPr>
            </w:pPr>
            <w:r w:rsidRPr="006B093B">
              <w:rPr>
                <w:sz w:val="16"/>
                <w:szCs w:val="16"/>
              </w:rPr>
              <w:t>Länsstyrelserna m.m.</w:t>
            </w:r>
          </w:p>
        </w:tc>
        <w:tc>
          <w:tcPr>
            <w:tcW w:w="773" w:type="dxa"/>
            <w:tcBorders>
              <w:top w:val="single" w:sz="4" w:space="0" w:color="auto"/>
            </w:tcBorders>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95,5</w:t>
            </w:r>
          </w:p>
        </w:tc>
        <w:tc>
          <w:tcPr>
            <w:tcW w:w="773" w:type="dxa"/>
            <w:tcBorders>
              <w:top w:val="single" w:sz="4" w:space="0" w:color="auto"/>
            </w:tcBorders>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30</w:t>
            </w:r>
          </w:p>
        </w:tc>
        <w:tc>
          <w:tcPr>
            <w:tcW w:w="773" w:type="dxa"/>
            <w:tcBorders>
              <w:top w:val="single" w:sz="4" w:space="0" w:color="auto"/>
            </w:tcBorders>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30</w:t>
            </w:r>
          </w:p>
        </w:tc>
      </w:tr>
      <w:tr w:rsidR="00BA5535" w:rsidRPr="006B093B">
        <w:tc>
          <w:tcPr>
            <w:tcW w:w="775"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46:2</w:t>
            </w:r>
          </w:p>
        </w:tc>
        <w:tc>
          <w:tcPr>
            <w:tcW w:w="2519"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Justitiekanslern</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1</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1</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1</w:t>
            </w:r>
          </w:p>
        </w:tc>
      </w:tr>
      <w:tr w:rsidR="00BA5535" w:rsidRPr="006B093B">
        <w:tc>
          <w:tcPr>
            <w:tcW w:w="775"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Nytt</w:t>
            </w:r>
          </w:p>
        </w:tc>
        <w:tc>
          <w:tcPr>
            <w:tcW w:w="2519"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Integritetsskyddsnämnd</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5</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5</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5</w:t>
            </w:r>
          </w:p>
        </w:tc>
      </w:tr>
      <w:tr w:rsidR="00BA5535" w:rsidRPr="006B093B">
        <w:tc>
          <w:tcPr>
            <w:tcW w:w="775"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47:1</w:t>
            </w:r>
          </w:p>
        </w:tc>
        <w:tc>
          <w:tcPr>
            <w:tcW w:w="2519"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Åtgärder för nationella minoriteter</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5</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5</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5</w:t>
            </w:r>
          </w:p>
        </w:tc>
      </w:tr>
      <w:tr w:rsidR="00BA5535" w:rsidRPr="006B093B">
        <w:tc>
          <w:tcPr>
            <w:tcW w:w="775"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90:4</w:t>
            </w:r>
          </w:p>
        </w:tc>
        <w:tc>
          <w:tcPr>
            <w:tcW w:w="2519"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Riksdagens ombudsmän, JO</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2</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2</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2</w:t>
            </w:r>
          </w:p>
        </w:tc>
      </w:tr>
      <w:tr w:rsidR="00BA5535" w:rsidRPr="006B093B">
        <w:tc>
          <w:tcPr>
            <w:tcW w:w="775" w:type="dxa"/>
            <w:noWrap/>
          </w:tcPr>
          <w:p w:rsidR="00CB17CC" w:rsidRPr="006B093B" w:rsidRDefault="00CB17CC">
            <w:pPr>
              <w:shd w:val="clear" w:color="000000" w:fill="auto"/>
              <w:spacing w:before="60" w:line="200" w:lineRule="exact"/>
              <w:rPr>
                <w:sz w:val="16"/>
                <w:szCs w:val="16"/>
              </w:rPr>
            </w:pPr>
            <w:r w:rsidRPr="006B093B">
              <w:rPr>
                <w:sz w:val="16"/>
                <w:szCs w:val="16"/>
              </w:rPr>
              <w:t>90:7</w:t>
            </w:r>
          </w:p>
        </w:tc>
        <w:tc>
          <w:tcPr>
            <w:tcW w:w="2519" w:type="dxa"/>
            <w:noWrap/>
            <w:vAlign w:val="bottom"/>
          </w:tcPr>
          <w:p w:rsidR="00CB17CC" w:rsidRPr="006B093B" w:rsidRDefault="00CB17CC">
            <w:pPr>
              <w:shd w:val="clear" w:color="000000" w:fill="auto"/>
              <w:spacing w:before="60" w:line="200" w:lineRule="exact"/>
              <w:rPr>
                <w:sz w:val="16"/>
                <w:szCs w:val="16"/>
              </w:rPr>
            </w:pPr>
            <w:r w:rsidRPr="006B093B">
              <w:rPr>
                <w:sz w:val="16"/>
                <w:szCs w:val="16"/>
              </w:rPr>
              <w:t>Svenska institutet för europapolitiska studier</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–13</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–13</w:t>
            </w:r>
          </w:p>
        </w:tc>
        <w:tc>
          <w:tcPr>
            <w:tcW w:w="773" w:type="dxa"/>
            <w:noWrap/>
            <w:vAlign w:val="bottom"/>
          </w:tcPr>
          <w:p w:rsidR="00CB17CC" w:rsidRPr="006B093B" w:rsidRDefault="00CB17CC">
            <w:pPr>
              <w:shd w:val="clear" w:color="000000" w:fill="auto"/>
              <w:spacing w:before="60" w:line="200" w:lineRule="exact"/>
              <w:jc w:val="right"/>
              <w:rPr>
                <w:sz w:val="16"/>
                <w:szCs w:val="16"/>
              </w:rPr>
            </w:pPr>
            <w:r w:rsidRPr="006B093B">
              <w:rPr>
                <w:sz w:val="16"/>
                <w:szCs w:val="16"/>
              </w:rPr>
              <w:t>–13</w:t>
            </w:r>
          </w:p>
        </w:tc>
      </w:tr>
      <w:tr w:rsidR="00BA5535" w:rsidRPr="006B093B">
        <w:tc>
          <w:tcPr>
            <w:tcW w:w="3294" w:type="dxa"/>
            <w:gridSpan w:val="2"/>
            <w:tcBorders>
              <w:bottom w:val="single" w:sz="4" w:space="0" w:color="auto"/>
            </w:tcBorders>
            <w:noWrap/>
            <w:vAlign w:val="bottom"/>
          </w:tcPr>
          <w:p w:rsidR="00CB17CC" w:rsidRPr="006B093B" w:rsidRDefault="00CB17CC">
            <w:pPr>
              <w:shd w:val="clear" w:color="000000" w:fill="auto"/>
              <w:spacing w:before="60" w:line="200" w:lineRule="exact"/>
              <w:rPr>
                <w:sz w:val="16"/>
                <w:szCs w:val="16"/>
              </w:rPr>
            </w:pPr>
            <w:r w:rsidRPr="006B093B">
              <w:rPr>
                <w:b/>
                <w:bCs/>
                <w:sz w:val="16"/>
                <w:szCs w:val="16"/>
              </w:rPr>
              <w:t>Totalt utgiftsområdet</w:t>
            </w:r>
          </w:p>
        </w:tc>
        <w:tc>
          <w:tcPr>
            <w:tcW w:w="773" w:type="dxa"/>
            <w:tcBorders>
              <w:bottom w:val="single" w:sz="4" w:space="0" w:color="auto"/>
            </w:tcBorders>
            <w:noWrap/>
            <w:vAlign w:val="bottom"/>
          </w:tcPr>
          <w:p w:rsidR="00CB17CC" w:rsidRPr="006B093B" w:rsidRDefault="00CB17CC">
            <w:pPr>
              <w:shd w:val="clear" w:color="000000" w:fill="auto"/>
              <w:spacing w:before="60" w:line="200" w:lineRule="exact"/>
              <w:jc w:val="right"/>
              <w:rPr>
                <w:b/>
                <w:sz w:val="16"/>
                <w:szCs w:val="16"/>
              </w:rPr>
            </w:pPr>
            <w:r w:rsidRPr="006B093B">
              <w:rPr>
                <w:b/>
                <w:sz w:val="16"/>
                <w:szCs w:val="16"/>
              </w:rPr>
              <w:t>55,5</w:t>
            </w:r>
          </w:p>
        </w:tc>
        <w:tc>
          <w:tcPr>
            <w:tcW w:w="773" w:type="dxa"/>
            <w:tcBorders>
              <w:bottom w:val="single" w:sz="4" w:space="0" w:color="auto"/>
            </w:tcBorders>
            <w:noWrap/>
            <w:vAlign w:val="bottom"/>
          </w:tcPr>
          <w:p w:rsidR="00CB17CC" w:rsidRPr="006B093B" w:rsidRDefault="00CB17CC">
            <w:pPr>
              <w:shd w:val="clear" w:color="000000" w:fill="auto"/>
              <w:spacing w:before="60" w:line="200" w:lineRule="exact"/>
              <w:jc w:val="right"/>
              <w:rPr>
                <w:b/>
                <w:sz w:val="16"/>
                <w:szCs w:val="16"/>
              </w:rPr>
            </w:pPr>
            <w:r w:rsidRPr="006B093B">
              <w:rPr>
                <w:b/>
                <w:sz w:val="16"/>
                <w:szCs w:val="16"/>
              </w:rPr>
              <w:t>–10</w:t>
            </w:r>
          </w:p>
        </w:tc>
        <w:tc>
          <w:tcPr>
            <w:tcW w:w="773" w:type="dxa"/>
            <w:tcBorders>
              <w:bottom w:val="single" w:sz="4" w:space="0" w:color="auto"/>
            </w:tcBorders>
            <w:noWrap/>
            <w:vAlign w:val="bottom"/>
          </w:tcPr>
          <w:p w:rsidR="00CB17CC" w:rsidRPr="006B093B" w:rsidRDefault="00CB17CC">
            <w:pPr>
              <w:shd w:val="clear" w:color="000000" w:fill="auto"/>
              <w:spacing w:before="60" w:line="200" w:lineRule="exact"/>
              <w:jc w:val="right"/>
              <w:rPr>
                <w:b/>
                <w:sz w:val="16"/>
                <w:szCs w:val="16"/>
              </w:rPr>
            </w:pPr>
            <w:r w:rsidRPr="006B093B">
              <w:rPr>
                <w:b/>
                <w:sz w:val="16"/>
                <w:szCs w:val="16"/>
              </w:rPr>
              <w:t>–10</w:t>
            </w:r>
          </w:p>
        </w:tc>
      </w:tr>
    </w:tbl>
    <w:p w:rsidR="00CB17CC" w:rsidRPr="006B093B" w:rsidRDefault="00CB17CC">
      <w:pPr>
        <w:pStyle w:val="Hemstlatt"/>
        <w:numPr>
          <w:ilvl w:val="0"/>
          <w:numId w:val="1"/>
        </w:numPr>
        <w:shd w:val="clear" w:color="000000" w:fill="auto"/>
      </w:pPr>
      <w:r w:rsidRPr="006B093B">
        <w:t>Riksdagen tillkännager för regeringen som sin mening vad i motionen anförs om inrättandet av en ny integritetsskyddsnämnd, under riksdagen.</w:t>
      </w:r>
    </w:p>
    <w:p w:rsidR="00CB17CC" w:rsidRPr="006B093B" w:rsidRDefault="00CB17CC">
      <w:pPr>
        <w:pStyle w:val="Hemstlatt"/>
        <w:numPr>
          <w:ilvl w:val="0"/>
          <w:numId w:val="1"/>
        </w:numPr>
        <w:shd w:val="clear" w:color="000000" w:fill="auto"/>
      </w:pPr>
      <w:r w:rsidRPr="006B093B">
        <w:t>Riksdagen tillkännager för regeringen som sin mening vad i motionen anförs om behovet av att vidta åtgärder för att förbättra skyddet för Sveriges nationella minoriteter.</w:t>
      </w:r>
    </w:p>
    <w:p w:rsidR="00CB17CC" w:rsidRPr="006B093B" w:rsidRDefault="00CB17CC">
      <w:pPr>
        <w:pStyle w:val="Hemstlatt"/>
        <w:numPr>
          <w:ilvl w:val="0"/>
          <w:numId w:val="1"/>
        </w:numPr>
        <w:shd w:val="clear" w:color="000000" w:fill="auto"/>
      </w:pPr>
      <w:r w:rsidRPr="006B093B">
        <w:t>Riksdagen tillkännager för regeringen som sin mening vad i motionen anförs om att ge länsstyrelserna ansvar för samordning avseende arbetet med frågor om mäns våld mot kvinnor.</w:t>
      </w:r>
    </w:p>
    <w:p w:rsidR="00CB17CC" w:rsidRPr="006B093B" w:rsidRDefault="00CB17CC">
      <w:pPr>
        <w:pStyle w:val="Hemstlatt"/>
        <w:numPr>
          <w:ilvl w:val="0"/>
          <w:numId w:val="1"/>
        </w:numPr>
        <w:shd w:val="clear" w:color="000000" w:fill="auto"/>
      </w:pPr>
      <w:r w:rsidRPr="006B093B">
        <w:t>Riksdagen tillkännager för regeringen som sin mening vad i motionen anförs om regionala program för att avveckla oljeberoendet.</w:t>
      </w:r>
    </w:p>
    <w:p w:rsidR="00CB17CC" w:rsidRPr="006B093B" w:rsidRDefault="00CB17CC">
      <w:pPr>
        <w:pStyle w:val="Hemstlatt"/>
        <w:numPr>
          <w:ilvl w:val="0"/>
          <w:numId w:val="1"/>
        </w:numPr>
        <w:shd w:val="clear" w:color="000000" w:fill="auto"/>
      </w:pPr>
      <w:r w:rsidRPr="006B093B">
        <w:rPr>
          <w:spacing w:val="-4"/>
        </w:rPr>
        <w:t>Riksdagen tillkännager för regeringen som sin mening vad i motionen anförs om att avskaffa Svenska institutet för europapolitiska studier (Sieps).</w:t>
      </w:r>
    </w:p>
    <w:p w:rsidR="00D12AC2" w:rsidRPr="006B093B" w:rsidRDefault="00821F66">
      <w:pPr>
        <w:pStyle w:val="Rubrik1"/>
        <w:pageBreakBefore/>
        <w:shd w:val="clear" w:color="000000" w:fill="auto"/>
        <w:spacing w:before="0"/>
      </w:pPr>
      <w:bookmarkStart w:id="5" w:name="_Toc155577699"/>
      <w:bookmarkStart w:id="6" w:name="_Toc155693341"/>
      <w:r w:rsidRPr="006B093B">
        <w:t>Utgiftsområde 1</w:t>
      </w:r>
      <w:r w:rsidR="00D12AC2" w:rsidRPr="006B093B">
        <w:t xml:space="preserve"> – R</w:t>
      </w:r>
      <w:r w:rsidRPr="006B093B">
        <w:t>ikets styrelse</w:t>
      </w:r>
      <w:bookmarkEnd w:id="5"/>
      <w:bookmarkEnd w:id="6"/>
    </w:p>
    <w:p w:rsidR="00D12AC2" w:rsidRPr="006B093B" w:rsidRDefault="007A5C46">
      <w:pPr>
        <w:pStyle w:val="Rubrik2"/>
        <w:shd w:val="clear" w:color="000000" w:fill="auto"/>
        <w:spacing w:before="120"/>
      </w:pPr>
      <w:bookmarkStart w:id="7" w:name="_Toc155577700"/>
      <w:bookmarkStart w:id="8" w:name="_Toc155693342"/>
      <w:r w:rsidRPr="006B093B">
        <w:t>Justitiekanslern</w:t>
      </w:r>
      <w:bookmarkEnd w:id="7"/>
      <w:bookmarkEnd w:id="8"/>
    </w:p>
    <w:p w:rsidR="007A5C46" w:rsidRPr="006B093B" w:rsidRDefault="007A5C46">
      <w:pPr>
        <w:shd w:val="clear" w:color="000000" w:fill="auto"/>
      </w:pPr>
      <w:r w:rsidRPr="006B093B">
        <w:t>Justitiekanslern utöv</w:t>
      </w:r>
      <w:r w:rsidR="009822E7" w:rsidRPr="006B093B">
        <w:t>a</w:t>
      </w:r>
      <w:r w:rsidRPr="006B093B">
        <w:t xml:space="preserve">r tillsyn över bland annat hur yttrandefriheten hanteras vid användandet av grundlagsskyddade medier. Uppgifter har framkommit om att brott begås via exemelvis Internet som till sin art är att anse som </w:t>
      </w:r>
      <w:r w:rsidR="009822E7" w:rsidRPr="006B093B">
        <w:t xml:space="preserve">så kallade </w:t>
      </w:r>
      <w:r w:rsidRPr="006B093B">
        <w:t>hatbrott. Det är viktigt att med kraft kunna bekämpa dessa. En a</w:t>
      </w:r>
      <w:r w:rsidRPr="006B093B">
        <w:t>n</w:t>
      </w:r>
      <w:r w:rsidRPr="006B093B">
        <w:t>slagsförstärkning föreslås därför. JK har även en</w:t>
      </w:r>
      <w:r w:rsidR="00C2476C" w:rsidRPr="006B093B">
        <w:t xml:space="preserve"> viktig funktion som värnare för</w:t>
      </w:r>
      <w:r w:rsidRPr="006B093B">
        <w:t xml:space="preserve"> meddelarfrihet och yttrandefrihet i arbetslivet. För att kunna stärka sky</w:t>
      </w:r>
      <w:r w:rsidRPr="006B093B">
        <w:t>d</w:t>
      </w:r>
      <w:r w:rsidRPr="006B093B">
        <w:t xml:space="preserve">det för dessa rättigheter föreslås också en anslagsstärkning. Miljöpartiet </w:t>
      </w:r>
      <w:r w:rsidR="00BF6C6C" w:rsidRPr="006B093B">
        <w:t>för</w:t>
      </w:r>
      <w:r w:rsidR="00BF6C6C" w:rsidRPr="006B093B">
        <w:t>e</w:t>
      </w:r>
      <w:r w:rsidR="00BF6C6C" w:rsidRPr="006B093B">
        <w:t xml:space="preserve">slår </w:t>
      </w:r>
      <w:r w:rsidRPr="006B093B">
        <w:t xml:space="preserve">att </w:t>
      </w:r>
      <w:r w:rsidR="009822E7" w:rsidRPr="006B093B">
        <w:t>1</w:t>
      </w:r>
      <w:r w:rsidRPr="006B093B">
        <w:t xml:space="preserve"> miljon kronor anslås utöver vad regeringen föreslår.</w:t>
      </w:r>
    </w:p>
    <w:p w:rsidR="00E84F25" w:rsidRPr="006B093B" w:rsidRDefault="007A5C46">
      <w:pPr>
        <w:pStyle w:val="Rubrik2"/>
        <w:shd w:val="clear" w:color="000000" w:fill="auto"/>
      </w:pPr>
      <w:bookmarkStart w:id="9" w:name="_Toc155577701"/>
      <w:bookmarkStart w:id="10" w:name="_Toc155693343"/>
      <w:r w:rsidRPr="006B093B">
        <w:t xml:space="preserve">En ny </w:t>
      </w:r>
      <w:r w:rsidR="005022C7" w:rsidRPr="006B093B">
        <w:t>integritetsskyddsnämnd</w:t>
      </w:r>
      <w:bookmarkEnd w:id="9"/>
      <w:bookmarkEnd w:id="10"/>
    </w:p>
    <w:p w:rsidR="00AF31FD" w:rsidRPr="006B093B" w:rsidRDefault="00160A74">
      <w:pPr>
        <w:shd w:val="clear" w:color="000000" w:fill="auto"/>
      </w:pPr>
      <w:r w:rsidRPr="006B093B">
        <w:t xml:space="preserve">Ett helt nytt anslag – 46:6 </w:t>
      </w:r>
      <w:r w:rsidR="009822E7" w:rsidRPr="006B093B">
        <w:t xml:space="preserve">– </w:t>
      </w:r>
      <w:r w:rsidRPr="006B093B">
        <w:t>föreslås inrättas för en helt ny nämnd under rik</w:t>
      </w:r>
      <w:r w:rsidRPr="006B093B">
        <w:t>s</w:t>
      </w:r>
      <w:r w:rsidRPr="006B093B">
        <w:t>dagen</w:t>
      </w:r>
      <w:r w:rsidR="009822E7" w:rsidRPr="006B093B">
        <w:t xml:space="preserve">: </w:t>
      </w:r>
      <w:r w:rsidRPr="006B093B">
        <w:t>Integritetss</w:t>
      </w:r>
      <w:r w:rsidR="00AF060F" w:rsidRPr="006B093B">
        <w:t>k</w:t>
      </w:r>
      <w:r w:rsidRPr="006B093B">
        <w:t>yddsnämnden. I departementssstencilen Hemliga tvång</w:t>
      </w:r>
      <w:r w:rsidRPr="006B093B">
        <w:t>s</w:t>
      </w:r>
      <w:r w:rsidRPr="006B093B">
        <w:t>medel m.m. under en stärkt parlamentarisk kontroll (Ds 2005:53) har föresl</w:t>
      </w:r>
      <w:r w:rsidRPr="006B093B">
        <w:t>a</w:t>
      </w:r>
      <w:r w:rsidRPr="006B093B">
        <w:t>gits att kontrollen över hur polis och åklagare använder hemliga tvångsmedel vid utredning av brott och dylikt, skall hanteras av en parlamentariskt sa</w:t>
      </w:r>
      <w:r w:rsidRPr="006B093B">
        <w:t>m</w:t>
      </w:r>
      <w:r w:rsidRPr="006B093B">
        <w:t xml:space="preserve">mansatt nämnd under regeringen. Miljöpartiet har i arbetet med utredningen föreslagit att nämnden skall placeras under riksdagen, i likhet med JO, </w:t>
      </w:r>
      <w:r w:rsidR="009822E7" w:rsidRPr="006B093B">
        <w:t>Rik</w:t>
      </w:r>
      <w:r w:rsidR="009822E7" w:rsidRPr="006B093B">
        <w:t>s</w:t>
      </w:r>
      <w:r w:rsidR="009822E7" w:rsidRPr="006B093B">
        <w:t>banken och Riksdagens revis</w:t>
      </w:r>
      <w:r w:rsidRPr="006B093B">
        <w:t>orer</w:t>
      </w:r>
      <w:r w:rsidR="009822E7" w:rsidRPr="006B093B">
        <w:t xml:space="preserve"> – a</w:t>
      </w:r>
      <w:r w:rsidRPr="006B093B">
        <w:t>llt för att garantera största möjliga själ</w:t>
      </w:r>
      <w:r w:rsidRPr="006B093B">
        <w:t>v</w:t>
      </w:r>
      <w:r w:rsidRPr="006B093B">
        <w:t>ständighet. Nämnden skall utöva systemtillsyn och tillsyn på individuell b</w:t>
      </w:r>
      <w:r w:rsidRPr="006B093B">
        <w:t>a</w:t>
      </w:r>
      <w:r w:rsidRPr="006B093B">
        <w:t xml:space="preserve">sis. Nämnden skall kunna tillerkänna enskilda skadestånd, för att de felaktigt fått sin integritet kränkt. Vi föreslår därför </w:t>
      </w:r>
      <w:r w:rsidR="00AF31FD" w:rsidRPr="006B093B">
        <w:t xml:space="preserve">att </w:t>
      </w:r>
      <w:r w:rsidR="009822E7" w:rsidRPr="006B093B">
        <w:t>5</w:t>
      </w:r>
      <w:r w:rsidR="00AF31FD" w:rsidRPr="006B093B">
        <w:t xml:space="preserve"> miljoner kronor anslås </w:t>
      </w:r>
      <w:r w:rsidRPr="006B093B">
        <w:t>till detta nya organs verksamhet</w:t>
      </w:r>
      <w:r w:rsidR="00245A82" w:rsidRPr="006B093B">
        <w:t>.</w:t>
      </w:r>
    </w:p>
    <w:p w:rsidR="00AF31FD" w:rsidRPr="006B093B" w:rsidRDefault="00646EE8">
      <w:pPr>
        <w:pStyle w:val="Rubrik2"/>
        <w:shd w:val="clear" w:color="000000" w:fill="auto"/>
      </w:pPr>
      <w:bookmarkStart w:id="11" w:name="_Toc155577702"/>
      <w:bookmarkStart w:id="12" w:name="_Toc155693344"/>
      <w:r w:rsidRPr="006B093B">
        <w:t>Stöd till d</w:t>
      </w:r>
      <w:r w:rsidR="00AF31FD" w:rsidRPr="006B093B">
        <w:t>e nationella minoriteterna</w:t>
      </w:r>
      <w:bookmarkEnd w:id="11"/>
      <w:bookmarkEnd w:id="12"/>
    </w:p>
    <w:p w:rsidR="001A4524" w:rsidRPr="006B093B" w:rsidRDefault="001A4524">
      <w:pPr>
        <w:shd w:val="clear" w:color="000000" w:fill="auto"/>
      </w:pPr>
      <w:r w:rsidRPr="006B093B">
        <w:t>Sverige har av Europarådet fått kraftig kritik för att inte ha fullgjort sina åt</w:t>
      </w:r>
      <w:r w:rsidRPr="006B093B">
        <w:t>a</w:t>
      </w:r>
      <w:r w:rsidRPr="006B093B">
        <w:t>ganden rörande sky</w:t>
      </w:r>
      <w:r w:rsidRPr="006B093B">
        <w:rPr>
          <w:spacing w:val="-2"/>
        </w:rPr>
        <w:t>ddet och stärkandet av våra nationella minoriteter. Kriti</w:t>
      </w:r>
      <w:r w:rsidRPr="006B093B">
        <w:t>ken har bland annat handlat om att skyddet av de samiska språken, romani och</w:t>
      </w:r>
      <w:r w:rsidR="00BF6C6C" w:rsidRPr="006B093B">
        <w:t xml:space="preserve"> </w:t>
      </w:r>
      <w:r w:rsidRPr="006B093B">
        <w:t>sverigefinska, försämrats samt att skyddet av de nati</w:t>
      </w:r>
      <w:r w:rsidR="00C124E3" w:rsidRPr="006B093B">
        <w:t>onella minoriteternas kulturarv</w:t>
      </w:r>
      <w:r w:rsidRPr="006B093B">
        <w:t xml:space="preserve"> brister. Kritik har dessutom riktats för att för få aktiva åtgärder vidtagits för att värna de nationella minoriteterna.</w:t>
      </w:r>
    </w:p>
    <w:p w:rsidR="001A4524" w:rsidRPr="006B093B" w:rsidRDefault="001A4524">
      <w:pPr>
        <w:pStyle w:val="Normaltindrag"/>
        <w:shd w:val="clear" w:color="000000" w:fill="auto"/>
      </w:pPr>
      <w:r w:rsidRPr="006B093B">
        <w:t xml:space="preserve">I utredningen Att återta mitt språk </w:t>
      </w:r>
      <w:r w:rsidR="009822E7" w:rsidRPr="006B093B">
        <w:t>–</w:t>
      </w:r>
      <w:r w:rsidRPr="006B093B">
        <w:t xml:space="preserve"> åtgärder för att stärka det samiska språket (SOU 2006:19) har ett flertal konkreta förslag för att fylla Sveriges internationella åtaganden</w:t>
      </w:r>
      <w:r w:rsidR="009822E7" w:rsidRPr="006B093B">
        <w:t xml:space="preserve"> lämnats</w:t>
      </w:r>
      <w:r w:rsidRPr="006B093B">
        <w:t xml:space="preserve">. Detsamma har skett i betänkandet Rätten till mitt språk </w:t>
      </w:r>
      <w:r w:rsidR="009822E7" w:rsidRPr="006B093B">
        <w:t>–</w:t>
      </w:r>
      <w:r w:rsidRPr="006B093B">
        <w:t xml:space="preserve"> förstärk</w:t>
      </w:r>
      <w:r w:rsidR="00C124E3" w:rsidRPr="006B093B">
        <w:t>t minoritetsskydd (SOU 2005:40)</w:t>
      </w:r>
      <w:r w:rsidRPr="006B093B">
        <w:t>. Ett genomförande av aktuella förslag som nämns i SOU 2005:4</w:t>
      </w:r>
      <w:r w:rsidR="006543FC" w:rsidRPr="006B093B">
        <w:t>0 har kostnadsberäknats till 74 </w:t>
      </w:r>
      <w:r w:rsidR="002444D7" w:rsidRPr="006B093B">
        <w:t>miljoner kronor</w:t>
      </w:r>
      <w:r w:rsidRPr="006B093B">
        <w:t xml:space="preserve"> och inom ramen för SOU 2006:19 till över 70 </w:t>
      </w:r>
      <w:r w:rsidR="002444D7" w:rsidRPr="006B093B">
        <w:t>miljoner kronor</w:t>
      </w:r>
      <w:r w:rsidRPr="006B093B">
        <w:t>, men kostnaderna är till största delen hänförliga till andra utgiftsomr</w:t>
      </w:r>
      <w:r w:rsidRPr="006B093B">
        <w:t>å</w:t>
      </w:r>
      <w:r w:rsidRPr="006B093B">
        <w:t xml:space="preserve">den än </w:t>
      </w:r>
      <w:r w:rsidR="009822E7" w:rsidRPr="006B093B">
        <w:t>utgiftsområde 1</w:t>
      </w:r>
      <w:r w:rsidR="001771FF" w:rsidRPr="006B093B">
        <w:t>.</w:t>
      </w:r>
      <w:r w:rsidRPr="006B093B">
        <w:t xml:space="preserve"> För att genomföra de delar som berörs av utgiftso</w:t>
      </w:r>
      <w:r w:rsidRPr="006B093B">
        <w:t>m</w:t>
      </w:r>
      <w:r w:rsidRPr="006B093B">
        <w:t>råde</w:t>
      </w:r>
      <w:r w:rsidR="009822E7" w:rsidRPr="006B093B">
        <w:t xml:space="preserve"> 1</w:t>
      </w:r>
      <w:r w:rsidRPr="006B093B">
        <w:t xml:space="preserve"> beräknas </w:t>
      </w:r>
      <w:r w:rsidR="009822E7" w:rsidRPr="006B093B">
        <w:t>5</w:t>
      </w:r>
      <w:r w:rsidRPr="006B093B">
        <w:t xml:space="preserve"> miljoner kronor behöva tas i anspråk.</w:t>
      </w:r>
      <w:r w:rsidR="001771FF" w:rsidRPr="006B093B">
        <w:t xml:space="preserve"> Det handlar bland annat om att utöka förvaltningsområdena för sverigefinska, att införa en n</w:t>
      </w:r>
      <w:r w:rsidR="001771FF" w:rsidRPr="006B093B">
        <w:t>a</w:t>
      </w:r>
      <w:r w:rsidR="001771FF" w:rsidRPr="006B093B">
        <w:t>tionell minoritetslagstiftning, att stärka rätten till modersmålsundersvisning och att ge ett omedelbart stöd för undervisning i sydsamiska.</w:t>
      </w:r>
    </w:p>
    <w:p w:rsidR="00F267A9" w:rsidRPr="006B093B" w:rsidRDefault="001771FF">
      <w:pPr>
        <w:pStyle w:val="Rubrik2"/>
        <w:shd w:val="clear" w:color="000000" w:fill="auto"/>
      </w:pPr>
      <w:bookmarkStart w:id="13" w:name="_Toc155577703"/>
      <w:bookmarkStart w:id="14" w:name="_Toc155693345"/>
      <w:r w:rsidRPr="006B093B">
        <w:t>Länsstyrelserna</w:t>
      </w:r>
      <w:bookmarkEnd w:id="13"/>
      <w:bookmarkEnd w:id="14"/>
    </w:p>
    <w:p w:rsidR="00F267A9" w:rsidRPr="006B093B" w:rsidRDefault="00F267A9">
      <w:pPr>
        <w:pStyle w:val="Rubrik3"/>
        <w:shd w:val="clear" w:color="000000" w:fill="auto"/>
        <w:spacing w:before="120"/>
      </w:pPr>
      <w:bookmarkStart w:id="15" w:name="_Toc155577704"/>
      <w:bookmarkStart w:id="16" w:name="_Toc155693346"/>
      <w:r w:rsidRPr="006B093B">
        <w:t>Länsstyrelserna måste få behålla medel för generationsväxlingar!</w:t>
      </w:r>
      <w:bookmarkEnd w:id="15"/>
      <w:bookmarkEnd w:id="16"/>
    </w:p>
    <w:p w:rsidR="001771FF" w:rsidRPr="006B093B" w:rsidRDefault="00C124E3">
      <w:pPr>
        <w:shd w:val="clear" w:color="000000" w:fill="auto"/>
      </w:pPr>
      <w:r w:rsidRPr="006B093B">
        <w:t>I</w:t>
      </w:r>
      <w:r w:rsidR="00245A82" w:rsidRPr="006B093B">
        <w:t xml:space="preserve"> </w:t>
      </w:r>
      <w:r w:rsidRPr="006B093B">
        <w:t xml:space="preserve">förra årets </w:t>
      </w:r>
      <w:r w:rsidR="001771FF" w:rsidRPr="006B093B">
        <w:t>bu</w:t>
      </w:r>
      <w:r w:rsidR="006E4519" w:rsidRPr="006B093B">
        <w:t>dgetmotion</w:t>
      </w:r>
      <w:r w:rsidR="001771FF" w:rsidRPr="006B093B">
        <w:t xml:space="preserve"> </w:t>
      </w:r>
      <w:r w:rsidRPr="006B093B">
        <w:t>gjordes en</w:t>
      </w:r>
      <w:r w:rsidR="001771FF" w:rsidRPr="006B093B">
        <w:t xml:space="preserve"> tvåår</w:t>
      </w:r>
      <w:r w:rsidRPr="006B093B">
        <w:t xml:space="preserve">ig satsning </w:t>
      </w:r>
      <w:r w:rsidR="001771FF" w:rsidRPr="006B093B">
        <w:t xml:space="preserve">för en </w:t>
      </w:r>
      <w:r w:rsidRPr="006B093B">
        <w:t>generationsvä</w:t>
      </w:r>
      <w:r w:rsidRPr="006B093B">
        <w:t>x</w:t>
      </w:r>
      <w:r w:rsidRPr="006B093B">
        <w:t>ling, för personer födda på 1930- och 1940-talen, inom den statliga sektorn. Motsvarande 65,5 miljoner kronor avsattes för år 2007 för länsstyrelsernas del.</w:t>
      </w:r>
      <w:r w:rsidR="001771FF" w:rsidRPr="006B093B">
        <w:t xml:space="preserve"> </w:t>
      </w:r>
      <w:r w:rsidRPr="006B093B">
        <w:t>Den nya r</w:t>
      </w:r>
      <w:r w:rsidR="001771FF" w:rsidRPr="006B093B">
        <w:t xml:space="preserve">egeringen föreslår nu att den del som </w:t>
      </w:r>
      <w:r w:rsidRPr="006B093B">
        <w:t>avser</w:t>
      </w:r>
      <w:r w:rsidR="001771FF" w:rsidRPr="006B093B">
        <w:t xml:space="preserve"> år 2007 avskaffas, motsvarande 65,5 </w:t>
      </w:r>
      <w:r w:rsidR="002444D7" w:rsidRPr="006B093B">
        <w:t>miljoner kronor</w:t>
      </w:r>
      <w:r w:rsidR="001771FF" w:rsidRPr="006B093B">
        <w:t>. Ett flertal länsstyrelser har redan</w:t>
      </w:r>
      <w:r w:rsidRPr="006B093B">
        <w:t xml:space="preserve"> reagerat mot detta och har </w:t>
      </w:r>
      <w:r w:rsidR="001771FF" w:rsidRPr="006B093B">
        <w:t xml:space="preserve">skrivit </w:t>
      </w:r>
      <w:r w:rsidRPr="006B093B">
        <w:t>till regeringen med begäran om att de skall få behålla de avsatta medlen.</w:t>
      </w:r>
      <w:r w:rsidR="00245A82" w:rsidRPr="006B093B">
        <w:t xml:space="preserve"> </w:t>
      </w:r>
      <w:r w:rsidRPr="006B093B">
        <w:t>Detta då</w:t>
      </w:r>
      <w:r w:rsidR="004C4AC1" w:rsidRPr="006B093B">
        <w:t xml:space="preserve"> d</w:t>
      </w:r>
      <w:r w:rsidRPr="006B093B">
        <w:t>e bland annat r</w:t>
      </w:r>
      <w:r w:rsidR="001771FF" w:rsidRPr="006B093B">
        <w:t xml:space="preserve">edan </w:t>
      </w:r>
      <w:r w:rsidRPr="006B093B">
        <w:t xml:space="preserve">har </w:t>
      </w:r>
      <w:r w:rsidR="001771FF" w:rsidRPr="006B093B">
        <w:t>a</w:t>
      </w:r>
      <w:r w:rsidRPr="006B093B">
        <w:t>nställt personal för att genomföra generationsväxlingen</w:t>
      </w:r>
      <w:r w:rsidR="001771FF" w:rsidRPr="006B093B">
        <w:t>. Det är enligt vår mening orimligt att så drastisk</w:t>
      </w:r>
      <w:r w:rsidR="009822E7" w:rsidRPr="006B093B">
        <w:t>t</w:t>
      </w:r>
      <w:r w:rsidR="001771FF" w:rsidRPr="006B093B">
        <w:t xml:space="preserve"> förändra förutsättningarna för länsstyrelsernas arbete, som regerin</w:t>
      </w:r>
      <w:r w:rsidR="001771FF" w:rsidRPr="006B093B">
        <w:t>g</w:t>
      </w:r>
      <w:r w:rsidR="001771FF" w:rsidRPr="006B093B">
        <w:t xml:space="preserve">en nu föreslår. Det innebär dessutom att ett flertal personer, </w:t>
      </w:r>
      <w:r w:rsidRPr="006B093B">
        <w:t>som precis a</w:t>
      </w:r>
      <w:r w:rsidRPr="006B093B">
        <w:t>n</w:t>
      </w:r>
      <w:r w:rsidRPr="006B093B">
        <w:t xml:space="preserve">ställts och </w:t>
      </w:r>
      <w:r w:rsidR="001771FF" w:rsidRPr="006B093B">
        <w:t xml:space="preserve">som behövs ytterligt väl inom länsstyrelserna, kommer att sägas upp. Miljöpartiet anser därför att 65,5 miljoner kronor skall tillföras, allt i enlighet med tidigare beslut av </w:t>
      </w:r>
      <w:r w:rsidR="009822E7" w:rsidRPr="006B093B">
        <w:t>riksdagen</w:t>
      </w:r>
      <w:r w:rsidR="001771FF" w:rsidRPr="006B093B">
        <w:t>.</w:t>
      </w:r>
    </w:p>
    <w:p w:rsidR="00F267A9" w:rsidRPr="006B093B" w:rsidRDefault="00F267A9">
      <w:pPr>
        <w:pStyle w:val="Rubrik3"/>
        <w:shd w:val="clear" w:color="000000" w:fill="auto"/>
      </w:pPr>
      <w:bookmarkStart w:id="17" w:name="_Toc155577705"/>
      <w:bookmarkStart w:id="18" w:name="_Toc155693347"/>
      <w:r w:rsidRPr="006B093B">
        <w:t>Ett regionalt ansvar för tillsyn och kunskapsbildning rörande mäns våld mot kvinnor</w:t>
      </w:r>
      <w:bookmarkEnd w:id="17"/>
      <w:bookmarkEnd w:id="18"/>
    </w:p>
    <w:p w:rsidR="001771FF" w:rsidRPr="006B093B" w:rsidRDefault="001771FF">
      <w:pPr>
        <w:shd w:val="clear" w:color="000000" w:fill="auto"/>
      </w:pPr>
      <w:r w:rsidRPr="006B093B">
        <w:t xml:space="preserve">Miljöpartiet anser vidare att </w:t>
      </w:r>
      <w:r w:rsidR="009822E7" w:rsidRPr="006B093B">
        <w:t xml:space="preserve">länsstyrelserna </w:t>
      </w:r>
      <w:r w:rsidRPr="006B093B">
        <w:t>bör få ett ökat uppdrag, däribland en samordnad roll bland annat vad gäller kartläggningar och ökad tillsyn på området mäns våld mot kvinnor, samt att arbeta med bland annat fortbil</w:t>
      </w:r>
      <w:r w:rsidRPr="006B093B">
        <w:t>d</w:t>
      </w:r>
      <w:r w:rsidRPr="006B093B">
        <w:t>ningar</w:t>
      </w:r>
      <w:r w:rsidR="009822E7" w:rsidRPr="006B093B">
        <w:t xml:space="preserve"> och </w:t>
      </w:r>
      <w:r w:rsidRPr="006B093B">
        <w:t>kunskaps</w:t>
      </w:r>
      <w:r w:rsidR="005C660C" w:rsidRPr="006B093B">
        <w:softHyphen/>
      </w:r>
      <w:r w:rsidRPr="006B093B">
        <w:t xml:space="preserve">utveckling inom socialtjänsten angående våldsutsatta kvinnor gentemot kommunerna. Detta är i enlighet med förslag som framförts i rapporten Mäns våldsutövande </w:t>
      </w:r>
      <w:r w:rsidR="009822E7" w:rsidRPr="006B093B">
        <w:t>–</w:t>
      </w:r>
      <w:r w:rsidRPr="006B093B">
        <w:t xml:space="preserve"> barns upplevelser, från Näringsdepart</w:t>
      </w:r>
      <w:r w:rsidRPr="006B093B">
        <w:t>e</w:t>
      </w:r>
      <w:r w:rsidRPr="006B093B">
        <w:t>mentet och betänkandet Socialstyrelsens stöd till våldsutsatta kvinnor (SOU 2006:65). Satsningen kan beräknas motsvara 10 miljoner kronor.</w:t>
      </w:r>
    </w:p>
    <w:p w:rsidR="00F267A9" w:rsidRPr="006B093B" w:rsidRDefault="00F267A9">
      <w:pPr>
        <w:pStyle w:val="Rubrik3"/>
        <w:shd w:val="clear" w:color="000000" w:fill="auto"/>
      </w:pPr>
      <w:bookmarkStart w:id="19" w:name="_Toc155577706"/>
      <w:bookmarkStart w:id="20" w:name="_Toc155693348"/>
      <w:r w:rsidRPr="006B093B">
        <w:t>Satsning för förbättrad miljötillsyn</w:t>
      </w:r>
      <w:bookmarkEnd w:id="19"/>
      <w:bookmarkEnd w:id="20"/>
    </w:p>
    <w:p w:rsidR="001771FF" w:rsidRPr="006B093B" w:rsidRDefault="001771FF">
      <w:pPr>
        <w:shd w:val="clear" w:color="000000" w:fill="auto"/>
      </w:pPr>
      <w:r w:rsidRPr="006B093B">
        <w:t xml:space="preserve">Länsstyrelserna utövar tillsyn över miljöfarlig verksamhet enligt miljöbalken och har som ett led i detta </w:t>
      </w:r>
      <w:r w:rsidR="002444D7" w:rsidRPr="006B093B">
        <w:t>getts</w:t>
      </w:r>
      <w:r w:rsidRPr="006B093B">
        <w:t xml:space="preserve"> i uppdrag att se över befintliga tillstånd, för att om möjligt skärpa kraven i tillstånden. Detta arbete kräver resurser som inte finns. De bör därför tillföras resurser motsvarande minst </w:t>
      </w:r>
      <w:r w:rsidR="009822E7" w:rsidRPr="006B093B">
        <w:t>10</w:t>
      </w:r>
      <w:r w:rsidRPr="006B093B">
        <w:t xml:space="preserve"> miljoner kronor.</w:t>
      </w:r>
    </w:p>
    <w:p w:rsidR="001771FF" w:rsidRPr="006B093B" w:rsidRDefault="001771FF">
      <w:pPr>
        <w:pStyle w:val="Rubrik3"/>
        <w:shd w:val="clear" w:color="000000" w:fill="auto"/>
      </w:pPr>
      <w:bookmarkStart w:id="21" w:name="_Toc155577707"/>
      <w:bookmarkStart w:id="22" w:name="_Toc155693349"/>
      <w:r w:rsidRPr="006B093B">
        <w:t>Länsstyrelserna ska</w:t>
      </w:r>
      <w:r w:rsidR="009822E7" w:rsidRPr="006B093B">
        <w:t>ll</w:t>
      </w:r>
      <w:r w:rsidRPr="006B093B">
        <w:t xml:space="preserve"> ta fra</w:t>
      </w:r>
      <w:r w:rsidR="00F267A9" w:rsidRPr="006B093B">
        <w:t>m regionala omställningsprogram</w:t>
      </w:r>
      <w:bookmarkEnd w:id="21"/>
      <w:bookmarkEnd w:id="22"/>
    </w:p>
    <w:p w:rsidR="0049696F" w:rsidRPr="006B093B" w:rsidRDefault="001771FF">
      <w:pPr>
        <w:shd w:val="clear" w:color="000000" w:fill="auto"/>
      </w:pPr>
      <w:r w:rsidRPr="006B093B">
        <w:t>Länsstyrelserna får 2007 ett samordningsansvar att samla företag, universitet</w:t>
      </w:r>
      <w:r w:rsidR="003D7B4C" w:rsidRPr="006B093B">
        <w:t xml:space="preserve">, </w:t>
      </w:r>
      <w:r w:rsidRPr="006B093B">
        <w:t>landsting och kommuner för att ta fram regionala omställningsprogram i syfte att</w:t>
      </w:r>
      <w:r w:rsidR="007474B9" w:rsidRPr="006B093B">
        <w:t xml:space="preserve"> </w:t>
      </w:r>
      <w:r w:rsidRPr="006B093B">
        <w:t>avskaffa olje</w:t>
      </w:r>
      <w:r w:rsidR="005C660C" w:rsidRPr="006B093B">
        <w:softHyphen/>
      </w:r>
      <w:r w:rsidRPr="006B093B">
        <w:t>beroendet med en arbetsmodell liknande de regionala</w:t>
      </w:r>
      <w:r w:rsidR="003D7B4C" w:rsidRPr="006B093B">
        <w:t xml:space="preserve"> til</w:t>
      </w:r>
      <w:r w:rsidR="003D7B4C" w:rsidRPr="006B093B">
        <w:t>l</w:t>
      </w:r>
      <w:r w:rsidR="003D7B4C" w:rsidRPr="006B093B">
        <w:t xml:space="preserve">växtprogrammen. </w:t>
      </w:r>
      <w:r w:rsidRPr="006B093B">
        <w:t>Kostnaden för detta beräknas till en halv t</w:t>
      </w:r>
      <w:r w:rsidR="00951FDA" w:rsidRPr="006B093B">
        <w:t>jänst per länsst</w:t>
      </w:r>
      <w:r w:rsidR="00951FDA" w:rsidRPr="006B093B">
        <w:t>y</w:t>
      </w:r>
      <w:r w:rsidR="00951FDA" w:rsidRPr="006B093B">
        <w:t>relse à 500 000 kronor</w:t>
      </w:r>
      <w:r w:rsidRPr="006B093B">
        <w:t xml:space="preserve">. Totalt </w:t>
      </w:r>
      <w:r w:rsidR="000C5CA3" w:rsidRPr="006B093B">
        <w:t xml:space="preserve">kostar detta </w:t>
      </w:r>
      <w:r w:rsidR="009822E7" w:rsidRPr="006B093B">
        <w:t>10</w:t>
      </w:r>
      <w:r w:rsidRPr="006B093B">
        <w:t xml:space="preserve"> miljoner kronor.</w:t>
      </w:r>
    </w:p>
    <w:p w:rsidR="0049696F" w:rsidRPr="006B093B" w:rsidRDefault="0049696F">
      <w:pPr>
        <w:pStyle w:val="Rubrik2"/>
        <w:shd w:val="clear" w:color="000000" w:fill="auto"/>
      </w:pPr>
      <w:bookmarkStart w:id="23" w:name="_Toc155577708"/>
      <w:bookmarkStart w:id="24" w:name="_Toc155693350"/>
      <w:r w:rsidRPr="006B093B">
        <w:t>Riksdagens ombudsmän – JO</w:t>
      </w:r>
      <w:bookmarkEnd w:id="23"/>
      <w:bookmarkEnd w:id="24"/>
    </w:p>
    <w:p w:rsidR="00AD5539" w:rsidRPr="006B093B" w:rsidRDefault="0049696F">
      <w:pPr>
        <w:shd w:val="clear" w:color="000000" w:fill="auto"/>
      </w:pPr>
      <w:r w:rsidRPr="006B093B">
        <w:t>JO-ämbetet tyngs a</w:t>
      </w:r>
      <w:r w:rsidR="00951FDA" w:rsidRPr="006B093B">
        <w:t>v en ständigt ökande ärendemängd</w:t>
      </w:r>
      <w:r w:rsidRPr="006B093B">
        <w:t>, bestående av alltfler remisser, enskilda anmälningar och inspektioner. Dessutom har riksdagen sedan tidigare dragit in hela anslagssparandet. Väntetiden för enskilda för att få sina anmälningar avklarade förlängs. Detta är inte rimligt. Mot den ba</w:t>
      </w:r>
      <w:r w:rsidRPr="006B093B">
        <w:t>k</w:t>
      </w:r>
      <w:r w:rsidRPr="006B093B">
        <w:t xml:space="preserve">grunden föreslås en utökning av anslaget med </w:t>
      </w:r>
      <w:r w:rsidR="009822E7" w:rsidRPr="006B093B">
        <w:t>2</w:t>
      </w:r>
      <w:r w:rsidRPr="006B093B">
        <w:t xml:space="preserve"> miljoner kronor, motsvarande åtminstone tre heltidstjänster som föredragande.</w:t>
      </w:r>
    </w:p>
    <w:p w:rsidR="00AD5539" w:rsidRPr="006B093B" w:rsidRDefault="00AD5539">
      <w:pPr>
        <w:pStyle w:val="Rubrik2"/>
        <w:shd w:val="clear" w:color="000000" w:fill="auto"/>
      </w:pPr>
      <w:bookmarkStart w:id="25" w:name="_Toc155577709"/>
      <w:bookmarkStart w:id="26" w:name="_Toc155693351"/>
      <w:r w:rsidRPr="006B093B">
        <w:t>Svenska institutet för europapolitiska studier</w:t>
      </w:r>
      <w:bookmarkEnd w:id="25"/>
      <w:bookmarkEnd w:id="26"/>
    </w:p>
    <w:p w:rsidR="008B4BF1" w:rsidRPr="006B093B" w:rsidRDefault="00AD5539">
      <w:pPr>
        <w:shd w:val="clear" w:color="000000" w:fill="auto"/>
      </w:pPr>
      <w:r w:rsidRPr="006B093B">
        <w:t>Svenska institutet för europapolitiska studier (Sieps) initierar och bedriver forskning</w:t>
      </w:r>
      <w:r w:rsidR="002444D7" w:rsidRPr="006B093B">
        <w:t xml:space="preserve">, </w:t>
      </w:r>
      <w:r w:rsidRPr="006B093B">
        <w:t>utvärdering och analys av EU-politik inom områdena ekonomi</w:t>
      </w:r>
      <w:r w:rsidR="00951FDA" w:rsidRPr="006B093B">
        <w:t>,</w:t>
      </w:r>
      <w:r w:rsidR="003D7B4C" w:rsidRPr="006B093B">
        <w:t xml:space="preserve"> handel, statsvetenskap </w:t>
      </w:r>
      <w:r w:rsidRPr="006B093B">
        <w:t>och juridik. Det fungerar i huvudsak som en debat</w:t>
      </w:r>
      <w:r w:rsidRPr="006B093B">
        <w:t>t</w:t>
      </w:r>
      <w:r w:rsidRPr="006B093B">
        <w:t>klubb som producerar skrifter, håller symposier med mera. Detta kan inte anses prioriterat eller ens behövligt. Sieps för</w:t>
      </w:r>
      <w:r w:rsidR="009822E7" w:rsidRPr="006B093B">
        <w:t>e</w:t>
      </w:r>
      <w:r w:rsidRPr="006B093B">
        <w:t>slås därför helt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93B">
        <w:trPr>
          <w:cantSplit/>
        </w:trPr>
        <w:tc>
          <w:tcPr>
            <w:tcW w:w="3046" w:type="dxa"/>
          </w:tcPr>
          <w:p w:rsidR="00CB17CC" w:rsidRPr="006B093B" w:rsidRDefault="00CB17CC">
            <w:pPr>
              <w:pStyle w:val="UnderskriftDatum"/>
              <w:shd w:val="clear" w:color="000000" w:fill="auto"/>
              <w:spacing w:before="240"/>
            </w:pPr>
            <w:r w:rsidRPr="006B093B">
              <w:t>Stockholm den 31 oktober 2006</w:t>
            </w:r>
          </w:p>
        </w:tc>
        <w:tc>
          <w:tcPr>
            <w:tcW w:w="3047" w:type="dxa"/>
          </w:tcPr>
          <w:p w:rsidR="00CB17CC" w:rsidRPr="006B093B" w:rsidRDefault="00CB17CC">
            <w:pPr>
              <w:pStyle w:val="Underskrifter"/>
              <w:shd w:val="clear" w:color="000000" w:fill="auto"/>
              <w:spacing w:before="240"/>
            </w:pPr>
          </w:p>
        </w:tc>
      </w:tr>
      <w:tr w:rsidR="00000000" w:rsidRPr="006B093B">
        <w:trPr>
          <w:cantSplit/>
        </w:trPr>
        <w:tc>
          <w:tcPr>
            <w:tcW w:w="3046" w:type="dxa"/>
          </w:tcPr>
          <w:p w:rsidR="00CB17CC" w:rsidRPr="006B093B" w:rsidRDefault="00CB17CC">
            <w:pPr>
              <w:pStyle w:val="Underskrifter"/>
              <w:shd w:val="clear" w:color="000000" w:fill="auto"/>
            </w:pPr>
            <w:r w:rsidRPr="006B093B">
              <w:t>Mikael Johansson (mp)</w:t>
            </w:r>
          </w:p>
        </w:tc>
        <w:tc>
          <w:tcPr>
            <w:tcW w:w="3046" w:type="dxa"/>
          </w:tcPr>
          <w:p w:rsidR="00CB17CC" w:rsidRPr="006B093B" w:rsidRDefault="00CB17CC">
            <w:pPr>
              <w:pStyle w:val="Underskrifter"/>
              <w:shd w:val="clear" w:color="000000" w:fill="auto"/>
            </w:pPr>
          </w:p>
        </w:tc>
      </w:tr>
      <w:tr w:rsidR="00000000" w:rsidRPr="006B093B">
        <w:trPr>
          <w:cantSplit/>
        </w:trPr>
        <w:tc>
          <w:tcPr>
            <w:tcW w:w="3046" w:type="dxa"/>
          </w:tcPr>
          <w:p w:rsidR="00CB17CC" w:rsidRPr="006B093B" w:rsidRDefault="00CB17CC">
            <w:pPr>
              <w:pStyle w:val="Underskrifter"/>
              <w:shd w:val="clear" w:color="000000" w:fill="auto"/>
            </w:pPr>
            <w:r w:rsidRPr="006B093B">
              <w:t>Peter Eriksson (mp)</w:t>
            </w:r>
          </w:p>
        </w:tc>
        <w:tc>
          <w:tcPr>
            <w:tcW w:w="3046" w:type="dxa"/>
          </w:tcPr>
          <w:p w:rsidR="00CB17CC" w:rsidRPr="006B093B" w:rsidRDefault="00CB17CC">
            <w:pPr>
              <w:pStyle w:val="Underskrifter"/>
              <w:shd w:val="clear" w:color="000000" w:fill="auto"/>
            </w:pPr>
            <w:r w:rsidRPr="006B093B">
              <w:t>Max  Andersson (mp)</w:t>
            </w:r>
          </w:p>
        </w:tc>
      </w:tr>
    </w:tbl>
    <w:p w:rsidR="003D7B4C" w:rsidRPr="006B093B" w:rsidRDefault="003D7B4C">
      <w:pPr>
        <w:pStyle w:val="Normaltindrag"/>
        <w:shd w:val="clear" w:color="000000" w:fill="auto"/>
      </w:pPr>
    </w:p>
    <w:sectPr w:rsidR="003D7B4C" w:rsidRPr="006B093B" w:rsidSect="009822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7CC" w:rsidRPr="006B093B" w:rsidRDefault="00CB17CC">
      <w:r w:rsidRPr="006B093B">
        <w:separator/>
      </w:r>
    </w:p>
  </w:endnote>
  <w:endnote w:type="continuationSeparator" w:id="0">
    <w:p w:rsidR="00CB17CC" w:rsidRPr="006B093B" w:rsidRDefault="00CB17CC">
      <w:r w:rsidRPr="006B0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F5" w:rsidRPr="006B093B" w:rsidRDefault="006B093B" w:rsidP="009822E7">
    <w:pPr>
      <w:pStyle w:val="Sidfot"/>
    </w:pPr>
    <w:r w:rsidRPr="006B09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996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2E7" w:rsidRDefault="00CB17CC">
                          <w:pPr>
                            <w:pStyle w:val="NormalS5sidnrV"/>
                          </w:pPr>
                          <w:r>
                            <w:fldChar w:fldCharType="begin"/>
                          </w:r>
                          <w:r w:rsidR="009822E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2E7" w:rsidRDefault="00CB17CC">
                    <w:pPr>
                      <w:pStyle w:val="NormalS5sidnrV"/>
                    </w:pPr>
                    <w:r>
                      <w:fldChar w:fldCharType="begin"/>
                    </w:r>
                    <w:r w:rsidR="009822E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F5" w:rsidRPr="006B093B" w:rsidRDefault="006B093B" w:rsidP="009822E7">
    <w:pPr>
      <w:pStyle w:val="Sidfot"/>
    </w:pPr>
    <w:r w:rsidRPr="006B09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284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2E7" w:rsidRDefault="00CB17CC">
                          <w:pPr>
                            <w:pStyle w:val="NormalS5sidnrH"/>
                            <w:ind w:right="0"/>
                          </w:pPr>
                          <w:r>
                            <w:fldChar w:fldCharType="begin"/>
                          </w:r>
                          <w:r w:rsidR="009822E7">
                            <w:instrText xml:space="preserve"> PAGE *\charformat</w:instrText>
                          </w:r>
                          <w:r>
                            <w:fldChar w:fldCharType="separate"/>
                          </w:r>
                          <w:r w:rsidR="00CD624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2E7" w:rsidRDefault="00CB17CC">
                    <w:pPr>
                      <w:pStyle w:val="NormalS5sidnrH"/>
                      <w:ind w:right="0"/>
                    </w:pPr>
                    <w:r>
                      <w:fldChar w:fldCharType="begin"/>
                    </w:r>
                    <w:r w:rsidR="009822E7">
                      <w:instrText xml:space="preserve"> PAGE *\charformat</w:instrText>
                    </w:r>
                    <w:r>
                      <w:fldChar w:fldCharType="separate"/>
                    </w:r>
                    <w:r w:rsidR="00CD624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F5" w:rsidRPr="006B093B" w:rsidRDefault="006B093B" w:rsidP="009822E7">
    <w:pPr>
      <w:pStyle w:val="Sidfot"/>
    </w:pPr>
    <w:r w:rsidRPr="006B09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254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2E7" w:rsidRDefault="00CB17CC">
                          <w:pPr>
                            <w:pStyle w:val="NormalS5sidnrH"/>
                            <w:ind w:right="0"/>
                          </w:pPr>
                          <w:r>
                            <w:fldChar w:fldCharType="begin"/>
                          </w:r>
                          <w:r w:rsidR="009822E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2E7" w:rsidRDefault="00CB17CC">
                    <w:pPr>
                      <w:pStyle w:val="NormalS5sidnrH"/>
                      <w:ind w:right="0"/>
                    </w:pPr>
                    <w:r>
                      <w:fldChar w:fldCharType="begin"/>
                    </w:r>
                    <w:r w:rsidR="009822E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7CC" w:rsidRPr="006B093B" w:rsidRDefault="00CB17CC">
      <w:r w:rsidRPr="006B093B">
        <w:separator/>
      </w:r>
    </w:p>
  </w:footnote>
  <w:footnote w:type="continuationSeparator" w:id="0">
    <w:p w:rsidR="00CB17CC" w:rsidRPr="006B093B" w:rsidRDefault="00CB17CC">
      <w:r w:rsidRPr="006B0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F5" w:rsidRPr="006B093B" w:rsidRDefault="006B093B" w:rsidP="009822E7">
    <w:pPr>
      <w:pStyle w:val="Sidhuvud"/>
    </w:pPr>
    <w:r w:rsidRPr="006B09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809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2E7" w:rsidRDefault="00CB17CC">
                          <w:pPr>
                            <w:pStyle w:val="KantRubrikS5V"/>
                          </w:pPr>
                          <w:r>
                            <w:fldChar w:fldCharType="begin"/>
                          </w:r>
                          <w:r w:rsidR="009822E7">
                            <w:instrText xml:space="preserve"> DOCPROPERTY "YearUser" *\charformat </w:instrText>
                          </w:r>
                          <w:r>
                            <w:fldChar w:fldCharType="separate"/>
                          </w:r>
                          <w:r w:rsidR="00CC322E">
                            <w:t>2006/07</w:t>
                          </w:r>
                          <w:r>
                            <w:fldChar w:fldCharType="end"/>
                          </w:r>
                          <w:r w:rsidR="009822E7">
                            <w:t>:</w:t>
                          </w:r>
                          <w:r>
                            <w:fldChar w:fldCharType="begin"/>
                          </w:r>
                          <w:r w:rsidR="009822E7">
                            <w:instrText xml:space="preserve"> DOCPROPERTY "Motionsnummer" *\charformat </w:instrText>
                          </w:r>
                          <w:r>
                            <w:fldChar w:fldCharType="separate"/>
                          </w:r>
                          <w:r w:rsidR="00CC322E">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2E7" w:rsidRDefault="00CB17CC">
                    <w:pPr>
                      <w:pStyle w:val="KantRubrikS5V"/>
                    </w:pPr>
                    <w:r>
                      <w:fldChar w:fldCharType="begin"/>
                    </w:r>
                    <w:r w:rsidR="009822E7">
                      <w:instrText xml:space="preserve"> DOCPROPERTY "YearUser" *\charformat </w:instrText>
                    </w:r>
                    <w:r>
                      <w:fldChar w:fldCharType="separate"/>
                    </w:r>
                    <w:r w:rsidR="00CC322E">
                      <w:t>2006/07</w:t>
                    </w:r>
                    <w:r>
                      <w:fldChar w:fldCharType="end"/>
                    </w:r>
                    <w:r w:rsidR="009822E7">
                      <w:t>:</w:t>
                    </w:r>
                    <w:r>
                      <w:fldChar w:fldCharType="begin"/>
                    </w:r>
                    <w:r w:rsidR="009822E7">
                      <w:instrText xml:space="preserve"> DOCPROPERTY "Motionsnummer" *\charformat </w:instrText>
                    </w:r>
                    <w:r>
                      <w:fldChar w:fldCharType="separate"/>
                    </w:r>
                    <w:r w:rsidR="00CC322E">
                      <w:t>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4F5" w:rsidRPr="006B093B" w:rsidRDefault="006B093B" w:rsidP="009822E7">
    <w:pPr>
      <w:pStyle w:val="Sidhuvud"/>
    </w:pPr>
    <w:r w:rsidRPr="006B09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340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2E7" w:rsidRDefault="00CB17CC">
                          <w:pPr>
                            <w:pStyle w:val="KantRubrikS5H"/>
                            <w:ind w:right="0"/>
                          </w:pPr>
                          <w:r>
                            <w:fldChar w:fldCharType="begin"/>
                          </w:r>
                          <w:r w:rsidR="009822E7">
                            <w:instrText xml:space="preserve"> DOCPROPERTY "YearUser" *\charformat </w:instrText>
                          </w:r>
                          <w:r>
                            <w:fldChar w:fldCharType="separate"/>
                          </w:r>
                          <w:r w:rsidR="00CC322E">
                            <w:t>2006/07</w:t>
                          </w:r>
                          <w:r>
                            <w:fldChar w:fldCharType="end"/>
                          </w:r>
                          <w:r w:rsidR="009822E7">
                            <w:t>:</w:t>
                          </w:r>
                          <w:r>
                            <w:fldChar w:fldCharType="begin"/>
                          </w:r>
                          <w:r w:rsidR="009822E7">
                            <w:instrText xml:space="preserve"> DOCPROPERTY "Motionsnummer" *\charformat </w:instrText>
                          </w:r>
                          <w:r>
                            <w:fldChar w:fldCharType="separate"/>
                          </w:r>
                          <w:r w:rsidR="00CC322E">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2E7" w:rsidRDefault="00CB17CC">
                    <w:pPr>
                      <w:pStyle w:val="KantRubrikS5H"/>
                      <w:ind w:right="0"/>
                    </w:pPr>
                    <w:r>
                      <w:fldChar w:fldCharType="begin"/>
                    </w:r>
                    <w:r w:rsidR="009822E7">
                      <w:instrText xml:space="preserve"> DOCPROPERTY "YearUser" *\charformat </w:instrText>
                    </w:r>
                    <w:r>
                      <w:fldChar w:fldCharType="separate"/>
                    </w:r>
                    <w:r w:rsidR="00CC322E">
                      <w:t>2006/07</w:t>
                    </w:r>
                    <w:r>
                      <w:fldChar w:fldCharType="end"/>
                    </w:r>
                    <w:r w:rsidR="009822E7">
                      <w:t>:</w:t>
                    </w:r>
                    <w:r>
                      <w:fldChar w:fldCharType="begin"/>
                    </w:r>
                    <w:r w:rsidR="009822E7">
                      <w:instrText xml:space="preserve"> DOCPROPERTY "Motionsnummer" *\charformat </w:instrText>
                    </w:r>
                    <w:r>
                      <w:fldChar w:fldCharType="separate"/>
                    </w:r>
                    <w:r w:rsidR="00CC322E">
                      <w:t>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7CC" w:rsidRPr="006B093B" w:rsidRDefault="00CB17CC">
    <w:pPr>
      <w:pStyle w:val="FSHNormal"/>
      <w:tabs>
        <w:tab w:val="right" w:pos="5840"/>
      </w:tabs>
    </w:pPr>
    <w:r w:rsidRPr="006B093B">
      <w:br/>
    </w:r>
    <w:r w:rsidRPr="006B093B">
      <w:fldChar w:fldCharType="begin" w:fldLock="1"/>
    </w:r>
    <w:r w:rsidRPr="006B093B">
      <w:instrText xml:space="preserve"> DOCPROPERTY</w:instrText>
    </w:r>
    <w:r w:rsidRPr="006B093B">
      <w:rPr>
        <w:sz w:val="18"/>
      </w:rPr>
      <w:instrText xml:space="preserve"> "YearUser" *\charformat </w:instrText>
    </w:r>
    <w:r w:rsidRPr="006B093B">
      <w:fldChar w:fldCharType="separate"/>
    </w:r>
    <w:r w:rsidRPr="006B093B">
      <w:t>2006/07</w:t>
    </w:r>
    <w:r w:rsidRPr="006B093B">
      <w:fldChar w:fldCharType="end"/>
    </w:r>
    <w:r w:rsidRPr="006B093B">
      <w:t xml:space="preserve"> </w:t>
    </w:r>
    <w:r w:rsidRPr="006B093B">
      <w:tab/>
      <w:t xml:space="preserve">mnr: </w:t>
    </w:r>
    <w:r w:rsidRPr="006B093B">
      <w:fldChar w:fldCharType="begin" w:fldLock="1"/>
    </w:r>
    <w:r w:rsidRPr="006B093B">
      <w:instrText xml:space="preserve"> DOCPROPERTY</w:instrText>
    </w:r>
    <w:r w:rsidRPr="006B093B">
      <w:rPr>
        <w:sz w:val="18"/>
      </w:rPr>
      <w:instrText xml:space="preserve"> "Motionsnummer" *\charformat </w:instrText>
    </w:r>
    <w:r w:rsidRPr="006B093B">
      <w:fldChar w:fldCharType="separate"/>
    </w:r>
    <w:r w:rsidRPr="006B093B">
      <w:t>K341</w:t>
    </w:r>
    <w:r w:rsidRPr="006B093B">
      <w:fldChar w:fldCharType="end"/>
    </w:r>
    <w:r w:rsidRPr="006B093B">
      <w:br/>
    </w:r>
    <w:r w:rsidRPr="006B093B">
      <w:fldChar w:fldCharType="begin" w:fldLock="1"/>
    </w:r>
    <w:r w:rsidRPr="006B093B">
      <w:instrText xml:space="preserve"> DOCPROPERTY</w:instrText>
    </w:r>
    <w:r w:rsidRPr="006B093B">
      <w:rPr>
        <w:sz w:val="18"/>
      </w:rPr>
      <w:instrText xml:space="preserve"> "Samling" *\charformat </w:instrText>
    </w:r>
    <w:r w:rsidRPr="006B093B">
      <w:fldChar w:fldCharType="end"/>
    </w:r>
    <w:r w:rsidRPr="006B093B">
      <w:tab/>
      <w:t xml:space="preserve">pnr: </w:t>
    </w:r>
    <w:r w:rsidRPr="006B093B">
      <w:fldChar w:fldCharType="begin" w:fldLock="1"/>
    </w:r>
    <w:r w:rsidRPr="006B093B">
      <w:instrText xml:space="preserve"> DOCPROPERTY</w:instrText>
    </w:r>
    <w:r w:rsidRPr="006B093B">
      <w:rPr>
        <w:sz w:val="18"/>
      </w:rPr>
      <w:instrText xml:space="preserve"> "Partinummer" *\charformat </w:instrText>
    </w:r>
    <w:r w:rsidRPr="006B093B">
      <w:fldChar w:fldCharType="separate"/>
    </w:r>
    <w:r w:rsidRPr="006B093B">
      <w:t>mp701</w:t>
    </w:r>
    <w:r w:rsidRPr="006B093B">
      <w:fldChar w:fldCharType="end"/>
    </w:r>
  </w:p>
  <w:p w:rsidR="00CB17CC" w:rsidRPr="006B093B" w:rsidRDefault="00CB17CC">
    <w:pPr>
      <w:pStyle w:val="FSHRub1"/>
    </w:pPr>
    <w:r w:rsidRPr="006B093B">
      <w:t>Motion till riksdagen</w:t>
    </w:r>
    <w:r w:rsidRPr="006B093B">
      <w:br/>
    </w:r>
    <w:r w:rsidRPr="006B093B">
      <w:fldChar w:fldCharType="begin" w:fldLock="1"/>
    </w:r>
    <w:r w:rsidRPr="006B093B">
      <w:instrText xml:space="preserve"> DOCPROPERTY "YearUser" *\charformat </w:instrText>
    </w:r>
    <w:r w:rsidRPr="006B093B">
      <w:fldChar w:fldCharType="separate"/>
    </w:r>
    <w:r w:rsidRPr="006B093B">
      <w:t>2006/07</w:t>
    </w:r>
    <w:r w:rsidRPr="006B093B">
      <w:fldChar w:fldCharType="end"/>
    </w:r>
    <w:r w:rsidRPr="006B093B">
      <w:t>:</w:t>
    </w:r>
    <w:r w:rsidRPr="006B093B">
      <w:fldChar w:fldCharType="begin" w:fldLock="1"/>
    </w:r>
    <w:r w:rsidRPr="006B093B">
      <w:instrText xml:space="preserve"> DOCPROPERTY "Motionsnummer" *\charformat </w:instrText>
    </w:r>
    <w:r w:rsidRPr="006B093B">
      <w:fldChar w:fldCharType="separate"/>
    </w:r>
    <w:r w:rsidRPr="006B093B">
      <w:t>K341</w:t>
    </w:r>
    <w:r w:rsidRPr="006B093B">
      <w:fldChar w:fldCharType="end"/>
    </w:r>
  </w:p>
  <w:p w:rsidR="00CB17CC" w:rsidRPr="006B093B" w:rsidRDefault="00CB17CC">
    <w:pPr>
      <w:pStyle w:val="FSHNormalS5"/>
    </w:pPr>
    <w:r w:rsidRPr="006B093B">
      <w:fldChar w:fldCharType="begin" w:fldLock="1"/>
    </w:r>
    <w:r w:rsidRPr="006B093B">
      <w:instrText xml:space="preserve"> DOCPROPERTY "MotionarText" *\charformat </w:instrText>
    </w:r>
    <w:r w:rsidRPr="006B093B">
      <w:fldChar w:fldCharType="separate"/>
    </w:r>
    <w:r w:rsidRPr="006B093B">
      <w:t>av Mikael Johansson m.fl. (mp)</w:t>
    </w:r>
    <w:r w:rsidRPr="006B093B">
      <w:fldChar w:fldCharType="end"/>
    </w:r>
    <w:r w:rsidRPr="006B093B">
      <w:br/>
    </w:r>
    <w:r w:rsidRPr="006B093B">
      <w:fldChar w:fldCharType="begin" w:fldLock="1"/>
    </w:r>
    <w:r w:rsidRPr="006B093B">
      <w:instrText xml:space="preserve"> DOCPROPERTY "SvarFrasKort" *\charformat </w:instrText>
    </w:r>
    <w:r w:rsidRPr="006B093B">
      <w:fldChar w:fldCharType="end"/>
    </w:r>
  </w:p>
  <w:p w:rsidR="00CB17CC" w:rsidRPr="006B093B" w:rsidRDefault="00CB17CC">
    <w:pPr>
      <w:pStyle w:val="FSHTitel"/>
    </w:pPr>
    <w:r w:rsidRPr="006B093B">
      <w:fldChar w:fldCharType="begin" w:fldLock="1"/>
    </w:r>
    <w:r w:rsidRPr="006B093B">
      <w:instrText xml:space="preserve"> DOCPROPERTY</w:instrText>
    </w:r>
    <w:r w:rsidRPr="006B093B">
      <w:rPr>
        <w:sz w:val="18"/>
      </w:rPr>
      <w:instrText xml:space="preserve"> "RubrikSvar" *\charformat </w:instrText>
    </w:r>
    <w:r w:rsidRPr="006B093B">
      <w:fldChar w:fldCharType="separate"/>
    </w:r>
    <w:r w:rsidRPr="006B093B">
      <w:t>Utgiftsområde 1 Rikets styrelse</w:t>
    </w:r>
    <w:r w:rsidRPr="006B093B">
      <w:fldChar w:fldCharType="end"/>
    </w:r>
  </w:p>
  <w:p w:rsidR="00CB17CC" w:rsidRPr="006B093B" w:rsidRDefault="00CB17CC">
    <w:pPr>
      <w:pStyle w:val="Normal00"/>
    </w:pPr>
  </w:p>
  <w:p w:rsidR="009822E7" w:rsidRPr="006B093B" w:rsidRDefault="00982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317E94"/>
    <w:multiLevelType w:val="hybridMultilevel"/>
    <w:tmpl w:val="185AB9FC"/>
    <w:lvl w:ilvl="0" w:tplc="FA02A0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9B52FEC"/>
    <w:multiLevelType w:val="multilevel"/>
    <w:tmpl w:val="7F404B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35093519">
    <w:abstractNumId w:val="14"/>
  </w:num>
  <w:num w:numId="2" w16cid:durableId="1027026780">
    <w:abstractNumId w:val="10"/>
  </w:num>
  <w:num w:numId="3" w16cid:durableId="150483450">
    <w:abstractNumId w:val="11"/>
  </w:num>
  <w:num w:numId="4" w16cid:durableId="111824133">
    <w:abstractNumId w:val="13"/>
  </w:num>
  <w:num w:numId="5" w16cid:durableId="266157089">
    <w:abstractNumId w:val="8"/>
  </w:num>
  <w:num w:numId="6" w16cid:durableId="128399580">
    <w:abstractNumId w:val="3"/>
  </w:num>
  <w:num w:numId="7" w16cid:durableId="541403146">
    <w:abstractNumId w:val="2"/>
  </w:num>
  <w:num w:numId="8" w16cid:durableId="917444145">
    <w:abstractNumId w:val="1"/>
  </w:num>
  <w:num w:numId="9" w16cid:durableId="416174991">
    <w:abstractNumId w:val="0"/>
  </w:num>
  <w:num w:numId="10" w16cid:durableId="1765951677">
    <w:abstractNumId w:val="9"/>
  </w:num>
  <w:num w:numId="11" w16cid:durableId="973560124">
    <w:abstractNumId w:val="7"/>
  </w:num>
  <w:num w:numId="12" w16cid:durableId="329872903">
    <w:abstractNumId w:val="6"/>
  </w:num>
  <w:num w:numId="13" w16cid:durableId="1147405650">
    <w:abstractNumId w:val="5"/>
  </w:num>
  <w:num w:numId="14" w16cid:durableId="1405377990">
    <w:abstractNumId w:val="4"/>
  </w:num>
  <w:num w:numId="15" w16cid:durableId="1339498207">
    <w:abstractNumId w:val="15"/>
  </w:num>
  <w:num w:numId="16" w16cid:durableId="2008897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756F1CB3-4A6F-49DB-ACE4-BF700CEB9665},{0CDB567F-E43C-4889-9FA5-1291966678FD},{891F8238-7272-4195-A81B-8E357071C4D2}"/>
  </w:docVars>
  <w:rsids>
    <w:rsidRoot w:val="006B093B"/>
    <w:rsid w:val="00002742"/>
    <w:rsid w:val="000220F8"/>
    <w:rsid w:val="0002617C"/>
    <w:rsid w:val="00034058"/>
    <w:rsid w:val="00040D14"/>
    <w:rsid w:val="0004381F"/>
    <w:rsid w:val="00047E56"/>
    <w:rsid w:val="00055899"/>
    <w:rsid w:val="00064BC3"/>
    <w:rsid w:val="00066474"/>
    <w:rsid w:val="000665E6"/>
    <w:rsid w:val="00066775"/>
    <w:rsid w:val="00072FB9"/>
    <w:rsid w:val="0007598F"/>
    <w:rsid w:val="000761D9"/>
    <w:rsid w:val="000B2040"/>
    <w:rsid w:val="000C2CC0"/>
    <w:rsid w:val="000C5CA3"/>
    <w:rsid w:val="000C6C31"/>
    <w:rsid w:val="000E431D"/>
    <w:rsid w:val="000E48DA"/>
    <w:rsid w:val="000E5207"/>
    <w:rsid w:val="000E7CDD"/>
    <w:rsid w:val="000F5ADD"/>
    <w:rsid w:val="00100531"/>
    <w:rsid w:val="0010382E"/>
    <w:rsid w:val="00114D7C"/>
    <w:rsid w:val="00122905"/>
    <w:rsid w:val="00130F8A"/>
    <w:rsid w:val="00160A74"/>
    <w:rsid w:val="00166D90"/>
    <w:rsid w:val="00170803"/>
    <w:rsid w:val="001771FF"/>
    <w:rsid w:val="00177CC2"/>
    <w:rsid w:val="0019171D"/>
    <w:rsid w:val="001921C4"/>
    <w:rsid w:val="001923A4"/>
    <w:rsid w:val="001A25D5"/>
    <w:rsid w:val="001A2624"/>
    <w:rsid w:val="001A2A2B"/>
    <w:rsid w:val="001A4524"/>
    <w:rsid w:val="001B22D5"/>
    <w:rsid w:val="001E0043"/>
    <w:rsid w:val="00201DFB"/>
    <w:rsid w:val="00204A63"/>
    <w:rsid w:val="0021253F"/>
    <w:rsid w:val="00212FF1"/>
    <w:rsid w:val="00230193"/>
    <w:rsid w:val="002318AF"/>
    <w:rsid w:val="002444D7"/>
    <w:rsid w:val="00244D0B"/>
    <w:rsid w:val="00245A82"/>
    <w:rsid w:val="0025068A"/>
    <w:rsid w:val="002818D3"/>
    <w:rsid w:val="002911A7"/>
    <w:rsid w:val="002943C8"/>
    <w:rsid w:val="00295E6D"/>
    <w:rsid w:val="002A2A6B"/>
    <w:rsid w:val="002C2373"/>
    <w:rsid w:val="002D11A8"/>
    <w:rsid w:val="002E6D6F"/>
    <w:rsid w:val="002F5EBE"/>
    <w:rsid w:val="00314F87"/>
    <w:rsid w:val="0032051D"/>
    <w:rsid w:val="003303B5"/>
    <w:rsid w:val="003366E9"/>
    <w:rsid w:val="00342FB4"/>
    <w:rsid w:val="00344DCA"/>
    <w:rsid w:val="0036065A"/>
    <w:rsid w:val="003817D5"/>
    <w:rsid w:val="003866EC"/>
    <w:rsid w:val="003906C2"/>
    <w:rsid w:val="00391AF5"/>
    <w:rsid w:val="003B32A7"/>
    <w:rsid w:val="003B418B"/>
    <w:rsid w:val="003D4C08"/>
    <w:rsid w:val="003D7B4C"/>
    <w:rsid w:val="003F100A"/>
    <w:rsid w:val="004041F4"/>
    <w:rsid w:val="00443F2C"/>
    <w:rsid w:val="00445271"/>
    <w:rsid w:val="00447A04"/>
    <w:rsid w:val="00450AE7"/>
    <w:rsid w:val="004527C3"/>
    <w:rsid w:val="00487F7A"/>
    <w:rsid w:val="0049696F"/>
    <w:rsid w:val="004971B2"/>
    <w:rsid w:val="004A0504"/>
    <w:rsid w:val="004B5278"/>
    <w:rsid w:val="004C4AC1"/>
    <w:rsid w:val="004E38D9"/>
    <w:rsid w:val="005000F2"/>
    <w:rsid w:val="005022C7"/>
    <w:rsid w:val="00531020"/>
    <w:rsid w:val="00545150"/>
    <w:rsid w:val="00545421"/>
    <w:rsid w:val="0055072A"/>
    <w:rsid w:val="005525A5"/>
    <w:rsid w:val="005544CE"/>
    <w:rsid w:val="005732AD"/>
    <w:rsid w:val="005870D3"/>
    <w:rsid w:val="00590F04"/>
    <w:rsid w:val="005B145B"/>
    <w:rsid w:val="005C660C"/>
    <w:rsid w:val="005D3F50"/>
    <w:rsid w:val="00601C6D"/>
    <w:rsid w:val="00603CD4"/>
    <w:rsid w:val="006346C1"/>
    <w:rsid w:val="00646EE8"/>
    <w:rsid w:val="00653DD0"/>
    <w:rsid w:val="006543FC"/>
    <w:rsid w:val="006A1C03"/>
    <w:rsid w:val="006A3E84"/>
    <w:rsid w:val="006B093B"/>
    <w:rsid w:val="006B4CDF"/>
    <w:rsid w:val="006B6262"/>
    <w:rsid w:val="006E4519"/>
    <w:rsid w:val="00727C6F"/>
    <w:rsid w:val="00740D6D"/>
    <w:rsid w:val="00743F76"/>
    <w:rsid w:val="007474B9"/>
    <w:rsid w:val="00770030"/>
    <w:rsid w:val="00774959"/>
    <w:rsid w:val="007852B2"/>
    <w:rsid w:val="00794149"/>
    <w:rsid w:val="00796A89"/>
    <w:rsid w:val="007A1EC9"/>
    <w:rsid w:val="007A3D31"/>
    <w:rsid w:val="007A5C46"/>
    <w:rsid w:val="007B67A7"/>
    <w:rsid w:val="007C6092"/>
    <w:rsid w:val="007E119E"/>
    <w:rsid w:val="00821F66"/>
    <w:rsid w:val="00846903"/>
    <w:rsid w:val="00847325"/>
    <w:rsid w:val="008B1C28"/>
    <w:rsid w:val="008B4BF1"/>
    <w:rsid w:val="008F0A96"/>
    <w:rsid w:val="009062A0"/>
    <w:rsid w:val="009272A3"/>
    <w:rsid w:val="009451E7"/>
    <w:rsid w:val="00951FDA"/>
    <w:rsid w:val="00956E7F"/>
    <w:rsid w:val="00970D4F"/>
    <w:rsid w:val="00971D70"/>
    <w:rsid w:val="009822E7"/>
    <w:rsid w:val="009A4377"/>
    <w:rsid w:val="009A6043"/>
    <w:rsid w:val="009B62A6"/>
    <w:rsid w:val="009D0673"/>
    <w:rsid w:val="009D0A47"/>
    <w:rsid w:val="009E5D4B"/>
    <w:rsid w:val="00A053C6"/>
    <w:rsid w:val="00A055B3"/>
    <w:rsid w:val="00A11E8F"/>
    <w:rsid w:val="00A15D71"/>
    <w:rsid w:val="00A17CF6"/>
    <w:rsid w:val="00A21BC5"/>
    <w:rsid w:val="00A23746"/>
    <w:rsid w:val="00A52414"/>
    <w:rsid w:val="00A736FF"/>
    <w:rsid w:val="00AA1434"/>
    <w:rsid w:val="00AB5000"/>
    <w:rsid w:val="00AC4310"/>
    <w:rsid w:val="00AC63D9"/>
    <w:rsid w:val="00AD5539"/>
    <w:rsid w:val="00AE2EF8"/>
    <w:rsid w:val="00AF060F"/>
    <w:rsid w:val="00AF31FD"/>
    <w:rsid w:val="00AF5881"/>
    <w:rsid w:val="00B13BF0"/>
    <w:rsid w:val="00B26327"/>
    <w:rsid w:val="00B33C81"/>
    <w:rsid w:val="00B34666"/>
    <w:rsid w:val="00B43396"/>
    <w:rsid w:val="00B5638A"/>
    <w:rsid w:val="00B67E5B"/>
    <w:rsid w:val="00B71592"/>
    <w:rsid w:val="00BA4894"/>
    <w:rsid w:val="00BA6BE0"/>
    <w:rsid w:val="00BB6D75"/>
    <w:rsid w:val="00BD43A8"/>
    <w:rsid w:val="00BD4CB7"/>
    <w:rsid w:val="00BE7279"/>
    <w:rsid w:val="00BF6C6C"/>
    <w:rsid w:val="00C124E3"/>
    <w:rsid w:val="00C1285C"/>
    <w:rsid w:val="00C175FC"/>
    <w:rsid w:val="00C2476C"/>
    <w:rsid w:val="00C2738C"/>
    <w:rsid w:val="00C27B7D"/>
    <w:rsid w:val="00C32A06"/>
    <w:rsid w:val="00C44394"/>
    <w:rsid w:val="00C533BA"/>
    <w:rsid w:val="00C902E9"/>
    <w:rsid w:val="00C92208"/>
    <w:rsid w:val="00C92F13"/>
    <w:rsid w:val="00C94CA1"/>
    <w:rsid w:val="00CA2990"/>
    <w:rsid w:val="00CB17CC"/>
    <w:rsid w:val="00CB5B24"/>
    <w:rsid w:val="00CC322E"/>
    <w:rsid w:val="00CD4781"/>
    <w:rsid w:val="00CD4B2B"/>
    <w:rsid w:val="00CD6249"/>
    <w:rsid w:val="00CE3037"/>
    <w:rsid w:val="00CE63EC"/>
    <w:rsid w:val="00CF74CD"/>
    <w:rsid w:val="00CF7A43"/>
    <w:rsid w:val="00D01775"/>
    <w:rsid w:val="00D1174F"/>
    <w:rsid w:val="00D1289C"/>
    <w:rsid w:val="00D12AC2"/>
    <w:rsid w:val="00D36DB5"/>
    <w:rsid w:val="00D44527"/>
    <w:rsid w:val="00D52681"/>
    <w:rsid w:val="00D53D04"/>
    <w:rsid w:val="00D55EF7"/>
    <w:rsid w:val="00DA070E"/>
    <w:rsid w:val="00DB598C"/>
    <w:rsid w:val="00DC0DF0"/>
    <w:rsid w:val="00DC54CC"/>
    <w:rsid w:val="00DC6C70"/>
    <w:rsid w:val="00DD73F5"/>
    <w:rsid w:val="00DF5ACD"/>
    <w:rsid w:val="00E12779"/>
    <w:rsid w:val="00E12BAF"/>
    <w:rsid w:val="00E17850"/>
    <w:rsid w:val="00E22893"/>
    <w:rsid w:val="00E33950"/>
    <w:rsid w:val="00E349C2"/>
    <w:rsid w:val="00E35DD3"/>
    <w:rsid w:val="00E360DE"/>
    <w:rsid w:val="00E5074A"/>
    <w:rsid w:val="00E521CB"/>
    <w:rsid w:val="00E728F6"/>
    <w:rsid w:val="00E75D28"/>
    <w:rsid w:val="00E84F25"/>
    <w:rsid w:val="00EA1F1E"/>
    <w:rsid w:val="00EC007B"/>
    <w:rsid w:val="00ED44F5"/>
    <w:rsid w:val="00F14EEC"/>
    <w:rsid w:val="00F156B5"/>
    <w:rsid w:val="00F20D52"/>
    <w:rsid w:val="00F21B30"/>
    <w:rsid w:val="00F267A9"/>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CA7CB7-C5EB-4284-A246-9D21B117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822E7"/>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22E7"/>
    <w:pPr>
      <w:numPr>
        <w:ilvl w:val="1"/>
      </w:numPr>
      <w:spacing w:before="500" w:line="250" w:lineRule="exact"/>
      <w:outlineLvl w:val="1"/>
    </w:pPr>
    <w:rPr>
      <w:sz w:val="27"/>
    </w:rPr>
  </w:style>
  <w:style w:type="paragraph" w:styleId="Rubrik3">
    <w:name w:val="heading 3"/>
    <w:aliases w:val="Mellanrubrik"/>
    <w:basedOn w:val="Rubrik2"/>
    <w:next w:val="Normal"/>
    <w:qFormat/>
    <w:rsid w:val="009822E7"/>
    <w:pPr>
      <w:numPr>
        <w:ilvl w:val="2"/>
      </w:numPr>
      <w:spacing w:before="250" w:after="0"/>
      <w:outlineLvl w:val="2"/>
    </w:pPr>
    <w:rPr>
      <w:b/>
      <w:sz w:val="21"/>
    </w:rPr>
  </w:style>
  <w:style w:type="paragraph" w:styleId="Rubrik4">
    <w:name w:val="heading 4"/>
    <w:aliases w:val="KursivRubrik"/>
    <w:basedOn w:val="Rubrik3"/>
    <w:next w:val="Normal"/>
    <w:qFormat/>
    <w:rsid w:val="009822E7"/>
    <w:pPr>
      <w:numPr>
        <w:ilvl w:val="3"/>
      </w:numPr>
      <w:outlineLvl w:val="3"/>
    </w:pPr>
    <w:rPr>
      <w:b w:val="0"/>
      <w:i/>
    </w:rPr>
  </w:style>
  <w:style w:type="paragraph" w:styleId="Rubrik5">
    <w:name w:val="heading 5"/>
    <w:aliases w:val="PackadFetRubrik,PackadKursivRubrik"/>
    <w:basedOn w:val="Rubrik4"/>
    <w:next w:val="Normal"/>
    <w:qFormat/>
    <w:rsid w:val="009822E7"/>
    <w:pPr>
      <w:numPr>
        <w:ilvl w:val="4"/>
      </w:numPr>
      <w:tabs>
        <w:tab w:val="clear" w:pos="1021"/>
      </w:tabs>
      <w:spacing w:before="125"/>
      <w:outlineLvl w:val="4"/>
    </w:pPr>
    <w:rPr>
      <w:i w:val="0"/>
      <w:sz w:val="19"/>
    </w:rPr>
  </w:style>
  <w:style w:type="paragraph" w:styleId="Rubrik6">
    <w:name w:val="heading 6"/>
    <w:basedOn w:val="Rubrik5"/>
    <w:next w:val="Normal"/>
    <w:qFormat/>
    <w:rsid w:val="009822E7"/>
    <w:pPr>
      <w:numPr>
        <w:ilvl w:val="5"/>
      </w:numPr>
      <w:spacing w:before="50" w:line="200" w:lineRule="exact"/>
      <w:outlineLvl w:val="5"/>
    </w:pPr>
    <w:rPr>
      <w:caps/>
      <w:sz w:val="14"/>
    </w:rPr>
  </w:style>
  <w:style w:type="paragraph" w:styleId="Rubrik7">
    <w:name w:val="heading 7"/>
    <w:basedOn w:val="Rubrik6"/>
    <w:next w:val="Normal"/>
    <w:qFormat/>
    <w:rsid w:val="009822E7"/>
    <w:pPr>
      <w:numPr>
        <w:ilvl w:val="6"/>
      </w:numPr>
      <w:spacing w:before="0"/>
      <w:outlineLvl w:val="6"/>
    </w:pPr>
  </w:style>
  <w:style w:type="paragraph" w:styleId="Rubrik8">
    <w:name w:val="heading 8"/>
    <w:basedOn w:val="Rubrik7"/>
    <w:next w:val="Normal"/>
    <w:qFormat/>
    <w:rsid w:val="009822E7"/>
    <w:pPr>
      <w:numPr>
        <w:ilvl w:val="7"/>
      </w:numPr>
      <w:outlineLvl w:val="7"/>
    </w:pPr>
  </w:style>
  <w:style w:type="paragraph" w:styleId="Rubrik9">
    <w:name w:val="heading 9"/>
    <w:basedOn w:val="Rubrik8"/>
    <w:next w:val="Normal"/>
    <w:qFormat/>
    <w:rsid w:val="009822E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822E7"/>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8717">
      <w:bodyDiv w:val="1"/>
      <w:marLeft w:val="0"/>
      <w:marRight w:val="0"/>
      <w:marTop w:val="0"/>
      <w:marBottom w:val="0"/>
      <w:divBdr>
        <w:top w:val="none" w:sz="0" w:space="0" w:color="auto"/>
        <w:left w:val="none" w:sz="0" w:space="0" w:color="auto"/>
        <w:bottom w:val="none" w:sz="0" w:space="0" w:color="auto"/>
        <w:right w:val="none" w:sz="0" w:space="0" w:color="auto"/>
      </w:divBdr>
    </w:div>
    <w:div w:id="1227686383">
      <w:bodyDiv w:val="1"/>
      <w:marLeft w:val="0"/>
      <w:marRight w:val="0"/>
      <w:marTop w:val="0"/>
      <w:marBottom w:val="0"/>
      <w:divBdr>
        <w:top w:val="none" w:sz="0" w:space="0" w:color="auto"/>
        <w:left w:val="none" w:sz="0" w:space="0" w:color="auto"/>
        <w:bottom w:val="none" w:sz="0" w:space="0" w:color="auto"/>
        <w:right w:val="none" w:sz="0" w:space="0" w:color="auto"/>
      </w:divBdr>
    </w:div>
    <w:div w:id="1382362396">
      <w:bodyDiv w:val="1"/>
      <w:marLeft w:val="0"/>
      <w:marRight w:val="0"/>
      <w:marTop w:val="0"/>
      <w:marBottom w:val="0"/>
      <w:divBdr>
        <w:top w:val="none" w:sz="0" w:space="0" w:color="auto"/>
        <w:left w:val="none" w:sz="0" w:space="0" w:color="auto"/>
        <w:bottom w:val="none" w:sz="0" w:space="0" w:color="auto"/>
        <w:right w:val="none" w:sz="0" w:space="0" w:color="auto"/>
      </w:divBdr>
    </w:div>
    <w:div w:id="17435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1496</Words>
  <Characters>9247</Characters>
  <Application>Microsoft Office Word</Application>
  <DocSecurity>4</DocSecurity>
  <Lines>220</Lines>
  <Paragraphs>110</Paragraphs>
  <ScaleCrop>false</ScaleCrop>
  <HeadingPairs>
    <vt:vector size="2" baseType="variant">
      <vt:variant>
        <vt:lpstr>Rubrik</vt:lpstr>
      </vt:variant>
      <vt:variant>
        <vt:i4>1</vt:i4>
      </vt:variant>
    </vt:vector>
  </HeadingPairs>
  <TitlesOfParts>
    <vt:vector size="1" baseType="lpstr">
      <vt:lpstr>mp701</vt:lpstr>
    </vt:vector>
  </TitlesOfParts>
  <Company>Riksdagen</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mp701</dc:title>
  <dc:subject>mp701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2007-01-04T16:12:00Z</cp:lastPrinted>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Johansson m.fl. (mp)</vt:lpwstr>
  </property>
  <property fmtid="{D5CDD505-2E9C-101B-9397-08002B2CF9AE}" pid="26" name="MotionarLista">
    <vt:lpwstr>Johansson, Mikael (mp)\Eriksson,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 Peter Eriksson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20062007000001090112000007010075</vt:lpwstr>
  </property>
  <property fmtid="{D5CDD505-2E9C-101B-9397-08002B2CF9AE}" pid="50" name="nummer">
    <vt:lpwstr>341</vt:lpwstr>
  </property>
  <property fmtid="{D5CDD505-2E9C-101B-9397-08002B2CF9AE}" pid="51" name="utskottsbeteckning">
    <vt:lpwstr>K</vt:lpwstr>
  </property>
  <property fmtid="{D5CDD505-2E9C-101B-9397-08002B2CF9AE}" pid="52" name="GlobalUID">
    <vt:lpwstr>{ECB6BC33-FEB3-4D7E-AA02-D9EB4776BED8}</vt:lpwstr>
  </property>
  <property fmtid="{D5CDD505-2E9C-101B-9397-08002B2CF9AE}" pid="53" name="Överföringar">
    <vt:i4>0</vt:i4>
  </property>
  <property fmtid="{D5CDD505-2E9C-101B-9397-08002B2CF9AE}" pid="54" name="Checksum">
    <vt:lpwstr>*0017363291952*</vt:lpwstr>
  </property>
  <property fmtid="{D5CDD505-2E9C-101B-9397-08002B2CF9AE}" pid="55" name="IdNummer">
    <vt:lpwstr>786649</vt:lpwstr>
  </property>
  <property fmtid="{D5CDD505-2E9C-101B-9397-08002B2CF9AE}" pid="56" name="skuggnummer">
    <vt:lpwstr>2007</vt:lpwstr>
  </property>
  <property fmtid="{D5CDD505-2E9C-101B-9397-08002B2CF9AE}" pid="57" name="urixVersion">
    <vt:lpwstr>3.1.4.1</vt:lpwstr>
  </property>
  <property fmtid="{D5CDD505-2E9C-101B-9397-08002B2CF9AE}" pid="58" name="urixOrigin">
    <vt:lpwstr>070301 10:13:40.132</vt:lpwstr>
  </property>
  <property fmtid="{D5CDD505-2E9C-101B-9397-08002B2CF9AE}" pid="59" name="urixGuid">
    <vt:lpwstr>{376148CA-8861-4D34-BE2F-96BAD85B37A1}</vt:lpwstr>
  </property>
</Properties>
</file>