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27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26 november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2014/15:116 av Rickard Nordin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från vägslitageavgift mot den förnybara energin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2014/15:136 av Anette Åkesson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Säkrad finansiering av framtidens välfärd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2014/15:154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Avskaffande av fritidspeng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2014/15:FPM12 Rådsbeslut om att ingå Marrakechfördraget om inskränkningar i upphovsrätten till förmån för personer med synnedsättning </w:t>
            </w:r>
            <w:r>
              <w:rPr>
                <w:i/>
                <w:iCs/>
                <w:rtl w:val="0"/>
              </w:rPr>
              <w:t>KOM(2014) 638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2014/15:17 Ändringar i reglerna om när ett investeringssparkonto upphör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2014/15:5 Ny instansordning för inrättande av exportbutik på flygplats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2014/15:3010 av David Lång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2014/15:13 Svenskt deltagande i Natos utbildnings- och rådgivningsinsats Resolute Support Mission (RSM) i Afghanistan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2014/15:3005 av Hans Linde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2014/15:3008 av Björn Söder och Mikael Jansson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2014/15:15 Upphävande av kravet på vårdvalssystem i primärvården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2014/15:3006 av Emma Henriksson m.fl. (KD, M, C, FP)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2014/15:3009 av Per Ramhorn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2014/15:12 Riksrevisionens rapport om förvaltningen av regionala projektmedel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2014/15:3007 av Josef Fransson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Gemensam debatt bet. 2014/15:UU5, 2014/15:UU6 och 2014/15:UU7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2014/15:UU5 Associeringsavtal mellan Europeiska unionen, Europeiska atomenergigemenskapen och deras medlemsstater, å ena sidan, och Georgien,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2014/15:UU6 Associeringsavtal mellan Europeiska unionen, Europeiska atomenergigemenskapen och deras medlemsstater, å ena sidan, och Republiken Moldavien,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2014/15:UU7 Associeringsavtal mellan Europeiska unionen, Europeiska atomenergigemenskapen och deras medlemsstater, å ena sidan, och Ukraina,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2014/15:KU2 Proportionell fördelning av mandat och förhandsanmälan av partier i val (vilande grundlagsbeslut, m.m.)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2014/15:CU4 Ett stärkt konsumentskydd vid automatisk avtalsförlängning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2014/15:CU5 Lagvalsregler på civilrättens område - Rom I- och Rom II-förordningarna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2014/15:JuU2 Hemliga tvångsmedel mot allvarliga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2014/15:JuU3 Utökade befogenheter för civilanställda inom Polismyndigheten och Ekobrottsmyndigheten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2014/15:TU2 Sanktionsavgift för överträdelse av cabotagebestämmelserna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2014/15:TU3 Åtgärder vid hindrande av fortsatt färd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2014/15:TU4 Tydlig prisuppgift vid taxiresor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2014/15:SfU5 Genomförande av det omarbetade skyddsgrundsdirektivet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2014/15:FiU8 Resultatskrivelse avseende det finansiella systemet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26 november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2014-11-26</SAFIR_Sammantradesdatum_Doc>
    <SAFIR_SammantradeID xmlns="C07A1A6C-0B19-41D9-BDF8-F523BA3921EB">6ff0541c-99d7-4ff7-927f-75639ded2b18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570709-F7C8-44B3-A2DD-76AB6CB9FE58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26 november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