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78661A">
        <w:tblPrEx>
          <w:tblCellMar>
            <w:top w:w="0" w:type="dxa"/>
            <w:left w:w="0" w:type="dxa"/>
            <w:bottom w:w="0" w:type="dxa"/>
            <w:right w:w="0" w:type="dxa"/>
          </w:tblCellMar>
        </w:tblPrEx>
        <w:trPr>
          <w:gridAfter w:val="2"/>
          <w:wAfter w:w="1758" w:type="dxa"/>
          <w:cantSplit/>
          <w:trHeight w:val="1320"/>
        </w:trPr>
        <w:tc>
          <w:tcPr>
            <w:tcW w:w="5897" w:type="dxa"/>
          </w:tcPr>
          <w:p w:rsidR="00041E62" w:rsidRPr="0078661A" w:rsidRDefault="00041E62">
            <w:pPr>
              <w:pStyle w:val="HuvudRubrik"/>
            </w:pPr>
            <w:r w:rsidRPr="0078661A">
              <w:t>Regeringskansliet</w:t>
            </w:r>
          </w:p>
          <w:p w:rsidR="00041E62" w:rsidRPr="0078661A" w:rsidRDefault="00041E62">
            <w:pPr>
              <w:pStyle w:val="HuvudRubrik"/>
            </w:pPr>
            <w:r w:rsidRPr="0078661A">
              <w:t>Faktapromemoria  2011/12:FPM64</w:t>
            </w:r>
          </w:p>
        </w:tc>
      </w:tr>
      <w:tr w:rsidR="00000000" w:rsidRPr="0078661A">
        <w:tblPrEx>
          <w:tblCellMar>
            <w:top w:w="0" w:type="dxa"/>
            <w:left w:w="0" w:type="dxa"/>
            <w:bottom w:w="0" w:type="dxa"/>
            <w:right w:w="0" w:type="dxa"/>
          </w:tblCellMar>
        </w:tblPrEx>
        <w:trPr>
          <w:gridAfter w:val="2"/>
          <w:wAfter w:w="1758" w:type="dxa"/>
          <w:cantSplit/>
          <w:trHeight w:val="240"/>
        </w:trPr>
        <w:tc>
          <w:tcPr>
            <w:tcW w:w="5897" w:type="dxa"/>
          </w:tcPr>
          <w:p w:rsidR="00041E62" w:rsidRPr="0078661A" w:rsidRDefault="00041E62">
            <w:pPr>
              <w:pStyle w:val="HuvudRubrik"/>
              <w:rPr>
                <w:sz w:val="28"/>
              </w:rPr>
            </w:pPr>
            <w:r w:rsidRPr="0078661A">
              <w:t>Kommissionens årliga tillväxtrapport</w:t>
            </w:r>
          </w:p>
        </w:tc>
      </w:tr>
      <w:tr w:rsidR="00000000" w:rsidRPr="0078661A">
        <w:tblPrEx>
          <w:tblCellMar>
            <w:top w:w="0" w:type="dxa"/>
            <w:left w:w="0" w:type="dxa"/>
            <w:bottom w:w="0" w:type="dxa"/>
            <w:right w:w="0" w:type="dxa"/>
          </w:tblCellMar>
        </w:tblPrEx>
        <w:trPr>
          <w:cantSplit/>
          <w:trHeight w:val="285"/>
        </w:trPr>
        <w:tc>
          <w:tcPr>
            <w:tcW w:w="7655" w:type="dxa"/>
            <w:gridSpan w:val="3"/>
          </w:tcPr>
          <w:p w:rsidR="00041E62" w:rsidRPr="0078661A" w:rsidRDefault="00041E62">
            <w:pPr>
              <w:pStyle w:val="Departement"/>
              <w:rPr>
                <w:sz w:val="28"/>
              </w:rPr>
            </w:pPr>
            <w:r w:rsidRPr="0078661A">
              <w:t>Statsrådsberedningen</w:t>
            </w:r>
          </w:p>
        </w:tc>
      </w:tr>
      <w:tr w:rsidR="00000000" w:rsidRPr="0078661A">
        <w:tblPrEx>
          <w:tblCellMar>
            <w:top w:w="0" w:type="dxa"/>
            <w:left w:w="0" w:type="dxa"/>
            <w:bottom w:w="0" w:type="dxa"/>
            <w:right w:w="0" w:type="dxa"/>
          </w:tblCellMar>
        </w:tblPrEx>
        <w:trPr>
          <w:cantSplit/>
          <w:trHeight w:val="240"/>
        </w:trPr>
        <w:tc>
          <w:tcPr>
            <w:tcW w:w="7655" w:type="dxa"/>
            <w:gridSpan w:val="3"/>
          </w:tcPr>
          <w:p w:rsidR="00041E62" w:rsidRPr="0078661A" w:rsidRDefault="00041E62">
            <w:pPr>
              <w:pStyle w:val="Dokumentdatum"/>
            </w:pPr>
            <w:r w:rsidRPr="0078661A">
              <w:t>2011-12-20</w:t>
            </w:r>
          </w:p>
        </w:tc>
      </w:tr>
      <w:tr w:rsidR="00000000" w:rsidRPr="0078661A">
        <w:tblPrEx>
          <w:tblCellMar>
            <w:top w:w="0" w:type="dxa"/>
            <w:left w:w="0" w:type="dxa"/>
            <w:bottom w:w="0" w:type="dxa"/>
            <w:right w:w="0" w:type="dxa"/>
          </w:tblCellMar>
        </w:tblPrEx>
        <w:trPr>
          <w:cantSplit/>
          <w:trHeight w:val="726"/>
        </w:trPr>
        <w:tc>
          <w:tcPr>
            <w:tcW w:w="7655" w:type="dxa"/>
            <w:gridSpan w:val="3"/>
            <w:vAlign w:val="bottom"/>
          </w:tcPr>
          <w:p w:rsidR="00041E62" w:rsidRPr="0078661A" w:rsidRDefault="00041E62">
            <w:pPr>
              <w:pStyle w:val="Dokumentbeteckning"/>
            </w:pPr>
            <w:r w:rsidRPr="0078661A">
              <w:t>Dokumentbeteckning</w:t>
            </w:r>
          </w:p>
        </w:tc>
      </w:tr>
      <w:tr w:rsidR="00000000" w:rsidRPr="0078661A">
        <w:tblPrEx>
          <w:tblCellMar>
            <w:top w:w="0" w:type="dxa"/>
            <w:left w:w="0" w:type="dxa"/>
            <w:bottom w:w="0" w:type="dxa"/>
            <w:right w:w="0" w:type="dxa"/>
          </w:tblCellMar>
        </w:tblPrEx>
        <w:trPr>
          <w:gridAfter w:val="1"/>
          <w:wAfter w:w="1560" w:type="dxa"/>
          <w:trHeight w:val="120"/>
        </w:trPr>
        <w:tc>
          <w:tcPr>
            <w:tcW w:w="6095" w:type="dxa"/>
            <w:gridSpan w:val="2"/>
          </w:tcPr>
          <w:p w:rsidR="00041E62" w:rsidRPr="0078661A" w:rsidRDefault="00041E62">
            <w:bookmarkStart w:id="0" w:name="KomNr"/>
            <w:bookmarkEnd w:id="0"/>
            <w:r w:rsidRPr="0078661A">
              <w:t>KOM(2011) 815</w:t>
            </w:r>
          </w:p>
        </w:tc>
      </w:tr>
      <w:tr w:rsidR="00000000" w:rsidRPr="0078661A">
        <w:tblPrEx>
          <w:tblCellMar>
            <w:top w:w="0" w:type="dxa"/>
            <w:left w:w="0" w:type="dxa"/>
            <w:bottom w:w="0" w:type="dxa"/>
            <w:right w:w="0" w:type="dxa"/>
          </w:tblCellMar>
        </w:tblPrEx>
        <w:trPr>
          <w:gridAfter w:val="1"/>
          <w:wAfter w:w="1560" w:type="dxa"/>
          <w:trHeight w:val="120"/>
        </w:trPr>
        <w:tc>
          <w:tcPr>
            <w:tcW w:w="6095" w:type="dxa"/>
            <w:gridSpan w:val="2"/>
          </w:tcPr>
          <w:p w:rsidR="00041E62" w:rsidRPr="0078661A" w:rsidRDefault="00041E62">
            <w:pPr>
              <w:pStyle w:val="Dokumentbeteckning-titel"/>
            </w:pPr>
            <w:r w:rsidRPr="0078661A">
              <w:t>ÅRLIG TILLVÄXTRAPPORT 2012</w:t>
            </w:r>
          </w:p>
        </w:tc>
      </w:tr>
      <w:tr w:rsidR="00000000" w:rsidRPr="0078661A">
        <w:tblPrEx>
          <w:tblCellMar>
            <w:top w:w="0" w:type="dxa"/>
            <w:left w:w="0" w:type="dxa"/>
            <w:bottom w:w="0" w:type="dxa"/>
            <w:right w:w="0" w:type="dxa"/>
          </w:tblCellMar>
        </w:tblPrEx>
        <w:trPr>
          <w:gridAfter w:val="1"/>
          <w:wAfter w:w="1560" w:type="dxa"/>
          <w:trHeight w:val="120"/>
        </w:trPr>
        <w:tc>
          <w:tcPr>
            <w:tcW w:w="6095" w:type="dxa"/>
            <w:gridSpan w:val="2"/>
          </w:tcPr>
          <w:p w:rsidR="00041E62" w:rsidRPr="0078661A" w:rsidRDefault="00041E62">
            <w:r w:rsidRPr="0078661A">
              <w:t>BILAGA I</w:t>
            </w:r>
          </w:p>
        </w:tc>
      </w:tr>
      <w:tr w:rsidR="00000000" w:rsidRPr="0078661A">
        <w:tblPrEx>
          <w:tblCellMar>
            <w:top w:w="0" w:type="dxa"/>
            <w:left w:w="0" w:type="dxa"/>
            <w:bottom w:w="0" w:type="dxa"/>
            <w:right w:w="0" w:type="dxa"/>
          </w:tblCellMar>
        </w:tblPrEx>
        <w:trPr>
          <w:gridAfter w:val="1"/>
          <w:wAfter w:w="1560" w:type="dxa"/>
          <w:trHeight w:val="120"/>
        </w:trPr>
        <w:tc>
          <w:tcPr>
            <w:tcW w:w="6095" w:type="dxa"/>
            <w:gridSpan w:val="2"/>
          </w:tcPr>
          <w:p w:rsidR="00041E62" w:rsidRPr="0078661A" w:rsidRDefault="00041E62">
            <w:pPr>
              <w:pStyle w:val="Dokumentbeteckning-titel"/>
            </w:pPr>
            <w:r w:rsidRPr="0078661A">
              <w:t>- LÄGESRAPPORT OM EUROPA 2020-STRATEGIN</w:t>
            </w:r>
          </w:p>
        </w:tc>
      </w:tr>
      <w:tr w:rsidR="00000000" w:rsidRPr="0078661A">
        <w:tblPrEx>
          <w:tblCellMar>
            <w:top w:w="0" w:type="dxa"/>
            <w:left w:w="0" w:type="dxa"/>
            <w:bottom w:w="0" w:type="dxa"/>
            <w:right w:w="0" w:type="dxa"/>
          </w:tblCellMar>
        </w:tblPrEx>
        <w:trPr>
          <w:gridAfter w:val="1"/>
          <w:wAfter w:w="1560" w:type="dxa"/>
          <w:trHeight w:val="120"/>
        </w:trPr>
        <w:tc>
          <w:tcPr>
            <w:tcW w:w="6095" w:type="dxa"/>
            <w:gridSpan w:val="2"/>
          </w:tcPr>
          <w:p w:rsidR="00041E62" w:rsidRPr="0078661A" w:rsidRDefault="00041E62">
            <w:r w:rsidRPr="0078661A">
              <w:t>BILAGA II</w:t>
            </w:r>
          </w:p>
        </w:tc>
      </w:tr>
      <w:tr w:rsidR="00000000" w:rsidRPr="0078661A">
        <w:tblPrEx>
          <w:tblCellMar>
            <w:top w:w="0" w:type="dxa"/>
            <w:left w:w="0" w:type="dxa"/>
            <w:bottom w:w="0" w:type="dxa"/>
            <w:right w:w="0" w:type="dxa"/>
          </w:tblCellMar>
        </w:tblPrEx>
        <w:trPr>
          <w:gridAfter w:val="1"/>
          <w:wAfter w:w="1560" w:type="dxa"/>
          <w:trHeight w:val="120"/>
        </w:trPr>
        <w:tc>
          <w:tcPr>
            <w:tcW w:w="6095" w:type="dxa"/>
            <w:gridSpan w:val="2"/>
          </w:tcPr>
          <w:p w:rsidR="00041E62" w:rsidRPr="0078661A" w:rsidRDefault="00041E62">
            <w:pPr>
              <w:pStyle w:val="Dokumentbeteckning-titel"/>
            </w:pPr>
            <w:r w:rsidRPr="0078661A">
              <w:t>- MAKROEKONOMISK RAPPORT</w:t>
            </w:r>
          </w:p>
        </w:tc>
      </w:tr>
      <w:tr w:rsidR="00000000" w:rsidRPr="0078661A">
        <w:tblPrEx>
          <w:tblCellMar>
            <w:top w:w="0" w:type="dxa"/>
            <w:left w:w="0" w:type="dxa"/>
            <w:bottom w:w="0" w:type="dxa"/>
            <w:right w:w="0" w:type="dxa"/>
          </w:tblCellMar>
        </w:tblPrEx>
        <w:trPr>
          <w:gridAfter w:val="1"/>
          <w:wAfter w:w="1560" w:type="dxa"/>
          <w:trHeight w:val="120"/>
        </w:trPr>
        <w:tc>
          <w:tcPr>
            <w:tcW w:w="6095" w:type="dxa"/>
            <w:gridSpan w:val="2"/>
          </w:tcPr>
          <w:p w:rsidR="00041E62" w:rsidRPr="0078661A" w:rsidRDefault="00041E62">
            <w:r w:rsidRPr="0078661A">
              <w:t>BILAGA III</w:t>
            </w:r>
          </w:p>
        </w:tc>
      </w:tr>
      <w:tr w:rsidR="00000000" w:rsidRPr="0078661A">
        <w:tblPrEx>
          <w:tblCellMar>
            <w:top w:w="0" w:type="dxa"/>
            <w:left w:w="0" w:type="dxa"/>
            <w:bottom w:w="0" w:type="dxa"/>
            <w:right w:w="0" w:type="dxa"/>
          </w:tblCellMar>
        </w:tblPrEx>
        <w:trPr>
          <w:gridAfter w:val="1"/>
          <w:wAfter w:w="1560" w:type="dxa"/>
          <w:trHeight w:val="120"/>
        </w:trPr>
        <w:tc>
          <w:tcPr>
            <w:tcW w:w="6095" w:type="dxa"/>
            <w:gridSpan w:val="2"/>
          </w:tcPr>
          <w:p w:rsidR="00041E62" w:rsidRPr="0078661A" w:rsidRDefault="00041E62">
            <w:pPr>
              <w:pStyle w:val="Dokumentbeteckning-titel"/>
            </w:pPr>
            <w:r w:rsidRPr="0078661A">
              <w:t>- UTKAST TILL GEMENSAM SYSSELSÄTTNINGSRAPPORT</w:t>
            </w:r>
          </w:p>
        </w:tc>
      </w:tr>
      <w:tr w:rsidR="00000000" w:rsidRPr="0078661A">
        <w:tblPrEx>
          <w:tblCellMar>
            <w:top w:w="0" w:type="dxa"/>
            <w:left w:w="0" w:type="dxa"/>
            <w:bottom w:w="0" w:type="dxa"/>
            <w:right w:w="0" w:type="dxa"/>
          </w:tblCellMar>
        </w:tblPrEx>
        <w:trPr>
          <w:gridAfter w:val="1"/>
          <w:wAfter w:w="1560" w:type="dxa"/>
          <w:trHeight w:val="120"/>
        </w:trPr>
        <w:tc>
          <w:tcPr>
            <w:tcW w:w="6095" w:type="dxa"/>
            <w:gridSpan w:val="2"/>
          </w:tcPr>
          <w:p w:rsidR="00041E62" w:rsidRPr="0078661A" w:rsidRDefault="00041E62">
            <w:r w:rsidRPr="0078661A">
              <w:t>BILAGA IV</w:t>
            </w:r>
          </w:p>
        </w:tc>
      </w:tr>
      <w:tr w:rsidR="00000000" w:rsidRPr="0078661A">
        <w:tblPrEx>
          <w:tblCellMar>
            <w:top w:w="0" w:type="dxa"/>
            <w:left w:w="0" w:type="dxa"/>
            <w:bottom w:w="0" w:type="dxa"/>
            <w:right w:w="0" w:type="dxa"/>
          </w:tblCellMar>
        </w:tblPrEx>
        <w:trPr>
          <w:gridAfter w:val="1"/>
          <w:wAfter w:w="1560" w:type="dxa"/>
          <w:trHeight w:val="120"/>
        </w:trPr>
        <w:tc>
          <w:tcPr>
            <w:tcW w:w="6095" w:type="dxa"/>
            <w:gridSpan w:val="2"/>
          </w:tcPr>
          <w:p w:rsidR="00041E62" w:rsidRPr="0078661A" w:rsidRDefault="00041E62">
            <w:pPr>
              <w:pStyle w:val="Dokumentbeteckning-titel"/>
            </w:pPr>
            <w:r w:rsidRPr="0078661A">
              <w:t>– TILLVÄXTVÄNLIG SKATTEPOLITIK I MEDLEMSSTATERNA OCH BÄTTRE SAMORDNING PÅ DET SKATTEPOLITISKA OMRÅDET I EU</w:t>
            </w:r>
          </w:p>
        </w:tc>
      </w:tr>
    </w:tbl>
    <w:p w:rsidR="00041E62" w:rsidRPr="0078661A" w:rsidRDefault="00041E62"/>
    <w:p w:rsidR="00041E62" w:rsidRPr="0078661A" w:rsidRDefault="00041E62">
      <w:pPr>
        <w:pStyle w:val="Rubrik1"/>
        <w:numPr>
          <w:ilvl w:val="0"/>
          <w:numId w:val="0"/>
        </w:numPr>
      </w:pPr>
      <w:r w:rsidRPr="0078661A">
        <w:t>Sammanfattning</w:t>
      </w:r>
    </w:p>
    <w:p w:rsidR="00041E62" w:rsidRPr="0078661A" w:rsidRDefault="00041E62"/>
    <w:p w:rsidR="00041E62" w:rsidRPr="0078661A" w:rsidRDefault="00041E62">
      <w:r w:rsidRPr="0078661A">
        <w:t xml:space="preserve">Den 23 november 2011 presenterade kommissionen sin årliga tillväxtrapport. Den utgör startskottet för den kommande nästa europeiska termin för förstärkt ekonomisk samordning inom EU. Rapporten kommer att ligga till grund för diskussionen vid Europeiska rådets möte den 1-2 mars. </w:t>
      </w:r>
    </w:p>
    <w:p w:rsidR="00041E62" w:rsidRPr="0078661A" w:rsidRDefault="00041E62">
      <w:r w:rsidRPr="0078661A">
        <w:t>I rapporten redogör kommissionen för sina förslag till övergripande prioriteringar för den ekonomiska - och sysselsättningspolitiken de kommande 12 månaderna. Kommissionen understryker vikten av att genomföra redan beslutade prioriteringar och åtgärder samt redovisar förslag till åtgärder inom följande fem prioriterade områden:</w:t>
      </w:r>
    </w:p>
    <w:p w:rsidR="00041E62" w:rsidRPr="0078661A" w:rsidRDefault="00041E62"/>
    <w:p w:rsidR="00041E62" w:rsidRPr="0078661A" w:rsidRDefault="00041E62">
      <w:pPr>
        <w:numPr>
          <w:ilvl w:val="0"/>
          <w:numId w:val="8"/>
        </w:numPr>
        <w:autoSpaceDE w:val="0"/>
        <w:autoSpaceDN w:val="0"/>
        <w:adjustRightInd w:val="0"/>
        <w:spacing w:before="0" w:line="240" w:lineRule="atLeast"/>
        <w:jc w:val="left"/>
        <w:rPr>
          <w:color w:val="000000"/>
        </w:rPr>
      </w:pPr>
      <w:r w:rsidRPr="0078661A">
        <w:rPr>
          <w:color w:val="000000"/>
        </w:rPr>
        <w:t xml:space="preserve">Att driva differentierad, tillväxtfrämjande finanspolitisk konsolidering </w:t>
      </w:r>
    </w:p>
    <w:p w:rsidR="00041E62" w:rsidRPr="0078661A" w:rsidRDefault="00041E62">
      <w:pPr>
        <w:numPr>
          <w:ilvl w:val="0"/>
          <w:numId w:val="8"/>
        </w:numPr>
        <w:autoSpaceDE w:val="0"/>
        <w:autoSpaceDN w:val="0"/>
        <w:adjustRightInd w:val="0"/>
        <w:spacing w:before="0" w:line="240" w:lineRule="atLeast"/>
        <w:jc w:val="left"/>
        <w:rPr>
          <w:color w:val="000000"/>
        </w:rPr>
      </w:pPr>
      <w:r w:rsidRPr="0078661A">
        <w:rPr>
          <w:bCs/>
          <w:color w:val="000000"/>
        </w:rPr>
        <w:t xml:space="preserve">Utlåningen ska återgå till normala nivåer </w:t>
      </w:r>
    </w:p>
    <w:p w:rsidR="00041E62" w:rsidRPr="0078661A" w:rsidRDefault="00041E62">
      <w:pPr>
        <w:numPr>
          <w:ilvl w:val="0"/>
          <w:numId w:val="8"/>
        </w:numPr>
        <w:autoSpaceDE w:val="0"/>
        <w:autoSpaceDN w:val="0"/>
        <w:adjustRightInd w:val="0"/>
        <w:spacing w:before="0" w:line="240" w:lineRule="atLeast"/>
        <w:jc w:val="left"/>
        <w:rPr>
          <w:color w:val="000000"/>
        </w:rPr>
      </w:pPr>
      <w:r w:rsidRPr="0078661A">
        <w:rPr>
          <w:color w:val="000000"/>
        </w:rPr>
        <w:t>Främja tillväxt och konkurrenskraft</w:t>
      </w:r>
    </w:p>
    <w:p w:rsidR="00041E62" w:rsidRPr="0078661A" w:rsidRDefault="00041E62">
      <w:pPr>
        <w:numPr>
          <w:ilvl w:val="0"/>
          <w:numId w:val="8"/>
        </w:numPr>
        <w:autoSpaceDE w:val="0"/>
        <w:autoSpaceDN w:val="0"/>
        <w:adjustRightInd w:val="0"/>
        <w:spacing w:before="0" w:line="240" w:lineRule="atLeast"/>
        <w:jc w:val="left"/>
        <w:rPr>
          <w:color w:val="000000"/>
        </w:rPr>
      </w:pPr>
      <w:r w:rsidRPr="0078661A">
        <w:rPr>
          <w:color w:val="000000"/>
        </w:rPr>
        <w:t>Bekämpa arbetslösheten och de sociala konsekvenserna av krisen</w:t>
      </w:r>
    </w:p>
    <w:p w:rsidR="00041E62" w:rsidRPr="0078661A" w:rsidRDefault="00041E62">
      <w:pPr>
        <w:numPr>
          <w:ilvl w:val="0"/>
          <w:numId w:val="8"/>
        </w:numPr>
        <w:autoSpaceDE w:val="0"/>
        <w:autoSpaceDN w:val="0"/>
        <w:adjustRightInd w:val="0"/>
        <w:spacing w:before="0" w:line="240" w:lineRule="atLeast"/>
        <w:jc w:val="left"/>
        <w:rPr>
          <w:color w:val="000000"/>
        </w:rPr>
      </w:pPr>
      <w:r w:rsidRPr="0078661A">
        <w:rPr>
          <w:color w:val="000000"/>
        </w:rPr>
        <w:t>Modernisera den offentliga förvaltningen</w:t>
      </w:r>
    </w:p>
    <w:p w:rsidR="00041E62" w:rsidRPr="0078661A" w:rsidRDefault="00041E62"/>
    <w:p w:rsidR="00041E62" w:rsidRPr="0078661A" w:rsidRDefault="00041E62">
      <w:pPr>
        <w:autoSpaceDE w:val="0"/>
        <w:autoSpaceDN w:val="0"/>
        <w:adjustRightInd w:val="0"/>
        <w:spacing w:before="0" w:line="240" w:lineRule="atLeast"/>
        <w:jc w:val="left"/>
        <w:rPr>
          <w:color w:val="000000"/>
        </w:rPr>
      </w:pPr>
      <w:r w:rsidRPr="0078661A">
        <w:t>Regeringen välkomnar kommissionens årliga tillväxtrapport i stort och stödjer de övergripande budskapen om vikten av att genomföra vad som redan överenskommits inom ramen för den första europeiska terminen och det nya lagstiftningspaketet för ekonomisk styrning. Regeringen kan på ett övergripande plan ställa sig bakom de fem föreslagna prioriteringarna för nästa års europeiska termin. Det är välkommet med kraftfulla budskap om fortsatt budgetkonsolidering, arbetsmarknadsreformer inriktade på unga och förhin</w:t>
      </w:r>
      <w:r w:rsidRPr="0078661A">
        <w:t>drande av utslagning från arbetsmarknaden, välfungerande sociala trygghets</w:t>
      </w:r>
      <w:r w:rsidRPr="0078661A">
        <w:lastRenderedPageBreak/>
        <w:t xml:space="preserve">system samt skyndsamt genomförande av tillväxtfrämjande åtgärder med fokus på etablerandet av en digital inre marknad, fullbordandet av en inre marknad för tjänster samt öppen handel och konkurrensneutralitet. </w:t>
      </w:r>
    </w:p>
    <w:p w:rsidR="00041E62" w:rsidRPr="0078661A" w:rsidRDefault="00041E62">
      <w:pPr>
        <w:pStyle w:val="Rubrik1"/>
      </w:pPr>
      <w:r w:rsidRPr="0078661A">
        <w:t>Förslaget</w:t>
      </w:r>
    </w:p>
    <w:p w:rsidR="00041E62" w:rsidRPr="0078661A" w:rsidRDefault="00041E62">
      <w:pPr>
        <w:pStyle w:val="Rubrik2"/>
      </w:pPr>
      <w:r w:rsidRPr="0078661A">
        <w:t>Ärendets bakgrund</w:t>
      </w:r>
    </w:p>
    <w:p w:rsidR="00041E62" w:rsidRPr="0078661A" w:rsidRDefault="00041E62">
      <w:r w:rsidRPr="0078661A">
        <w:t xml:space="preserve">I juni 2010 antog Europeiska rådet Europa 2020  - en strategi för smart och hållbar tillväxt för alla. I syfte att driva på ett effektivt genomförande av strategin, konsistent med stabilitets- och tillväxtpakten, beslutade rådet i september 2010 att introducera en ny årscykel för styrning och granskningen av den ekonomiska politiken. Den beslutade årscykeln inleds med en europeisk termin på våren, vilken utgör en central del i en förstärkt ekonomisk samordning i EU. </w:t>
      </w:r>
    </w:p>
    <w:p w:rsidR="00041E62" w:rsidRPr="0078661A" w:rsidRDefault="00041E62">
      <w:r w:rsidRPr="0078661A">
        <w:t>Den europeiska terminen inleds med att kommissionen presenterar sin årliga tillväxtrapport som ligger till grund för diskussionen vid vårtoppmötet då stats- och regeringscheferna ska lämna vägledning inför medlemsstaternas rapportering inom Europa 2020 (nationella reformprogram) och Stabilitet och tillväxtpakten (konvergensprogram). Den 23 november 2011 presenterades den årliga tillväxtöversikten för 2012.</w:t>
      </w:r>
    </w:p>
    <w:p w:rsidR="00041E62" w:rsidRPr="0078661A" w:rsidRDefault="00041E62"/>
    <w:p w:rsidR="00041E62" w:rsidRPr="0078661A" w:rsidRDefault="00041E62">
      <w:pPr>
        <w:pStyle w:val="Rubrik2"/>
      </w:pPr>
      <w:r w:rsidRPr="0078661A">
        <w:t>Förslagets innehåll</w:t>
      </w:r>
    </w:p>
    <w:p w:rsidR="00041E62" w:rsidRPr="0078661A" w:rsidRDefault="00041E62">
      <w:r w:rsidRPr="0078661A">
        <w:t xml:space="preserve">Kommissionen redogör i rapporten för sin samlade bedömning av EU:s ekonomisk-politiska utmaningar och anger förslag till övergripande prioriteringar för den ekonomiska- och sysselsättningspolitiken för de kommande 12 månaderna. </w:t>
      </w:r>
    </w:p>
    <w:p w:rsidR="00041E62" w:rsidRPr="0078661A" w:rsidRDefault="00041E62"/>
    <w:p w:rsidR="00041E62" w:rsidRPr="0078661A" w:rsidRDefault="00041E62">
      <w:r w:rsidRPr="0078661A">
        <w:t>Kommissionen pekar på det brådskande behovet av att komma tillrätta med krisen i euroområdet och återskapa förtroende för att undvika kraftig försämring av det ekonomiska läget i hela EU. Kommissionen uppmanar medlemsstaterna att ägna mer tid och politiskt engagemang åt implementering av långsiktigt tillväxtfrämjande åtgärder parallellt med hanteringen av den akuta skuldkrisen. Kommissionen anser att fokus för nästa år bör vara dels på att genomföra det som redan beslutats inom ramen för den första europeis</w:t>
      </w:r>
      <w:r w:rsidRPr="0078661A">
        <w:t>ka terminen och lagstiftningspaketet för ekonomisk styrning dels på ökade insatser för att förbättra tillväxtutsikterna i Europa.  Kommissionen inskärper vikten av att nästa europeiska termin präglas av ett starkare engagemang och skyndsamt genomförande av överenskomna åtgärder. Följande fem områden föreslås utgöra de övergripande prioriteringarna för nästa år:</w:t>
      </w:r>
    </w:p>
    <w:p w:rsidR="00041E62" w:rsidRPr="0078661A" w:rsidRDefault="00041E62">
      <w:r w:rsidRPr="0078661A">
        <w:rPr>
          <w:b/>
        </w:rPr>
        <w:t xml:space="preserve">1 Att driva differentierad, tillväxtfrämjande finanspolitisk konsolidering </w:t>
      </w:r>
      <w:r w:rsidRPr="0078661A">
        <w:t xml:space="preserve">genom att utifrån de specifika behoven i varje medlemsstat, implementera en sund budgetpolitik i kombination med tillväxtfrämjande investeringar i områden såsom forskning, innovation, utbildning och energi samt en skattepolitik som främjar tillväxt. </w:t>
      </w:r>
    </w:p>
    <w:p w:rsidR="00041E62" w:rsidRPr="0078661A" w:rsidRDefault="00041E62">
      <w:r w:rsidRPr="0078661A">
        <w:rPr>
          <w:b/>
        </w:rPr>
        <w:t xml:space="preserve">2. Utlåningen ska återgå till normala nivåer </w:t>
      </w:r>
      <w:r w:rsidRPr="0078661A">
        <w:t xml:space="preserve">genom att vidta åtgärder för att stärka kapitalet hos bankerna och underlätta för små och medelstora företag att få tillgång till finansiering kapital. </w:t>
      </w:r>
    </w:p>
    <w:p w:rsidR="00041E62" w:rsidRPr="0078661A" w:rsidRDefault="00041E62">
      <w:pPr>
        <w:rPr>
          <w:b/>
        </w:rPr>
      </w:pPr>
      <w:r w:rsidRPr="0078661A">
        <w:rPr>
          <w:b/>
        </w:rPr>
        <w:t>3. Främja tillväxt och konkurrenskraft</w:t>
      </w:r>
      <w:r w:rsidRPr="0078661A">
        <w:t xml:space="preserve"> genom att stärka och utveckla den inre markanden med fokus på etablerandet en välfungerande digital inre marknad, tjänstehandel samt dra nytta av en öppen handel och en tillväxtorienterad EU-budget. Extra skyndsam hantering av särskilt tillväxtfrämjande lagförslag, bl.a. inom ramen för inre marknadsakten föreslås.</w:t>
      </w:r>
    </w:p>
    <w:p w:rsidR="00041E62" w:rsidRPr="0078661A" w:rsidRDefault="00041E62">
      <w:pPr>
        <w:rPr>
          <w:b/>
        </w:rPr>
      </w:pPr>
      <w:r w:rsidRPr="0078661A">
        <w:rPr>
          <w:b/>
        </w:rPr>
        <w:t xml:space="preserve">4. Bekämpa arbetslösheten och de sociala konsekvenserna av krisen </w:t>
      </w:r>
      <w:r w:rsidRPr="0078661A">
        <w:t>genom att bland annat främja ny- och egenföretagande, vidta åtgärder för att få in unga på arbetsmarkanden, stärka initiativ som kombinerar arbetslivserfarenhet med utbildning samt förbättra de sociala trygghetssystem för de mest utsatta.</w:t>
      </w:r>
    </w:p>
    <w:p w:rsidR="00041E62" w:rsidRPr="0078661A" w:rsidRDefault="00041E62">
      <w:pPr>
        <w:rPr>
          <w:b/>
        </w:rPr>
      </w:pPr>
      <w:r w:rsidRPr="0078661A">
        <w:rPr>
          <w:b/>
        </w:rPr>
        <w:t xml:space="preserve">5. Modernisera den offentliga förvaltningen </w:t>
      </w:r>
      <w:r w:rsidRPr="0078661A">
        <w:t xml:space="preserve">genom att bland annat förbättra de nationella företagsklimatet och minska de administrativa bördorna. </w:t>
      </w:r>
    </w:p>
    <w:p w:rsidR="00041E62" w:rsidRPr="0078661A" w:rsidRDefault="00041E62"/>
    <w:p w:rsidR="00041E62" w:rsidRPr="0078661A" w:rsidRDefault="00041E62">
      <w:r w:rsidRPr="0078661A">
        <w:t xml:space="preserve">Rapporten åtföljs av fyra bilagor innehållande; 1) lägesrapport om Europa 2020-strategin, 2) makroekonomisk rapport, 3) utkast till gemensam sysselsättningsrapport samt 4) bilaga om tillväxtvänlig skattepolitik i medlemsstaterna och bättre samordning på det skattepolitiska området. </w:t>
      </w:r>
    </w:p>
    <w:p w:rsidR="00041E62" w:rsidRPr="0078661A" w:rsidRDefault="00041E62"/>
    <w:p w:rsidR="00041E62" w:rsidRPr="0078661A" w:rsidRDefault="00041E62">
      <w:pPr>
        <w:tabs>
          <w:tab w:val="left" w:pos="360"/>
        </w:tabs>
        <w:spacing w:line="240" w:lineRule="atLeast"/>
        <w:ind w:left="360" w:hanging="360"/>
        <w:rPr>
          <w:i/>
          <w:color w:val="000000"/>
        </w:rPr>
      </w:pPr>
      <w:r w:rsidRPr="0078661A">
        <w:rPr>
          <w:i/>
          <w:color w:val="000000"/>
        </w:rPr>
        <w:t>Annex 1: Lägesrapport om Europa 2020-strategin</w:t>
      </w:r>
    </w:p>
    <w:p w:rsidR="00041E62" w:rsidRPr="0078661A" w:rsidRDefault="00041E62">
      <w:pPr>
        <w:tabs>
          <w:tab w:val="left" w:pos="0"/>
        </w:tabs>
        <w:spacing w:line="240" w:lineRule="atLeast"/>
        <w:rPr>
          <w:color w:val="000000"/>
        </w:rPr>
      </w:pPr>
      <w:r w:rsidRPr="0078661A">
        <w:rPr>
          <w:color w:val="000000"/>
        </w:rPr>
        <w:t>Kommissionen redogör på ett övergripande plan för framsteg i uppfyllandet av de fem målen inom ramen för Europa 2020 samt för hur arbetet med de sju flaggskeppsinitiativen har fortskridit. Kommissionen konstaterar inledningsvis att ett ambitiöst genomförande av Europa 2020-strategin, givet den allvarliga ekonomiska krisen, är mer angeläget än någonsin. Åtagandena som medlemsstaterna gjort mot Europa 2020-målen har enligt kommissionen varit otillräckliga för att möta de flesta av EU: s mål, särskilt för ene</w:t>
      </w:r>
      <w:r w:rsidRPr="0078661A">
        <w:rPr>
          <w:color w:val="000000"/>
        </w:rPr>
        <w:t>rgieffektivitet. Kommissionen understryker vikten av ett starkare engagemang och fokus på implementering.</w:t>
      </w:r>
    </w:p>
    <w:p w:rsidR="00041E62" w:rsidRPr="0078661A" w:rsidRDefault="00041E62">
      <w:pPr>
        <w:tabs>
          <w:tab w:val="left" w:pos="360"/>
        </w:tabs>
        <w:spacing w:line="240" w:lineRule="atLeast"/>
        <w:ind w:left="360" w:hanging="360"/>
        <w:rPr>
          <w:color w:val="000000"/>
        </w:rPr>
      </w:pPr>
    </w:p>
    <w:p w:rsidR="00041E62" w:rsidRPr="0078661A" w:rsidRDefault="00041E62">
      <w:pPr>
        <w:spacing w:line="240" w:lineRule="atLeast"/>
        <w:rPr>
          <w:i/>
          <w:color w:val="000000"/>
        </w:rPr>
      </w:pPr>
      <w:r w:rsidRPr="0078661A">
        <w:rPr>
          <w:i/>
          <w:color w:val="000000"/>
        </w:rPr>
        <w:t>Annex 2: Makroekonomisk rapport</w:t>
      </w:r>
    </w:p>
    <w:p w:rsidR="00041E62" w:rsidRPr="0078661A" w:rsidRDefault="00041E62">
      <w:pPr>
        <w:spacing w:line="240" w:lineRule="atLeast"/>
        <w:rPr>
          <w:color w:val="000000"/>
        </w:rPr>
      </w:pPr>
      <w:r w:rsidRPr="0078661A">
        <w:rPr>
          <w:color w:val="000000"/>
        </w:rPr>
        <w:t>Med utgångspunkt i kommissionens höstprognos 2011 underbyggs i detta annex budskapen i tillväxtöversikten. Det konstateras att åtgärder för att stärka tillväxten har blivit centrala. Det är nödvändigt att konsolidering av de offentliga finanserna genomförs på ett tillväxtfrämjande sätt. En stark banksektor och ett stabilt finansiellt system är centralt för att säkra ekonomisk återhämtning och få fart på tillväxten. Förbättrade tillväxtutsikter utgör ett viktigt stöd för att nå andra mål och komma ur krisen</w:t>
      </w:r>
      <w:r w:rsidRPr="0078661A">
        <w:rPr>
          <w:color w:val="000000"/>
        </w:rPr>
        <w:t>.</w:t>
      </w:r>
    </w:p>
    <w:p w:rsidR="00041E62" w:rsidRPr="0078661A" w:rsidRDefault="00041E62">
      <w:pPr>
        <w:spacing w:line="240" w:lineRule="atLeast"/>
        <w:rPr>
          <w:color w:val="000000"/>
        </w:rPr>
      </w:pPr>
    </w:p>
    <w:p w:rsidR="00041E62" w:rsidRPr="0078661A" w:rsidRDefault="00041E62">
      <w:pPr>
        <w:spacing w:line="240" w:lineRule="atLeast"/>
        <w:rPr>
          <w:i/>
          <w:color w:val="000000"/>
        </w:rPr>
      </w:pPr>
      <w:r w:rsidRPr="0078661A">
        <w:rPr>
          <w:i/>
          <w:color w:val="000000"/>
        </w:rPr>
        <w:t>Annex 3: Utkast till gemensam sysselsättningsrapport</w:t>
      </w:r>
    </w:p>
    <w:p w:rsidR="00041E62" w:rsidRPr="0078661A" w:rsidRDefault="00041E62">
      <w:pPr>
        <w:spacing w:line="240" w:lineRule="atLeast"/>
        <w:rPr>
          <w:color w:val="000000"/>
        </w:rPr>
      </w:pPr>
      <w:r w:rsidRPr="0078661A">
        <w:rPr>
          <w:color w:val="000000"/>
        </w:rPr>
        <w:t>Rapporten utvecklar sysselsättningsbudskapen i tillväxtöversikten. Budskapen och analysen baseras på situationen i EU och medlemsstaternas åtagande på sysselsättningsområdet inom Europa 2020-strategin. I rapportens inledande del konstateras bl.a. att avtagande tillväxt försvårar den redan svaga återhämtningen på arbetsmarknaderna och att krisen lett till ökad risk för långvarigt utanförskap. Rapporten går också på ett övergripande plan igenom medlemsstaternas åtgärder på sysselsättningsriktlinjernas och de</w:t>
      </w:r>
      <w:r w:rsidRPr="0078661A">
        <w:rPr>
          <w:color w:val="000000"/>
        </w:rPr>
        <w:t xml:space="preserve"> landspecifika rekommendationernas område. I rapportens sista del understryker kommissionen att 2011 års prioriteringar i stort fortsatt är relevanta men att det krävs ytterligare ansträngningar på vissa områden; bl.a. förbättra ungas och långtidsarbetslösas möjligheter till sysselsättning och förhindra utslagning. Rapporten kommer att behandlas i EPSCO-rådet inför Europeiska rådet i mars 2012. </w:t>
      </w:r>
    </w:p>
    <w:p w:rsidR="00041E62" w:rsidRPr="0078661A" w:rsidRDefault="00041E62">
      <w:pPr>
        <w:tabs>
          <w:tab w:val="left" w:pos="360"/>
        </w:tabs>
        <w:spacing w:line="240" w:lineRule="atLeast"/>
        <w:ind w:left="360" w:hanging="360"/>
        <w:rPr>
          <w:i/>
          <w:color w:val="000000"/>
        </w:rPr>
      </w:pPr>
    </w:p>
    <w:p w:rsidR="00041E62" w:rsidRPr="0078661A" w:rsidRDefault="00041E62">
      <w:pPr>
        <w:rPr>
          <w:i/>
        </w:rPr>
      </w:pPr>
      <w:r w:rsidRPr="0078661A">
        <w:rPr>
          <w:i/>
        </w:rPr>
        <w:t xml:space="preserve">Annex 4: Tillväxtvänlig skattepolitik i medlemsstaterna och bättre samordning på det skattepolitiska området. </w:t>
      </w:r>
    </w:p>
    <w:p w:rsidR="00041E62" w:rsidRPr="0078661A" w:rsidRDefault="00041E62">
      <w:pPr>
        <w:rPr>
          <w:color w:val="000000"/>
        </w:rPr>
      </w:pPr>
      <w:r w:rsidRPr="0078661A">
        <w:t>Bilagan utvecklar de förslag till tillväxtvänlig skattepolitik och bättre skattekoordinering i medlemsstater som lyfts fram i tillväxtrapporten som en del av den övergripande prioriteringen om finanspolitisk konsolidering. Bilagan följer också upp Europeiska rådets slutsatser från juni och oktober 2011 då de deltagande finansministrarna och kommissionen uppmanades att i december 2011 rapportera om framsteg som gjorts i strukturerade diskussioner om skattepolitiken inom ramen för EuroPluspakten.</w:t>
      </w:r>
    </w:p>
    <w:p w:rsidR="00041E62" w:rsidRPr="0078661A" w:rsidRDefault="00041E62">
      <w:pPr>
        <w:pStyle w:val="Rubrik2"/>
      </w:pPr>
      <w:r w:rsidRPr="0078661A">
        <w:t>Gällande svenska regler och förslagets effekt på dessa</w:t>
      </w:r>
    </w:p>
    <w:p w:rsidR="00041E62" w:rsidRPr="0078661A" w:rsidRDefault="00041E62">
      <w:r w:rsidRPr="0078661A">
        <w:t>Inga. Europa 2020-strategin bygger på den så kallade öppna samordningsmetoden</w:t>
      </w:r>
    </w:p>
    <w:p w:rsidR="00041E62" w:rsidRPr="0078661A" w:rsidRDefault="00041E62">
      <w:pPr>
        <w:pStyle w:val="Rubrik2"/>
      </w:pPr>
      <w:r w:rsidRPr="0078661A">
        <w:t>Budgetära konsekvenser / Konsekvensanalys</w:t>
      </w:r>
    </w:p>
    <w:p w:rsidR="00041E62" w:rsidRPr="0078661A" w:rsidRDefault="00041E62">
      <w:pPr>
        <w:rPr>
          <w:i/>
        </w:rPr>
      </w:pPr>
      <w:r w:rsidRPr="0078661A">
        <w:t>Inga meddelandet i sig har ingen direkt inverkan på EU-budgeten eller medlemsstaternas budget. Kommissionen framhåller dock i meddelandet vikten av en kraftfull konsolidering av de offentliga finanserna och föreslår att statliga utgifter bör prioritera tillväxtfrämjande åtgärder, vilket kan leda till konsekvenser i nationella budgetar.</w:t>
      </w:r>
    </w:p>
    <w:p w:rsidR="00041E62" w:rsidRPr="0078661A" w:rsidRDefault="00041E62">
      <w:pPr>
        <w:pStyle w:val="Rubrik1"/>
      </w:pPr>
      <w:r w:rsidRPr="0078661A">
        <w:t>Ståndpunkter</w:t>
      </w:r>
    </w:p>
    <w:p w:rsidR="00041E62" w:rsidRPr="0078661A" w:rsidRDefault="00041E62">
      <w:pPr>
        <w:pStyle w:val="Rubrik2"/>
      </w:pPr>
      <w:r w:rsidRPr="0078661A">
        <w:t>Preliminär svensk ståndpunkt</w:t>
      </w:r>
    </w:p>
    <w:p w:rsidR="00041E62" w:rsidRPr="0078661A" w:rsidRDefault="00041E62">
      <w:pPr>
        <w:autoSpaceDE w:val="0"/>
        <w:autoSpaceDN w:val="0"/>
        <w:adjustRightInd w:val="0"/>
        <w:spacing w:before="0" w:line="240" w:lineRule="atLeast"/>
        <w:jc w:val="left"/>
      </w:pPr>
    </w:p>
    <w:p w:rsidR="00041E62" w:rsidRPr="0078661A" w:rsidRDefault="00041E62">
      <w:r w:rsidRPr="0078661A">
        <w:t xml:space="preserve">Regeringen välkomnar kommissionens årliga tillväxtrapport i stort och stödjer de övergripande budskapen om vikten av att genomföra vad som redan överenskommits inom ramen för den första europeiska terminen och det nya lagstiftningspaketet för ekonomisk styrning. </w:t>
      </w:r>
    </w:p>
    <w:p w:rsidR="00041E62" w:rsidRPr="0078661A" w:rsidRDefault="00041E62">
      <w:r w:rsidRPr="0078661A">
        <w:t>Regeringen kan på ett övergripande plan ställa sig bakom de fem föreslagna prioriteringarna för nästa års europeiska termin. Det är välkommet med kraftfulla budskap om fortsatt budgetkonsolidering, arbetsmarknadsreformer inriktade på unga och förhindrande av utslagning från arbetsmarknaden, välfungerande sociala trygghetssystem samt skyndsamt genomförande av tillväxtfrämjande åtgärder med fokus på etablerandet av en digital inre marknad, fullbordandet av en inre marknad för tjänster samt öppen handel och k</w:t>
      </w:r>
      <w:r w:rsidRPr="0078661A">
        <w:t xml:space="preserve">onkurrensneutralitet. </w:t>
      </w:r>
    </w:p>
    <w:p w:rsidR="00041E62" w:rsidRPr="0078661A" w:rsidRDefault="00041E62">
      <w:r w:rsidRPr="0078661A">
        <w:t>Regeringen saknar dock ett tydligt budskap om främjandet av lika villkor för kvinnor och män på arbetsmarknaderna samt starkare skrivningar om vikten av omställningen till innovativa resurseffektiva lösningar för att främja tillväxt och stärkt konkurrenskraft.</w:t>
      </w:r>
    </w:p>
    <w:p w:rsidR="00041E62" w:rsidRPr="0078661A" w:rsidRDefault="00041E62">
      <w:r w:rsidRPr="0078661A">
        <w:t xml:space="preserve">Regeringen kommer att fortsätta betona vikten av att genomförandet av den europeiska terminen sker med respekt för arbetsmarknadens parters roll och de nationella systemen för lönebildning. </w:t>
      </w:r>
    </w:p>
    <w:p w:rsidR="00041E62" w:rsidRPr="0078661A" w:rsidRDefault="00041E62">
      <w:r w:rsidRPr="0078661A">
        <w:t xml:space="preserve">Regeringen är positiv till att använda effektiva instrument, bl.a. skatter, för att främja tillväxt och nya jobb. Samtidigt är det viktigt att respektera att medlemsstaterna har rätt att utforma sina egna skattesystem.  </w:t>
      </w:r>
    </w:p>
    <w:p w:rsidR="00041E62" w:rsidRPr="0078661A" w:rsidRDefault="00041E62">
      <w:pPr>
        <w:pStyle w:val="Rubrik2"/>
      </w:pPr>
      <w:r w:rsidRPr="0078661A">
        <w:t>Medlemsstaternas ståndpunkter</w:t>
      </w:r>
    </w:p>
    <w:p w:rsidR="00041E62" w:rsidRPr="0078661A" w:rsidRDefault="00041E62">
      <w:r w:rsidRPr="0078661A">
        <w:t>Ännu inte kända.</w:t>
      </w:r>
    </w:p>
    <w:p w:rsidR="00041E62" w:rsidRPr="0078661A" w:rsidRDefault="00041E62">
      <w:pPr>
        <w:pStyle w:val="Rubrik2"/>
      </w:pPr>
      <w:r w:rsidRPr="0078661A">
        <w:t>Institutionernas ståndpunkter</w:t>
      </w:r>
    </w:p>
    <w:p w:rsidR="00041E62" w:rsidRPr="0078661A" w:rsidRDefault="00041E62">
      <w:r w:rsidRPr="0078661A">
        <w:t>Inte aktuellt</w:t>
      </w:r>
    </w:p>
    <w:p w:rsidR="00041E62" w:rsidRPr="0078661A" w:rsidRDefault="00041E62">
      <w:pPr>
        <w:pStyle w:val="Rubrik2"/>
      </w:pPr>
      <w:r w:rsidRPr="0078661A">
        <w:t>Remissinstansernas ståndpunkter</w:t>
      </w:r>
    </w:p>
    <w:p w:rsidR="00041E62" w:rsidRPr="0078661A" w:rsidRDefault="00041E62">
      <w:r w:rsidRPr="0078661A">
        <w:t>Inte aktuellt</w:t>
      </w:r>
    </w:p>
    <w:p w:rsidR="00041E62" w:rsidRPr="0078661A" w:rsidRDefault="00041E62">
      <w:pPr>
        <w:pStyle w:val="Rubrik1"/>
      </w:pPr>
      <w:r w:rsidRPr="0078661A">
        <w:t>Förslagets förutsättningar</w:t>
      </w:r>
    </w:p>
    <w:p w:rsidR="00041E62" w:rsidRPr="0078661A" w:rsidRDefault="00041E62">
      <w:pPr>
        <w:pStyle w:val="Rubrik2"/>
      </w:pPr>
      <w:r w:rsidRPr="0078661A">
        <w:t>Rättslig grund och beslutsförfarande</w:t>
      </w:r>
    </w:p>
    <w:p w:rsidR="00041E62" w:rsidRPr="0078661A" w:rsidRDefault="00041E62">
      <w:r w:rsidRPr="0078661A">
        <w:t>Artikel 119 i EU-fördraget</w:t>
      </w:r>
    </w:p>
    <w:p w:rsidR="00041E62" w:rsidRPr="0078661A" w:rsidRDefault="00041E62">
      <w:r w:rsidRPr="0078661A">
        <w:t>Artikel 121 i EU-fördraget</w:t>
      </w:r>
    </w:p>
    <w:p w:rsidR="00041E62" w:rsidRPr="0078661A" w:rsidRDefault="00041E62">
      <w:r w:rsidRPr="0078661A">
        <w:t>Artikel 148 i EU-fördraget</w:t>
      </w:r>
    </w:p>
    <w:p w:rsidR="00041E62" w:rsidRPr="0078661A" w:rsidRDefault="00041E62">
      <w:pPr>
        <w:pStyle w:val="Rubrik2"/>
      </w:pPr>
      <w:r w:rsidRPr="0078661A">
        <w:t>Subsidiaritets- och proportionalitetsprincipen</w:t>
      </w:r>
    </w:p>
    <w:p w:rsidR="00041E62" w:rsidRPr="0078661A" w:rsidRDefault="00041E62">
      <w:r w:rsidRPr="0078661A">
        <w:t>_</w:t>
      </w:r>
    </w:p>
    <w:p w:rsidR="00041E62" w:rsidRPr="0078661A" w:rsidRDefault="00041E62">
      <w:pPr>
        <w:pStyle w:val="Rubrik1"/>
      </w:pPr>
      <w:r w:rsidRPr="0078661A">
        <w:t>Övrigt</w:t>
      </w:r>
    </w:p>
    <w:p w:rsidR="00041E62" w:rsidRPr="0078661A" w:rsidRDefault="00041E62">
      <w:pPr>
        <w:pStyle w:val="Rubrik2"/>
      </w:pPr>
      <w:r w:rsidRPr="0078661A">
        <w:t>Fortsatt behandling av ärendet</w:t>
      </w:r>
    </w:p>
    <w:p w:rsidR="00041E62" w:rsidRPr="0078661A" w:rsidRDefault="00041E62">
      <w:r w:rsidRPr="0078661A">
        <w:t>Kommissionens årliga tillväxtrapport kommer att ligga till grund för behandlingen vid Europeiska rådets möte den 1-2 mars 2012 då stats- och regeringscheferna ska lämna vägledning inför medlemsstaternas rapportering inom Europa 2020 och Stabilitets- och tillväxtpakten. Rapporten kommer dessförinnan att behandlas i berörda rådskonstellationer, bl.a. EPSCO och EKOFIN under januari och februari månad. En första presentation av rapporten äger rum i EKOFIN den 30 nov, EPSCO den 1 dec, KKR den 5 dec samt Allmänn</w:t>
      </w:r>
      <w:r w:rsidRPr="0078661A">
        <w:t>a rådet den 5 dec.</w:t>
      </w:r>
    </w:p>
    <w:p w:rsidR="00041E62" w:rsidRPr="0078661A" w:rsidRDefault="00041E62"/>
    <w:p w:rsidR="00041E62" w:rsidRPr="0078661A" w:rsidRDefault="00041E62"/>
    <w:sectPr w:rsidR="00041E62" w:rsidRPr="0078661A">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141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1E62" w:rsidRPr="0078661A" w:rsidRDefault="00041E62">
      <w:r w:rsidRPr="0078661A">
        <w:separator/>
      </w:r>
    </w:p>
  </w:endnote>
  <w:endnote w:type="continuationSeparator" w:id="0">
    <w:p w:rsidR="00041E62" w:rsidRPr="0078661A" w:rsidRDefault="00041E62">
      <w:r w:rsidRPr="007866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E62" w:rsidRPr="0078661A" w:rsidRDefault="00041E6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E62" w:rsidRPr="0078661A" w:rsidRDefault="00041E62">
    <w:pPr>
      <w:pStyle w:val="SidfotH"/>
      <w:framePr w:wrap="around"/>
    </w:pPr>
    <w:r w:rsidRPr="0078661A">
      <w:fldChar w:fldCharType="begin" w:fldLock="1"/>
    </w:r>
    <w:r w:rsidRPr="0078661A">
      <w:instrText xml:space="preserve"> PAGE </w:instrText>
    </w:r>
    <w:r w:rsidRPr="0078661A">
      <w:fldChar w:fldCharType="separate"/>
    </w:r>
    <w:r w:rsidRPr="0078661A">
      <w:t>5</w:t>
    </w:r>
    <w:r w:rsidRPr="0078661A">
      <w:fldChar w:fldCharType="end"/>
    </w:r>
  </w:p>
  <w:p w:rsidR="00041E62" w:rsidRPr="0078661A" w:rsidRDefault="00041E6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E62" w:rsidRPr="0078661A" w:rsidRDefault="00041E62">
    <w:pPr>
      <w:pStyle w:val="SidfotH"/>
      <w:framePr w:wrap="around"/>
    </w:pPr>
    <w:r w:rsidRPr="0078661A">
      <w:fldChar w:fldCharType="begin" w:fldLock="1"/>
    </w:r>
    <w:r w:rsidRPr="0078661A">
      <w:instrText xml:space="preserve"> PAGE </w:instrText>
    </w:r>
    <w:r w:rsidRPr="0078661A">
      <w:fldChar w:fldCharType="separate"/>
    </w:r>
    <w:r w:rsidRPr="0078661A">
      <w:t>1</w:t>
    </w:r>
    <w:r w:rsidRPr="0078661A">
      <w:fldChar w:fldCharType="end"/>
    </w:r>
  </w:p>
  <w:p w:rsidR="00041E62" w:rsidRPr="0078661A" w:rsidRDefault="00041E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1E62" w:rsidRPr="0078661A" w:rsidRDefault="00041E62">
      <w:r w:rsidRPr="0078661A">
        <w:separator/>
      </w:r>
    </w:p>
  </w:footnote>
  <w:footnote w:type="continuationSeparator" w:id="0">
    <w:p w:rsidR="00041E62" w:rsidRPr="0078661A" w:rsidRDefault="00041E62">
      <w:r w:rsidRPr="007866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E62" w:rsidRPr="0078661A" w:rsidRDefault="00041E6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E62" w:rsidRPr="0078661A" w:rsidRDefault="00041E62">
    <w:pPr>
      <w:pStyle w:val="Kantrubrik"/>
      <w:framePr w:h="1157" w:hRule="exact" w:wrap="around" w:y="738"/>
    </w:pPr>
    <w:r w:rsidRPr="0078661A">
      <w:t>2011/12:FPM64</w:t>
    </w:r>
  </w:p>
  <w:p w:rsidR="00041E62" w:rsidRPr="0078661A" w:rsidRDefault="00041E6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E62" w:rsidRPr="0078661A" w:rsidRDefault="0078661A">
    <w:pPr>
      <w:pStyle w:val="Sidhuvud"/>
    </w:pPr>
    <w:r w:rsidRPr="0078661A">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1523922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1E62" w:rsidRDefault="00041E6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706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041E62" w:rsidRDefault="00041E62">
                    <w:pPr>
                      <w:pStyle w:val="Logo"/>
                    </w:pPr>
                    <w:r>
                      <w:object w:dxaOrig="840" w:dyaOrig="1545">
                        <v:shape id="_x0000_i1025" type="#_x0000_t75" style="width:42pt;height:77.15pt" filled="t">
                          <v:imagedata r:id="rId1" o:title=""/>
                        </v:shape>
                        <o:OLEObject Type="Embed" ProgID="Word.Picture.8" ShapeID="_x0000_i1025" DrawAspect="Content" ObjectID="_182751706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4610B83"/>
    <w:multiLevelType w:val="hybridMultilevel"/>
    <w:tmpl w:val="B91A9BA6"/>
    <w:lvl w:ilvl="0" w:tplc="FDA2DD66">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7F7576F0"/>
    <w:multiLevelType w:val="hybridMultilevel"/>
    <w:tmpl w:val="5052E99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22590557">
    <w:abstractNumId w:val="5"/>
  </w:num>
  <w:num w:numId="2" w16cid:durableId="321158984">
    <w:abstractNumId w:val="1"/>
  </w:num>
  <w:num w:numId="3" w16cid:durableId="850224784">
    <w:abstractNumId w:val="2"/>
  </w:num>
  <w:num w:numId="4" w16cid:durableId="1896891456">
    <w:abstractNumId w:val="3"/>
  </w:num>
  <w:num w:numId="5" w16cid:durableId="368720379">
    <w:abstractNumId w:val="6"/>
  </w:num>
  <w:num w:numId="6" w16cid:durableId="180750716">
    <w:abstractNumId w:val="0"/>
  </w:num>
  <w:num w:numId="7" w16cid:durableId="207639678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547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2-20"/>
    <w:docVar w:name="Ar" w:val="2011/12"/>
    <w:docVar w:name="Dep" w:val="Statsrådsberedningen"/>
    <w:docVar w:name="DepWeb" w:val="Statsrådsberedningen"/>
    <w:docVar w:name="GDB1" w:val="KOM(2011) 815"/>
    <w:docVar w:name="GDB10" w:val=" "/>
    <w:docVar w:name="GDB11" w:val=" "/>
    <w:docVar w:name="GDB12" w:val=" "/>
    <w:docVar w:name="GDB13" w:val=" "/>
    <w:docVar w:name="GDB2" w:val="BILAGA I"/>
    <w:docVar w:name="GDB3" w:val="BILAGA II"/>
    <w:docVar w:name="GDB4" w:val="BILAGA III"/>
    <w:docVar w:name="GDB5" w:val="BILAGA IV"/>
    <w:docVar w:name="GDB6" w:val=" "/>
    <w:docVar w:name="GDB7" w:val=" "/>
    <w:docVar w:name="GDB8" w:val=" "/>
    <w:docVar w:name="GDB9" w:val=" "/>
    <w:docVar w:name="GDT1" w:val="ÅRLIG TILLVÄXTRAPPORT 2012"/>
    <w:docVar w:name="GDT10" w:val=" "/>
    <w:docVar w:name="GDT11" w:val=" "/>
    <w:docVar w:name="GDT12" w:val=" "/>
    <w:docVar w:name="GDT13" w:val=" "/>
    <w:docVar w:name="GDT2" w:val="- LÄGESRAPPORT OM EUROPA 2020-STRATEGIN"/>
    <w:docVar w:name="GDT3" w:val="- MAKROEKONOMISK RAPPORT"/>
    <w:docVar w:name="GDT4" w:val="- UTKAST TILL GEMENSAM SYSSELSÄTTNINGSRAPPORT"/>
    <w:docVar w:name="GDT5" w:val="– TILLVÄXTVÄNLIG SKATTEPOLITIK I MEDLEMSSTATERNA OCH BÄTTRE SAMORDNING PÅ DET SKATTEPOLITISKA OMRÅDET I EU"/>
    <w:docVar w:name="GDT6" w:val=" "/>
    <w:docVar w:name="GDT7" w:val=" "/>
    <w:docVar w:name="GDT8" w:val=" "/>
    <w:docVar w:name="GDT9" w:val=" "/>
    <w:docVar w:name="GDTWeb" w:val="KOM(2011) 815, BILAGA I, BILAGA II, BILAGA III, BILAGA IV"/>
    <w:docVar w:name="Nr" w:val="64"/>
    <w:docVar w:name="RD_APPVERSION" w:val="3.00"/>
    <w:docVar w:name="Rub" w:val="Kommissionens årliga tillväxtrapport"/>
    <w:docVar w:name="UppDat" w:val="2011-12-20"/>
    <w:docVar w:name="Utsk" w:val="Finansutskottet"/>
  </w:docVars>
  <w:rsids>
    <w:rsidRoot w:val="00FC5E41"/>
    <w:rsid w:val="00041E62"/>
    <w:rsid w:val="0078661A"/>
    <w:rsid w:val="00FC5E4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CD4D650-C6C2-43D0-B52F-B8B7967D6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1509</Words>
  <Characters>9993</Characters>
  <Application>Microsoft Office Word</Application>
  <DocSecurity>4</DocSecurity>
  <Lines>212</Lines>
  <Paragraphs>83</Paragraphs>
  <ScaleCrop>false</ScaleCrop>
  <HeadingPairs>
    <vt:vector size="2" baseType="variant">
      <vt:variant>
        <vt:lpstr>Rubrik</vt:lpstr>
      </vt:variant>
      <vt:variant>
        <vt:i4>1</vt:i4>
      </vt:variant>
    </vt:vector>
  </HeadingPairs>
  <TitlesOfParts>
    <vt:vector size="1" baseType="lpstr">
      <vt:lpstr>FPM_201112__64</vt:lpstr>
    </vt:vector>
  </TitlesOfParts>
  <Company>RD-DTSL</Company>
  <LinksUpToDate>false</LinksUpToDate>
  <CharactersWithSpaces>11419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FPM_201112__64</dc:title>
  <dc:subject>FPM_201112__64</dc:subject>
  <dc:creator>Riksdagen</dc:creator>
  <cp:keywords>Riksdagen</cp:keywords>
  <dc:description>KP2004-version.  Ändringarna påverkar enbart användningen inom Riksdagen. 050429 nya departement DTSL.</dc:description>
  <cp:lastModifiedBy>Lars Brink</cp:lastModifiedBy>
  <cp:revision>2</cp:revision>
  <cp:lastPrinted>2011-12-20T14:41:00Z</cp:lastPrinted>
  <dcterms:created xsi:type="dcterms:W3CDTF">2025-12-17T21:08:00Z</dcterms:created>
  <dcterms:modified xsi:type="dcterms:W3CDTF">2025-12-17T21:08:00Z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64</vt:lpwstr>
  </property>
  <property fmtid="{D5CDD505-2E9C-101B-9397-08002B2CF9AE}" pid="4" name="GDB1">
    <vt:lpwstr>KOM(2011) 815</vt:lpwstr>
  </property>
  <property fmtid="{D5CDD505-2E9C-101B-9397-08002B2CF9AE}" pid="5" name="GDT1">
    <vt:lpwstr> </vt:lpwstr>
  </property>
  <property fmtid="{D5CDD505-2E9C-101B-9397-08002B2CF9AE}" pid="6" name="Dep">
    <vt:lpwstr>Statsrådsberedningen</vt:lpwstr>
  </property>
  <property fmtid="{D5CDD505-2E9C-101B-9397-08002B2CF9AE}" pid="7" name="Rub">
    <vt:lpwstr>Kommissionens årliga tillväxtrapport</vt:lpwstr>
  </property>
  <property fmtid="{D5CDD505-2E9C-101B-9397-08002B2CF9AE}" pid="8" name="UppDat">
    <vt:lpwstr>2011-12-20</vt:lpwstr>
  </property>
  <property fmtid="{D5CDD505-2E9C-101B-9397-08002B2CF9AE}" pid="9" name="AnkDat">
    <vt:lpwstr>2011-12-20</vt:lpwstr>
  </property>
  <property fmtid="{D5CDD505-2E9C-101B-9397-08002B2CF9AE}" pid="10" name="Utsk">
    <vt:lpwstr>Finansutskottet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BILAGA I</vt:lpwstr>
  </property>
  <property fmtid="{D5CDD505-2E9C-101B-9397-08002B2CF9AE}" pid="15" name="GDB3">
    <vt:lpwstr>BILAGA II</vt:lpwstr>
  </property>
  <property fmtid="{D5CDD505-2E9C-101B-9397-08002B2CF9AE}" pid="16" name="GDB4">
    <vt:lpwstr>BILAGA III</vt:lpwstr>
  </property>
  <property fmtid="{D5CDD505-2E9C-101B-9397-08002B2CF9AE}" pid="17" name="GDB5">
    <vt:lpwstr>BILAGA IV</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JA</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1;0;0;421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6.1. Personalfrågor</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