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64048">
        <w:tblPrEx>
          <w:tblCellMar>
            <w:top w:w="0" w:type="dxa"/>
            <w:left w:w="0" w:type="dxa"/>
            <w:bottom w:w="0" w:type="dxa"/>
            <w:right w:w="0" w:type="dxa"/>
          </w:tblCellMar>
        </w:tblPrEx>
        <w:trPr>
          <w:gridAfter w:val="2"/>
          <w:wAfter w:w="1758" w:type="dxa"/>
          <w:cantSplit/>
          <w:trHeight w:val="1320"/>
        </w:trPr>
        <w:tc>
          <w:tcPr>
            <w:tcW w:w="5897" w:type="dxa"/>
          </w:tcPr>
          <w:p w:rsidR="00985FC4" w:rsidRPr="00264048" w:rsidRDefault="00985FC4">
            <w:pPr>
              <w:pStyle w:val="HuvudRubrik"/>
            </w:pPr>
            <w:r w:rsidRPr="00264048">
              <w:t>Regeringskansliet</w:t>
            </w:r>
          </w:p>
          <w:p w:rsidR="00985FC4" w:rsidRPr="00264048" w:rsidRDefault="00985FC4">
            <w:pPr>
              <w:pStyle w:val="HuvudRubrik"/>
            </w:pPr>
            <w:r w:rsidRPr="00264048">
              <w:t xml:space="preserve">Faktapromemoria  </w:t>
            </w:r>
            <w:r w:rsidRPr="00264048">
              <w:t>2006/07</w:t>
            </w:r>
            <w:r w:rsidRPr="00264048">
              <w:t>:</w:t>
            </w:r>
            <w:r w:rsidRPr="00264048">
              <w:t>FPM117</w:t>
            </w:r>
          </w:p>
        </w:tc>
      </w:tr>
      <w:tr w:rsidR="00000000" w:rsidRPr="00264048">
        <w:tblPrEx>
          <w:tblCellMar>
            <w:top w:w="0" w:type="dxa"/>
            <w:left w:w="0" w:type="dxa"/>
            <w:bottom w:w="0" w:type="dxa"/>
            <w:right w:w="0" w:type="dxa"/>
          </w:tblCellMar>
        </w:tblPrEx>
        <w:trPr>
          <w:gridAfter w:val="2"/>
          <w:wAfter w:w="1758" w:type="dxa"/>
          <w:cantSplit/>
          <w:trHeight w:val="240"/>
        </w:trPr>
        <w:tc>
          <w:tcPr>
            <w:tcW w:w="5897" w:type="dxa"/>
          </w:tcPr>
          <w:p w:rsidR="00985FC4" w:rsidRPr="00264048" w:rsidRDefault="00985FC4" w:rsidP="00A83946">
            <w:pPr>
              <w:autoSpaceDE w:val="0"/>
              <w:autoSpaceDN w:val="0"/>
              <w:adjustRightInd w:val="0"/>
              <w:spacing w:before="0" w:line="240" w:lineRule="atLeast"/>
              <w:jc w:val="left"/>
              <w:rPr>
                <w:rFonts w:ascii="Helv" w:hAnsi="Helv" w:cs="Helv"/>
                <w:b/>
                <w:bCs/>
                <w:color w:val="000000"/>
                <w:sz w:val="32"/>
                <w:szCs w:val="32"/>
              </w:rPr>
            </w:pPr>
            <w:r w:rsidRPr="00264048">
              <w:rPr>
                <w:sz w:val="32"/>
                <w:szCs w:val="32"/>
              </w:rPr>
              <w:t>Direktiv om försäkrings- och återförsäkringsverksamhet (Solvens II)</w:t>
            </w:r>
            <w:r w:rsidRPr="00264048">
              <w:rPr>
                <w:sz w:val="32"/>
                <w:szCs w:val="32"/>
              </w:rPr>
              <w:t xml:space="preserve"> </w:t>
            </w:r>
          </w:p>
          <w:p w:rsidR="00985FC4" w:rsidRPr="00264048" w:rsidRDefault="00985FC4">
            <w:pPr>
              <w:pStyle w:val="HuvudRubrik"/>
              <w:rPr>
                <w:sz w:val="28"/>
              </w:rPr>
            </w:pPr>
          </w:p>
        </w:tc>
      </w:tr>
      <w:tr w:rsidR="006D4AA5" w:rsidRPr="00264048">
        <w:tblPrEx>
          <w:tblCellMar>
            <w:top w:w="0" w:type="dxa"/>
            <w:left w:w="0" w:type="dxa"/>
            <w:bottom w:w="0" w:type="dxa"/>
            <w:right w:w="0" w:type="dxa"/>
          </w:tblCellMar>
        </w:tblPrEx>
        <w:trPr>
          <w:cantSplit/>
          <w:trHeight w:val="285"/>
        </w:trPr>
        <w:tc>
          <w:tcPr>
            <w:tcW w:w="7655" w:type="dxa"/>
            <w:gridSpan w:val="3"/>
          </w:tcPr>
          <w:p w:rsidR="006D4AA5" w:rsidRPr="00264048" w:rsidRDefault="00827095">
            <w:pPr>
              <w:pStyle w:val="Departement"/>
              <w:rPr>
                <w:sz w:val="28"/>
              </w:rPr>
            </w:pPr>
            <w:r w:rsidRPr="00264048">
              <w:t>Finansdepartementet</w:t>
            </w:r>
            <w:r w:rsidR="006D7A88" w:rsidRPr="00264048">
              <w:t xml:space="preserve">                                     </w:t>
            </w:r>
          </w:p>
        </w:tc>
      </w:tr>
      <w:tr w:rsidR="006D4AA5" w:rsidRPr="00264048">
        <w:tblPrEx>
          <w:tblCellMar>
            <w:top w:w="0" w:type="dxa"/>
            <w:left w:w="0" w:type="dxa"/>
            <w:bottom w:w="0" w:type="dxa"/>
            <w:right w:w="0" w:type="dxa"/>
          </w:tblCellMar>
        </w:tblPrEx>
        <w:trPr>
          <w:cantSplit/>
          <w:trHeight w:val="240"/>
        </w:trPr>
        <w:tc>
          <w:tcPr>
            <w:tcW w:w="7655" w:type="dxa"/>
            <w:gridSpan w:val="3"/>
          </w:tcPr>
          <w:p w:rsidR="006D4AA5" w:rsidRPr="00264048" w:rsidRDefault="00A83946">
            <w:pPr>
              <w:pStyle w:val="Dokumentdatum"/>
            </w:pPr>
            <w:r w:rsidRPr="00264048">
              <w:t>2007-09-05</w:t>
            </w:r>
          </w:p>
          <w:p w:rsidR="000367D0" w:rsidRPr="00264048" w:rsidRDefault="000367D0">
            <w:pPr>
              <w:pStyle w:val="Dokumentdatum"/>
            </w:pPr>
          </w:p>
        </w:tc>
      </w:tr>
      <w:tr w:rsidR="006D4AA5" w:rsidRPr="00264048">
        <w:tblPrEx>
          <w:tblCellMar>
            <w:top w:w="0" w:type="dxa"/>
            <w:left w:w="0" w:type="dxa"/>
            <w:bottom w:w="0" w:type="dxa"/>
            <w:right w:w="0" w:type="dxa"/>
          </w:tblCellMar>
        </w:tblPrEx>
        <w:trPr>
          <w:cantSplit/>
          <w:trHeight w:val="726"/>
        </w:trPr>
        <w:tc>
          <w:tcPr>
            <w:tcW w:w="7655" w:type="dxa"/>
            <w:gridSpan w:val="3"/>
            <w:vAlign w:val="bottom"/>
          </w:tcPr>
          <w:p w:rsidR="006D4AA5" w:rsidRPr="00264048" w:rsidRDefault="006D4AA5" w:rsidP="00827095">
            <w:r w:rsidRPr="00264048">
              <w:t>Dokumentbeteckning</w:t>
            </w:r>
          </w:p>
          <w:p w:rsidR="00D66631" w:rsidRPr="00264048" w:rsidRDefault="00D66631" w:rsidP="00827095"/>
        </w:tc>
      </w:tr>
      <w:tr w:rsidR="00A83946" w:rsidRPr="00264048">
        <w:tblPrEx>
          <w:tblCellMar>
            <w:top w:w="0" w:type="dxa"/>
            <w:left w:w="0" w:type="dxa"/>
            <w:bottom w:w="0" w:type="dxa"/>
            <w:right w:w="0" w:type="dxa"/>
          </w:tblCellMar>
        </w:tblPrEx>
        <w:trPr>
          <w:gridAfter w:val="1"/>
          <w:wAfter w:w="1560" w:type="dxa"/>
          <w:trHeight w:val="120"/>
        </w:trPr>
        <w:tc>
          <w:tcPr>
            <w:tcW w:w="6095" w:type="dxa"/>
            <w:gridSpan w:val="2"/>
          </w:tcPr>
          <w:p w:rsidR="00A83946" w:rsidRPr="00264048" w:rsidRDefault="00827095" w:rsidP="00827095">
            <w:bookmarkStart w:id="0" w:name="KomNr"/>
            <w:bookmarkEnd w:id="0"/>
            <w:r w:rsidRPr="00264048">
              <w:t>KOM (2007) 361 slutlig</w:t>
            </w:r>
          </w:p>
        </w:tc>
      </w:tr>
      <w:tr w:rsidR="00827095" w:rsidRPr="00264048">
        <w:tblPrEx>
          <w:tblCellMar>
            <w:top w:w="0" w:type="dxa"/>
            <w:left w:w="0" w:type="dxa"/>
            <w:bottom w:w="0" w:type="dxa"/>
            <w:right w:w="0" w:type="dxa"/>
          </w:tblCellMar>
        </w:tblPrEx>
        <w:trPr>
          <w:gridAfter w:val="1"/>
          <w:wAfter w:w="1560" w:type="dxa"/>
          <w:trHeight w:val="120"/>
        </w:trPr>
        <w:tc>
          <w:tcPr>
            <w:tcW w:w="6095" w:type="dxa"/>
            <w:gridSpan w:val="2"/>
          </w:tcPr>
          <w:p w:rsidR="00827095" w:rsidRPr="00264048" w:rsidRDefault="00827095" w:rsidP="00827095">
            <w:pPr>
              <w:pStyle w:val="Dokumentbeteckning-titel"/>
            </w:pPr>
            <w:r w:rsidRPr="00264048">
              <w:t>Förslag till nytt direktiv om rätten att etablera och driva verksamhet med försäkring och återförsäkring</w:t>
            </w:r>
          </w:p>
        </w:tc>
      </w:tr>
      <w:tr w:rsidR="00827095" w:rsidRPr="00264048">
        <w:tblPrEx>
          <w:tblCellMar>
            <w:top w:w="0" w:type="dxa"/>
            <w:left w:w="0" w:type="dxa"/>
            <w:bottom w:w="0" w:type="dxa"/>
            <w:right w:w="0" w:type="dxa"/>
          </w:tblCellMar>
        </w:tblPrEx>
        <w:trPr>
          <w:gridAfter w:val="1"/>
          <w:wAfter w:w="1560" w:type="dxa"/>
          <w:trHeight w:val="120"/>
        </w:trPr>
        <w:tc>
          <w:tcPr>
            <w:tcW w:w="6095" w:type="dxa"/>
            <w:gridSpan w:val="2"/>
          </w:tcPr>
          <w:p w:rsidR="00827095" w:rsidRPr="00264048" w:rsidRDefault="00827095" w:rsidP="00827095">
            <w:r w:rsidRPr="00264048">
              <w:t>SEK (2007) 870</w:t>
            </w:r>
          </w:p>
        </w:tc>
      </w:tr>
      <w:tr w:rsidR="00827095" w:rsidRPr="00264048">
        <w:tblPrEx>
          <w:tblCellMar>
            <w:top w:w="0" w:type="dxa"/>
            <w:left w:w="0" w:type="dxa"/>
            <w:bottom w:w="0" w:type="dxa"/>
            <w:right w:w="0" w:type="dxa"/>
          </w:tblCellMar>
        </w:tblPrEx>
        <w:trPr>
          <w:gridAfter w:val="1"/>
          <w:wAfter w:w="1560" w:type="dxa"/>
          <w:trHeight w:val="120"/>
        </w:trPr>
        <w:tc>
          <w:tcPr>
            <w:tcW w:w="6095" w:type="dxa"/>
            <w:gridSpan w:val="2"/>
          </w:tcPr>
          <w:p w:rsidR="00827095" w:rsidRPr="00264048" w:rsidRDefault="00827095" w:rsidP="00827095">
            <w:pPr>
              <w:pStyle w:val="Dokumentbeteckning-titel"/>
            </w:pPr>
            <w:r w:rsidRPr="00264048">
              <w:t xml:space="preserve"> </w:t>
            </w:r>
          </w:p>
        </w:tc>
      </w:tr>
      <w:tr w:rsidR="00827095" w:rsidRPr="00264048">
        <w:tblPrEx>
          <w:tblCellMar>
            <w:top w:w="0" w:type="dxa"/>
            <w:left w:w="0" w:type="dxa"/>
            <w:bottom w:w="0" w:type="dxa"/>
            <w:right w:w="0" w:type="dxa"/>
          </w:tblCellMar>
        </w:tblPrEx>
        <w:trPr>
          <w:gridAfter w:val="1"/>
          <w:wAfter w:w="1560" w:type="dxa"/>
          <w:trHeight w:val="120"/>
        </w:trPr>
        <w:tc>
          <w:tcPr>
            <w:tcW w:w="6095" w:type="dxa"/>
            <w:gridSpan w:val="2"/>
          </w:tcPr>
          <w:p w:rsidR="00827095" w:rsidRPr="00264048" w:rsidRDefault="00827095" w:rsidP="00827095">
            <w:r w:rsidRPr="00264048">
              <w:t>SEK (2007) 871</w:t>
            </w:r>
          </w:p>
        </w:tc>
      </w:tr>
      <w:tr w:rsidR="00827095" w:rsidRPr="00264048">
        <w:tblPrEx>
          <w:tblCellMar>
            <w:top w:w="0" w:type="dxa"/>
            <w:left w:w="0" w:type="dxa"/>
            <w:bottom w:w="0" w:type="dxa"/>
            <w:right w:w="0" w:type="dxa"/>
          </w:tblCellMar>
        </w:tblPrEx>
        <w:trPr>
          <w:gridAfter w:val="1"/>
          <w:wAfter w:w="1560" w:type="dxa"/>
          <w:trHeight w:val="120"/>
        </w:trPr>
        <w:tc>
          <w:tcPr>
            <w:tcW w:w="6095" w:type="dxa"/>
            <w:gridSpan w:val="2"/>
          </w:tcPr>
          <w:p w:rsidR="00827095" w:rsidRPr="00264048" w:rsidRDefault="00827095" w:rsidP="00827095">
            <w:pPr>
              <w:pStyle w:val="Dokumentbeteckning-titel"/>
            </w:pPr>
            <w:r w:rsidRPr="00264048">
              <w:t xml:space="preserve"> </w:t>
            </w:r>
          </w:p>
        </w:tc>
      </w:tr>
    </w:tbl>
    <w:p w:rsidR="006D4AA5" w:rsidRPr="00264048" w:rsidRDefault="006D4AA5" w:rsidP="00827095">
      <w:r w:rsidRPr="00264048">
        <w:t>Sammanfattning</w:t>
      </w:r>
    </w:p>
    <w:p w:rsidR="009153B9" w:rsidRPr="00264048" w:rsidRDefault="009153B9" w:rsidP="00827095"/>
    <w:p w:rsidR="00D66631" w:rsidRPr="00264048" w:rsidRDefault="00BC6701" w:rsidP="00827095">
      <w:r w:rsidRPr="00264048">
        <w:t>Den 10 juli 2007 lade k</w:t>
      </w:r>
      <w:r w:rsidR="009153B9" w:rsidRPr="00264048">
        <w:t xml:space="preserve">ommissionen </w:t>
      </w:r>
      <w:r w:rsidRPr="00264048">
        <w:t>fram ett direktivförslag</w:t>
      </w:r>
    </w:p>
    <w:p w:rsidR="009153B9" w:rsidRPr="00264048" w:rsidRDefault="009153B9" w:rsidP="00827095">
      <w:r w:rsidRPr="00264048">
        <w:t>inom ramen för arbetet med</w:t>
      </w:r>
      <w:r w:rsidR="00BC6701" w:rsidRPr="00264048">
        <w:t xml:space="preserve"> att ta fram</w:t>
      </w:r>
      <w:r w:rsidRPr="00264048">
        <w:t xml:space="preserve"> </w:t>
      </w:r>
      <w:r w:rsidR="00FA714C" w:rsidRPr="00264048">
        <w:t>nya solvensregler för försäkringsföretag</w:t>
      </w:r>
      <w:r w:rsidR="00BC6701" w:rsidRPr="00264048">
        <w:t xml:space="preserve"> (S</w:t>
      </w:r>
      <w:r w:rsidRPr="00264048">
        <w:t xml:space="preserve">olvens II). </w:t>
      </w:r>
      <w:r w:rsidR="00E174D9" w:rsidRPr="00264048">
        <w:t>Förslaget är utarbetat utifrån Lamfalussy-modellen</w:t>
      </w:r>
      <w:r w:rsidR="00D55850" w:rsidRPr="00264048">
        <w:t>,</w:t>
      </w:r>
      <w:r w:rsidR="00A2169C" w:rsidRPr="00264048">
        <w:t xml:space="preserve"> </w:t>
      </w:r>
      <w:r w:rsidR="00941E04" w:rsidRPr="00264048">
        <w:t>med ramdirektiv på nivå 1 och genomförandebestämmelser på nivå 2</w:t>
      </w:r>
      <w:r w:rsidR="00D55850" w:rsidRPr="00264048">
        <w:t>. Direktivet består</w:t>
      </w:r>
      <w:r w:rsidR="00FA714C" w:rsidRPr="00264048">
        <w:t xml:space="preserve"> dels </w:t>
      </w:r>
      <w:r w:rsidR="00E174D9" w:rsidRPr="00264048">
        <w:t>av övergripande principer för ett nytt solvensregelverk</w:t>
      </w:r>
      <w:r w:rsidR="00FA714C" w:rsidRPr="00264048">
        <w:t xml:space="preserve"> för skade- och livförsäkring, dels</w:t>
      </w:r>
      <w:r w:rsidR="00E174D9" w:rsidRPr="00264048">
        <w:t xml:space="preserve"> </w:t>
      </w:r>
      <w:r w:rsidR="0043534D" w:rsidRPr="00264048">
        <w:t xml:space="preserve">av </w:t>
      </w:r>
      <w:r w:rsidRPr="00264048">
        <w:t xml:space="preserve">en konsolidering av </w:t>
      </w:r>
      <w:r w:rsidR="0084411F" w:rsidRPr="00264048">
        <w:t>tretton</w:t>
      </w:r>
      <w:r w:rsidRPr="00264048">
        <w:t xml:space="preserve"> befintliga direktiv inom skade-, liv- och återförsäkring. I konsolideringen av befintliga direktiv </w:t>
      </w:r>
      <w:r w:rsidR="003623E8" w:rsidRPr="00264048">
        <w:t>ska inte ingå</w:t>
      </w:r>
      <w:r w:rsidRPr="00264048">
        <w:t xml:space="preserve"> några materiella förändringar. </w:t>
      </w:r>
    </w:p>
    <w:p w:rsidR="003623E8" w:rsidRPr="00264048" w:rsidRDefault="003623E8" w:rsidP="00827095"/>
    <w:p w:rsidR="00546373" w:rsidRPr="00264048" w:rsidRDefault="006048A4" w:rsidP="00827095">
      <w:r w:rsidRPr="00264048">
        <w:t>Det nya regelverket är omfattande (</w:t>
      </w:r>
      <w:r w:rsidR="00A2169C" w:rsidRPr="00264048">
        <w:t>371 s</w:t>
      </w:r>
      <w:r w:rsidRPr="00264048">
        <w:t xml:space="preserve">idor) och innehåller många delar. </w:t>
      </w:r>
      <w:r w:rsidR="003B3512" w:rsidRPr="00264048">
        <w:t>Ett</w:t>
      </w:r>
      <w:r w:rsidR="009153B9" w:rsidRPr="00264048">
        <w:t xml:space="preserve"> övergripande syfte med </w:t>
      </w:r>
      <w:r w:rsidR="00BC6701" w:rsidRPr="00264048">
        <w:t>S</w:t>
      </w:r>
      <w:r w:rsidR="009153B9" w:rsidRPr="00264048">
        <w:t>olvens II är att skapa en mer framåtblickande och riskorienterad reglering som tar sin utgångspunkt i företagens verksamhet som helhet och som baseras på en i högre utsträckning förebyggande tillsyn</w:t>
      </w:r>
      <w:r w:rsidR="003B3512" w:rsidRPr="00264048">
        <w:t>.</w:t>
      </w:r>
      <w:r w:rsidR="00FA33D0" w:rsidRPr="00264048">
        <w:t xml:space="preserve"> </w:t>
      </w:r>
      <w:r w:rsidR="003B3512" w:rsidRPr="00264048">
        <w:t xml:space="preserve">Ett annat syfte är </w:t>
      </w:r>
      <w:r w:rsidR="00FA33D0" w:rsidRPr="00264048">
        <w:t>att</w:t>
      </w:r>
      <w:r w:rsidR="009153B9" w:rsidRPr="00264048">
        <w:t xml:space="preserve"> ytterligare harmonisera </w:t>
      </w:r>
      <w:r w:rsidR="00A2169C" w:rsidRPr="00264048">
        <w:t>f</w:t>
      </w:r>
      <w:r w:rsidR="009153B9" w:rsidRPr="00264048">
        <w:t xml:space="preserve">örsäkringsregleringen </w:t>
      </w:r>
      <w:r w:rsidR="009153B9" w:rsidRPr="00264048">
        <w:lastRenderedPageBreak/>
        <w:t xml:space="preserve">inom EU så att samma konkurrensmöjligheter skapas för försäkringsföretag i olika medlemsländer. Utgångspunkten är att skydda försäkrings- och förmånstagarna </w:t>
      </w:r>
      <w:r w:rsidR="00F9593F" w:rsidRPr="00264048">
        <w:t>och få</w:t>
      </w:r>
      <w:r w:rsidR="009153B9" w:rsidRPr="00264048">
        <w:t xml:space="preserve"> ökad stabilitet på marknaden. </w:t>
      </w:r>
      <w:r w:rsidR="00A2169C" w:rsidRPr="00264048">
        <w:t>S</w:t>
      </w:r>
      <w:r w:rsidR="009153B9" w:rsidRPr="00264048">
        <w:t xml:space="preserve">olvenssystemet ska </w:t>
      </w:r>
      <w:r w:rsidR="00A2169C" w:rsidRPr="00264048">
        <w:t xml:space="preserve">vara utformat </w:t>
      </w:r>
      <w:r w:rsidR="009153B9" w:rsidRPr="00264048">
        <w:t xml:space="preserve">på ett sådant sätt att det skapas incitament för försäkringsföretagen att mäta sina risker och hantera dem på ett ändamålsenligt sätt. </w:t>
      </w:r>
    </w:p>
    <w:p w:rsidR="006048A4" w:rsidRPr="00264048" w:rsidRDefault="006048A4" w:rsidP="00827095"/>
    <w:p w:rsidR="008B3270" w:rsidRPr="00264048" w:rsidRDefault="008B3270" w:rsidP="00827095">
      <w:r w:rsidRPr="00264048">
        <w:t>Regeringen är positiv till förslaget om reformering av solvensreglerna samt konsolideringen av befintliga direktiv. Den föreslagna solvensregleringen ligger i linje med det svenska arbetet för en högre grad av riskkänslighet och proaktiv tillsyn inom försäkring</w:t>
      </w:r>
      <w:r w:rsidR="00F9593F" w:rsidRPr="00264048">
        <w:t>sområdet, på sätt som</w:t>
      </w:r>
      <w:r w:rsidRPr="00264048">
        <w:t xml:space="preserve"> redan har skett </w:t>
      </w:r>
      <w:r w:rsidR="00F9593F" w:rsidRPr="00264048">
        <w:t>inom</w:t>
      </w:r>
      <w:r w:rsidRPr="00264048">
        <w:t xml:space="preserve"> bankområdet</w:t>
      </w:r>
    </w:p>
    <w:p w:rsidR="008B3270" w:rsidRPr="00264048" w:rsidRDefault="008B3270" w:rsidP="00827095"/>
    <w:p w:rsidR="006D4AA5" w:rsidRPr="00264048" w:rsidRDefault="008C5BB9" w:rsidP="008C5BB9">
      <w:pPr>
        <w:pStyle w:val="Rubrik1"/>
      </w:pPr>
      <w:r w:rsidRPr="00264048">
        <w:t>Förslaget</w:t>
      </w:r>
    </w:p>
    <w:p w:rsidR="00A60ADB" w:rsidRPr="00264048" w:rsidRDefault="008C5BB9" w:rsidP="008C5BB9">
      <w:pPr>
        <w:pStyle w:val="Rubrik2"/>
      </w:pPr>
      <w:r w:rsidRPr="00264048">
        <w:t>Innehåll</w:t>
      </w:r>
    </w:p>
    <w:p w:rsidR="007D0383" w:rsidRPr="00264048" w:rsidRDefault="0083603D" w:rsidP="0083603D">
      <w:pPr>
        <w:tabs>
          <w:tab w:val="left" w:pos="3705"/>
        </w:tabs>
      </w:pPr>
      <w:r w:rsidRPr="00264048">
        <w:tab/>
      </w:r>
    </w:p>
    <w:p w:rsidR="003B3512" w:rsidRPr="00264048" w:rsidRDefault="0083603D" w:rsidP="00827095">
      <w:r w:rsidRPr="00264048">
        <w:t xml:space="preserve">Behovet av en mer genomgripande reformering av solvensreglerna har uppstått i anledning av främst utvecklingen av de finansiella marknaderna. </w:t>
      </w:r>
      <w:r w:rsidR="007D0383" w:rsidRPr="00264048">
        <w:t>Direktivförslaget har tagits fram av kommissionen inom ramen för Lamfalussyprocessen i samråd med medlemsstaterna genom Europeiska försäkrings- och tjänstepensionskommmittén och utifrån de råd som lämnats av CEIOPS och övriga intressenter. Hela Solvens II-projektet utgör en mer omfattande översyn än den uppdatering som tidigare gjor</w:t>
      </w:r>
      <w:r w:rsidRPr="00264048">
        <w:t>ts</w:t>
      </w:r>
      <w:r w:rsidR="007D0383" w:rsidRPr="00264048">
        <w:t xml:space="preserve"> av vissa solvensregler utifrån FSAP (Financial Services Action Plan). </w:t>
      </w:r>
      <w:r w:rsidRPr="00264048">
        <w:t>Den samtidiga konsolideringen av direktiven är en del av kommissionens ”Better Regulation” initiativ och syftar till att förenkla regelverket.</w:t>
      </w:r>
    </w:p>
    <w:p w:rsidR="007D0383" w:rsidRPr="00264048" w:rsidRDefault="007D0383" w:rsidP="00827095"/>
    <w:p w:rsidR="007D0383" w:rsidRPr="00264048" w:rsidRDefault="007D0383" w:rsidP="00827095"/>
    <w:p w:rsidR="003B3512" w:rsidRPr="00264048" w:rsidRDefault="003B3512" w:rsidP="00827095">
      <w:r w:rsidRPr="00264048">
        <w:t xml:space="preserve">Reformeringen av solvensreglerna tar sin utgångspunkt i den s.k. aktsamhetsprincipen (”Prudent person principle”), vilken introducerades i  tjänstepensionsdirektivet från 2003 (2003/41/EG). Genom principen förespråkas </w:t>
      </w:r>
      <w:r w:rsidR="00F9593F" w:rsidRPr="00264048">
        <w:t>mer övergripande principer</w:t>
      </w:r>
      <w:r w:rsidRPr="00264048">
        <w:t xml:space="preserve"> för hur förvaltningen av försäkringsföretagens medel bör vara anordnad, i motsats till dagens </w:t>
      </w:r>
      <w:r w:rsidR="00F9593F" w:rsidRPr="00264048">
        <w:t>strikt</w:t>
      </w:r>
      <w:r w:rsidRPr="00264048">
        <w:t xml:space="preserve"> utformade placeringsregler. Vidare genomsyrar den s.k. proportionalitetsprincipen - att tolkningen och implementeringen av kraven ska stå i relation till företagets storlek och betydelse på marknaden - hela förslaget. Det finns även en målsättning att undvika ”regelarbitrage” </w:t>
      </w:r>
      <w:r w:rsidR="00F9593F" w:rsidRPr="00264048">
        <w:t xml:space="preserve">(d.v.s. att företagen väljer verksamhetsform efter de regler som därigenom blir gynnsammast) </w:t>
      </w:r>
      <w:r w:rsidRPr="00264048">
        <w:t xml:space="preserve">genom att regleringen utformas på likvärdigt sätt som inom andra finansiella sektorer. </w:t>
      </w:r>
    </w:p>
    <w:p w:rsidR="00A60ADB" w:rsidRPr="00264048" w:rsidRDefault="00A60ADB" w:rsidP="00827095"/>
    <w:p w:rsidR="00872873" w:rsidRPr="00264048" w:rsidRDefault="00FA33D0" w:rsidP="00827095">
      <w:r w:rsidRPr="00264048">
        <w:t xml:space="preserve">Ansatsen för </w:t>
      </w:r>
      <w:r w:rsidR="00EE1A89" w:rsidRPr="00264048">
        <w:t>solvensregleringen</w:t>
      </w:r>
      <w:r w:rsidRPr="00264048">
        <w:t xml:space="preserve"> är ny genom krav på att analysera hela balansräkningen </w:t>
      </w:r>
      <w:r w:rsidR="00942C63" w:rsidRPr="00264048">
        <w:t xml:space="preserve">utifrån en ”economic total balance sheet approach”, </w:t>
      </w:r>
      <w:r w:rsidRPr="00264048">
        <w:t xml:space="preserve">för att täcka in hela företagets verksamhet och risker. Det tillkommer också nya krav på kvalitativ analys och marknadsdisciplin. </w:t>
      </w:r>
      <w:r w:rsidR="00942C63" w:rsidRPr="00264048">
        <w:t>Att mer</w:t>
      </w:r>
      <w:r w:rsidRPr="00264048">
        <w:t xml:space="preserve"> riskkänsliga kapitalkrav</w:t>
      </w:r>
      <w:r w:rsidR="00942C63" w:rsidRPr="00264048">
        <w:t xml:space="preserve"> föreslås införas fordrar</w:t>
      </w:r>
      <w:r w:rsidRPr="00264048">
        <w:t xml:space="preserve"> mer sofistikerade metoder för att beräkna riskerna, vilket </w:t>
      </w:r>
      <w:r w:rsidR="00D55850" w:rsidRPr="00264048">
        <w:t xml:space="preserve">också </w:t>
      </w:r>
      <w:r w:rsidRPr="00264048">
        <w:t xml:space="preserve">medför tekniskt </w:t>
      </w:r>
      <w:r w:rsidR="00D55850" w:rsidRPr="00264048">
        <w:t xml:space="preserve">avancerade och </w:t>
      </w:r>
      <w:r w:rsidRPr="00264048">
        <w:t>detaljerade regler.</w:t>
      </w:r>
    </w:p>
    <w:p w:rsidR="00872873" w:rsidRPr="00264048" w:rsidRDefault="00872873" w:rsidP="00827095"/>
    <w:p w:rsidR="00FA33D0" w:rsidRPr="00264048" w:rsidRDefault="00872873" w:rsidP="00827095">
      <w:r w:rsidRPr="00264048">
        <w:t xml:space="preserve">Strukturen i Solvens II följer de tre pelare som använts vid reformeringen av kapitaltäckningsreglerna för kreditinstitut och värdepappersföretag (Basel II). Fördelarna med ett sådant angreppssätt anges vara att det åstadkoms en koppling mellan kvantitativa regler (första pelaren), kvalitativa bedömningar (andra pelaren) och marknadsdisciplin (tredje pelaren). </w:t>
      </w:r>
      <w:r w:rsidR="00FA33D0" w:rsidRPr="00264048">
        <w:t xml:space="preserve"> </w:t>
      </w:r>
    </w:p>
    <w:p w:rsidR="007C0743" w:rsidRPr="00264048" w:rsidRDefault="007C0743" w:rsidP="00827095"/>
    <w:p w:rsidR="007C0743" w:rsidRPr="00264048" w:rsidRDefault="00EE1A89" w:rsidP="00827095">
      <w:r w:rsidRPr="00264048">
        <w:t>F</w:t>
      </w:r>
      <w:r w:rsidR="00633152" w:rsidRPr="00264048">
        <w:t>öretag (oavsett formen) med årliga premieintäkter under</w:t>
      </w:r>
      <w:r w:rsidR="004D265C" w:rsidRPr="00264048">
        <w:t>stigande</w:t>
      </w:r>
      <w:r w:rsidR="00633152" w:rsidRPr="00264048">
        <w:t xml:space="preserve"> 5 meur undantas från solvensregleringen enligt förslaget. De företag som </w:t>
      </w:r>
      <w:r w:rsidR="007C0743" w:rsidRPr="00264048">
        <w:t xml:space="preserve">därmed </w:t>
      </w:r>
      <w:r w:rsidR="00633152" w:rsidRPr="00264048">
        <w:t xml:space="preserve">undantas får </w:t>
      </w:r>
      <w:r w:rsidR="004D265C" w:rsidRPr="00264048">
        <w:t xml:space="preserve">dock </w:t>
      </w:r>
      <w:r w:rsidR="00633152" w:rsidRPr="00264048">
        <w:t>välja att ändå tillämpa reglerna.</w:t>
      </w:r>
    </w:p>
    <w:p w:rsidR="008C5BB9" w:rsidRPr="00264048" w:rsidRDefault="008C5BB9" w:rsidP="00827095"/>
    <w:p w:rsidR="00FA33D0" w:rsidRPr="00264048" w:rsidRDefault="00FA33D0" w:rsidP="00827095">
      <w:r w:rsidRPr="00264048">
        <w:t xml:space="preserve">Pelare </w:t>
      </w:r>
      <w:r w:rsidR="001063EF" w:rsidRPr="00264048">
        <w:t>I</w:t>
      </w:r>
      <w:r w:rsidRPr="00264048">
        <w:t xml:space="preserve"> – kvantitativa regler </w:t>
      </w:r>
    </w:p>
    <w:p w:rsidR="00872873" w:rsidRPr="00264048" w:rsidRDefault="00872873" w:rsidP="00827095"/>
    <w:p w:rsidR="00AE61B0" w:rsidRPr="00264048" w:rsidRDefault="00FA33D0" w:rsidP="00827095">
      <w:r w:rsidRPr="00264048">
        <w:t xml:space="preserve">I </w:t>
      </w:r>
      <w:r w:rsidR="00872873" w:rsidRPr="00264048">
        <w:t>S</w:t>
      </w:r>
      <w:r w:rsidRPr="00264048">
        <w:t>olvens II frångår man den nuvarande regleringen om försiktig värdering</w:t>
      </w:r>
      <w:r w:rsidR="00EE1A89" w:rsidRPr="00264048">
        <w:t>. S</w:t>
      </w:r>
      <w:r w:rsidRPr="00264048">
        <w:t xml:space="preserve">amtliga tillgångar och skulder ska </w:t>
      </w:r>
      <w:r w:rsidR="00EE1A89" w:rsidRPr="00264048">
        <w:t xml:space="preserve">istället </w:t>
      </w:r>
      <w:r w:rsidRPr="00264048">
        <w:t>värderas realistiskt i syfte att uppnå objektivitet och jämförbarhet mellan försäkringsföretag. Reglerna för skuldtäckningstillgångar</w:t>
      </w:r>
      <w:r w:rsidR="003F751A" w:rsidRPr="00264048">
        <w:t xml:space="preserve">, som </w:t>
      </w:r>
      <w:r w:rsidR="005A59F3" w:rsidRPr="00264048">
        <w:t>ska</w:t>
      </w:r>
      <w:r w:rsidR="003F751A" w:rsidRPr="00264048">
        <w:t xml:space="preserve"> gälla för samtliga tillgångar, </w:t>
      </w:r>
      <w:r w:rsidRPr="00264048">
        <w:t>ska ta sin utgångspunkt i aktsamhetsprincipen</w:t>
      </w:r>
      <w:r w:rsidR="003F751A" w:rsidRPr="00264048">
        <w:t xml:space="preserve"> </w:t>
      </w:r>
      <w:r w:rsidRPr="00264048">
        <w:t xml:space="preserve">i stället för de nuvarande strikta kvantitativa placeringsreglerna. </w:t>
      </w:r>
    </w:p>
    <w:p w:rsidR="00F9593F" w:rsidRPr="00264048" w:rsidRDefault="00F9593F" w:rsidP="00827095"/>
    <w:p w:rsidR="00FA33D0" w:rsidRPr="00264048" w:rsidRDefault="00FA33D0" w:rsidP="00827095">
      <w:r w:rsidRPr="00264048">
        <w:t xml:space="preserve">Utgångspunkten </w:t>
      </w:r>
      <w:r w:rsidR="00C6736D" w:rsidRPr="00264048">
        <w:t xml:space="preserve">i förslaget </w:t>
      </w:r>
      <w:r w:rsidRPr="00264048">
        <w:t>är</w:t>
      </w:r>
      <w:r w:rsidR="00AE61B0" w:rsidRPr="00264048">
        <w:t xml:space="preserve"> </w:t>
      </w:r>
      <w:r w:rsidRPr="00264048">
        <w:t xml:space="preserve">att försäkringsföretagen ska ha kapital som kan täcka betydande oförväntade förluster. En viktig del i solvensregleringen </w:t>
      </w:r>
      <w:r w:rsidR="00C6736D" w:rsidRPr="00264048">
        <w:t>blir</w:t>
      </w:r>
      <w:r w:rsidRPr="00264048">
        <w:t xml:space="preserve"> därför att ange krav på vilket kapital företagen måste hålla. I </w:t>
      </w:r>
      <w:r w:rsidR="00AE61B0" w:rsidRPr="00264048">
        <w:t>S</w:t>
      </w:r>
      <w:r w:rsidRPr="00264048">
        <w:t>olvens II införs två olika kapitalkrav där den lägre nivån, minimikapitalkravet (MCR), är ett absolut krav för fortsatt verksamhet medan solvenskapitalkravet (SCR) syftar till en mer</w:t>
      </w:r>
      <w:r w:rsidR="00D55850" w:rsidRPr="00264048">
        <w:t xml:space="preserve"> </w:t>
      </w:r>
      <w:r w:rsidR="00C6736D" w:rsidRPr="00264048">
        <w:t>förebyggande</w:t>
      </w:r>
      <w:r w:rsidR="00D55850" w:rsidRPr="00264048">
        <w:t xml:space="preserve"> </w:t>
      </w:r>
      <w:r w:rsidRPr="00264048">
        <w:t xml:space="preserve">tillsyn genom att tillsynsmyndigheten ska få en tidigare signal om problem i företaget. För MCR har utgångspunkten varit </w:t>
      </w:r>
      <w:r w:rsidR="00DA3914" w:rsidRPr="00264048">
        <w:t xml:space="preserve">den </w:t>
      </w:r>
      <w:r w:rsidRPr="00264048">
        <w:t>at</w:t>
      </w:r>
      <w:r w:rsidR="00DA3914" w:rsidRPr="00264048">
        <w:t>t det bara ska finnas en metod för dess beräkning s</w:t>
      </w:r>
      <w:r w:rsidRPr="00264048">
        <w:t>om är enklare och beaktar de grundläggande riskerna</w:t>
      </w:r>
      <w:r w:rsidR="00DA3914" w:rsidRPr="00264048">
        <w:t xml:space="preserve">. </w:t>
      </w:r>
      <w:r w:rsidR="00E910B5" w:rsidRPr="00264048">
        <w:t>För SCR föreslås dock alternativa beräkningsmodeller.</w:t>
      </w:r>
    </w:p>
    <w:p w:rsidR="00FA33D0" w:rsidRPr="00264048" w:rsidRDefault="00FA33D0" w:rsidP="00827095"/>
    <w:p w:rsidR="00DA3914" w:rsidRPr="00264048" w:rsidRDefault="00FA33D0" w:rsidP="00827095">
      <w:r w:rsidRPr="00264048">
        <w:t xml:space="preserve">De föreslagna reglerna separerar kapitalet i tre kategorier </w:t>
      </w:r>
      <w:r w:rsidR="00DA3914" w:rsidRPr="00264048">
        <w:t xml:space="preserve">(Tier 1-3) </w:t>
      </w:r>
      <w:r w:rsidRPr="00264048">
        <w:t xml:space="preserve">baserat på en rad kvalitativa krav på dess egenskaper. Endast kapital </w:t>
      </w:r>
      <w:r w:rsidR="00A86F1E" w:rsidRPr="00264048">
        <w:t>inom balansräkningen som är Tier 1 eller 2</w:t>
      </w:r>
      <w:r w:rsidR="00C16773" w:rsidRPr="00264048">
        <w:t xml:space="preserve"> </w:t>
      </w:r>
      <w:r w:rsidRPr="00264048">
        <w:t xml:space="preserve">får användas för att möta </w:t>
      </w:r>
      <w:r w:rsidR="00DA3914" w:rsidRPr="00264048">
        <w:t>MCR</w:t>
      </w:r>
      <w:r w:rsidRPr="00264048">
        <w:t>.</w:t>
      </w:r>
    </w:p>
    <w:p w:rsidR="00FA33D0" w:rsidRPr="00264048" w:rsidRDefault="00FA33D0" w:rsidP="00827095">
      <w:r w:rsidRPr="00264048">
        <w:t xml:space="preserve"> </w:t>
      </w:r>
    </w:p>
    <w:p w:rsidR="00FA33D0" w:rsidRPr="00264048" w:rsidRDefault="00FA33D0" w:rsidP="00827095">
      <w:r w:rsidRPr="00264048">
        <w:t xml:space="preserve">Pelare </w:t>
      </w:r>
      <w:r w:rsidR="001063EF" w:rsidRPr="00264048">
        <w:t>II</w:t>
      </w:r>
      <w:r w:rsidRPr="00264048">
        <w:t xml:space="preserve"> – kvalitativa krav och tillsyn</w:t>
      </w:r>
    </w:p>
    <w:p w:rsidR="00872873" w:rsidRPr="00264048" w:rsidRDefault="00872873" w:rsidP="00827095"/>
    <w:p w:rsidR="00FA33D0" w:rsidRPr="00264048" w:rsidRDefault="00FA33D0" w:rsidP="00827095">
      <w:r w:rsidRPr="00264048">
        <w:t>Syftet med den andra pelaren är att som komplement till de fastställda kvantitativa beräkningarna</w:t>
      </w:r>
      <w:r w:rsidR="00DA3914" w:rsidRPr="00264048">
        <w:t>,</w:t>
      </w:r>
      <w:r w:rsidRPr="00264048">
        <w:t xml:space="preserve"> analysera kapitalbehovet i det enskilda företaget i relation till dess risker. Företagen åläggs krav på att analysera riskerna förknippade med sin verksamhet och mot bakgrund av resultatet utvärdera </w:t>
      </w:r>
      <w:r w:rsidR="00DA3914" w:rsidRPr="00264048">
        <w:t>SCR</w:t>
      </w:r>
      <w:r w:rsidR="00B5445F" w:rsidRPr="00264048">
        <w:t>. Ti</w:t>
      </w:r>
      <w:r w:rsidRPr="00264048">
        <w:t>llsynen ska eftersträva att identifiera företag vilkas finansiella ställning, organisation, riskhantering etc</w:t>
      </w:r>
      <w:r w:rsidR="00B5445F" w:rsidRPr="00264048">
        <w:t>.</w:t>
      </w:r>
      <w:r w:rsidRPr="00264048">
        <w:t xml:space="preserve"> är sådan att deras riskprofil är högre än vad beräkningarna av </w:t>
      </w:r>
      <w:r w:rsidR="004C1CDB" w:rsidRPr="00264048">
        <w:t>SCR</w:t>
      </w:r>
      <w:r w:rsidRPr="00264048">
        <w:t xml:space="preserve"> i pelare </w:t>
      </w:r>
      <w:r w:rsidR="00872873" w:rsidRPr="00264048">
        <w:t>I</w:t>
      </w:r>
      <w:r w:rsidRPr="00264048">
        <w:t xml:space="preserve"> motsvarar</w:t>
      </w:r>
      <w:r w:rsidR="00E910B5" w:rsidRPr="00264048">
        <w:t xml:space="preserve"> och tillsynsmyndigheten kan komma att</w:t>
      </w:r>
      <w:r w:rsidRPr="00264048">
        <w:t xml:space="preserve"> </w:t>
      </w:r>
      <w:r w:rsidR="00E910B5" w:rsidRPr="00264048">
        <w:t xml:space="preserve">bl.a. </w:t>
      </w:r>
      <w:r w:rsidRPr="00264048">
        <w:t xml:space="preserve">kräva höjt solvenskapital i </w:t>
      </w:r>
      <w:r w:rsidR="00E910B5" w:rsidRPr="00264048">
        <w:t xml:space="preserve">det </w:t>
      </w:r>
      <w:r w:rsidRPr="00264048">
        <w:t>företaget. Ökad harmonisering av tillsynen generellt</w:t>
      </w:r>
      <w:r w:rsidR="004C1CDB" w:rsidRPr="00264048">
        <w:t>,</w:t>
      </w:r>
      <w:r w:rsidRPr="00264048">
        <w:t xml:space="preserve"> och i synnerhet gemensamma standarder och metoder för validering av interna modeller</w:t>
      </w:r>
      <w:r w:rsidR="004C1CDB" w:rsidRPr="00264048">
        <w:t>,</w:t>
      </w:r>
      <w:r w:rsidRPr="00264048">
        <w:t xml:space="preserve"> </w:t>
      </w:r>
      <w:r w:rsidR="00C16773" w:rsidRPr="00264048">
        <w:t>är av</w:t>
      </w:r>
      <w:r w:rsidRPr="00264048">
        <w:t xml:space="preserve"> central betydelse i pelare </w:t>
      </w:r>
      <w:r w:rsidR="00872873" w:rsidRPr="00264048">
        <w:t>II</w:t>
      </w:r>
      <w:r w:rsidRPr="00264048">
        <w:t xml:space="preserve">. </w:t>
      </w:r>
    </w:p>
    <w:p w:rsidR="004C1CDB" w:rsidRPr="00264048" w:rsidRDefault="004C1CDB" w:rsidP="00827095"/>
    <w:p w:rsidR="00FA33D0" w:rsidRPr="00264048" w:rsidRDefault="00FA33D0" w:rsidP="00827095">
      <w:r w:rsidRPr="00264048">
        <w:t xml:space="preserve">Pelare </w:t>
      </w:r>
      <w:r w:rsidR="001063EF" w:rsidRPr="00264048">
        <w:t>III</w:t>
      </w:r>
      <w:r w:rsidRPr="00264048">
        <w:t xml:space="preserve"> – marknadsdisciplin </w:t>
      </w:r>
    </w:p>
    <w:p w:rsidR="00872873" w:rsidRPr="00264048" w:rsidRDefault="00872873" w:rsidP="00827095"/>
    <w:p w:rsidR="00FA33D0" w:rsidRPr="00264048" w:rsidRDefault="00952DFD" w:rsidP="00827095">
      <w:r w:rsidRPr="00264048">
        <w:t>För att skapa marknadsdisciplin och därigenom ytterst förbättra stabiliteten i försäkringsföretagen</w:t>
      </w:r>
      <w:r w:rsidR="00EF7E4A" w:rsidRPr="00264048">
        <w:t>, införs krav på h</w:t>
      </w:r>
      <w:r w:rsidR="00FA33D0" w:rsidRPr="00264048">
        <w:t xml:space="preserve">armoniserad rapportering till tillsynsmyndigheterna och krav på offentliggörande av information </w:t>
      </w:r>
      <w:r w:rsidR="00864EE0" w:rsidRPr="00264048">
        <w:t>till</w:t>
      </w:r>
      <w:r w:rsidR="00FA33D0" w:rsidRPr="00264048">
        <w:t xml:space="preserve"> marknaden. Försäkringsföretagen åläggs också att beskriva sina interna system för riskhantering, i synnerhet om en intern modell för beräkning av </w:t>
      </w:r>
      <w:r w:rsidR="00FE2B1C" w:rsidRPr="00264048">
        <w:t xml:space="preserve">SCR </w:t>
      </w:r>
      <w:r w:rsidR="00FA33D0" w:rsidRPr="00264048">
        <w:t xml:space="preserve">tillämpas. </w:t>
      </w:r>
    </w:p>
    <w:p w:rsidR="00FE2B1C" w:rsidRPr="00264048" w:rsidRDefault="00FE2B1C" w:rsidP="00827095"/>
    <w:p w:rsidR="00FA33D0" w:rsidRPr="00264048" w:rsidRDefault="00FA33D0" w:rsidP="00827095">
      <w:r w:rsidRPr="00264048">
        <w:t>Försäkringsgrupper</w:t>
      </w:r>
    </w:p>
    <w:p w:rsidR="00872873" w:rsidRPr="00264048" w:rsidRDefault="00872873" w:rsidP="00827095"/>
    <w:p w:rsidR="00FA33D0" w:rsidRPr="00264048" w:rsidRDefault="00FA33D0" w:rsidP="00827095">
      <w:r w:rsidRPr="00264048">
        <w:t xml:space="preserve">En viktig reform avser reglerna för, och tillsynen </w:t>
      </w:r>
      <w:r w:rsidR="0004111B" w:rsidRPr="00264048">
        <w:t>över</w:t>
      </w:r>
      <w:r w:rsidRPr="00264048">
        <w:t xml:space="preserve">, försäkringsgrupper där direktivet ger möjlighet för företagen att ansöka om att tillsyn </w:t>
      </w:r>
      <w:r w:rsidR="00A86F1E" w:rsidRPr="00264048">
        <w:t>i huvudsak</w:t>
      </w:r>
      <w:r w:rsidRPr="00264048">
        <w:t xml:space="preserve"> ska ske på gruppnivå</w:t>
      </w:r>
      <w:r w:rsidR="00872873" w:rsidRPr="00264048">
        <w:t xml:space="preserve"> samt</w:t>
      </w:r>
      <w:r w:rsidRPr="00264048">
        <w:t xml:space="preserve"> att beakta diversifieringseffekter </w:t>
      </w:r>
      <w:r w:rsidR="00872873" w:rsidRPr="00264048">
        <w:t xml:space="preserve">mellan soloföretagen ingående i gruppen </w:t>
      </w:r>
      <w:r w:rsidR="00FE2B1C" w:rsidRPr="00264048">
        <w:t>vid bestämmande av SCR</w:t>
      </w:r>
      <w:r w:rsidRPr="00264048">
        <w:t xml:space="preserve">. </w:t>
      </w:r>
    </w:p>
    <w:p w:rsidR="006D4AA5" w:rsidRPr="00264048" w:rsidRDefault="006D4AA5" w:rsidP="008C5BB9">
      <w:pPr>
        <w:pStyle w:val="Rubrik2"/>
      </w:pPr>
      <w:r w:rsidRPr="00264048">
        <w:t>Gällande svenska regler och förslagets effekt på dessa</w:t>
      </w:r>
    </w:p>
    <w:p w:rsidR="007C0743" w:rsidRPr="00264048" w:rsidRDefault="007C0743" w:rsidP="00827095"/>
    <w:p w:rsidR="00EA322D" w:rsidRPr="00264048" w:rsidRDefault="00EA322D" w:rsidP="00827095">
      <w:r w:rsidRPr="00264048">
        <w:t>Försäkringsrörelse kan rättsligt bedrivas i form av försäkringsaktiebolag, ömsesidigt försäkringsbolag eller understödsförening. Försäkringsbolagens verksamhet regleras i försäkringsrörelselagen (1982:713), FRL, medan bestämmelser för understödsföreningar finns i lagen (1972:262) om understödsföreningar, UFL. Båda lagarna innehåller såväl associationsrättsliga regler som bestämmelser för den särskilda verksamhet som drivs i försäkringsföretag, däribland solvensregler. Reglerna om koncession i FRL avser såväl skade</w:t>
      </w:r>
      <w:r w:rsidR="009C79AA" w:rsidRPr="00264048">
        <w:t>-</w:t>
      </w:r>
      <w:r w:rsidRPr="00264048">
        <w:t xml:space="preserve"> och livförsäkring som återförsäkring. Kompletterande regler till FRL finns i försäkringsrörelseförordningen (1982:790) och i föreskrifter meddelade av Finansinspektionen. Utländska försäkringsgivare och tjänstepensionsinstitut regleras i lagen (1998:293) om utländska försäkringsgivares och tjänstepensionsinstituts verksamhet i Sverige (LUFT). För försäkringsrörelse finns vidare särskilda redovisningsregler i lagen (1995:1569) om årsredovisning i försäkringsföretag (ÅRFL), med kompletterande föreskrifter av Finansinspektionen. </w:t>
      </w:r>
    </w:p>
    <w:p w:rsidR="00EA322D" w:rsidRPr="00264048" w:rsidRDefault="00EA322D" w:rsidP="00827095"/>
    <w:p w:rsidR="00EA322D" w:rsidRPr="00264048" w:rsidRDefault="00EA322D" w:rsidP="00827095">
      <w:r w:rsidRPr="00264048">
        <w:t xml:space="preserve">De nya solvensreglerna i kommissionens </w:t>
      </w:r>
      <w:r w:rsidR="004B24B4" w:rsidRPr="00264048">
        <w:t>direktiv</w:t>
      </w:r>
      <w:r w:rsidRPr="00264048">
        <w:t>förslag och tillhörande genomförandebestämmelser kräver ändring i den nuvarande regleringen i FRL, UFL, LUFT och tillhörande förordning och föreskrifter</w:t>
      </w:r>
      <w:r w:rsidR="004B24B4" w:rsidRPr="00264048">
        <w:t>. D</w:t>
      </w:r>
      <w:r w:rsidRPr="00264048">
        <w:t xml:space="preserve">äremot berörs inte redovisningsreglerna eftersom någon harmonisering med dessa inte </w:t>
      </w:r>
      <w:r w:rsidR="00A86F1E" w:rsidRPr="00264048">
        <w:t xml:space="preserve">förväntas </w:t>
      </w:r>
      <w:r w:rsidRPr="00264048">
        <w:t>komm</w:t>
      </w:r>
      <w:r w:rsidR="00A86F1E" w:rsidRPr="00264048">
        <w:t>a</w:t>
      </w:r>
      <w:r w:rsidRPr="00264048">
        <w:t xml:space="preserve"> till stånd inom ramen för </w:t>
      </w:r>
      <w:r w:rsidR="00BC6701" w:rsidRPr="00264048">
        <w:t>S</w:t>
      </w:r>
      <w:r w:rsidRPr="00264048">
        <w:t xml:space="preserve">olvens II. </w:t>
      </w:r>
    </w:p>
    <w:p w:rsidR="00EA322D" w:rsidRPr="00264048" w:rsidRDefault="00EA322D" w:rsidP="00827095"/>
    <w:p w:rsidR="006D4AA5" w:rsidRPr="00264048" w:rsidRDefault="00BC6701" w:rsidP="00827095">
      <w:r w:rsidRPr="00264048">
        <w:t xml:space="preserve">1.3 </w:t>
      </w:r>
      <w:r w:rsidR="006D4AA5" w:rsidRPr="00264048">
        <w:t>Budgetära konsekvenser</w:t>
      </w:r>
    </w:p>
    <w:p w:rsidR="00EA322D" w:rsidRPr="00264048" w:rsidRDefault="00EA322D" w:rsidP="00827095"/>
    <w:p w:rsidR="00C64729" w:rsidRPr="00264048" w:rsidRDefault="00A86F1E" w:rsidP="00827095">
      <w:r w:rsidRPr="00264048">
        <w:t>A</w:t>
      </w:r>
      <w:r w:rsidR="00635AE5" w:rsidRPr="00264048">
        <w:t xml:space="preserve">vsikten </w:t>
      </w:r>
      <w:r w:rsidRPr="00264048">
        <w:t xml:space="preserve">när regelverket träder i kraft är </w:t>
      </w:r>
      <w:r w:rsidR="00635AE5" w:rsidRPr="00264048">
        <w:t xml:space="preserve">att kostnaden för prövning av försäkringsföretagens interna modeller ska betalas direkt av företagen, i likhet med vad som gäller för kapitaltäckningsregelverket. </w:t>
      </w:r>
      <w:r w:rsidR="00D26D5F" w:rsidRPr="00264048">
        <w:t xml:space="preserve"> </w:t>
      </w:r>
      <w:r w:rsidR="005A59F3" w:rsidRPr="00264048">
        <w:t xml:space="preserve">Av kommissionens konsekvensanalys (”Impact Assessment Report”) framgår att några direkta effekter på EU-budgeten inte är att vänta med anledning av direktivet. </w:t>
      </w:r>
    </w:p>
    <w:p w:rsidR="006D4AA5" w:rsidRPr="00264048" w:rsidRDefault="006D4AA5" w:rsidP="008C5BB9">
      <w:pPr>
        <w:pStyle w:val="Rubrik1"/>
      </w:pPr>
      <w:r w:rsidRPr="00264048">
        <w:t>Ståndpunkter</w:t>
      </w:r>
    </w:p>
    <w:p w:rsidR="006D4AA5" w:rsidRPr="00264048" w:rsidRDefault="006D4AA5" w:rsidP="008C5BB9">
      <w:pPr>
        <w:pStyle w:val="Rubrik2"/>
      </w:pPr>
      <w:r w:rsidRPr="00264048">
        <w:t>Svensk ståndpunkt</w:t>
      </w:r>
    </w:p>
    <w:p w:rsidR="00B5445F" w:rsidRPr="00264048" w:rsidRDefault="00B5445F" w:rsidP="00827095"/>
    <w:p w:rsidR="00196338" w:rsidRPr="00264048" w:rsidRDefault="00882CD9" w:rsidP="00827095">
      <w:r w:rsidRPr="00264048">
        <w:t>Regeringen</w:t>
      </w:r>
      <w:r w:rsidR="005E1161" w:rsidRPr="00264048">
        <w:t xml:space="preserve"> har varit mycket positiv till </w:t>
      </w:r>
      <w:r w:rsidR="00B5445F" w:rsidRPr="00264048">
        <w:t>S</w:t>
      </w:r>
      <w:r w:rsidR="005E1161" w:rsidRPr="00264048">
        <w:t>olvens II</w:t>
      </w:r>
      <w:r w:rsidR="00B5445F" w:rsidRPr="00264048">
        <w:t>-</w:t>
      </w:r>
      <w:r w:rsidR="005E1161" w:rsidRPr="00264048">
        <w:t xml:space="preserve"> projektet och välkomnar såväl reformeringen av solvensregler</w:t>
      </w:r>
      <w:r w:rsidR="00196338" w:rsidRPr="00264048">
        <w:t>na</w:t>
      </w:r>
      <w:r w:rsidR="005E1161" w:rsidRPr="00264048">
        <w:t xml:space="preserve"> som konsolideringen av </w:t>
      </w:r>
      <w:r w:rsidR="000A314C" w:rsidRPr="00264048">
        <w:t xml:space="preserve">nämnda </w:t>
      </w:r>
      <w:r w:rsidR="005E1161" w:rsidRPr="00264048">
        <w:t>befintliga direktiv</w:t>
      </w:r>
      <w:r w:rsidR="000A314C" w:rsidRPr="00264048">
        <w:t xml:space="preserve"> på försäkringsområdet</w:t>
      </w:r>
      <w:r w:rsidR="005E1161" w:rsidRPr="00264048">
        <w:t>. I linje med anpassningen av reglerna inom bank</w:t>
      </w:r>
      <w:r w:rsidR="00196338" w:rsidRPr="00264048">
        <w:t>,</w:t>
      </w:r>
      <w:r w:rsidR="005E1161" w:rsidRPr="00264048">
        <w:t xml:space="preserve"> prioriterar </w:t>
      </w:r>
      <w:r w:rsidRPr="00264048">
        <w:t>regeringen</w:t>
      </w:r>
      <w:r w:rsidR="005E1161" w:rsidRPr="00264048">
        <w:t xml:space="preserve"> arbetet med att uppnå en högre grad av riskkänslighet och proaktiv tillsyn inom försäkring. </w:t>
      </w:r>
    </w:p>
    <w:p w:rsidR="00E910B5" w:rsidRPr="00264048" w:rsidRDefault="00E910B5" w:rsidP="00827095"/>
    <w:p w:rsidR="005E1161" w:rsidRPr="00264048" w:rsidRDefault="005E1161" w:rsidP="00827095">
      <w:r w:rsidRPr="00264048">
        <w:t>Lamfalussyprocessen</w:t>
      </w:r>
    </w:p>
    <w:p w:rsidR="00196338" w:rsidRPr="00264048" w:rsidRDefault="00196338" w:rsidP="00827095"/>
    <w:p w:rsidR="00245BCB" w:rsidRPr="00264048" w:rsidRDefault="00882CD9" w:rsidP="00827095">
      <w:r w:rsidRPr="00264048">
        <w:t>Regeringen</w:t>
      </w:r>
      <w:r w:rsidR="005E1161" w:rsidRPr="00264048">
        <w:t xml:space="preserve"> förordar på detta område starkt Lamfalussyprocessens ordning, då regleringen är omfattande och </w:t>
      </w:r>
      <w:r w:rsidR="00F8671D" w:rsidRPr="00264048">
        <w:t>tekniskt komplicerad. De</w:t>
      </w:r>
      <w:r w:rsidR="005E1161" w:rsidRPr="00264048">
        <w:t xml:space="preserve"> tekniska krav</w:t>
      </w:r>
      <w:r w:rsidR="00F8671D" w:rsidRPr="00264048">
        <w:t>en</w:t>
      </w:r>
      <w:r w:rsidR="005E1161" w:rsidRPr="00264048">
        <w:t xml:space="preserve"> kommer att behöva anpassas i takt med utvecklingen på marknaden. </w:t>
      </w:r>
    </w:p>
    <w:p w:rsidR="00882CD9" w:rsidRPr="00264048" w:rsidRDefault="00882CD9" w:rsidP="00827095"/>
    <w:p w:rsidR="005E1161" w:rsidRPr="00264048" w:rsidRDefault="005E1161" w:rsidP="00827095">
      <w:r w:rsidRPr="00264048">
        <w:t>Grundläggande principer och harmonisering</w:t>
      </w:r>
    </w:p>
    <w:p w:rsidR="00A60ADB" w:rsidRPr="00264048" w:rsidRDefault="00A60ADB" w:rsidP="00827095"/>
    <w:p w:rsidR="005E1161" w:rsidRPr="00264048" w:rsidRDefault="00882CD9" w:rsidP="00827095">
      <w:r w:rsidRPr="00264048">
        <w:t>Regeringen</w:t>
      </w:r>
      <w:r w:rsidR="005E1161" w:rsidRPr="00264048">
        <w:t xml:space="preserve"> är generellt positiv till de principer som </w:t>
      </w:r>
      <w:r w:rsidR="00A60ADB" w:rsidRPr="00264048">
        <w:t>S</w:t>
      </w:r>
      <w:r w:rsidR="002D67E5" w:rsidRPr="00264048">
        <w:t>olvens II vilar på, så</w:t>
      </w:r>
      <w:r w:rsidR="005E1161" w:rsidRPr="00264048">
        <w:t>som aktsamhetsprincipen, proportionalitetsprincipen och de tre pelarna från</w:t>
      </w:r>
      <w:r w:rsidR="002D67E5" w:rsidRPr="00264048">
        <w:t xml:space="preserve"> </w:t>
      </w:r>
      <w:r w:rsidR="00A60ADB" w:rsidRPr="00264048">
        <w:t>Basel II</w:t>
      </w:r>
      <w:r w:rsidR="005E1161" w:rsidRPr="00264048">
        <w:t xml:space="preserve">. </w:t>
      </w:r>
      <w:r w:rsidR="00E910B5" w:rsidRPr="00264048">
        <w:t xml:space="preserve">Det är dock </w:t>
      </w:r>
      <w:r w:rsidR="005E1161" w:rsidRPr="00264048">
        <w:t xml:space="preserve">viktigt att de grundläggande skillnader som finns mellan försäkring och bank tillåts påverka utformningen av </w:t>
      </w:r>
      <w:r w:rsidR="00A60ADB" w:rsidRPr="00264048">
        <w:t>S</w:t>
      </w:r>
      <w:r w:rsidR="005E1161" w:rsidRPr="00264048">
        <w:t>olvens II..</w:t>
      </w:r>
    </w:p>
    <w:p w:rsidR="00A60ADB" w:rsidRPr="00264048" w:rsidRDefault="00A60ADB" w:rsidP="00827095"/>
    <w:p w:rsidR="005E1161" w:rsidRPr="00264048" w:rsidRDefault="005E1161" w:rsidP="00827095">
      <w:r w:rsidRPr="00264048">
        <w:t xml:space="preserve">Pelare </w:t>
      </w:r>
      <w:r w:rsidR="00A60ADB" w:rsidRPr="00264048">
        <w:t>I</w:t>
      </w:r>
      <w:r w:rsidRPr="00264048">
        <w:t xml:space="preserve"> – kvantit</w:t>
      </w:r>
      <w:r w:rsidR="00A60ADB" w:rsidRPr="00264048">
        <w:t>ativa regler (Title I, Chapter VI</w:t>
      </w:r>
      <w:r w:rsidRPr="00264048">
        <w:t>)</w:t>
      </w:r>
    </w:p>
    <w:p w:rsidR="00A60ADB" w:rsidRPr="00264048" w:rsidRDefault="00A60ADB" w:rsidP="00827095"/>
    <w:p w:rsidR="005E1161" w:rsidRPr="00264048" w:rsidRDefault="00276534" w:rsidP="00827095">
      <w:r w:rsidRPr="00264048">
        <w:t>Regeringen</w:t>
      </w:r>
      <w:r w:rsidR="005E1161" w:rsidRPr="00264048">
        <w:t xml:space="preserve"> stöder ansatsen att utvidga dagens solvensregler till att omfatta hela balansräkningen.</w:t>
      </w:r>
      <w:r w:rsidR="00515EFC" w:rsidRPr="00264048">
        <w:t xml:space="preserve"> Regeringen</w:t>
      </w:r>
      <w:r w:rsidR="005E1161" w:rsidRPr="00264048">
        <w:t xml:space="preserve"> </w:t>
      </w:r>
      <w:r w:rsidR="00A60ADB" w:rsidRPr="00264048">
        <w:t xml:space="preserve">är </w:t>
      </w:r>
      <w:r w:rsidR="005E1161" w:rsidRPr="00264048">
        <w:t xml:space="preserve">positiv till förslaget att </w:t>
      </w:r>
      <w:r w:rsidR="00A60ADB" w:rsidRPr="00264048">
        <w:t>de försäkringstekniska avsättningarna</w:t>
      </w:r>
      <w:r w:rsidR="005E1161" w:rsidRPr="00264048">
        <w:t xml:space="preserve"> ska värderas realistiskt, vilket i dagsläget </w:t>
      </w:r>
      <w:r w:rsidR="0057719C" w:rsidRPr="00264048">
        <w:t>medför</w:t>
      </w:r>
      <w:r w:rsidR="005E1161" w:rsidRPr="00264048">
        <w:t xml:space="preserve"> att solvensreglerna skiljs från redovisning</w:t>
      </w:r>
      <w:r w:rsidR="00515EFC" w:rsidRPr="00264048">
        <w:t xml:space="preserve">sreglerna. Hänsyn måste dock tas </w:t>
      </w:r>
      <w:r w:rsidR="005E1161" w:rsidRPr="00264048">
        <w:t>till den kommande utvecklingen av redovisningsreglerna för att undvika dubbla kostnader för företagen.</w:t>
      </w:r>
    </w:p>
    <w:p w:rsidR="005E1161" w:rsidRPr="00264048" w:rsidRDefault="005E1161" w:rsidP="00827095"/>
    <w:p w:rsidR="005E1161" w:rsidRPr="00264048" w:rsidRDefault="00FF3F46" w:rsidP="00827095">
      <w:r w:rsidRPr="00264048">
        <w:t>Regeringen</w:t>
      </w:r>
      <w:r w:rsidR="005E1161" w:rsidRPr="00264048">
        <w:t xml:space="preserve"> anser i likhet med förslaget att aktsamhetsprincipen bör genomsyra placeringsreglerna för tillgångarna så att de kvantitativa restriktionerna i princip utgår. Därmed uppnås överensstämmelse med regleringen för tjänstepensionsinstitut, vilket är en viktig svensk prioritering (se nedan). </w:t>
      </w:r>
    </w:p>
    <w:p w:rsidR="00A60ADB" w:rsidRPr="00264048" w:rsidRDefault="00A60ADB" w:rsidP="00827095"/>
    <w:p w:rsidR="0004111B" w:rsidRPr="00264048" w:rsidRDefault="005E1161" w:rsidP="00827095">
      <w:r w:rsidRPr="00264048">
        <w:t xml:space="preserve">I syfte att undvika subjektivitet i bedömning av kapitalkravet bör standardmetoden för </w:t>
      </w:r>
      <w:r w:rsidR="009A421E" w:rsidRPr="00264048">
        <w:t>SCR</w:t>
      </w:r>
      <w:r w:rsidRPr="00264048">
        <w:t xml:space="preserve"> utformas </w:t>
      </w:r>
      <w:r w:rsidR="009A421E" w:rsidRPr="00264048">
        <w:t xml:space="preserve">på sätt </w:t>
      </w:r>
      <w:r w:rsidRPr="00264048">
        <w:t xml:space="preserve">att de väsentliga riskerna fångas. Det bör även utvecklas gemensamma metoder för valideringsprocessen av interna modeller. </w:t>
      </w:r>
      <w:r w:rsidR="0004111B" w:rsidRPr="00264048">
        <w:t>Regeringen</w:t>
      </w:r>
      <w:r w:rsidRPr="00264048">
        <w:t xml:space="preserve"> ser dock positivt på den begränsade möjligheten för mindre företag att använda en förenklad standardmetod för beräkning av marknadsrisker. I dessa delar är </w:t>
      </w:r>
      <w:r w:rsidR="0004111B" w:rsidRPr="00264048">
        <w:t>regeringens</w:t>
      </w:r>
      <w:r w:rsidRPr="00264048">
        <w:t xml:space="preserve"> ståndpunkt i linje med förslaget. </w:t>
      </w:r>
    </w:p>
    <w:p w:rsidR="0004111B" w:rsidRPr="00264048" w:rsidRDefault="0004111B" w:rsidP="00827095"/>
    <w:p w:rsidR="005811A7" w:rsidRPr="00264048" w:rsidRDefault="0004111B" w:rsidP="00827095">
      <w:r w:rsidRPr="00264048">
        <w:t>Regeringen är positiv</w:t>
      </w:r>
      <w:r w:rsidR="005E1161" w:rsidRPr="00264048">
        <w:t xml:space="preserve"> till utvecklingen av en s</w:t>
      </w:r>
      <w:r w:rsidR="006E11F3" w:rsidRPr="00264048">
        <w:t>.</w:t>
      </w:r>
      <w:r w:rsidR="005E1161" w:rsidRPr="00264048">
        <w:t>k</w:t>
      </w:r>
      <w:r w:rsidR="006E11F3" w:rsidRPr="00264048">
        <w:t>.</w:t>
      </w:r>
      <w:r w:rsidR="005E1161" w:rsidRPr="00264048">
        <w:t xml:space="preserve"> tillsynstrappa i förslaget, med olika ingripandenivåer i tillsynen för SCR respektive MCR. En förutsättning för detta är dock att det finns ett utrymme för ingripande mellan de två kapitalkraven. </w:t>
      </w:r>
    </w:p>
    <w:p w:rsidR="005811A7" w:rsidRPr="00264048" w:rsidRDefault="005811A7" w:rsidP="00827095"/>
    <w:p w:rsidR="005E1161" w:rsidRPr="00264048" w:rsidRDefault="005E1161" w:rsidP="00827095">
      <w:r w:rsidRPr="00264048">
        <w:t xml:space="preserve">Pelare </w:t>
      </w:r>
      <w:r w:rsidR="006E11F3" w:rsidRPr="00264048">
        <w:t>II</w:t>
      </w:r>
      <w:r w:rsidRPr="00264048">
        <w:t xml:space="preserve"> – kvalitativa regler och tillsyn (</w:t>
      </w:r>
      <w:r w:rsidR="006E11F3" w:rsidRPr="00264048">
        <w:t xml:space="preserve">Krav på tillsyn i </w:t>
      </w:r>
      <w:r w:rsidRPr="00264048">
        <w:t xml:space="preserve">Title I, Chapter </w:t>
      </w:r>
      <w:r w:rsidR="006E11F3" w:rsidRPr="00264048">
        <w:t>III och krav på försäkringsföretag i Chapter IV</w:t>
      </w:r>
      <w:r w:rsidRPr="00264048">
        <w:t>)</w:t>
      </w:r>
    </w:p>
    <w:p w:rsidR="00245BCB" w:rsidRPr="00264048" w:rsidRDefault="00245BCB" w:rsidP="00827095"/>
    <w:p w:rsidR="005E1161" w:rsidRPr="00264048" w:rsidRDefault="005E1161" w:rsidP="00827095">
      <w:r w:rsidRPr="00264048">
        <w:t xml:space="preserve">De kvalitativa reglerna i kombination med olika ingripandenivåer ser </w:t>
      </w:r>
      <w:r w:rsidR="0004111B" w:rsidRPr="00264048">
        <w:t>regeringen</w:t>
      </w:r>
      <w:r w:rsidRPr="00264048">
        <w:t xml:space="preserve"> som ett centralt komplement till de kvantitativa reglerna. Här är det viktigt att värna om </w:t>
      </w:r>
      <w:r w:rsidR="0090393E" w:rsidRPr="00264048">
        <w:t>SCR:s</w:t>
      </w:r>
      <w:r w:rsidRPr="00264048">
        <w:t xml:space="preserve"> funktion som en tidig signal till ingripande och den s.k. tillsynstrappan som ska ge möjlighet till flera olika åtgärder innan situationen är så </w:t>
      </w:r>
      <w:r w:rsidR="0090393E" w:rsidRPr="00264048">
        <w:t xml:space="preserve">pass </w:t>
      </w:r>
      <w:r w:rsidRPr="00264048">
        <w:t xml:space="preserve">allvarlig att verksamheten måste upphöra. </w:t>
      </w:r>
    </w:p>
    <w:p w:rsidR="005E1161" w:rsidRPr="00264048" w:rsidRDefault="005E1161" w:rsidP="00827095"/>
    <w:p w:rsidR="005811A7" w:rsidRPr="00264048" w:rsidRDefault="00245BCB" w:rsidP="00827095">
      <w:r w:rsidRPr="00264048">
        <w:t>Kraven på s</w:t>
      </w:r>
      <w:r w:rsidR="005E1161" w:rsidRPr="00264048">
        <w:t xml:space="preserve">tyrning och intern kontroll </w:t>
      </w:r>
      <w:r w:rsidRPr="00264048">
        <w:t xml:space="preserve">i företagen </w:t>
      </w:r>
      <w:r w:rsidR="005E1161" w:rsidRPr="00264048">
        <w:t xml:space="preserve">är ett annat viktigt område där </w:t>
      </w:r>
      <w:r w:rsidR="0004111B" w:rsidRPr="00264048">
        <w:t>regeringen</w:t>
      </w:r>
      <w:r w:rsidR="005E1161" w:rsidRPr="00264048">
        <w:t xml:space="preserve"> instämmer med förslaget att det bör finnas såväl en oberoende internrevision som en riskhanteringsfunktion, men arbetet kan utföras av företaget själv eller vara föremål för outsourcing. </w:t>
      </w:r>
    </w:p>
    <w:p w:rsidR="005811A7" w:rsidRPr="00264048" w:rsidRDefault="005811A7" w:rsidP="00827095"/>
    <w:p w:rsidR="00BC4B98" w:rsidRPr="00264048" w:rsidRDefault="005E1161" w:rsidP="00827095">
      <w:r w:rsidRPr="00264048">
        <w:t xml:space="preserve">Principiellt anser </w:t>
      </w:r>
      <w:r w:rsidR="0004111B" w:rsidRPr="00264048">
        <w:t>regeringen</w:t>
      </w:r>
      <w:r w:rsidRPr="00264048">
        <w:t xml:space="preserve"> att reglerna i direktivet bör riktas mot försäkringsföretagen, tillsynsmyndighetens roll bör generellt vara granskande. </w:t>
      </w:r>
    </w:p>
    <w:p w:rsidR="0004111B" w:rsidRPr="00264048" w:rsidRDefault="0004111B" w:rsidP="00827095"/>
    <w:p w:rsidR="005E1161" w:rsidRPr="00264048" w:rsidRDefault="0004111B" w:rsidP="00827095">
      <w:r w:rsidRPr="00264048">
        <w:t>P</w:t>
      </w:r>
      <w:r w:rsidR="005E1161" w:rsidRPr="00264048">
        <w:t xml:space="preserve">elare </w:t>
      </w:r>
      <w:r w:rsidR="00BC4B98" w:rsidRPr="00264048">
        <w:t>III</w:t>
      </w:r>
      <w:r w:rsidR="005E1161" w:rsidRPr="00264048">
        <w:t xml:space="preserve"> – marknadsdisciplin (Title I, Chapter </w:t>
      </w:r>
      <w:r w:rsidR="00BC4B98" w:rsidRPr="00264048">
        <w:t>IV,</w:t>
      </w:r>
      <w:r w:rsidR="005E1161" w:rsidRPr="00264048">
        <w:t xml:space="preserve"> Section 3</w:t>
      </w:r>
      <w:r w:rsidR="00BC4B98" w:rsidRPr="00264048">
        <w:t>)</w:t>
      </w:r>
    </w:p>
    <w:p w:rsidR="00BC4B98" w:rsidRPr="00264048" w:rsidRDefault="00BC4B98" w:rsidP="00827095"/>
    <w:p w:rsidR="0004111B" w:rsidRPr="00264048" w:rsidRDefault="005E1161" w:rsidP="00827095">
      <w:r w:rsidRPr="00264048">
        <w:t xml:space="preserve">Vad </w:t>
      </w:r>
      <w:r w:rsidR="00540731" w:rsidRPr="00264048">
        <w:t xml:space="preserve">det </w:t>
      </w:r>
      <w:r w:rsidRPr="00264048">
        <w:t xml:space="preserve">gäller kraven i pelare </w:t>
      </w:r>
      <w:r w:rsidR="00BC4B98" w:rsidRPr="00264048">
        <w:t>III</w:t>
      </w:r>
      <w:r w:rsidRPr="00264048">
        <w:t xml:space="preserve"> om offentliggörande av information</w:t>
      </w:r>
      <w:r w:rsidR="00540731" w:rsidRPr="00264048">
        <w:t>,</w:t>
      </w:r>
      <w:r w:rsidRPr="00264048">
        <w:t xml:space="preserve"> tillhör </w:t>
      </w:r>
      <w:r w:rsidR="0004111B" w:rsidRPr="00264048">
        <w:t>regeringen</w:t>
      </w:r>
      <w:r w:rsidRPr="00264048">
        <w:t xml:space="preserve"> den grupp som förordar utförliga krav i syfte att verkligen uppnå marknadsdisciplin och därmed att även känsliga uppgifter, som add-ons, väsentliga överträdelser av SCR och samtliga överträdelser av MCR, ska offentliggöras. </w:t>
      </w:r>
      <w:r w:rsidR="0004111B" w:rsidRPr="00264048">
        <w:t>Regeringen</w:t>
      </w:r>
      <w:r w:rsidRPr="00264048">
        <w:t xml:space="preserve"> ser inget motargument i att det kan påverka företagets möjligheter </w:t>
      </w:r>
      <w:r w:rsidR="00540731" w:rsidRPr="00264048">
        <w:t xml:space="preserve">att </w:t>
      </w:r>
      <w:r w:rsidRPr="00264048">
        <w:t xml:space="preserve">skaffa nytt kapital eller att tillsynsmyndigheten ska konsulteras före dess att informationen publiceras. </w:t>
      </w:r>
    </w:p>
    <w:p w:rsidR="0004111B" w:rsidRPr="00264048" w:rsidRDefault="0004111B" w:rsidP="00827095"/>
    <w:p w:rsidR="005E1161" w:rsidRPr="00264048" w:rsidRDefault="005E1161" w:rsidP="00827095">
      <w:r w:rsidRPr="00264048">
        <w:t xml:space="preserve">Särskilda frågor för svenskt vidkommande </w:t>
      </w:r>
    </w:p>
    <w:p w:rsidR="00BC4B98" w:rsidRPr="00264048" w:rsidRDefault="00BC4B98" w:rsidP="00827095"/>
    <w:p w:rsidR="00540731" w:rsidRPr="00264048" w:rsidRDefault="005E1161" w:rsidP="00827095">
      <w:r w:rsidRPr="00264048">
        <w:t>Konsolideringsfonden (</w:t>
      </w:r>
      <w:r w:rsidR="00635AE5" w:rsidRPr="00264048">
        <w:t>Own</w:t>
      </w:r>
      <w:r w:rsidR="00540731" w:rsidRPr="00264048">
        <w:t xml:space="preserve"> funds och Surplus funds, </w:t>
      </w:r>
      <w:r w:rsidRPr="00264048">
        <w:t>Title I, Chapter</w:t>
      </w:r>
      <w:r w:rsidR="00540731" w:rsidRPr="00264048">
        <w:t xml:space="preserve"> VI</w:t>
      </w:r>
      <w:r w:rsidRPr="00264048">
        <w:t xml:space="preserve"> , Section </w:t>
      </w:r>
      <w:r w:rsidR="00540731" w:rsidRPr="00264048">
        <w:t>2 och Section 3)</w:t>
      </w:r>
    </w:p>
    <w:p w:rsidR="00BC4B98" w:rsidRPr="00264048" w:rsidRDefault="00BC4B98" w:rsidP="00827095"/>
    <w:p w:rsidR="005E1161" w:rsidRPr="00264048" w:rsidRDefault="005E1161" w:rsidP="00827095">
      <w:r w:rsidRPr="00264048">
        <w:t>Det är av stor vikt för Sverige att s</w:t>
      </w:r>
      <w:r w:rsidR="00BC4B98" w:rsidRPr="00264048">
        <w:t>.</w:t>
      </w:r>
      <w:r w:rsidRPr="00264048">
        <w:t>k</w:t>
      </w:r>
      <w:r w:rsidR="00BC4B98" w:rsidRPr="00264048">
        <w:t>.</w:t>
      </w:r>
      <w:r w:rsidRPr="00264048">
        <w:t xml:space="preserve"> </w:t>
      </w:r>
      <w:r w:rsidR="00BC4B98" w:rsidRPr="00264048">
        <w:t>s</w:t>
      </w:r>
      <w:r w:rsidRPr="00264048">
        <w:t>urplus funds (i Sverige konsolideringsfonden) fortsättningsvis får räknas som kapital och ingå i primärkapitalet för icke-vinstutdelande livförsäkringsbolag</w:t>
      </w:r>
      <w:r w:rsidRPr="00264048">
        <w:rPr>
          <w:rStyle w:val="Fotnotsreferens"/>
        </w:rPr>
        <w:footnoteReference w:id="1"/>
      </w:r>
      <w:r w:rsidRPr="00264048">
        <w:t xml:space="preserve">, i likhet med dagens hantering. Det svenska systemet med konsolideringsfond innebär att endast åtaganden som är garanterade till försäkringstagarna räknas in i den försäkringstekniska skulden. Om avkastningen överstiger garantin resulterar det i uppbyggande av en konsolideringsfond som behandlas som eget kapital till dess att slutlig fördelning sker till försäkringstagarna. Hanteringen har emellertid ifrågasatts av en rad medlemsländer mot bakgrund av att </w:t>
      </w:r>
      <w:r w:rsidR="00BC4B98" w:rsidRPr="00264048">
        <w:t>S</w:t>
      </w:r>
      <w:r w:rsidRPr="00264048">
        <w:t xml:space="preserve">olvens II utgår </w:t>
      </w:r>
      <w:r w:rsidR="00BC4B98" w:rsidRPr="00264048">
        <w:t>i</w:t>
      </w:r>
      <w:r w:rsidRPr="00264048">
        <w:t>från att inte bara garanterade, utan även förväntade, åtaganden ska ingå i de försäkringstekniska avsättningarna medan osäkerheten ska täckas av kapital. Kommissionen har i linje med detta uttryckt kritik mot surplus funds på ett konceptuellt plan då stora delar av fonden förväntas betalas ut till förmånstagarna, men de</w:t>
      </w:r>
      <w:r w:rsidR="00AC60CC" w:rsidRPr="00264048">
        <w:t xml:space="preserve"> föreslår </w:t>
      </w:r>
      <w:r w:rsidRPr="00264048">
        <w:t xml:space="preserve">att hanteringen i nuvarande solvensregler ska bibehållas. </w:t>
      </w:r>
    </w:p>
    <w:p w:rsidR="005E1161" w:rsidRPr="00264048" w:rsidRDefault="005E1161" w:rsidP="00827095"/>
    <w:p w:rsidR="005E1161" w:rsidRPr="00264048" w:rsidRDefault="005E1161" w:rsidP="00827095">
      <w:r w:rsidRPr="00264048">
        <w:t xml:space="preserve">Mot bakgrund av att konsolideringsfonderna utgör en betydande andel av kapitalet i de svenska livförsäkringsbolagen och att det skulle medföra att flera bolag skulle få svårt att uppfylla solvenskraven av att räkna in dessa i avsättningarna/skulden, är det betydelsefullt för Sverige </w:t>
      </w:r>
      <w:r w:rsidR="005811A7" w:rsidRPr="00264048">
        <w:t xml:space="preserve">och även några andra medlemsstater </w:t>
      </w:r>
      <w:r w:rsidRPr="00264048">
        <w:t xml:space="preserve">att undantaget bibehålls. I samarbetet med dessa </w:t>
      </w:r>
      <w:r w:rsidR="005811A7" w:rsidRPr="00264048">
        <w:t xml:space="preserve">andra </w:t>
      </w:r>
      <w:r w:rsidRPr="00264048">
        <w:t xml:space="preserve">medlemsländer har </w:t>
      </w:r>
      <w:r w:rsidR="005811A7" w:rsidRPr="00264048">
        <w:t>regeringen</w:t>
      </w:r>
      <w:r w:rsidRPr="00264048">
        <w:t xml:space="preserve"> förespråkat en generell skrivning i direktivet, i syfte att täcka in vissa tekniska olikheter mellan de nationella systemen. </w:t>
      </w:r>
    </w:p>
    <w:p w:rsidR="00CA2754" w:rsidRPr="00264048" w:rsidRDefault="00CA2754" w:rsidP="00827095"/>
    <w:p w:rsidR="005E1161" w:rsidRPr="00264048" w:rsidRDefault="005E1161" w:rsidP="00827095">
      <w:r w:rsidRPr="00264048">
        <w:t>Överensstämmelse med reglerna för tjänstepensionsinstitut</w:t>
      </w:r>
    </w:p>
    <w:p w:rsidR="00CA2754" w:rsidRPr="00264048" w:rsidRDefault="00CA2754" w:rsidP="00827095"/>
    <w:p w:rsidR="005811A7" w:rsidRPr="00264048" w:rsidRDefault="005E1161" w:rsidP="00827095">
      <w:r w:rsidRPr="00264048">
        <w:t xml:space="preserve">Mot bakgrund av att Sverige valt att utnyttja optionen i tjänstepensionsdirektivet </w:t>
      </w:r>
      <w:r w:rsidR="00F26BCC" w:rsidRPr="00264048">
        <w:t>(2003/41/EG)</w:t>
      </w:r>
      <w:r w:rsidR="00107BBF" w:rsidRPr="00264048">
        <w:t xml:space="preserve"> o</w:t>
      </w:r>
      <w:r w:rsidRPr="00264048">
        <w:t xml:space="preserve">m att tillämpa direktivet även på livbolagens tjänstepensionsverksamhet samt att det dessutom finns specifika hänvisningar till nuvarande solvensregler för livförsäkringsföretag i tjänstepensionsdirektivet, anser </w:t>
      </w:r>
      <w:r w:rsidR="005811A7" w:rsidRPr="00264048">
        <w:t>regeringen</w:t>
      </w:r>
      <w:r w:rsidRPr="00264048">
        <w:t xml:space="preserve"> att tjänstepensionsdirektivet och </w:t>
      </w:r>
      <w:r w:rsidR="00107BBF" w:rsidRPr="00264048">
        <w:t>S</w:t>
      </w:r>
      <w:r w:rsidRPr="00264048">
        <w:t xml:space="preserve">olvens II bör harmoniseras fullt ut. </w:t>
      </w:r>
      <w:r w:rsidR="005811A7" w:rsidRPr="00264048">
        <w:t>Regeringen</w:t>
      </w:r>
      <w:r w:rsidRPr="00264048">
        <w:t xml:space="preserve"> kommer </w:t>
      </w:r>
      <w:r w:rsidR="005811A7" w:rsidRPr="00264048">
        <w:t xml:space="preserve">dock </w:t>
      </w:r>
      <w:r w:rsidRPr="00264048">
        <w:t xml:space="preserve">inte att driva denna fråga särskilt i </w:t>
      </w:r>
      <w:r w:rsidR="00146472" w:rsidRPr="00264048">
        <w:t xml:space="preserve">höstens </w:t>
      </w:r>
      <w:r w:rsidRPr="00264048">
        <w:t xml:space="preserve">förhandlingar </w:t>
      </w:r>
      <w:r w:rsidR="00107BBF" w:rsidRPr="00264048">
        <w:t>i rådsarbetgruppen</w:t>
      </w:r>
      <w:r w:rsidRPr="00264048">
        <w:t xml:space="preserve"> om </w:t>
      </w:r>
      <w:r w:rsidR="00107BBF" w:rsidRPr="00264048">
        <w:t>S</w:t>
      </w:r>
      <w:r w:rsidRPr="00264048">
        <w:t xml:space="preserve">olvens II utan i stället bevaka utvecklingen av frågan dels inom ramen för den översyn av tjänstepensionsdirektivet som kommissionen ska </w:t>
      </w:r>
      <w:r w:rsidR="001D2B5A" w:rsidRPr="00264048">
        <w:t>genomföra under 2008</w:t>
      </w:r>
      <w:r w:rsidR="005811A7" w:rsidRPr="00264048">
        <w:t>.</w:t>
      </w:r>
    </w:p>
    <w:p w:rsidR="008C1DA6" w:rsidRPr="00264048" w:rsidRDefault="005E1161" w:rsidP="00827095">
      <w:r w:rsidRPr="00264048">
        <w:t xml:space="preserve"> </w:t>
      </w:r>
    </w:p>
    <w:p w:rsidR="005E1161" w:rsidRPr="00264048" w:rsidRDefault="005E1161" w:rsidP="00827095">
      <w:r w:rsidRPr="00264048">
        <w:t>Konsolidering av befintliga försäkringsdirektiv</w:t>
      </w:r>
    </w:p>
    <w:p w:rsidR="00EA5B04" w:rsidRPr="00264048" w:rsidRDefault="00EA5B04" w:rsidP="00827095"/>
    <w:p w:rsidR="005E1161" w:rsidRPr="00264048" w:rsidRDefault="005E1161" w:rsidP="00827095">
      <w:r w:rsidRPr="00264048">
        <w:t xml:space="preserve">I konsolideringsarbetet av befintliga direktiv har medlemsländerna kommit överens om att inte genomföra några materiella förändringar. </w:t>
      </w:r>
      <w:r w:rsidR="00A3151C" w:rsidRPr="00264048">
        <w:t>Regeringen</w:t>
      </w:r>
      <w:r w:rsidRPr="00264048">
        <w:t xml:space="preserve"> vill dock uppmärksamma de fall då konsolideringen av direktiv lämnar öppet för tolkning. </w:t>
      </w:r>
    </w:p>
    <w:p w:rsidR="006D4AA5" w:rsidRPr="00264048" w:rsidRDefault="006D4AA5" w:rsidP="008C5BB9">
      <w:pPr>
        <w:pStyle w:val="Rubrik2"/>
      </w:pPr>
      <w:r w:rsidRPr="00264048">
        <w:t>Medlemsstaternas ståndpunkter</w:t>
      </w:r>
    </w:p>
    <w:p w:rsidR="006D4AA5" w:rsidRPr="00264048" w:rsidRDefault="006D4AA5" w:rsidP="00827095"/>
    <w:p w:rsidR="00D15311" w:rsidRPr="00264048" w:rsidRDefault="00D15311" w:rsidP="00827095">
      <w:r w:rsidRPr="00264048">
        <w:t xml:space="preserve">Det finns ett brett stöd </w:t>
      </w:r>
      <w:r w:rsidR="00F97D17" w:rsidRPr="00264048">
        <w:t xml:space="preserve">bland medlemsstaterna </w:t>
      </w:r>
      <w:r w:rsidRPr="00264048">
        <w:t xml:space="preserve">för behovet och betydelsen av nya riskkänsliga och ytterligare harmoniserade solvensregler i syfte att uppnå en mer ändamålsenlig och stabil reglering. Däremot råder på grundläggande områden delade meningar om hur detta på bästa sätt </w:t>
      </w:r>
      <w:r w:rsidR="00F97D17" w:rsidRPr="00264048">
        <w:t xml:space="preserve">ska </w:t>
      </w:r>
      <w:r w:rsidRPr="00264048">
        <w:t>uppnås, hur avvägning</w:t>
      </w:r>
      <w:r w:rsidR="00085BF2" w:rsidRPr="00264048">
        <w:t>en</w:t>
      </w:r>
      <w:r w:rsidRPr="00264048">
        <w:t xml:space="preserve"> mellan reglering på nivå 1 kontra nivå 2 ska se ut samt vilka särintressen som bör tillvaratas. Grundläggande principer där skiljelinjen åskådliggörs är grad av riskkänslighet, krav på offentliggörande av information</w:t>
      </w:r>
      <w:r w:rsidR="00F97D17" w:rsidRPr="00264048">
        <w:t>, utformning av SCR</w:t>
      </w:r>
      <w:r w:rsidRPr="00264048">
        <w:t xml:space="preserve"> och tillsyn på gruppnivå. Synen på riskkänslighet genomsyrar medlemsstaternas syn på metode</w:t>
      </w:r>
      <w:r w:rsidR="00F97D17" w:rsidRPr="00264048">
        <w:t>r</w:t>
      </w:r>
      <w:r w:rsidRPr="00264048">
        <w:t>n</w:t>
      </w:r>
      <w:r w:rsidR="00F97D17" w:rsidRPr="00264048">
        <w:t>a</w:t>
      </w:r>
      <w:r w:rsidRPr="00264048">
        <w:t xml:space="preserve"> för beräkning av försäkringstekniska avsättni</w:t>
      </w:r>
      <w:r w:rsidR="00CC0065" w:rsidRPr="00264048">
        <w:t>ngar</w:t>
      </w:r>
      <w:r w:rsidR="00F97D17" w:rsidRPr="00264048">
        <w:t xml:space="preserve"> respektive</w:t>
      </w:r>
      <w:r w:rsidR="00CC0065" w:rsidRPr="00264048">
        <w:t xml:space="preserve"> SCR </w:t>
      </w:r>
      <w:r w:rsidR="00F97D17" w:rsidRPr="00264048">
        <w:t>och MCR</w:t>
      </w:r>
      <w:r w:rsidRPr="00264048">
        <w:t xml:space="preserve">, aktsamhetsprincipen för placeringar samt kraven i pelare </w:t>
      </w:r>
      <w:r w:rsidR="00CC0065" w:rsidRPr="00264048">
        <w:t>II</w:t>
      </w:r>
      <w:r w:rsidRPr="00264048">
        <w:t xml:space="preserve">. </w:t>
      </w:r>
    </w:p>
    <w:p w:rsidR="00D15311" w:rsidRPr="00264048" w:rsidRDefault="00D15311" w:rsidP="00827095"/>
    <w:p w:rsidR="00E763B8" w:rsidRPr="00264048" w:rsidRDefault="00E763B8" w:rsidP="00827095">
      <w:r w:rsidRPr="00264048">
        <w:t>Särskilt om gr</w:t>
      </w:r>
      <w:r w:rsidR="00D15311" w:rsidRPr="00264048">
        <w:t>upptillsyn</w:t>
      </w:r>
    </w:p>
    <w:p w:rsidR="00D15311" w:rsidRPr="00264048" w:rsidRDefault="00D15311" w:rsidP="00827095">
      <w:r w:rsidRPr="00264048">
        <w:t xml:space="preserve"> </w:t>
      </w:r>
    </w:p>
    <w:p w:rsidR="00D15311" w:rsidRPr="00264048" w:rsidRDefault="00D15311" w:rsidP="00827095">
      <w:r w:rsidRPr="00264048">
        <w:t>För att uppnå en reformering av solvensreglerna som främjar harmonisering och konkurrens på den inre marknaden</w:t>
      </w:r>
      <w:r w:rsidR="009769E7" w:rsidRPr="00264048">
        <w:t>,</w:t>
      </w:r>
      <w:r w:rsidRPr="00264048">
        <w:t xml:space="preserve"> </w:t>
      </w:r>
      <w:r w:rsidR="00FF3F46" w:rsidRPr="00264048">
        <w:t>finns som redan nämnts ett</w:t>
      </w:r>
      <w:r w:rsidRPr="00264048">
        <w:t xml:space="preserve"> behov av att se över reglerna för tillsyn av försäkringsföretag (koncerner) med verksamhet i flera medlemsländer. Frågan handlar </w:t>
      </w:r>
      <w:r w:rsidR="00E763B8" w:rsidRPr="00264048">
        <w:t xml:space="preserve">som ovan nämnts </w:t>
      </w:r>
      <w:r w:rsidRPr="00264048">
        <w:t>primärt om i vilken utsträckning företagen på gruppnivå respektive i de enskilda dotterbolagen ska få tillgodoräkna sig diversifieringseffekter i kapitalkravet</w:t>
      </w:r>
      <w:r w:rsidR="00E763B8" w:rsidRPr="00264048">
        <w:t xml:space="preserve"> och är</w:t>
      </w:r>
      <w:r w:rsidRPr="00264048">
        <w:t xml:space="preserve"> den mest kontroversiella delen i förslaget. Vidare diskuteras ansvarsfördelningen mellan tillsynsmyndigheterna, i linje med krav på ökad harmonisering av tillsyn men med beaktande av hemlandsmyndighetens behov av kontroll. </w:t>
      </w:r>
      <w:r w:rsidR="00C25422" w:rsidRPr="00264048">
        <w:t>Som redan nämnts finns i princip</w:t>
      </w:r>
      <w:r w:rsidRPr="00264048">
        <w:t xml:space="preserve"> inte någon konsekvensanalys eller empirisk information om förväntade effekter av förändringarna av grupptillsynen, varför detta kan bli en stor fråga i förhandlingarna. </w:t>
      </w:r>
    </w:p>
    <w:p w:rsidR="00D15311" w:rsidRPr="00264048" w:rsidRDefault="00D15311" w:rsidP="00827095"/>
    <w:p w:rsidR="0004111B" w:rsidRPr="00264048" w:rsidRDefault="00052E71" w:rsidP="00827095">
      <w:r w:rsidRPr="00264048">
        <w:t>Kommissionens förslag är i linje med</w:t>
      </w:r>
      <w:r w:rsidR="00206047" w:rsidRPr="00264048">
        <w:t xml:space="preserve"> </w:t>
      </w:r>
      <w:r w:rsidR="00072716" w:rsidRPr="00264048">
        <w:t xml:space="preserve">flera av de </w:t>
      </w:r>
      <w:r w:rsidR="0004111B" w:rsidRPr="00264048">
        <w:t>”</w:t>
      </w:r>
      <w:r w:rsidR="00072716" w:rsidRPr="00264048">
        <w:t>större</w:t>
      </w:r>
      <w:r w:rsidR="0004111B" w:rsidRPr="00264048">
        <w:t>”</w:t>
      </w:r>
      <w:r w:rsidR="00072716" w:rsidRPr="00264048">
        <w:t xml:space="preserve"> ländernas önskemål</w:t>
      </w:r>
      <w:r w:rsidR="00206047" w:rsidRPr="00264048">
        <w:t xml:space="preserve"> vilka </w:t>
      </w:r>
      <w:r w:rsidR="00D15311" w:rsidRPr="00264048">
        <w:t xml:space="preserve">står närmast branschens krav på att få beakta diversifieringseffekter. En rad medlemsländer har </w:t>
      </w:r>
      <w:r w:rsidR="00206047" w:rsidRPr="00264048">
        <w:t xml:space="preserve">dock </w:t>
      </w:r>
      <w:r w:rsidR="00D15311" w:rsidRPr="00264048">
        <w:t xml:space="preserve">adresserat sin kritik – vilken främst avser att överlåta ansvaret för kapitalkravet till ett annat lands myndighet – i ett gemensamt brev till kommissionen. </w:t>
      </w:r>
    </w:p>
    <w:p w:rsidR="0004111B" w:rsidRPr="00264048" w:rsidRDefault="0004111B" w:rsidP="00827095"/>
    <w:p w:rsidR="00D15311" w:rsidRPr="00264048" w:rsidRDefault="00D15311" w:rsidP="00827095">
      <w:r w:rsidRPr="00264048">
        <w:t xml:space="preserve">Sverige </w:t>
      </w:r>
      <w:r w:rsidR="00072716" w:rsidRPr="00264048">
        <w:t xml:space="preserve">tillhör </w:t>
      </w:r>
      <w:r w:rsidRPr="00264048">
        <w:t xml:space="preserve">kompromissnationerna som vill att hemlandsmyndigheten ska bibehålla en del av tillsynen över solvenskapitalkravet och att det – åtminstone som en övergångsregel – ska krävas att moderbolaget håller kapital eller tecknar garantier motsvarande den diversifieringseffekt som dotterbolaget får tillgodoräkna sig. </w:t>
      </w:r>
    </w:p>
    <w:p w:rsidR="006D4AA5" w:rsidRPr="00264048" w:rsidRDefault="006D4AA5" w:rsidP="008C5BB9">
      <w:pPr>
        <w:pStyle w:val="Rubrik2"/>
      </w:pPr>
      <w:r w:rsidRPr="00264048">
        <w:t>Institutionernas ståndpunkter</w:t>
      </w:r>
    </w:p>
    <w:p w:rsidR="006D4AA5" w:rsidRPr="00264048" w:rsidRDefault="006D4AA5" w:rsidP="00827095"/>
    <w:p w:rsidR="00812FC1" w:rsidRPr="00264048" w:rsidRDefault="00C25422" w:rsidP="00827095">
      <w:r w:rsidRPr="00264048">
        <w:t>Med tanke på att kommissionens förslag är så pass färskt, saknas än så länge yttranden från Europaparlamentet. Ekonomiska och sociala kommittén, Regionkommittén eller ECB har hittills inte publicerat någon kommentar. Kommissionens expertgrupp för konsumentfrågor (FIN-USE)</w:t>
      </w:r>
      <w:r w:rsidR="00457766" w:rsidRPr="00264048">
        <w:t xml:space="preserve"> har uttalat att den</w:t>
      </w:r>
      <w:r w:rsidR="00812FC1" w:rsidRPr="00264048">
        <w:t xml:space="preserve"> är generellt positiv till en modernisering av solvensreglerna men betonar att konsumentfrågorna hittills belysts endast i liten utsträckning och lyfter fram risken för negativa effekter för konsumenternas valmöjligheter till följd av  konkurrensfördelen som de menar uppstår för stora företag med tekniskt omfattande regler. </w:t>
      </w:r>
    </w:p>
    <w:p w:rsidR="00D25E5B" w:rsidRPr="00264048" w:rsidRDefault="00D25E5B" w:rsidP="00D25E5B">
      <w:pPr>
        <w:pStyle w:val="Rubrik2"/>
      </w:pPr>
      <w:r w:rsidRPr="00264048">
        <w:t>Remissinstansernas ståndpunkter</w:t>
      </w:r>
    </w:p>
    <w:p w:rsidR="00812FC1" w:rsidRPr="00264048" w:rsidRDefault="00812FC1" w:rsidP="00827095">
      <w:r w:rsidRPr="00264048">
        <w:t>Under arbetet i kommissionsarbetsgruppen har ett mycket nära samarbete etablerats med Finansinspektionen (FI)</w:t>
      </w:r>
      <w:r w:rsidR="00635AE5" w:rsidRPr="00264048">
        <w:t xml:space="preserve"> </w:t>
      </w:r>
      <w:r w:rsidRPr="00264048">
        <w:t>och Sveriges Försäkringsförbund i syfte att lyfta fram särskilda svenska ståndpunkter.</w:t>
      </w:r>
    </w:p>
    <w:p w:rsidR="00812FC1" w:rsidRPr="00264048" w:rsidRDefault="00812FC1" w:rsidP="00827095"/>
    <w:p w:rsidR="000367D0" w:rsidRPr="00264048" w:rsidRDefault="000367D0" w:rsidP="00827095">
      <w:r w:rsidRPr="00264048">
        <w:t>Finansinspektionen</w:t>
      </w:r>
    </w:p>
    <w:p w:rsidR="000367D0" w:rsidRPr="00264048" w:rsidRDefault="000367D0" w:rsidP="00827095"/>
    <w:p w:rsidR="000367D0" w:rsidRPr="00264048" w:rsidRDefault="000367D0" w:rsidP="00827095">
      <w:r w:rsidRPr="00264048">
        <w:t>FI är positiv till reformeringen av solvensreglerna och stöd</w:t>
      </w:r>
      <w:r w:rsidR="00635AE5" w:rsidRPr="00264048">
        <w:t>j</w:t>
      </w:r>
      <w:r w:rsidRPr="00264048">
        <w:t>er direktivförslaget i de delar detta är i linje med CEIOPS råd. Generellt betonar FI att utgångspunkterna om transparens och förbättrad riskhantering i Solvens II bör vidmakthållas. På två områden har FI specifikt drivit en viss linje. Det gäller den s</w:t>
      </w:r>
      <w:r w:rsidR="00635AE5" w:rsidRPr="00264048">
        <w:t>.</w:t>
      </w:r>
      <w:r w:rsidRPr="00264048">
        <w:t>k</w:t>
      </w:r>
      <w:r w:rsidR="00635AE5" w:rsidRPr="00264048">
        <w:t>.</w:t>
      </w:r>
      <w:r w:rsidRPr="00264048">
        <w:t xml:space="preserve"> cost-of-capital</w:t>
      </w:r>
      <w:r w:rsidR="00635AE5" w:rsidRPr="00264048">
        <w:t>-</w:t>
      </w:r>
      <w:r w:rsidRPr="00264048">
        <w:t xml:space="preserve">metoden för beräkning av riskmarginalen i de försäkringstekniska avsättningarna och att konsolideringsfonden ska få räknas som primärt kapital. </w:t>
      </w:r>
    </w:p>
    <w:p w:rsidR="000367D0" w:rsidRPr="00264048" w:rsidRDefault="000367D0" w:rsidP="00827095"/>
    <w:p w:rsidR="000367D0" w:rsidRPr="00264048" w:rsidRDefault="000367D0" w:rsidP="00827095">
      <w:r w:rsidRPr="00264048">
        <w:t>FI stöd</w:t>
      </w:r>
      <w:r w:rsidR="00635AE5" w:rsidRPr="00264048">
        <w:t>j</w:t>
      </w:r>
      <w:r w:rsidRPr="00264048">
        <w:t>er en effektivisering av grupptillsynen och grupprapportering</w:t>
      </w:r>
      <w:r w:rsidR="00635AE5" w:rsidRPr="00264048">
        <w:t>en</w:t>
      </w:r>
      <w:r w:rsidRPr="00264048">
        <w:t xml:space="preserve"> men de anser att påverkan av att beakta diversifieringseffekter och friare allokering av kapital inom en grupp inte är tillräckligt analyserade, särskilt inte i en krissituation. Därtill kräver FI förtydligande av hur framförallt analysen i pelare II är avsedd att fungera vid grupptillsyn. FI påpekar att kommissionens förslag </w:t>
      </w:r>
      <w:r w:rsidR="00457766" w:rsidRPr="00264048">
        <w:t xml:space="preserve">i detta avseende </w:t>
      </w:r>
      <w:r w:rsidRPr="00264048">
        <w:t xml:space="preserve">innebär olikheter i förhållande till kapitaltäckningsdirektivet inom banksektorn. </w:t>
      </w:r>
    </w:p>
    <w:p w:rsidR="000367D0" w:rsidRPr="00264048" w:rsidRDefault="000367D0" w:rsidP="00827095"/>
    <w:p w:rsidR="000367D0" w:rsidRPr="00264048" w:rsidRDefault="000367D0" w:rsidP="00827095">
      <w:r w:rsidRPr="00264048">
        <w:t xml:space="preserve">Vidare har FI framfört synpunkter på utformningen av enskilda artiklar där bl.a. kan nämnas problemet med värderingsregler inom </w:t>
      </w:r>
      <w:r w:rsidR="00635AE5" w:rsidRPr="00264048">
        <w:t>S</w:t>
      </w:r>
      <w:r w:rsidRPr="00264048">
        <w:t>olvens II som skiljer sig från redovisningen. Riskerna med olika rapporteringssystem, kostnaderna för företagen och behovet av likformighet för tillsynsmyndigheterna och intressenter på marknaden, anser FI starkt talar för gemensamma regler. Eftersom reglerna från IASB idag är preliminära är det dock svårt att veta om Sverige kommer att vilja acceptera dem i alla delar. Tekniskt förordar FI att låta Solvens II-reglerna följa endera redovisningsdirektiven eller IFRS. Redovisningsdirektiven kan då vid behov ändras inom EU.</w:t>
      </w:r>
    </w:p>
    <w:p w:rsidR="000367D0" w:rsidRPr="00264048" w:rsidRDefault="000367D0" w:rsidP="00827095"/>
    <w:p w:rsidR="000367D0" w:rsidRPr="00264048" w:rsidRDefault="000367D0" w:rsidP="00827095">
      <w:r w:rsidRPr="00264048">
        <w:t>Sveriges Försäkringsförbund</w:t>
      </w:r>
    </w:p>
    <w:p w:rsidR="000367D0" w:rsidRPr="00264048" w:rsidRDefault="000367D0" w:rsidP="00827095"/>
    <w:p w:rsidR="000367D0" w:rsidRPr="00264048" w:rsidRDefault="000367D0" w:rsidP="00827095">
      <w:r w:rsidRPr="00264048">
        <w:t xml:space="preserve">Sveriges Försäkringsförbund är mycket positivt till kommissionens förslag och ställer sig bakom de grundprinciper som regelverket utgår från, såsom </w:t>
      </w:r>
    </w:p>
    <w:p w:rsidR="000367D0" w:rsidRPr="00264048" w:rsidRDefault="000367D0" w:rsidP="00827095">
      <w:r w:rsidRPr="00264048">
        <w:t xml:space="preserve">economic total balance sheet approach, </w:t>
      </w:r>
    </w:p>
    <w:p w:rsidR="000367D0" w:rsidRPr="00264048" w:rsidRDefault="000367D0" w:rsidP="00827095">
      <w:r w:rsidRPr="00264048">
        <w:t>riskkänsligt kapitalkrav</w:t>
      </w:r>
      <w:r w:rsidR="00404797" w:rsidRPr="00264048">
        <w:t xml:space="preserve"> och </w:t>
      </w:r>
      <w:r w:rsidRPr="00264048">
        <w:t xml:space="preserve">en processinriktad tillsyn. </w:t>
      </w:r>
    </w:p>
    <w:p w:rsidR="000367D0" w:rsidRPr="00264048" w:rsidRDefault="000367D0" w:rsidP="00827095"/>
    <w:p w:rsidR="000367D0" w:rsidRPr="00264048" w:rsidRDefault="000367D0" w:rsidP="00827095">
      <w:r w:rsidRPr="00264048">
        <w:t xml:space="preserve">Försäkringsförbundet betonar att det är viktigt att det nya regelverket – särskilt tillsynsreglerna – blir fullharmoniserade inom EU och att det är skatterättsligt neutralt i förhållande till dagens solvenssystem. Därtill nämner de att specifika svenska förhållanden gör det nödvändigt att säkerställa att den nuvarande konsolideringsfonden i de svenska livförsäkringsföretagen tillåts fylla sin funktion som tillgängligt solvenskapital även i det nya solvenssystemet. </w:t>
      </w:r>
    </w:p>
    <w:p w:rsidR="006D4AA5" w:rsidRPr="00264048" w:rsidRDefault="006D4AA5" w:rsidP="008C5BB9">
      <w:pPr>
        <w:pStyle w:val="Rubrik1"/>
      </w:pPr>
      <w:r w:rsidRPr="00264048">
        <w:t>Övrigt</w:t>
      </w:r>
    </w:p>
    <w:p w:rsidR="006D4AA5" w:rsidRPr="00264048" w:rsidRDefault="006D4AA5" w:rsidP="008C5BB9">
      <w:pPr>
        <w:pStyle w:val="Rubrik2"/>
      </w:pPr>
      <w:r w:rsidRPr="00264048">
        <w:t>Fortsatt behandling av ärendet</w:t>
      </w:r>
    </w:p>
    <w:p w:rsidR="000367D0" w:rsidRPr="00264048" w:rsidRDefault="000367D0" w:rsidP="00827095"/>
    <w:p w:rsidR="006D4AA5" w:rsidRPr="00264048" w:rsidRDefault="000E4317" w:rsidP="00827095">
      <w:r w:rsidRPr="00264048">
        <w:t>Arbetet i rådsarbetsgrupp</w:t>
      </w:r>
      <w:r w:rsidR="00635AE5" w:rsidRPr="00264048">
        <w:t>en</w:t>
      </w:r>
      <w:r w:rsidRPr="00264048">
        <w:t xml:space="preserve"> har påbörjats i juli 2007 under PT:s ordförandeskap. PT har uttalat att det har höga ambitioner kring Solvens II och kommer att driva frågan hårt. Under hösten 2007 är </w:t>
      </w:r>
      <w:r w:rsidR="000367D0" w:rsidRPr="00264048">
        <w:t xml:space="preserve">det </w:t>
      </w:r>
      <w:r w:rsidRPr="00264048">
        <w:t>redan nu inplanerat cirka två möten i månaden i rådsarbetsgruppen.</w:t>
      </w:r>
      <w:r w:rsidR="00404797" w:rsidRPr="00264048">
        <w:t xml:space="preserve"> Det är dock inte sannolikt att nå en överenskommelse i höst. Enligt kommissionens plan </w:t>
      </w:r>
      <w:r w:rsidR="005A59F3" w:rsidRPr="00264048">
        <w:t>ska</w:t>
      </w:r>
      <w:r w:rsidR="00404797" w:rsidRPr="00264048">
        <w:t xml:space="preserve"> direktivet träda ikraft under våren 2009.</w:t>
      </w:r>
    </w:p>
    <w:p w:rsidR="000E4317" w:rsidRPr="00264048" w:rsidRDefault="000E4317" w:rsidP="00827095"/>
    <w:p w:rsidR="007C0743" w:rsidRPr="00264048" w:rsidRDefault="007C0743" w:rsidP="00827095">
      <w:r w:rsidRPr="00264048">
        <w:t xml:space="preserve">Direktivförslaget </w:t>
      </w:r>
      <w:r w:rsidR="005A59F3" w:rsidRPr="00264048">
        <w:t>ska</w:t>
      </w:r>
      <w:r w:rsidRPr="00264048">
        <w:t xml:space="preserve"> vara fullt genomfört i nationell lagstiftning senast den 31 oktober 2012.</w:t>
      </w:r>
    </w:p>
    <w:p w:rsidR="006D4AA5" w:rsidRPr="00264048" w:rsidRDefault="006D4AA5" w:rsidP="008C5BB9">
      <w:pPr>
        <w:pStyle w:val="Rubrik2"/>
      </w:pPr>
      <w:r w:rsidRPr="00264048">
        <w:t>Rättslig grund och beslutsförfarande</w:t>
      </w:r>
    </w:p>
    <w:p w:rsidR="000E4317" w:rsidRPr="00264048" w:rsidRDefault="000E4317" w:rsidP="00827095"/>
    <w:p w:rsidR="000E4317" w:rsidRPr="00264048" w:rsidRDefault="000E4317" w:rsidP="00827095">
      <w:r w:rsidRPr="00264048">
        <w:t>Rättslig grund för direktivförslaget är artikel 47 (2) och 55 i EG-fördraget. Beslut fattas enligt medbeslutandeförfarandet enligt artikel 251 i fördraget med kvalificerad majoritet i rådet och med Europaparlamentets medbeslutande.</w:t>
      </w:r>
    </w:p>
    <w:p w:rsidR="006D4AA5" w:rsidRPr="00264048" w:rsidRDefault="006D4AA5" w:rsidP="008C5BB9">
      <w:pPr>
        <w:pStyle w:val="Rubrik2"/>
      </w:pPr>
      <w:r w:rsidRPr="00264048">
        <w:t>Fackuttryck/termer</w:t>
      </w:r>
    </w:p>
    <w:p w:rsidR="000367D0" w:rsidRPr="00264048" w:rsidRDefault="000367D0" w:rsidP="00827095"/>
    <w:p w:rsidR="000367D0" w:rsidRPr="00264048" w:rsidRDefault="000367D0" w:rsidP="00827095">
      <w:r w:rsidRPr="00264048">
        <w:t>CEIOPS – Committee of European Insurance and Occupational Pensions Supervisors, Europeiska tillsynskommittén för försäkring och tjänstepensioner. Lamfalussy nivå 3 kommitte.</w:t>
      </w:r>
    </w:p>
    <w:p w:rsidR="000367D0" w:rsidRPr="00264048" w:rsidRDefault="000367D0" w:rsidP="00827095"/>
    <w:p w:rsidR="000367D0" w:rsidRPr="00264048" w:rsidRDefault="000367D0" w:rsidP="00827095">
      <w:r w:rsidRPr="00264048">
        <w:t xml:space="preserve">FIN-USE – Expert Forum of Financial Services Users, expertgrupp tillsatt av kommissionen. </w:t>
      </w:r>
    </w:p>
    <w:p w:rsidR="000367D0" w:rsidRPr="00264048" w:rsidRDefault="000367D0" w:rsidP="00827095"/>
    <w:p w:rsidR="000367D0" w:rsidRPr="00264048" w:rsidRDefault="000367D0" w:rsidP="00827095">
      <w:r w:rsidRPr="00264048">
        <w:t xml:space="preserve">Försäkringstekniska avsättningar – försäkringsföretagets uppskattade skuld för att infria åtagandena i försäkringsavtalen. Avsättningarna ska i solvens II motsvara bästa skattningen och en riskmarginal samt beräknas realistiskt där värderingen inte ska vara företagsspecifik, dvs. värderingen ska motsvara kostnaden att överföra avtalen till en oberoende part. </w:t>
      </w:r>
    </w:p>
    <w:p w:rsidR="008B3270" w:rsidRPr="00264048" w:rsidRDefault="008B3270" w:rsidP="00827095"/>
    <w:p w:rsidR="008B3270" w:rsidRPr="00264048" w:rsidRDefault="008B3270" w:rsidP="00827095">
      <w:r w:rsidRPr="00264048">
        <w:t>Lamfalussyprocessen – process för lagstiftning inom det finansiella området som syftar till att göra lagstiftningsarbetet snabbare, mer flexibelt och bättre anpassat till förändringstakten på de finansiella marknaderna. Lamfalussyprocessen bygger på en lagstiftning i fyra nivåer. På nivå 1 antas rambestämmelser i den grundläggande rättsakten i enlighet med med</w:t>
      </w:r>
      <w:r w:rsidRPr="00264048">
        <w:softHyphen/>
        <w:t>beslutande</w:t>
      </w:r>
      <w:r w:rsidRPr="00264048">
        <w:softHyphen/>
        <w:t>förfarandet. På nivå 2 finns en kommitté som dels skall bistå kommissionen med råd vid exempelvis upprättandet av förslag till rätts</w:t>
      </w:r>
      <w:r w:rsidRPr="00264048">
        <w:softHyphen/>
        <w:t>akter, dels biträda kommissionen när denna beslutar om genom</w:t>
      </w:r>
      <w:r w:rsidRPr="00264048">
        <w:softHyphen/>
        <w:t>förande</w:t>
      </w:r>
      <w:r w:rsidRPr="00264048">
        <w:softHyphen/>
        <w:t>åtgärder (således ett kommittéförfarande). Härefter finns på nivå 3 en rådgivande kommitté med representanter för MS tillsynsmyndig</w:t>
      </w:r>
      <w:r w:rsidRPr="00264048">
        <w:softHyphen/>
        <w:t>heter. Slutligen skall, som en nivå 4, kommissionen ta ett ökat ansvar för kontrollen av att de antagna reglerna genomförs i medlemsstaterna på ett likartat sätt.</w:t>
      </w:r>
    </w:p>
    <w:p w:rsidR="000367D0" w:rsidRPr="00264048" w:rsidRDefault="000367D0" w:rsidP="00827095"/>
    <w:p w:rsidR="000367D0" w:rsidRPr="00264048" w:rsidRDefault="000367D0" w:rsidP="00827095">
      <w:r w:rsidRPr="00264048">
        <w:t xml:space="preserve">MCR – Minimikapitalkravet (Minimum capital requirement), det kapitalkrav vars underskridande automatiskt ska föranleda den yttersta formen av åtgärder från tillsynsmyndigheterna sida. </w:t>
      </w:r>
    </w:p>
    <w:p w:rsidR="000367D0" w:rsidRPr="00264048" w:rsidRDefault="000367D0" w:rsidP="00827095"/>
    <w:p w:rsidR="000367D0" w:rsidRPr="00264048" w:rsidRDefault="000367D0" w:rsidP="00827095">
      <w:r w:rsidRPr="00264048">
        <w:t xml:space="preserve">SCR – Solvenskapitalkravet (Solvency capital requirement), ska spegla den kapitalnivå som gör det möjligt för ett försäkringsföretag att stå emot betydande oförutsedda förluster och som ger försäkrings- och förmånstagarna en rimlig grad av tillförsikt. </w:t>
      </w:r>
    </w:p>
    <w:p w:rsidR="000367D0" w:rsidRPr="00264048" w:rsidRDefault="000367D0" w:rsidP="00827095"/>
    <w:p w:rsidR="000367D0" w:rsidRPr="00264048" w:rsidRDefault="000367D0" w:rsidP="00827095">
      <w:r w:rsidRPr="00264048">
        <w:t xml:space="preserve">Solvensregler – Solvensreglerna är de rörelseregler som syftar till att säkerställa att försäkringsföretagen kan uppfylla sina åtaganden till försäkringstagarna och andra ersättningsberättigade. Regleringen omfattar bl.a. kapitalkrav, regler om beräkning av avsättningar för åtagandena mot försäkringstagarna (s.k. försäkringstekniska avsättningar) och placeringsregler för tillgångarna. </w:t>
      </w:r>
    </w:p>
    <w:p w:rsidR="00864EE0" w:rsidRPr="00264048" w:rsidRDefault="00864EE0" w:rsidP="00827095"/>
    <w:sectPr w:rsidR="00864EE0" w:rsidRPr="0026404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FC4" w:rsidRPr="00264048" w:rsidRDefault="00985FC4">
      <w:r w:rsidRPr="00264048">
        <w:separator/>
      </w:r>
    </w:p>
  </w:endnote>
  <w:endnote w:type="continuationSeparator" w:id="0">
    <w:p w:rsidR="00985FC4" w:rsidRPr="00264048" w:rsidRDefault="00985FC4">
      <w:r w:rsidRPr="00264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837A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985FC4">
    <w:pPr>
      <w:pStyle w:val="SidfotH"/>
      <w:framePr w:wrap="around"/>
    </w:pPr>
    <w:r w:rsidRPr="00264048">
      <w:t>2</w:t>
    </w:r>
  </w:p>
  <w:p w:rsidR="00837AE1" w:rsidRPr="00264048" w:rsidRDefault="00837A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985FC4">
    <w:pPr>
      <w:pStyle w:val="SidfotH"/>
      <w:framePr w:wrap="around"/>
    </w:pPr>
    <w:r w:rsidRPr="00264048">
      <w:t>1</w:t>
    </w:r>
  </w:p>
  <w:p w:rsidR="00837AE1" w:rsidRPr="00264048" w:rsidRDefault="00837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FC4" w:rsidRPr="00264048" w:rsidRDefault="00985FC4">
      <w:r w:rsidRPr="00264048">
        <w:separator/>
      </w:r>
    </w:p>
  </w:footnote>
  <w:footnote w:type="continuationSeparator" w:id="0">
    <w:p w:rsidR="00985FC4" w:rsidRPr="00264048" w:rsidRDefault="00985FC4">
      <w:r w:rsidRPr="00264048">
        <w:continuationSeparator/>
      </w:r>
    </w:p>
  </w:footnote>
  <w:footnote w:id="1">
    <w:p w:rsidR="00837AE1" w:rsidRPr="00264048" w:rsidRDefault="00837AE1" w:rsidP="005E1161">
      <w:pPr>
        <w:pStyle w:val="Fotnotstext"/>
      </w:pPr>
      <w:r w:rsidRPr="00264048">
        <w:rPr>
          <w:rStyle w:val="Fotnotsreferens"/>
        </w:rPr>
        <w:footnoteRef/>
      </w:r>
      <w:r w:rsidRPr="00264048">
        <w:t xml:space="preserve"> I vinstudelande bolag måste motsvarande avsättningar däremot göras för sk. villkorad återbäring.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837A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837AE1">
    <w:pPr>
      <w:pStyle w:val="Kantrubrik"/>
      <w:framePr w:h="1157" w:hRule="exact" w:wrap="around" w:y="738"/>
    </w:pPr>
    <w:r w:rsidRPr="00264048">
      <w:t>2006/07:FPM117</w:t>
    </w:r>
  </w:p>
  <w:p w:rsidR="00837AE1" w:rsidRPr="00264048" w:rsidRDefault="00837AE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1" w:rsidRPr="00264048" w:rsidRDefault="00985FC4">
    <w:pPr>
      <w:pStyle w:val="Sidhuvud"/>
    </w:pPr>
    <w:r w:rsidRPr="00264048">
      <w:rPr>
        <w:rStyle w:val="Sidnummer"/>
      </w:rPr>
      <w:t>1</w:t>
    </w:r>
    <w:r w:rsidR="00264048" w:rsidRPr="0026404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59665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7AE1" w:rsidRDefault="00837AE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37AE1" w:rsidRDefault="00837AE1">
                    <w:pPr>
                      <w:pStyle w:val="Logo"/>
                    </w:pPr>
                    <w:r>
                      <w:object w:dxaOrig="840" w:dyaOrig="1545">
                        <v:shape id="_x0000_i1025" type="#_x0000_t75" style="width:42pt;height:77.15pt" filled="t">
                          <v:imagedata r:id="rId1" o:title=""/>
                        </v:shape>
                        <o:OLEObject Type="Embed" ProgID="Word.Picture.8" ShapeID="_x0000_i1025" DrawAspect="Content" ObjectID="_18274594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174AE8"/>
    <w:multiLevelType w:val="hybridMultilevel"/>
    <w:tmpl w:val="E628198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1B7D40C9"/>
    <w:multiLevelType w:val="hybridMultilevel"/>
    <w:tmpl w:val="D70A187E"/>
    <w:lvl w:ilvl="0" w:tplc="0409000F">
      <w:start w:val="1"/>
      <w:numFmt w:val="decimal"/>
      <w:lvlText w:val="%1."/>
      <w:lvlJc w:val="left"/>
      <w:pPr>
        <w:tabs>
          <w:tab w:val="num" w:pos="1664"/>
        </w:tabs>
        <w:ind w:left="1664" w:hanging="360"/>
      </w:pPr>
      <w:rPr>
        <w:rFonts w:hint="default"/>
      </w:r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3" w15:restartNumberingAfterBreak="0">
    <w:nsid w:val="218651F1"/>
    <w:multiLevelType w:val="hybridMultilevel"/>
    <w:tmpl w:val="8FA4F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EDC26C4"/>
    <w:multiLevelType w:val="hybridMultilevel"/>
    <w:tmpl w:val="AFA4BDEA"/>
    <w:lvl w:ilvl="0" w:tplc="0409000F">
      <w:start w:val="1"/>
      <w:numFmt w:val="decimal"/>
      <w:lvlText w:val="%1."/>
      <w:lvlJc w:val="left"/>
      <w:pPr>
        <w:tabs>
          <w:tab w:val="num" w:pos="1664"/>
        </w:tabs>
        <w:ind w:left="1664" w:hanging="360"/>
      </w:p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9A97DC1"/>
    <w:multiLevelType w:val="hybridMultilevel"/>
    <w:tmpl w:val="57F0E44A"/>
    <w:lvl w:ilvl="0" w:tplc="B7CE0B02">
      <w:start w:val="1"/>
      <w:numFmt w:val="bullet"/>
      <w:pStyle w:val="ListaPunkter"/>
      <w:lvlText w:val=""/>
      <w:lvlJc w:val="left"/>
      <w:pPr>
        <w:tabs>
          <w:tab w:val="num" w:pos="357"/>
        </w:tabs>
        <w:ind w:left="357" w:hanging="357"/>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F844A7B"/>
    <w:multiLevelType w:val="hybridMultilevel"/>
    <w:tmpl w:val="44BA1CBC"/>
    <w:lvl w:ilvl="0" w:tplc="0409000F">
      <w:start w:val="1"/>
      <w:numFmt w:val="decimal"/>
      <w:lvlText w:val="%1."/>
      <w:lvlJc w:val="left"/>
      <w:pPr>
        <w:tabs>
          <w:tab w:val="num" w:pos="1664"/>
        </w:tabs>
        <w:ind w:left="1664" w:hanging="360"/>
      </w:pPr>
    </w:lvl>
    <w:lvl w:ilvl="1" w:tplc="04090019" w:tentative="1">
      <w:start w:val="1"/>
      <w:numFmt w:val="lowerLetter"/>
      <w:lvlText w:val="%2."/>
      <w:lvlJc w:val="left"/>
      <w:pPr>
        <w:tabs>
          <w:tab w:val="num" w:pos="2384"/>
        </w:tabs>
        <w:ind w:left="2384" w:hanging="360"/>
      </w:pPr>
    </w:lvl>
    <w:lvl w:ilvl="2" w:tplc="0409001B" w:tentative="1">
      <w:start w:val="1"/>
      <w:numFmt w:val="lowerRoman"/>
      <w:lvlText w:val="%3."/>
      <w:lvlJc w:val="right"/>
      <w:pPr>
        <w:tabs>
          <w:tab w:val="num" w:pos="3104"/>
        </w:tabs>
        <w:ind w:left="3104" w:hanging="180"/>
      </w:pPr>
    </w:lvl>
    <w:lvl w:ilvl="3" w:tplc="0409000F" w:tentative="1">
      <w:start w:val="1"/>
      <w:numFmt w:val="decimal"/>
      <w:lvlText w:val="%4."/>
      <w:lvlJc w:val="left"/>
      <w:pPr>
        <w:tabs>
          <w:tab w:val="num" w:pos="3824"/>
        </w:tabs>
        <w:ind w:left="3824" w:hanging="360"/>
      </w:pPr>
    </w:lvl>
    <w:lvl w:ilvl="4" w:tplc="04090019" w:tentative="1">
      <w:start w:val="1"/>
      <w:numFmt w:val="lowerLetter"/>
      <w:lvlText w:val="%5."/>
      <w:lvlJc w:val="left"/>
      <w:pPr>
        <w:tabs>
          <w:tab w:val="num" w:pos="4544"/>
        </w:tabs>
        <w:ind w:left="4544" w:hanging="360"/>
      </w:pPr>
    </w:lvl>
    <w:lvl w:ilvl="5" w:tplc="0409001B" w:tentative="1">
      <w:start w:val="1"/>
      <w:numFmt w:val="lowerRoman"/>
      <w:lvlText w:val="%6."/>
      <w:lvlJc w:val="right"/>
      <w:pPr>
        <w:tabs>
          <w:tab w:val="num" w:pos="5264"/>
        </w:tabs>
        <w:ind w:left="5264" w:hanging="180"/>
      </w:pPr>
    </w:lvl>
    <w:lvl w:ilvl="6" w:tplc="0409000F" w:tentative="1">
      <w:start w:val="1"/>
      <w:numFmt w:val="decimal"/>
      <w:lvlText w:val="%7."/>
      <w:lvlJc w:val="left"/>
      <w:pPr>
        <w:tabs>
          <w:tab w:val="num" w:pos="5984"/>
        </w:tabs>
        <w:ind w:left="5984" w:hanging="360"/>
      </w:pPr>
    </w:lvl>
    <w:lvl w:ilvl="7" w:tplc="04090019" w:tentative="1">
      <w:start w:val="1"/>
      <w:numFmt w:val="lowerLetter"/>
      <w:lvlText w:val="%8."/>
      <w:lvlJc w:val="left"/>
      <w:pPr>
        <w:tabs>
          <w:tab w:val="num" w:pos="6704"/>
        </w:tabs>
        <w:ind w:left="6704" w:hanging="360"/>
      </w:pPr>
    </w:lvl>
    <w:lvl w:ilvl="8" w:tplc="0409001B" w:tentative="1">
      <w:start w:val="1"/>
      <w:numFmt w:val="lowerRoman"/>
      <w:lvlText w:val="%9."/>
      <w:lvlJc w:val="right"/>
      <w:pPr>
        <w:tabs>
          <w:tab w:val="num" w:pos="7424"/>
        </w:tabs>
        <w:ind w:left="7424" w:hanging="180"/>
      </w:pPr>
    </w:lvl>
  </w:abstractNum>
  <w:num w:numId="1" w16cid:durableId="1357585305">
    <w:abstractNumId w:val="9"/>
  </w:num>
  <w:num w:numId="2" w16cid:durableId="1876193694">
    <w:abstractNumId w:val="4"/>
  </w:num>
  <w:num w:numId="3" w16cid:durableId="2146968837">
    <w:abstractNumId w:val="6"/>
  </w:num>
  <w:num w:numId="4" w16cid:durableId="2022665079">
    <w:abstractNumId w:val="8"/>
  </w:num>
  <w:num w:numId="5" w16cid:durableId="1909345123">
    <w:abstractNumId w:val="10"/>
  </w:num>
  <w:num w:numId="6" w16cid:durableId="1246113621">
    <w:abstractNumId w:val="0"/>
  </w:num>
  <w:num w:numId="7" w16cid:durableId="290417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102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708902">
    <w:abstractNumId w:val="3"/>
  </w:num>
  <w:num w:numId="10" w16cid:durableId="1513033359">
    <w:abstractNumId w:val="2"/>
  </w:num>
  <w:num w:numId="11" w16cid:durableId="836307564">
    <w:abstractNumId w:val="11"/>
  </w:num>
  <w:num w:numId="12" w16cid:durableId="139931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05"/>
    <w:docVar w:name="Ar" w:val="2006/07"/>
    <w:docVar w:name="Dep" w:val="Finansdepartementet"/>
    <w:docVar w:name="DepWeb" w:val="Finansdepartementet"/>
    <w:docVar w:name="GDB1" w:val="KOM (2007) 361 slutlig"/>
    <w:docVar w:name="GDB10" w:val=" "/>
    <w:docVar w:name="GDB11" w:val=" "/>
    <w:docVar w:name="GDB12" w:val=" "/>
    <w:docVar w:name="GDB13" w:val=" "/>
    <w:docVar w:name="GDB2" w:val="SEK (2007) 870"/>
    <w:docVar w:name="GDB3" w:val="SEK (2007) 871"/>
    <w:docVar w:name="GDB4" w:val=" "/>
    <w:docVar w:name="GDB5" w:val=" "/>
    <w:docVar w:name="GDB6" w:val=" "/>
    <w:docVar w:name="GDB7" w:val=" "/>
    <w:docVar w:name="GDB8" w:val=" "/>
    <w:docVar w:name="GDB9" w:val=" "/>
    <w:docVar w:name="GDT1" w:val="Förslag till nytt direktiv om rätten att etablera och driva verksamhet med försäkring och återförsäkr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361 slutlig, SEK (2007) 870, SEK (2007) 871"/>
    <w:docVar w:name="Nr" w:val="117"/>
    <w:docVar w:name="RD_APPVERSION" w:val="3.00"/>
    <w:docVar w:name="Rub" w:val="Direktiv om försäkrings- och återförsäkringsverksamhet (Solvens II)"/>
    <w:docVar w:name="UppDat" w:val="2007-09-05"/>
    <w:docVar w:name="Utsk" w:val="Finansutskottet"/>
  </w:docVars>
  <w:rsids>
    <w:rsidRoot w:val="00264048"/>
    <w:rsid w:val="0001015B"/>
    <w:rsid w:val="000246EE"/>
    <w:rsid w:val="000367D0"/>
    <w:rsid w:val="0004111B"/>
    <w:rsid w:val="000451D2"/>
    <w:rsid w:val="00052E71"/>
    <w:rsid w:val="00066E5B"/>
    <w:rsid w:val="00072716"/>
    <w:rsid w:val="00085BF2"/>
    <w:rsid w:val="000A314C"/>
    <w:rsid w:val="000E4317"/>
    <w:rsid w:val="000F21A8"/>
    <w:rsid w:val="001063EF"/>
    <w:rsid w:val="00107BBF"/>
    <w:rsid w:val="00146472"/>
    <w:rsid w:val="00192F28"/>
    <w:rsid w:val="00196338"/>
    <w:rsid w:val="001D2B5A"/>
    <w:rsid w:val="00206047"/>
    <w:rsid w:val="00217940"/>
    <w:rsid w:val="00245BCB"/>
    <w:rsid w:val="00264048"/>
    <w:rsid w:val="00276534"/>
    <w:rsid w:val="0029177E"/>
    <w:rsid w:val="00294163"/>
    <w:rsid w:val="002D67E5"/>
    <w:rsid w:val="002E792B"/>
    <w:rsid w:val="002F7DAA"/>
    <w:rsid w:val="003103D1"/>
    <w:rsid w:val="00316F36"/>
    <w:rsid w:val="003623E8"/>
    <w:rsid w:val="00382EBF"/>
    <w:rsid w:val="003B3512"/>
    <w:rsid w:val="003B7215"/>
    <w:rsid w:val="003D19C7"/>
    <w:rsid w:val="003F751A"/>
    <w:rsid w:val="00404797"/>
    <w:rsid w:val="004334DE"/>
    <w:rsid w:val="0043534D"/>
    <w:rsid w:val="00457766"/>
    <w:rsid w:val="004B24B4"/>
    <w:rsid w:val="004C1CDB"/>
    <w:rsid w:val="004D265C"/>
    <w:rsid w:val="00515EFC"/>
    <w:rsid w:val="00516155"/>
    <w:rsid w:val="0053221C"/>
    <w:rsid w:val="00540731"/>
    <w:rsid w:val="00546373"/>
    <w:rsid w:val="0057719C"/>
    <w:rsid w:val="005811A7"/>
    <w:rsid w:val="005A59F3"/>
    <w:rsid w:val="005B0723"/>
    <w:rsid w:val="005E1161"/>
    <w:rsid w:val="006045AA"/>
    <w:rsid w:val="006048A4"/>
    <w:rsid w:val="00633152"/>
    <w:rsid w:val="00635AE5"/>
    <w:rsid w:val="0066112C"/>
    <w:rsid w:val="00662E67"/>
    <w:rsid w:val="006925DF"/>
    <w:rsid w:val="00697D04"/>
    <w:rsid w:val="006D4AA5"/>
    <w:rsid w:val="006D7A88"/>
    <w:rsid w:val="006E11F3"/>
    <w:rsid w:val="00741C6A"/>
    <w:rsid w:val="007B7877"/>
    <w:rsid w:val="007C0743"/>
    <w:rsid w:val="007D0383"/>
    <w:rsid w:val="00812FC1"/>
    <w:rsid w:val="00827095"/>
    <w:rsid w:val="0083603D"/>
    <w:rsid w:val="00837AE1"/>
    <w:rsid w:val="0084411F"/>
    <w:rsid w:val="00864EE0"/>
    <w:rsid w:val="00872873"/>
    <w:rsid w:val="00882CD9"/>
    <w:rsid w:val="008A127D"/>
    <w:rsid w:val="008B3270"/>
    <w:rsid w:val="008C0AC9"/>
    <w:rsid w:val="008C1DA6"/>
    <w:rsid w:val="008C5BB9"/>
    <w:rsid w:val="008D335F"/>
    <w:rsid w:val="0090393E"/>
    <w:rsid w:val="009153B9"/>
    <w:rsid w:val="00917D61"/>
    <w:rsid w:val="00941E04"/>
    <w:rsid w:val="00942C63"/>
    <w:rsid w:val="009523B2"/>
    <w:rsid w:val="00952DFD"/>
    <w:rsid w:val="00953EDA"/>
    <w:rsid w:val="009769E7"/>
    <w:rsid w:val="00985FC4"/>
    <w:rsid w:val="009A421E"/>
    <w:rsid w:val="009C79AA"/>
    <w:rsid w:val="00A13FA5"/>
    <w:rsid w:val="00A2169C"/>
    <w:rsid w:val="00A3151C"/>
    <w:rsid w:val="00A36821"/>
    <w:rsid w:val="00A60ADB"/>
    <w:rsid w:val="00A83946"/>
    <w:rsid w:val="00A86F1E"/>
    <w:rsid w:val="00AC60CC"/>
    <w:rsid w:val="00AD3090"/>
    <w:rsid w:val="00AE61B0"/>
    <w:rsid w:val="00B0294B"/>
    <w:rsid w:val="00B31F0B"/>
    <w:rsid w:val="00B46FE8"/>
    <w:rsid w:val="00B5445F"/>
    <w:rsid w:val="00B61381"/>
    <w:rsid w:val="00BB671B"/>
    <w:rsid w:val="00BC4B98"/>
    <w:rsid w:val="00BC6701"/>
    <w:rsid w:val="00C16773"/>
    <w:rsid w:val="00C25422"/>
    <w:rsid w:val="00C30451"/>
    <w:rsid w:val="00C353D0"/>
    <w:rsid w:val="00C62862"/>
    <w:rsid w:val="00C64729"/>
    <w:rsid w:val="00C6736D"/>
    <w:rsid w:val="00CA2754"/>
    <w:rsid w:val="00CB38FB"/>
    <w:rsid w:val="00CC0065"/>
    <w:rsid w:val="00CE6AE7"/>
    <w:rsid w:val="00D100E1"/>
    <w:rsid w:val="00D15311"/>
    <w:rsid w:val="00D25E5B"/>
    <w:rsid w:val="00D26D5F"/>
    <w:rsid w:val="00D55850"/>
    <w:rsid w:val="00D559FA"/>
    <w:rsid w:val="00D66631"/>
    <w:rsid w:val="00DA0D0C"/>
    <w:rsid w:val="00DA3914"/>
    <w:rsid w:val="00DD22B9"/>
    <w:rsid w:val="00E174D9"/>
    <w:rsid w:val="00E32F11"/>
    <w:rsid w:val="00E6555C"/>
    <w:rsid w:val="00E763B8"/>
    <w:rsid w:val="00E910B5"/>
    <w:rsid w:val="00EA322D"/>
    <w:rsid w:val="00EA5B04"/>
    <w:rsid w:val="00EE1A89"/>
    <w:rsid w:val="00EE213E"/>
    <w:rsid w:val="00EF7E4A"/>
    <w:rsid w:val="00F1221A"/>
    <w:rsid w:val="00F26BCC"/>
    <w:rsid w:val="00F34B6D"/>
    <w:rsid w:val="00F42E19"/>
    <w:rsid w:val="00F54CFE"/>
    <w:rsid w:val="00F8671D"/>
    <w:rsid w:val="00F944B6"/>
    <w:rsid w:val="00F9593F"/>
    <w:rsid w:val="00F97D17"/>
    <w:rsid w:val="00FA33D0"/>
    <w:rsid w:val="00FA714C"/>
    <w:rsid w:val="00FE2B1C"/>
    <w:rsid w:val="00FF3F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79107E-1AC1-4E7B-B033-08BEEDDC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link w:val="Rubrik3Char"/>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9153B9"/>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rsid w:val="000367D0"/>
    <w:pPr>
      <w:keepNext/>
      <w:tabs>
        <w:tab w:val="left" w:pos="1134"/>
      </w:tabs>
      <w:spacing w:before="360" w:after="120"/>
    </w:pPr>
    <w:rPr>
      <w:rFonts w:ascii="TradeGothic" w:hAnsi="TradeGothic"/>
      <w:b/>
      <w:sz w:val="22"/>
    </w:rPr>
  </w:style>
  <w:style w:type="character" w:customStyle="1" w:styleId="Rubrik3Char">
    <w:name w:val="Rubrik 3 Char"/>
    <w:basedOn w:val="Standardstycketeckensnitt"/>
    <w:link w:val="Rubrik3"/>
    <w:locked/>
    <w:rsid w:val="000367D0"/>
    <w:rPr>
      <w:b/>
      <w:sz w:val="19"/>
      <w:lang w:val="sv-SE" w:eastAsia="sv-SE" w:bidi="ar-SA"/>
    </w:rPr>
  </w:style>
  <w:style w:type="paragraph" w:customStyle="1" w:styleId="ListaPunkter">
    <w:name w:val="Lista Punkter"/>
    <w:basedOn w:val="Normal"/>
    <w:rsid w:val="000367D0"/>
    <w:pPr>
      <w:numPr>
        <w:numId w:val="7"/>
      </w:numPr>
      <w:spacing w:before="0" w:line="260" w:lineRule="atLeast"/>
      <w:jc w:val="left"/>
    </w:pPr>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1757">
      <w:bodyDiv w:val="1"/>
      <w:marLeft w:val="0"/>
      <w:marRight w:val="0"/>
      <w:marTop w:val="0"/>
      <w:marBottom w:val="0"/>
      <w:divBdr>
        <w:top w:val="none" w:sz="0" w:space="0" w:color="auto"/>
        <w:left w:val="none" w:sz="0" w:space="0" w:color="auto"/>
        <w:bottom w:val="none" w:sz="0" w:space="0" w:color="auto"/>
        <w:right w:val="none" w:sz="0" w:space="0" w:color="auto"/>
      </w:divBdr>
    </w:div>
    <w:div w:id="1148091489">
      <w:bodyDiv w:val="1"/>
      <w:marLeft w:val="0"/>
      <w:marRight w:val="0"/>
      <w:marTop w:val="0"/>
      <w:marBottom w:val="0"/>
      <w:divBdr>
        <w:top w:val="none" w:sz="0" w:space="0" w:color="auto"/>
        <w:left w:val="none" w:sz="0" w:space="0" w:color="auto"/>
        <w:bottom w:val="none" w:sz="0" w:space="0" w:color="auto"/>
        <w:right w:val="none" w:sz="0" w:space="0" w:color="auto"/>
      </w:divBdr>
    </w:div>
    <w:div w:id="20124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3271</Words>
  <Characters>21498</Characters>
  <Application>Microsoft Office Word</Application>
  <DocSecurity>4</DocSecurity>
  <Lines>457</Lines>
  <Paragraphs>111</Paragraphs>
  <ScaleCrop>false</ScaleCrop>
  <HeadingPairs>
    <vt:vector size="2" baseType="variant">
      <vt:variant>
        <vt:lpstr>Rubrik</vt:lpstr>
      </vt:variant>
      <vt:variant>
        <vt:i4>1</vt:i4>
      </vt:variant>
    </vt:vector>
  </HeadingPairs>
  <TitlesOfParts>
    <vt:vector size="1" baseType="lpstr">
      <vt:lpstr>FPM_200607__117</vt:lpstr>
    </vt:vector>
  </TitlesOfParts>
  <Company>RD-DTSL</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FPM_200607__117</dc:title>
  <dc:subject>FPM_200607__117</dc:subject>
  <dc:creator>Riksdagen</dc:creator>
  <cp:keywords>Riksdagen</cp:keywords>
  <dc:description>KP2004-version.  Ändringarna påverkar enbart användningen inom Riksdagen. 050429 nya departement DTSL.</dc:description>
  <cp:lastModifiedBy>Lars Brink</cp:lastModifiedBy>
  <cp:revision>2</cp:revision>
  <cp:lastPrinted>2007-09-05T11:55:00Z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117</vt:lpwstr>
  </property>
  <property fmtid="{D5CDD505-2E9C-101B-9397-08002B2CF9AE}" pid="4" name="GDB1">
    <vt:lpwstr>KOM (2007) 361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försäkrings- och återförsäkringsverksamhet (Solvens II)</vt:lpwstr>
  </property>
  <property fmtid="{D5CDD505-2E9C-101B-9397-08002B2CF9AE}" pid="8" name="UppDat">
    <vt:lpwstr>2007-09-05</vt:lpwstr>
  </property>
  <property fmtid="{D5CDD505-2E9C-101B-9397-08002B2CF9AE}" pid="9" name="AnkDat">
    <vt:lpwstr>2007-09-05</vt:lpwstr>
  </property>
  <property fmtid="{D5CDD505-2E9C-101B-9397-08002B2CF9AE}" pid="10" name="Utsk">
    <vt:lpwstr>Finansutskottet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 (2007) 870</vt:lpwstr>
  </property>
  <property fmtid="{D5CDD505-2E9C-101B-9397-08002B2CF9AE}" pid="15" name="GDB3">
    <vt:lpwstr>SEK (2007) 871</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ies>
</file>