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9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2019/20:455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Inställda mässors inverkan på jobb och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2019/20:459 av David Josefsson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Förbudet mot folksamlingar i förhållande till motionslopp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2019/20:464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Hållbara offentliga finanser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2019/20:FPM69 EU-strategi för att bekämpa sexuella övergrepp mot barn </w:t>
            </w:r>
            <w:r>
              <w:rPr>
                <w:i/>
                <w:iCs/>
                <w:rtl w:val="0"/>
              </w:rPr>
              <w:t>COM(2020) 607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2019/20:195 Stärkt konsumentskydd på inlåningsmarknaden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2019/20:201 Tystnadsplikt vid utkontraktering av teknisk bearbetning eller lagring av uppgifter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2019/20:199 Riksrevisionens rapport om holdingbolag vid universitet och högskolor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2019/20:202 ILO:s hundraårsdeklaration för framtidens arbetsliv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9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2020-09-09</SAFIR_Sammantradesdatum_Doc>
    <SAFIR_SammantradeID xmlns="C07A1A6C-0B19-41D9-BDF8-F523BA3921EB">48331a0b-6edb-43e1-9db1-832cd4576cec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45C0F-BBCD-4826-88DA-1BC819DBF4A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9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