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190" w:rsidRPr="001066AD" w:rsidRDefault="00C83190">
      <w:pPr>
        <w:pStyle w:val="Frslagsrubrik"/>
      </w:pPr>
      <w:r w:rsidRPr="001066AD">
        <w:t>Förslag till riksdagsbeslut</w:t>
      </w:r>
    </w:p>
    <w:p w:rsidR="00C83190" w:rsidRPr="001066AD" w:rsidRDefault="00C83190">
      <w:pPr>
        <w:pStyle w:val="Hemstlatt"/>
        <w:numPr>
          <w:ilvl w:val="0"/>
          <w:numId w:val="1"/>
        </w:numPr>
      </w:pPr>
      <w:r w:rsidRPr="001066AD">
        <w:t>Riksdagen tillkännager för regeringen som sin mening vad som anförs i motionen om att införa egenkapitalbevis i den svenska sparbankslagen.</w:t>
      </w:r>
    </w:p>
    <w:p w:rsidR="00C83190" w:rsidRPr="001066AD" w:rsidRDefault="00C83190">
      <w:pPr>
        <w:pStyle w:val="Hemstlatt"/>
        <w:numPr>
          <w:ilvl w:val="0"/>
          <w:numId w:val="1"/>
        </w:numPr>
      </w:pPr>
      <w:r w:rsidRPr="001066AD">
        <w:t>Riksdagen tillkännager för regeringen som sin mening vad som anförs i motionen om att regeringen ska återkomma med förslag till finansiering av startkapital för att bilda nya sparbanker.</w:t>
      </w:r>
    </w:p>
    <w:p w:rsidR="00C83190" w:rsidRPr="001066AD" w:rsidRDefault="00C83190">
      <w:pPr>
        <w:pStyle w:val="Hemstlatt"/>
        <w:numPr>
          <w:ilvl w:val="0"/>
          <w:numId w:val="1"/>
        </w:numPr>
      </w:pPr>
      <w:r w:rsidRPr="001066AD">
        <w:t>Riksdagen tillkännager för regeringen som sin mening vad som anförs i motionen om att regeringen snarast ska göra en översyn av banklagstiftningen.</w:t>
      </w:r>
    </w:p>
    <w:p w:rsidR="00C83190" w:rsidRPr="001066AD" w:rsidRDefault="00C83190">
      <w:pPr>
        <w:pStyle w:val="Rubrik1"/>
      </w:pPr>
      <w:r w:rsidRPr="001066AD">
        <w:t>Bakgrund</w:t>
      </w:r>
    </w:p>
    <w:p w:rsidR="00C83190" w:rsidRPr="001066AD" w:rsidRDefault="00C83190">
      <w:r w:rsidRPr="001066AD">
        <w:t>Vänsterpartiet menar att det är viktigt att öka konkurrensen på bankmarkn</w:t>
      </w:r>
      <w:r w:rsidRPr="001066AD">
        <w:t>a</w:t>
      </w:r>
      <w:r w:rsidRPr="001066AD">
        <w:t>den. Ökad konkurrens förbättrar möjligheterna för inte minst småföretag och hushåll utanför de större städerna. De lokala sparbankerna utgör en viktig resurs för den regionala utvecklingen. Deras förankring i lokalsamhället gör att sparbankerna har goda kunskaper om det samhälle, de företag och de människor som finns och verkar där. Samtliga lokala banker är lokaliserade utanför de större tätorterna. Bland annat beviljas lån till småföretag och pr</w:t>
      </w:r>
      <w:r w:rsidRPr="001066AD">
        <w:t>i</w:t>
      </w:r>
      <w:r w:rsidRPr="001066AD">
        <w:t xml:space="preserve">vatpersoner som annars kanske inte skulle ha godkänts – av </w:t>
      </w:r>
      <w:r w:rsidRPr="001066AD">
        <w:t>främst affärsba</w:t>
      </w:r>
      <w:r w:rsidRPr="001066AD">
        <w:t>n</w:t>
      </w:r>
      <w:r w:rsidRPr="001066AD">
        <w:t>kerna. Eftersom sparbankerna i grunden går ut på att verka lokalt har de en unik kund</w:t>
      </w:r>
      <w:r w:rsidRPr="001066AD">
        <w:softHyphen/>
        <w:t>kännedom genom en nära relation till de lokala företagarna. Det är en oerhört viktig och basal kunskap för en bank som arbetar utifrån lokalsa</w:t>
      </w:r>
      <w:r w:rsidRPr="001066AD">
        <w:t>m</w:t>
      </w:r>
      <w:r w:rsidRPr="001066AD">
        <w:t>hällets bästa.</w:t>
      </w:r>
    </w:p>
    <w:p w:rsidR="00C83190" w:rsidRPr="001066AD" w:rsidRDefault="00C83190">
      <w:pPr>
        <w:pStyle w:val="Normaltindrag"/>
      </w:pPr>
      <w:r w:rsidRPr="001066AD">
        <w:t>Att sparbankerna inte har möjlighet att dela ut vinster till aktieägare, utan i stället måste fondera vinsterna, innebär ökad trygghet för bankkunderna. Delar av det fonderade överskottet får sedan enbart användas för samhällsny</w:t>
      </w:r>
      <w:r w:rsidRPr="001066AD">
        <w:t>t</w:t>
      </w:r>
      <w:r w:rsidRPr="001066AD">
        <w:lastRenderedPageBreak/>
        <w:t>tiga ändamål som utvecklar regionen och lokalsamhället i långsiktigt hållbar riktning.</w:t>
      </w:r>
    </w:p>
    <w:p w:rsidR="00C83190" w:rsidRPr="001066AD" w:rsidRDefault="00C83190">
      <w:pPr>
        <w:pStyle w:val="Normaltindrag"/>
      </w:pPr>
      <w:r w:rsidRPr="001066AD">
        <w:t>De lokala sparbankerna har en affärsomslutning på ca 500 miljarder kr</w:t>
      </w:r>
      <w:r w:rsidRPr="001066AD">
        <w:t>o</w:t>
      </w:r>
      <w:r w:rsidRPr="001066AD">
        <w:t>nor, ett samlat resultat på nästan 3 miljarder och ett soliditetstal på i snitt 20 procent. Det finns anledning att tro att fler lokala sparbanker kommer att utveckla samhället, bl.a. genom en klok långivning till lokala och regionala företag som leder till arbetstillfällen och därmed framtidstro för orten och regionen. I dag finns sparbanker enbart i cirka hälften av kommunerna inkl</w:t>
      </w:r>
      <w:r w:rsidRPr="001066AD">
        <w:t>u</w:t>
      </w:r>
      <w:r w:rsidRPr="001066AD">
        <w:t>sive ett antal filialer. Vänsterpartiet menar att redan befintliga sparbanker ska kunna utvecklas och verka för att nya spar</w:t>
      </w:r>
      <w:r w:rsidRPr="001066AD">
        <w:t>banker ska kunna etableras.</w:t>
      </w:r>
    </w:p>
    <w:p w:rsidR="00C83190" w:rsidRPr="001066AD" w:rsidRDefault="00C83190">
      <w:pPr>
        <w:pStyle w:val="Rubrik1"/>
      </w:pPr>
      <w:r w:rsidRPr="001066AD">
        <w:t>Egenkapitalbevis</w:t>
      </w:r>
    </w:p>
    <w:p w:rsidR="00C83190" w:rsidRPr="001066AD" w:rsidRDefault="00C83190">
      <w:pPr>
        <w:pStyle w:val="Normaltindrag"/>
        <w:ind w:firstLine="0"/>
      </w:pPr>
      <w:r w:rsidRPr="001066AD">
        <w:t>Regeringen har, efter otaliga initiativ från Vänsterpartiet, tillsatt en internu</w:t>
      </w:r>
      <w:r w:rsidRPr="001066AD">
        <w:t>t</w:t>
      </w:r>
      <w:r w:rsidRPr="001066AD">
        <w:t>redning för att se över frågan om egenkapitalbevis för sparbanksrörelsen. Utredningens resultat skulle ha presenterats i våras men har ännu ej redov</w:t>
      </w:r>
      <w:r w:rsidRPr="001066AD">
        <w:t>i</w:t>
      </w:r>
      <w:r w:rsidRPr="001066AD">
        <w:t>sats. Egenkapitalbevis kan vara av avgörande betydelse för tillgången till kapital på landsbygden i framtiden.</w:t>
      </w:r>
    </w:p>
    <w:p w:rsidR="00C83190" w:rsidRPr="001066AD" w:rsidRDefault="00C83190">
      <w:pPr>
        <w:pStyle w:val="Normaltindrag"/>
      </w:pPr>
      <w:r w:rsidRPr="001066AD">
        <w:t>Egenkapitalbevis är redan infört i Norge och har utfallit väl. Egenkapital är ett instrument som har viss likhet med aktier. Huvudprincipen är att egenkap</w:t>
      </w:r>
      <w:r w:rsidRPr="001066AD">
        <w:t>i</w:t>
      </w:r>
      <w:r w:rsidRPr="001066AD">
        <w:t>talbevisens kapitalandel läggs under samma regelverk som institutionens övriga kapital så att utdelningar, gåvor till allmännyttiga ändamål samt a</w:t>
      </w:r>
      <w:r w:rsidRPr="001066AD">
        <w:t>v</w:t>
      </w:r>
      <w:r w:rsidRPr="001066AD">
        <w:t>sättningar till sparbankens fond styrs av ett och samma regelverk. Skillnaden mot aktier ligger främst i äganderätten till bankens förmögenhet samt infl</w:t>
      </w:r>
      <w:r w:rsidRPr="001066AD">
        <w:t>y</w:t>
      </w:r>
      <w:r w:rsidRPr="001066AD">
        <w:t>tandet i bankens organ.</w:t>
      </w:r>
    </w:p>
    <w:p w:rsidR="00C83190" w:rsidRPr="001066AD" w:rsidRDefault="00C83190">
      <w:pPr>
        <w:pStyle w:val="Normaltindrag"/>
      </w:pPr>
      <w:r w:rsidRPr="001066AD">
        <w:t>Systemet med egenkapitalbevis kan vara värdefullt i såväl goda som dåliga tider. För att förebygga eller ta sig ur en kris kan ett kapitaltillskott via bev</w:t>
      </w:r>
      <w:r w:rsidRPr="001066AD">
        <w:t>i</w:t>
      </w:r>
      <w:r w:rsidRPr="001066AD">
        <w:t>sen vara en avgörande faktor för att få en sparbank att överleva och fortsätta att vara en lokal utvecklingsmotor. I andra lägen kan bevisen bidra till en ökad kapitalmängd, vilket ger sparbanken större möjligheter att öka kredite</w:t>
      </w:r>
      <w:r w:rsidRPr="001066AD">
        <w:t>r</w:t>
      </w:r>
      <w:r w:rsidRPr="001066AD">
        <w:t>na till de lokala kundgrupperna och därmed intäkterna.</w:t>
      </w:r>
    </w:p>
    <w:p w:rsidR="00C83190" w:rsidRPr="001066AD" w:rsidRDefault="00C83190">
      <w:pPr>
        <w:pStyle w:val="Normaltindrag"/>
      </w:pPr>
      <w:r w:rsidRPr="001066AD">
        <w:t>Vänsterpartiet kan konstatera att den norska lagstiftningen leder till att ägare av egen</w:t>
      </w:r>
      <w:r w:rsidRPr="001066AD">
        <w:softHyphen/>
        <w:t>kapitalbevis inte kan få en beslutande majoritet i banken och att den inte heller kan säljas. Man kan också säga att det kan vara ett skydd mot aktiebolagslagens avigsidor. Vänsterpartiet menar att Sverige, efter norsk modell, bör införa egenkapitalbevis i sparbankslagen. Detta bör riksdagen som sin mening ge regeringen till känna.</w:t>
      </w:r>
    </w:p>
    <w:p w:rsidR="00C83190" w:rsidRPr="001066AD" w:rsidRDefault="00C83190">
      <w:pPr>
        <w:pStyle w:val="Rubrik1"/>
      </w:pPr>
      <w:r w:rsidRPr="001066AD">
        <w:t>Startkapital</w:t>
      </w:r>
    </w:p>
    <w:p w:rsidR="00C83190" w:rsidRPr="001066AD" w:rsidRDefault="00C83190">
      <w:pPr>
        <w:pStyle w:val="Normaltindrag"/>
        <w:ind w:firstLine="0"/>
        <w:rPr>
          <w:b/>
        </w:rPr>
      </w:pPr>
      <w:r w:rsidRPr="001066AD">
        <w:t>Det tar lång tid att bygga en bank och att grunda det kapital en stabil bank behöver. Det kan behövas möjligheter till statliga kreditgarantier eller upp-startslån i syfte att öka nyetableringen av sparbanker. Då skulle samtidigt spa</w:t>
      </w:r>
      <w:r w:rsidRPr="001066AD">
        <w:t>r</w:t>
      </w:r>
      <w:r w:rsidRPr="001066AD">
        <w:t>bankernas roll och filosofi behöva preciseras, bl.a. att de inte får ägna sig åt det slag av riskfylld spekulation som de stora affärsbankerna gjort. Forme</w:t>
      </w:r>
      <w:r w:rsidRPr="001066AD">
        <w:t>r</w:t>
      </w:r>
      <w:r w:rsidRPr="001066AD">
        <w:t>na för hur styrelseledamöter för sparbankerna utses kan också behöva ses över för att få en starkare styrning.</w:t>
      </w:r>
    </w:p>
    <w:p w:rsidR="00C83190" w:rsidRPr="001066AD" w:rsidRDefault="00C83190">
      <w:pPr>
        <w:pStyle w:val="Normaltindrag"/>
      </w:pPr>
      <w:r w:rsidRPr="001066AD">
        <w:t>På så sätt skulle vi kunna bidra till att de nya sparbankerna ges goda föru</w:t>
      </w:r>
      <w:r w:rsidRPr="001066AD">
        <w:t>t</w:t>
      </w:r>
      <w:r w:rsidRPr="001066AD">
        <w:t>sättningar att växa sig starka. I jämförelse med de krisinsatser som de stora affärsbankerna fått via statliga räddningspaket torde kreditgarantier eller uppstartslån till nya sparbanker både vara billigare och mindre riskabla. R</w:t>
      </w:r>
      <w:r w:rsidRPr="001066AD">
        <w:t>e</w:t>
      </w:r>
      <w:r w:rsidRPr="001066AD">
        <w:t>geringen bör återkomma med förslag till finansiering av startkapital för bi</w:t>
      </w:r>
      <w:r w:rsidRPr="001066AD">
        <w:t>l</w:t>
      </w:r>
      <w:r w:rsidRPr="001066AD">
        <w:t>dande av fler sparbanker. Detta bör riksdagen som sin mening ge regeringen till känna.</w:t>
      </w:r>
    </w:p>
    <w:p w:rsidR="00C83190" w:rsidRPr="001066AD" w:rsidRDefault="00C83190">
      <w:pPr>
        <w:pStyle w:val="Rubrik1"/>
      </w:pPr>
      <w:r w:rsidRPr="001066AD">
        <w:t>Översyn av banklagstiftningen</w:t>
      </w:r>
    </w:p>
    <w:p w:rsidR="00C83190" w:rsidRPr="001066AD" w:rsidRDefault="00C83190">
      <w:pPr>
        <w:pStyle w:val="Normaltindrag"/>
        <w:ind w:firstLine="0"/>
      </w:pPr>
      <w:r w:rsidRPr="001066AD">
        <w:t>Vänsterpartiet vill stärka konkurrensneutraliteten och kundernas valmöjligh</w:t>
      </w:r>
      <w:r w:rsidRPr="001066AD">
        <w:t>e</w:t>
      </w:r>
      <w:r w:rsidRPr="001066AD">
        <w:t>ter på bankmarknaden. De små sparbankerna verkar i flera avseenden under samma lagstiftning som de stora affärsbankerna. Basel II- och III-reglerna innebär i princip att samma administrativa bördor i form av rapportering m.m. läggs på små lokala sparbanker som på de stora globala bankjättarna. Vi m</w:t>
      </w:r>
      <w:r w:rsidRPr="001066AD">
        <w:t>e</w:t>
      </w:r>
      <w:r w:rsidRPr="001066AD">
        <w:t>nar att denna ordning inte är rimlig och att den missgynnar små lokala spa</w:t>
      </w:r>
      <w:r w:rsidRPr="001066AD">
        <w:t>r</w:t>
      </w:r>
      <w:r w:rsidRPr="001066AD">
        <w:t>banker. För att åstadkomma konkurrensneutralitet mellan olika banker bör regeringen därför snarast göra en översyn av banklagstiftningen</w:t>
      </w:r>
      <w:r w:rsidRPr="001066AD">
        <w: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66AD">
        <w:trPr>
          <w:cantSplit/>
        </w:trPr>
        <w:tc>
          <w:tcPr>
            <w:tcW w:w="3046" w:type="dxa"/>
          </w:tcPr>
          <w:p w:rsidR="00C83190" w:rsidRPr="001066AD" w:rsidRDefault="00C83190">
            <w:pPr>
              <w:pStyle w:val="UnderskriftDatum"/>
              <w:spacing w:before="240"/>
            </w:pPr>
            <w:r w:rsidRPr="001066AD">
              <w:t>Stockholm den 27 september 2011</w:t>
            </w:r>
          </w:p>
        </w:tc>
        <w:tc>
          <w:tcPr>
            <w:tcW w:w="3047" w:type="dxa"/>
          </w:tcPr>
          <w:p w:rsidR="00C83190" w:rsidRPr="001066AD" w:rsidRDefault="00C83190">
            <w:pPr>
              <w:pStyle w:val="Underskrifter"/>
              <w:spacing w:before="240"/>
            </w:pPr>
          </w:p>
        </w:tc>
      </w:tr>
      <w:tr w:rsidR="00000000" w:rsidRPr="001066AD">
        <w:trPr>
          <w:cantSplit/>
        </w:trPr>
        <w:tc>
          <w:tcPr>
            <w:tcW w:w="3046" w:type="dxa"/>
          </w:tcPr>
          <w:p w:rsidR="00C83190" w:rsidRPr="001066AD" w:rsidRDefault="00C83190">
            <w:pPr>
              <w:pStyle w:val="Underskrifter"/>
            </w:pPr>
            <w:r w:rsidRPr="001066AD">
              <w:t>Ulla Andersson (V)</w:t>
            </w:r>
          </w:p>
        </w:tc>
        <w:tc>
          <w:tcPr>
            <w:tcW w:w="3046" w:type="dxa"/>
          </w:tcPr>
          <w:p w:rsidR="00C83190" w:rsidRPr="001066AD" w:rsidRDefault="00C83190">
            <w:pPr>
              <w:pStyle w:val="Underskrifter"/>
            </w:pPr>
          </w:p>
        </w:tc>
      </w:tr>
      <w:tr w:rsidR="00000000" w:rsidRPr="001066AD">
        <w:trPr>
          <w:cantSplit/>
        </w:trPr>
        <w:tc>
          <w:tcPr>
            <w:tcW w:w="3046" w:type="dxa"/>
          </w:tcPr>
          <w:p w:rsidR="00C83190" w:rsidRPr="001066AD" w:rsidRDefault="00C83190">
            <w:pPr>
              <w:pStyle w:val="Underskrifter"/>
            </w:pPr>
            <w:r w:rsidRPr="001066AD">
              <w:t>Josefin Brink (V)</w:t>
            </w:r>
          </w:p>
        </w:tc>
        <w:tc>
          <w:tcPr>
            <w:tcW w:w="3046" w:type="dxa"/>
          </w:tcPr>
          <w:p w:rsidR="00C83190" w:rsidRPr="001066AD" w:rsidRDefault="00C83190">
            <w:pPr>
              <w:pStyle w:val="Underskrifter"/>
            </w:pPr>
            <w:r w:rsidRPr="001066AD">
              <w:t>Rossana Dinamarca (V)</w:t>
            </w:r>
          </w:p>
        </w:tc>
      </w:tr>
      <w:tr w:rsidR="00000000" w:rsidRPr="001066AD">
        <w:trPr>
          <w:cantSplit/>
        </w:trPr>
        <w:tc>
          <w:tcPr>
            <w:tcW w:w="3046" w:type="dxa"/>
          </w:tcPr>
          <w:p w:rsidR="00C83190" w:rsidRPr="001066AD" w:rsidRDefault="00C83190">
            <w:pPr>
              <w:pStyle w:val="Underskrifter"/>
            </w:pPr>
            <w:r w:rsidRPr="001066AD">
              <w:t>Christina Höj Larsen (V)</w:t>
            </w:r>
          </w:p>
        </w:tc>
        <w:tc>
          <w:tcPr>
            <w:tcW w:w="3046" w:type="dxa"/>
          </w:tcPr>
          <w:p w:rsidR="00C83190" w:rsidRPr="001066AD" w:rsidRDefault="00C83190">
            <w:pPr>
              <w:pStyle w:val="Underskrifter"/>
            </w:pPr>
            <w:r w:rsidRPr="001066AD">
              <w:t>Wiwi-Anne Johansson (V)</w:t>
            </w:r>
          </w:p>
        </w:tc>
      </w:tr>
      <w:tr w:rsidR="00000000" w:rsidRPr="001066AD">
        <w:trPr>
          <w:cantSplit/>
        </w:trPr>
        <w:tc>
          <w:tcPr>
            <w:tcW w:w="3046" w:type="dxa"/>
          </w:tcPr>
          <w:p w:rsidR="00C83190" w:rsidRPr="001066AD" w:rsidRDefault="00C83190">
            <w:pPr>
              <w:pStyle w:val="Underskrifter"/>
            </w:pPr>
            <w:r w:rsidRPr="001066AD">
              <w:t>Jacob Johnson (V)</w:t>
            </w:r>
          </w:p>
        </w:tc>
        <w:tc>
          <w:tcPr>
            <w:tcW w:w="3046" w:type="dxa"/>
          </w:tcPr>
          <w:p w:rsidR="00C83190" w:rsidRPr="001066AD" w:rsidRDefault="00C83190">
            <w:pPr>
              <w:pStyle w:val="Underskrifter"/>
            </w:pPr>
          </w:p>
        </w:tc>
      </w:tr>
    </w:tbl>
    <w:p w:rsidR="00C83190" w:rsidRPr="001066AD" w:rsidRDefault="00C83190">
      <w:pPr>
        <w:pStyle w:val="Normaltindrag"/>
      </w:pPr>
    </w:p>
    <w:sectPr w:rsidR="00C83190" w:rsidRPr="001066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190" w:rsidRPr="001066AD" w:rsidRDefault="00C83190">
      <w:r w:rsidRPr="001066AD">
        <w:separator/>
      </w:r>
    </w:p>
  </w:endnote>
  <w:endnote w:type="continuationSeparator" w:id="0">
    <w:p w:rsidR="00C83190" w:rsidRPr="001066AD" w:rsidRDefault="00C83190">
      <w:r w:rsidRPr="001066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190" w:rsidRPr="001066AD" w:rsidRDefault="001066AD">
    <w:pPr>
      <w:pStyle w:val="Sidfot"/>
    </w:pPr>
    <w:r w:rsidRPr="001066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85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190" w:rsidRDefault="00C831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190" w:rsidRDefault="00C831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190" w:rsidRPr="001066AD" w:rsidRDefault="001066AD">
    <w:pPr>
      <w:pStyle w:val="Sidfot"/>
    </w:pPr>
    <w:r w:rsidRPr="001066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913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190" w:rsidRDefault="00C831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190" w:rsidRDefault="00C831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190" w:rsidRPr="001066AD" w:rsidRDefault="001066AD">
    <w:pPr>
      <w:pStyle w:val="Sidfot"/>
    </w:pPr>
    <w:r w:rsidRPr="001066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701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190" w:rsidRDefault="00C831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190" w:rsidRDefault="00C831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190" w:rsidRPr="001066AD" w:rsidRDefault="00C83190">
      <w:r w:rsidRPr="001066AD">
        <w:separator/>
      </w:r>
    </w:p>
  </w:footnote>
  <w:footnote w:type="continuationSeparator" w:id="0">
    <w:p w:rsidR="00C83190" w:rsidRPr="001066AD" w:rsidRDefault="00C83190">
      <w:r w:rsidRPr="001066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190" w:rsidRPr="001066AD" w:rsidRDefault="001066AD">
    <w:pPr>
      <w:pStyle w:val="Sidhuvud"/>
    </w:pPr>
    <w:r w:rsidRPr="001066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379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190" w:rsidRDefault="00C831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190" w:rsidRDefault="00C831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190" w:rsidRPr="001066AD" w:rsidRDefault="001066AD">
    <w:pPr>
      <w:pStyle w:val="Sidhuvud"/>
    </w:pPr>
    <w:r w:rsidRPr="001066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79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190" w:rsidRDefault="00C831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190" w:rsidRDefault="00C831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190" w:rsidRPr="001066AD" w:rsidRDefault="00C83190">
    <w:pPr>
      <w:pStyle w:val="FSHNormal"/>
      <w:tabs>
        <w:tab w:val="right" w:pos="5840"/>
      </w:tabs>
    </w:pPr>
    <w:r w:rsidRPr="001066AD">
      <w:br/>
    </w:r>
    <w:r w:rsidRPr="001066AD">
      <w:fldChar w:fldCharType="begin" w:fldLock="1"/>
    </w:r>
    <w:r w:rsidRPr="001066AD">
      <w:instrText xml:space="preserve"> DOCPROPERTY</w:instrText>
    </w:r>
    <w:r w:rsidRPr="001066AD">
      <w:rPr>
        <w:sz w:val="18"/>
      </w:rPr>
      <w:instrText xml:space="preserve"> "YearUser" *\charformat </w:instrText>
    </w:r>
    <w:r w:rsidRPr="001066AD">
      <w:fldChar w:fldCharType="separate"/>
    </w:r>
    <w:r w:rsidRPr="001066AD">
      <w:t>2011/12</w:t>
    </w:r>
    <w:r w:rsidRPr="001066AD">
      <w:fldChar w:fldCharType="end"/>
    </w:r>
    <w:r w:rsidRPr="001066AD">
      <w:t xml:space="preserve"> </w:t>
    </w:r>
    <w:r w:rsidRPr="001066AD">
      <w:tab/>
      <w:t xml:space="preserve">mnr: </w:t>
    </w:r>
    <w:r w:rsidRPr="001066AD">
      <w:fldChar w:fldCharType="begin" w:fldLock="1"/>
    </w:r>
    <w:r w:rsidRPr="001066AD">
      <w:instrText xml:space="preserve"> DOCPROPERTY</w:instrText>
    </w:r>
    <w:r w:rsidRPr="001066AD">
      <w:rPr>
        <w:sz w:val="18"/>
      </w:rPr>
      <w:instrText xml:space="preserve"> "Motionsnummer" *\charformat </w:instrText>
    </w:r>
    <w:r w:rsidRPr="001066AD">
      <w:fldChar w:fldCharType="separate"/>
    </w:r>
    <w:r w:rsidRPr="001066AD">
      <w:t>Fi207</w:t>
    </w:r>
    <w:r w:rsidRPr="001066AD">
      <w:fldChar w:fldCharType="end"/>
    </w:r>
    <w:r w:rsidRPr="001066AD">
      <w:br/>
    </w:r>
    <w:r w:rsidRPr="001066AD">
      <w:fldChar w:fldCharType="begin" w:fldLock="1"/>
    </w:r>
    <w:r w:rsidRPr="001066AD">
      <w:instrText xml:space="preserve"> DOCPROPERTY</w:instrText>
    </w:r>
    <w:r w:rsidRPr="001066AD">
      <w:rPr>
        <w:sz w:val="18"/>
      </w:rPr>
      <w:instrText xml:space="preserve"> "Samling" *\charformat </w:instrText>
    </w:r>
    <w:r w:rsidRPr="001066AD">
      <w:fldChar w:fldCharType="end"/>
    </w:r>
    <w:r w:rsidRPr="001066AD">
      <w:tab/>
      <w:t xml:space="preserve">pnr: </w:t>
    </w:r>
    <w:r w:rsidRPr="001066AD">
      <w:fldChar w:fldCharType="begin" w:fldLock="1"/>
    </w:r>
    <w:r w:rsidRPr="001066AD">
      <w:instrText xml:space="preserve"> DOCPROPERTY</w:instrText>
    </w:r>
    <w:r w:rsidRPr="001066AD">
      <w:rPr>
        <w:sz w:val="18"/>
      </w:rPr>
      <w:instrText xml:space="preserve"> "Partinummer" *\charformat </w:instrText>
    </w:r>
    <w:r w:rsidRPr="001066AD">
      <w:fldChar w:fldCharType="separate"/>
    </w:r>
    <w:r w:rsidRPr="001066AD">
      <w:t>V340</w:t>
    </w:r>
    <w:r w:rsidRPr="001066AD">
      <w:fldChar w:fldCharType="end"/>
    </w:r>
  </w:p>
  <w:p w:rsidR="00C83190" w:rsidRPr="001066AD" w:rsidRDefault="00C83190">
    <w:pPr>
      <w:pStyle w:val="FSHRub1"/>
    </w:pPr>
    <w:r w:rsidRPr="001066AD">
      <w:t>Motion till riksdagen</w:t>
    </w:r>
    <w:r w:rsidRPr="001066AD">
      <w:br/>
    </w:r>
    <w:r w:rsidRPr="001066AD">
      <w:fldChar w:fldCharType="begin" w:fldLock="1"/>
    </w:r>
    <w:r w:rsidRPr="001066AD">
      <w:instrText xml:space="preserve"> DOCPROPERTY "YearUser" *\charformat </w:instrText>
    </w:r>
    <w:r w:rsidRPr="001066AD">
      <w:fldChar w:fldCharType="separate"/>
    </w:r>
    <w:r w:rsidRPr="001066AD">
      <w:t>2011/12</w:t>
    </w:r>
    <w:r w:rsidRPr="001066AD">
      <w:fldChar w:fldCharType="end"/>
    </w:r>
    <w:r w:rsidRPr="001066AD">
      <w:t>:</w:t>
    </w:r>
    <w:r w:rsidRPr="001066AD">
      <w:fldChar w:fldCharType="begin" w:fldLock="1"/>
    </w:r>
    <w:r w:rsidRPr="001066AD">
      <w:instrText xml:space="preserve"> DOCPROPERTY "Motionsnummer" *\charformat </w:instrText>
    </w:r>
    <w:r w:rsidRPr="001066AD">
      <w:fldChar w:fldCharType="separate"/>
    </w:r>
    <w:r w:rsidRPr="001066AD">
      <w:t>Fi207</w:t>
    </w:r>
    <w:r w:rsidRPr="001066AD">
      <w:fldChar w:fldCharType="end"/>
    </w:r>
  </w:p>
  <w:p w:rsidR="00C83190" w:rsidRPr="001066AD" w:rsidRDefault="00C83190">
    <w:pPr>
      <w:pStyle w:val="FSHNormalS5"/>
    </w:pPr>
    <w:r w:rsidRPr="001066AD">
      <w:fldChar w:fldCharType="begin" w:fldLock="1"/>
    </w:r>
    <w:r w:rsidRPr="001066AD">
      <w:instrText xml:space="preserve"> DOCPROPERTY "MotionarText" *\charformat </w:instrText>
    </w:r>
    <w:r w:rsidRPr="001066AD">
      <w:fldChar w:fldCharType="separate"/>
    </w:r>
    <w:r w:rsidRPr="001066AD">
      <w:t>av Ulla Andersson m.fl. (V)</w:t>
    </w:r>
    <w:r w:rsidRPr="001066AD">
      <w:fldChar w:fldCharType="end"/>
    </w:r>
    <w:r w:rsidRPr="001066AD">
      <w:br/>
    </w:r>
    <w:r w:rsidRPr="001066AD">
      <w:fldChar w:fldCharType="begin" w:fldLock="1"/>
    </w:r>
    <w:r w:rsidRPr="001066AD">
      <w:instrText xml:space="preserve"> DOCPROPERTY "SvarFrasKort" *\charformat </w:instrText>
    </w:r>
    <w:r w:rsidRPr="001066AD">
      <w:fldChar w:fldCharType="end"/>
    </w:r>
  </w:p>
  <w:p w:rsidR="00C83190" w:rsidRPr="001066AD" w:rsidRDefault="00C83190">
    <w:pPr>
      <w:pStyle w:val="FSHTitel"/>
    </w:pPr>
    <w:r w:rsidRPr="001066AD">
      <w:fldChar w:fldCharType="begin" w:fldLock="1"/>
    </w:r>
    <w:r w:rsidRPr="001066AD">
      <w:instrText xml:space="preserve"> DOCPROPERTY</w:instrText>
    </w:r>
    <w:r w:rsidRPr="001066AD">
      <w:rPr>
        <w:sz w:val="18"/>
      </w:rPr>
      <w:instrText xml:space="preserve"> "RubrikSvar" *\charformat </w:instrText>
    </w:r>
    <w:r w:rsidRPr="001066AD">
      <w:fldChar w:fldCharType="separate"/>
    </w:r>
    <w:r w:rsidRPr="001066AD">
      <w:t>Sparbankerna</w:t>
    </w:r>
    <w:r w:rsidRPr="001066AD">
      <w:fldChar w:fldCharType="end"/>
    </w:r>
  </w:p>
  <w:p w:rsidR="00C83190" w:rsidRPr="001066AD" w:rsidRDefault="00C83190">
    <w:pPr>
      <w:pStyle w:val="Normal00"/>
    </w:pPr>
  </w:p>
  <w:p w:rsidR="00C83190" w:rsidRPr="001066AD" w:rsidRDefault="00C831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A97C18"/>
    <w:multiLevelType w:val="hybridMultilevel"/>
    <w:tmpl w:val="07BE5BC8"/>
    <w:lvl w:ilvl="0" w:tplc="DA28E5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7C4001A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0712644">
    <w:abstractNumId w:val="3"/>
  </w:num>
  <w:num w:numId="2" w16cid:durableId="2066636227">
    <w:abstractNumId w:val="2"/>
  </w:num>
  <w:num w:numId="3" w16cid:durableId="1570536490">
    <w:abstractNumId w:val="1"/>
  </w:num>
  <w:num w:numId="4" w16cid:durableId="785781075">
    <w:abstractNumId w:val="0"/>
  </w:num>
  <w:num w:numId="5" w16cid:durableId="1407652411">
    <w:abstractNumId w:val="7"/>
  </w:num>
  <w:num w:numId="6" w16cid:durableId="548340261">
    <w:abstractNumId w:val="6"/>
  </w:num>
  <w:num w:numId="7" w16cid:durableId="1992711228">
    <w:abstractNumId w:val="5"/>
  </w:num>
  <w:num w:numId="8" w16cid:durableId="837231016">
    <w:abstractNumId w:val="4"/>
  </w:num>
  <w:num w:numId="9" w16cid:durableId="1955095427">
    <w:abstractNumId w:val="8"/>
  </w:num>
  <w:num w:numId="10" w16cid:durableId="1626305225">
    <w:abstractNumId w:val="9"/>
  </w:num>
  <w:num w:numId="11" w16cid:durableId="1214270193">
    <w:abstractNumId w:val="10"/>
  </w:num>
  <w:num w:numId="12" w16cid:durableId="1281108577">
    <w:abstractNumId w:val="14"/>
  </w:num>
  <w:num w:numId="13" w16cid:durableId="131141635">
    <w:abstractNumId w:val="16"/>
  </w:num>
  <w:num w:numId="14" w16cid:durableId="36010778">
    <w:abstractNumId w:val="17"/>
  </w:num>
  <w:num w:numId="15" w16cid:durableId="1628124130">
    <w:abstractNumId w:val="11"/>
  </w:num>
  <w:num w:numId="16" w16cid:durableId="569660863">
    <w:abstractNumId w:val="19"/>
  </w:num>
  <w:num w:numId="17" w16cid:durableId="1054502493">
    <w:abstractNumId w:val="18"/>
  </w:num>
  <w:num w:numId="18" w16cid:durableId="869489802">
    <w:abstractNumId w:val="15"/>
  </w:num>
  <w:num w:numId="19" w16cid:durableId="1419055165">
    <w:abstractNumId w:val="12"/>
  </w:num>
  <w:num w:numId="20" w16cid:durableId="499781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3"/>
    <w:docVar w:name="PersonGUIDs" w:val="{9757EBE9-5352-471C-B04A-E35C112BD16A},{3E8E9A56-310F-4C36-91B1-43045BD53986},{A91A0519-8886-4C65-9424-5F1F036166D5},{655152DA-9738-498E-8F40-529248027960},{8AB62037-4390-43A4-8774-82C1A5291ED3},{CDE55E54-9331-43CF-956C-25A3AB2FE7A8}"/>
  </w:docVars>
  <w:rsids>
    <w:rsidRoot w:val="00481A1C"/>
    <w:rsid w:val="001066AD"/>
    <w:rsid w:val="00481A1C"/>
    <w:rsid w:val="00C831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CBA54D-C985-4BA2-899D-7E1E0CFC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4967</Characters>
  <Application>Microsoft Office Word</Application>
  <DocSecurity>4</DocSecurity>
  <Lines>97</Lines>
  <Paragraphs>29</Paragraphs>
  <ScaleCrop>false</ScaleCrop>
  <HeadingPairs>
    <vt:vector size="2" baseType="variant">
      <vt:variant>
        <vt:lpstr>Rubrik</vt:lpstr>
      </vt:variant>
      <vt:variant>
        <vt:i4>1</vt:i4>
      </vt:variant>
    </vt:vector>
  </HeadingPairs>
  <TitlesOfParts>
    <vt:vector size="1" baseType="lpstr">
      <vt:lpstr>V340</vt:lpstr>
    </vt:vector>
  </TitlesOfParts>
  <Company>Riksdagen</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V340</dc:title>
  <dc:subject>V340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2011-10-30T12:48:00Z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mot2000_533_2011-08-23</vt:lpwstr>
  </property>
  <property fmtid="{D5CDD505-2E9C-101B-9397-08002B2CF9AE}" pid="3" name="version">
    <vt:lpwstr>mot2000_533_2011-08-23</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Sparbankerna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Sparbankerna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20112012000000000086000003400075</vt:lpwstr>
  </property>
  <property fmtid="{D5CDD505-2E9C-101B-9397-08002B2CF9AE}" pid="47" name="datum">
    <vt:lpwstr>110927</vt:lpwstr>
  </property>
  <property fmtid="{D5CDD505-2E9C-101B-9397-08002B2CF9AE}" pid="48" name="avsändar-e-post">
    <vt:lpwstr>dina.fraggidou@riksdagen.se</vt:lpwstr>
  </property>
  <property fmtid="{D5CDD505-2E9C-101B-9397-08002B2CF9AE}" pid="49" name="id">
    <vt:lpwstr>20112012000000000086000003400075</vt:lpwstr>
  </property>
  <property fmtid="{D5CDD505-2E9C-101B-9397-08002B2CF9AE}" pid="50" name="nummer">
    <vt:lpwstr>207</vt:lpwstr>
  </property>
  <property fmtid="{D5CDD505-2E9C-101B-9397-08002B2CF9AE}" pid="51" name="utskottsbeteckning">
    <vt:lpwstr>Fi</vt:lpwstr>
  </property>
  <property fmtid="{D5CDD505-2E9C-101B-9397-08002B2CF9AE}" pid="52" name="GlobalUID">
    <vt:lpwstr>{CF8ADB69-52AC-44DE-A118-E88F0B098EF7}</vt:lpwstr>
  </property>
  <property fmtid="{D5CDD505-2E9C-101B-9397-08002B2CF9AE}" pid="53" name="Överföringar">
    <vt:i4>0</vt:i4>
  </property>
  <property fmtid="{D5CDD505-2E9C-101B-9397-08002B2CF9AE}" pid="54" name="Checksum">
    <vt:lpwstr>*0008581598978*</vt:lpwstr>
  </property>
  <property fmtid="{D5CDD505-2E9C-101B-9397-08002B2CF9AE}" pid="55" name="skuggnummer">
    <vt:lpwstr>118</vt:lpwstr>
  </property>
  <property fmtid="{D5CDD505-2E9C-101B-9397-08002B2CF9AE}" pid="56" name="urixVersion">
    <vt:lpwstr>4.5.0.25</vt:lpwstr>
  </property>
  <property fmtid="{D5CDD505-2E9C-101B-9397-08002B2CF9AE}" pid="57" name="urixOrigin">
    <vt:lpwstr>111102 07:51:50.850</vt:lpwstr>
  </property>
  <property fmtid="{D5CDD505-2E9C-101B-9397-08002B2CF9AE}" pid="58" name="urixGuid">
    <vt:lpwstr>{2D4F1411-DF04-4104-81E1-E284616995A8}</vt:lpwstr>
  </property>
</Properties>
</file>