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8B8EB462A39A4E2289AD3FD08F1FE2EB"/>
        </w:placeholder>
        <w:text/>
      </w:sdtPr>
      <w:sdtEndPr/>
      <w:sdtContent>
        <w:p w:rsidRPr="009B062B" w:rsidR="00AF30DD" w:rsidP="00DA28CE" w:rsidRDefault="00AF30DD" w14:paraId="6FF3DCBF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e42f0de-2085-4ead-8202-a43984865c0f"/>
        <w:id w:val="2034147591"/>
        <w:lock w:val="sdtLocked"/>
      </w:sdtPr>
      <w:sdtEndPr/>
      <w:sdtContent>
        <w:p w:rsidR="00D24EAE" w:rsidRDefault="00A64FEA" w14:paraId="6FF3DCC0" w14:textId="342B2495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föreslå Säfsnäs gamla socken (del av Ludvika kommun) och Rättvik till stödområde A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CFB8F2487F064AFEBAFB163BB6B54E44"/>
        </w:placeholder>
        <w:text/>
      </w:sdtPr>
      <w:sdtEndPr/>
      <w:sdtContent>
        <w:p w:rsidRPr="009B062B" w:rsidR="006D79C9" w:rsidP="00333E95" w:rsidRDefault="006D79C9" w14:paraId="6FF3DCC1" w14:textId="77777777">
          <w:pPr>
            <w:pStyle w:val="Rubrik1"/>
          </w:pPr>
          <w:r>
            <w:t>Motivering</w:t>
          </w:r>
        </w:p>
      </w:sdtContent>
    </w:sdt>
    <w:p w:rsidRPr="00132363" w:rsidR="003A57B0" w:rsidP="00132363" w:rsidRDefault="003A57B0" w14:paraId="6FF3DCC2" w14:textId="29B50F02">
      <w:pPr>
        <w:pStyle w:val="Normalutanindragellerluft"/>
      </w:pPr>
      <w:bookmarkStart w:name="_GoBack" w:id="1"/>
      <w:bookmarkEnd w:id="1"/>
      <w:r w:rsidRPr="00132363">
        <w:t>För landsbygdens fortlevnad och för att människor ska kunna bo och verka där krävs kraftfulla stödåtgärder. Vi måste skapa förutsättningar för yngre människor att leva och verka i bygden. I Fredriksberg och i Furudal är verkligheten att tandvårdsklinik</w:t>
      </w:r>
      <w:r w:rsidRPr="00132363" w:rsidR="009A7B79">
        <w:t>en</w:t>
      </w:r>
      <w:r w:rsidRPr="00132363">
        <w:t xml:space="preserve"> läggs ner, banken stänger sitt kontor, postkontoret stängs</w:t>
      </w:r>
      <w:r w:rsidRPr="00132363" w:rsidR="009A7B79">
        <w:t xml:space="preserve"> och</w:t>
      </w:r>
      <w:r w:rsidRPr="00132363">
        <w:t xml:space="preserve"> vårdcentralen stängs</w:t>
      </w:r>
      <w:r w:rsidRPr="00132363" w:rsidR="009A7B79">
        <w:t>.</w:t>
      </w:r>
    </w:p>
    <w:p w:rsidRPr="00132363" w:rsidR="003A57B0" w:rsidP="00132363" w:rsidRDefault="003A57B0" w14:paraId="6FF3DCC3" w14:textId="606F0572">
      <w:r w:rsidRPr="00132363">
        <w:t>Till detta kommer ett vikande befolkningsunderlag med en stigande genomsnittsål</w:t>
      </w:r>
      <w:r w:rsidR="00E06022">
        <w:softHyphen/>
      </w:r>
      <w:r w:rsidRPr="00132363">
        <w:t>der.</w:t>
      </w:r>
    </w:p>
    <w:p w:rsidRPr="00CD4815" w:rsidR="003A57B0" w:rsidP="00CD4815" w:rsidRDefault="003A57B0" w14:paraId="6FF3DCC4" w14:textId="15ADF708">
      <w:r w:rsidRPr="00CD4815">
        <w:t xml:space="preserve">Inom stödområden finns särskilda möjligheter </w:t>
      </w:r>
      <w:r w:rsidR="009A7B79">
        <w:t>till</w:t>
      </w:r>
      <w:r w:rsidRPr="00CD4815">
        <w:t xml:space="preserve"> insatser som gynnar näringslivsut</w:t>
      </w:r>
      <w:r w:rsidR="00E06022">
        <w:softHyphen/>
      </w:r>
      <w:r w:rsidRPr="00CD4815">
        <w:t xml:space="preserve">veckling, till exempel avdrag för arbetsgivaravgifter och regionala investeringsstöd. År 2014 omarbetades kartan för stödområden i Sverige och sedan dess ingår kommunerna Älvdalen, Orsa, Malung-Sälen, Vansbro och Mora i stödområde A. Övriga kommuner i Dalarna, med undantag för Borlänge och Falu tätorter, ingår i stödområde B. </w:t>
      </w:r>
    </w:p>
    <w:p w:rsidR="00BB6339" w:rsidP="00132363" w:rsidRDefault="003A57B0" w14:paraId="6FF3DCC7" w14:textId="070C6BC1">
      <w:r w:rsidRPr="00CD4815">
        <w:t>Att få ingå i stödområde A skulle förbättra förutsättningarna för nuvarande företa</w:t>
      </w:r>
      <w:r w:rsidR="00E06022">
        <w:softHyphen/>
      </w:r>
      <w:r w:rsidRPr="00CD4815">
        <w:t>gande</w:t>
      </w:r>
      <w:r w:rsidR="009A7B79">
        <w:t xml:space="preserve"> </w:t>
      </w:r>
      <w:r w:rsidRPr="00CD4815">
        <w:t>och entreprenörskap samt också kunna stimulera nyetablering av verksamhet. Inom stödområde A finns företagsstöd som innebär en nedsättning av arbetsgivaravgif</w:t>
      </w:r>
      <w:r w:rsidR="00E06022">
        <w:softHyphen/>
      </w:r>
      <w:r w:rsidRPr="00CD4815">
        <w:t>ter och större möjligheter till stöd till ex</w:t>
      </w:r>
      <w:r w:rsidR="009A7B79">
        <w:t>empelvis</w:t>
      </w:r>
      <w:r w:rsidRPr="00CD4815">
        <w:t xml:space="preserve"> nya investeringar. Lägre energiskatt genom avdrag är en fördel för tjänsteföretag och invånare.</w:t>
      </w:r>
    </w:p>
    <w:sdt>
      <w:sdtPr>
        <w:alias w:val="CC_Underskrifter"/>
        <w:tag w:val="CC_Underskrifter"/>
        <w:id w:val="583496634"/>
        <w:lock w:val="sdtContentLocked"/>
        <w:placeholder>
          <w:docPart w:val="FAD0AB0F28204D7E82A1D5811F7AD211"/>
        </w:placeholder>
      </w:sdtPr>
      <w:sdtEndPr/>
      <w:sdtContent>
        <w:p w:rsidR="00CD4815" w:rsidP="00CD4815" w:rsidRDefault="00CD4815" w14:paraId="6FF3DCC8" w14:textId="77777777"/>
        <w:p w:rsidRPr="008E0FE2" w:rsidR="004801AC" w:rsidP="00CD4815" w:rsidRDefault="00E06022" w14:paraId="6FF3DCC9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Maria Strömkvist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Roza Güclü Hedin (S)</w:t>
            </w:r>
          </w:p>
        </w:tc>
      </w:tr>
    </w:tbl>
    <w:p w:rsidR="007A4BE9" w:rsidRDefault="007A4BE9" w14:paraId="6FF3DCCD" w14:textId="77777777"/>
    <w:sectPr w:rsidR="007A4BE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F3DCCF" w14:textId="77777777" w:rsidR="003A57B0" w:rsidRDefault="003A57B0" w:rsidP="000C1CAD">
      <w:pPr>
        <w:spacing w:line="240" w:lineRule="auto"/>
      </w:pPr>
      <w:r>
        <w:separator/>
      </w:r>
    </w:p>
  </w:endnote>
  <w:endnote w:type="continuationSeparator" w:id="0">
    <w:p w14:paraId="6FF3DCD0" w14:textId="77777777" w:rsidR="003A57B0" w:rsidRDefault="003A57B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F3DCD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F3DCD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CD4815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F3DCDE" w14:textId="77777777" w:rsidR="00262EA3" w:rsidRPr="00CD4815" w:rsidRDefault="00262EA3" w:rsidP="00CD481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F3DCCD" w14:textId="77777777" w:rsidR="003A57B0" w:rsidRDefault="003A57B0" w:rsidP="000C1CAD">
      <w:pPr>
        <w:spacing w:line="240" w:lineRule="auto"/>
      </w:pPr>
      <w:r>
        <w:separator/>
      </w:r>
    </w:p>
  </w:footnote>
  <w:footnote w:type="continuationSeparator" w:id="0">
    <w:p w14:paraId="6FF3DCCE" w14:textId="77777777" w:rsidR="003A57B0" w:rsidRDefault="003A57B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6FF3DCD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FF3DCE0" wp14:anchorId="6FF3DCD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E06022" w14:paraId="6FF3DCE3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ADCF5D38A734968854D630ADD00E841"/>
                              </w:placeholder>
                              <w:text/>
                            </w:sdtPr>
                            <w:sdtEndPr/>
                            <w:sdtContent>
                              <w:r w:rsidR="003A57B0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BFE25B48E6F4961961A2525DF746C99"/>
                              </w:placeholder>
                              <w:text/>
                            </w:sdtPr>
                            <w:sdtEndPr/>
                            <w:sdtContent>
                              <w:r w:rsidR="009F689B">
                                <w:t>1140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FF3DCD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E06022" w14:paraId="6FF3DCE3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ADCF5D38A734968854D630ADD00E841"/>
                        </w:placeholder>
                        <w:text/>
                      </w:sdtPr>
                      <w:sdtEndPr/>
                      <w:sdtContent>
                        <w:r w:rsidR="003A57B0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BFE25B48E6F4961961A2525DF746C99"/>
                        </w:placeholder>
                        <w:text/>
                      </w:sdtPr>
                      <w:sdtEndPr/>
                      <w:sdtContent>
                        <w:r w:rsidR="009F689B">
                          <w:t>1140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FF3DCD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6FF3DCD3" w14:textId="77777777">
    <w:pPr>
      <w:jc w:val="right"/>
    </w:pPr>
  </w:p>
  <w:p w:rsidR="00262EA3" w:rsidP="00776B74" w:rsidRDefault="00262EA3" w14:paraId="6FF3DCD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E06022" w14:paraId="6FF3DCD7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FF3DCE2" wp14:anchorId="6FF3DCE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E06022" w14:paraId="6FF3DCD8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A57B0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F689B">
          <w:t>1140</w:t>
        </w:r>
      </w:sdtContent>
    </w:sdt>
  </w:p>
  <w:p w:rsidRPr="008227B3" w:rsidR="00262EA3" w:rsidP="008227B3" w:rsidRDefault="00E06022" w14:paraId="6FF3DCD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E06022" w14:paraId="6FF3DCDA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:920</w:t>
        </w:r>
      </w:sdtContent>
    </w:sdt>
  </w:p>
  <w:p w:rsidR="00262EA3" w:rsidP="00E03A3D" w:rsidRDefault="00E06022" w14:paraId="6FF3DCDB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Maria Strömkvist och Roza Güclü Hedin (båda 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3A57B0" w14:paraId="6FF3DCDC" w14:textId="77777777">
        <w:pPr>
          <w:pStyle w:val="FSHRub2"/>
        </w:pPr>
        <w:r>
          <w:t>Stödområde 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FF3DCD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3A57B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2363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57B0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3F8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B3A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6C79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1C78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BE9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CBF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A7B79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89B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4FEA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5A7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815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4EAE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022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64C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FF3DCBE"/>
  <w15:chartTrackingRefBased/>
  <w15:docId w15:val="{F75090F5-7A9C-48AD-87CB-B371A3FFA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B8EB462A39A4E2289AD3FD08F1FE2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3B8BC5-EAC5-4005-994B-26DDB50FB72B}"/>
      </w:docPartPr>
      <w:docPartBody>
        <w:p w:rsidR="00C26C78" w:rsidRDefault="00C26C78">
          <w:pPr>
            <w:pStyle w:val="8B8EB462A39A4E2289AD3FD08F1FE2E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FB8F2487F064AFEBAFB163BB6B54E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98A5D6-280B-4035-9306-BE5553E73112}"/>
      </w:docPartPr>
      <w:docPartBody>
        <w:p w:rsidR="00C26C78" w:rsidRDefault="00C26C78">
          <w:pPr>
            <w:pStyle w:val="CFB8F2487F064AFEBAFB163BB6B54E4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ADCF5D38A734968854D630ADD00E8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572E53-3A33-4190-B751-9BC6179BBF38}"/>
      </w:docPartPr>
      <w:docPartBody>
        <w:p w:rsidR="00C26C78" w:rsidRDefault="00C26C78">
          <w:pPr>
            <w:pStyle w:val="5ADCF5D38A734968854D630ADD00E8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BFE25B48E6F4961961A2525DF746C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2AF49D-10D0-46AF-8BAB-5E818280CD6B}"/>
      </w:docPartPr>
      <w:docPartBody>
        <w:p w:rsidR="00C26C78" w:rsidRDefault="00C26C78">
          <w:pPr>
            <w:pStyle w:val="7BFE25B48E6F4961961A2525DF746C99"/>
          </w:pPr>
          <w:r>
            <w:t xml:space="preserve"> </w:t>
          </w:r>
        </w:p>
      </w:docPartBody>
    </w:docPart>
    <w:docPart>
      <w:docPartPr>
        <w:name w:val="FAD0AB0F28204D7E82A1D5811F7AD2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F27884-0206-4204-B159-98CBFB44DB07}"/>
      </w:docPartPr>
      <w:docPartBody>
        <w:p w:rsidR="002413D8" w:rsidRDefault="002413D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C78"/>
    <w:rsid w:val="002413D8"/>
    <w:rsid w:val="00C2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B8EB462A39A4E2289AD3FD08F1FE2EB">
    <w:name w:val="8B8EB462A39A4E2289AD3FD08F1FE2EB"/>
  </w:style>
  <w:style w:type="paragraph" w:customStyle="1" w:styleId="CEB66464913A41F187266FC4C9387870">
    <w:name w:val="CEB66464913A41F187266FC4C9387870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68E5D396EAE047F08CDCBAC1B2814537">
    <w:name w:val="68E5D396EAE047F08CDCBAC1B2814537"/>
  </w:style>
  <w:style w:type="paragraph" w:customStyle="1" w:styleId="CFB8F2487F064AFEBAFB163BB6B54E44">
    <w:name w:val="CFB8F2487F064AFEBAFB163BB6B54E44"/>
  </w:style>
  <w:style w:type="paragraph" w:customStyle="1" w:styleId="4DDADD307B004FF08F52B02BE77BB414">
    <w:name w:val="4DDADD307B004FF08F52B02BE77BB414"/>
  </w:style>
  <w:style w:type="paragraph" w:customStyle="1" w:styleId="9B24BEFBAA5A4C988587CC2EF4B8ED17">
    <w:name w:val="9B24BEFBAA5A4C988587CC2EF4B8ED17"/>
  </w:style>
  <w:style w:type="paragraph" w:customStyle="1" w:styleId="5ADCF5D38A734968854D630ADD00E841">
    <w:name w:val="5ADCF5D38A734968854D630ADD00E841"/>
  </w:style>
  <w:style w:type="paragraph" w:customStyle="1" w:styleId="7BFE25B48E6F4961961A2525DF746C99">
    <w:name w:val="7BFE25B48E6F4961961A2525DF746C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E70F1E-585C-4313-B934-CD293D13F0C7}"/>
</file>

<file path=customXml/itemProps2.xml><?xml version="1.0" encoding="utf-8"?>
<ds:datastoreItem xmlns:ds="http://schemas.openxmlformats.org/officeDocument/2006/customXml" ds:itemID="{E5E6579C-A2DE-46B2-AAD6-D4F6C1841E5C}"/>
</file>

<file path=customXml/itemProps3.xml><?xml version="1.0" encoding="utf-8"?>
<ds:datastoreItem xmlns:ds="http://schemas.openxmlformats.org/officeDocument/2006/customXml" ds:itemID="{48AF5447-22DE-4759-AF24-8FD4E41755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1323</Characters>
  <Application>Microsoft Office Word</Application>
  <DocSecurity>0</DocSecurity>
  <Lines>28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S1140 Stödområde A</vt:lpstr>
      <vt:lpstr>
      </vt:lpstr>
    </vt:vector>
  </TitlesOfParts>
  <Company>Sveriges riksdag</Company>
  <LinksUpToDate>false</LinksUpToDate>
  <CharactersWithSpaces>1525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